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09FF4" w14:textId="77777777" w:rsidR="00F13789" w:rsidRPr="0001569B" w:rsidRDefault="00367855" w:rsidP="00F13789">
      <w:pPr>
        <w:tabs>
          <w:tab w:val="right" w:pos="8640"/>
        </w:tabs>
        <w:rPr>
          <w:rFonts w:asciiTheme="minorHAnsi" w:hAnsiTheme="minorHAnsi" w:cstheme="minorHAnsi"/>
          <w:sz w:val="22"/>
          <w:szCs w:val="22"/>
        </w:rPr>
      </w:pPr>
      <w:r w:rsidRPr="0001569B">
        <w:rPr>
          <w:rFonts w:asciiTheme="minorHAnsi" w:hAnsiTheme="minorHAnsi" w:cstheme="minorHAnsi"/>
          <w:noProof/>
          <w:sz w:val="22"/>
          <w:szCs w:val="22"/>
        </w:rPr>
        <w:drawing>
          <wp:anchor distT="0" distB="0" distL="114300" distR="114300" simplePos="0" relativeHeight="251658240" behindDoc="0" locked="0" layoutInCell="1" allowOverlap="1" wp14:anchorId="5C73997D" wp14:editId="59D43291">
            <wp:simplePos x="0" y="0"/>
            <wp:positionH relativeFrom="column">
              <wp:posOffset>2733675</wp:posOffset>
            </wp:positionH>
            <wp:positionV relativeFrom="paragraph">
              <wp:posOffset>-285750</wp:posOffset>
            </wp:positionV>
            <wp:extent cx="3244850" cy="708660"/>
            <wp:effectExtent l="0" t="0" r="0" b="0"/>
            <wp:wrapTopAndBottom/>
            <wp:docPr id="5" name="Picture 5"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r w:rsidRPr="0001569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CA4BC91" wp14:editId="16E2E2FE">
                <wp:simplePos x="0" y="0"/>
                <wp:positionH relativeFrom="column">
                  <wp:posOffset>-66675</wp:posOffset>
                </wp:positionH>
                <wp:positionV relativeFrom="paragraph">
                  <wp:posOffset>-342900</wp:posOffset>
                </wp:positionV>
                <wp:extent cx="220980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3986" w14:textId="77777777" w:rsidR="000E0395" w:rsidRPr="008B3DED" w:rsidRDefault="000E0395" w:rsidP="0025016A">
                            <w:pPr>
                              <w:pStyle w:val="Heading1"/>
                              <w:rPr>
                                <w:sz w:val="18"/>
                                <w:szCs w:val="18"/>
                              </w:rPr>
                            </w:pPr>
                            <w:r>
                              <w:rPr>
                                <w:sz w:val="18"/>
                                <w:szCs w:val="18"/>
                              </w:rPr>
                              <w:t>JENNIFER GROSS</w:t>
                            </w:r>
                          </w:p>
                          <w:p w14:paraId="5CB7C2B0" w14:textId="77777777" w:rsidR="000E0395" w:rsidRPr="008B3DED" w:rsidRDefault="000E0395" w:rsidP="0025016A">
                            <w:pPr>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14:paraId="10B4C144" w14:textId="77777777" w:rsidR="000E0395" w:rsidRPr="008B3DED" w:rsidRDefault="000E0395" w:rsidP="0025016A">
                            <w:pPr>
                              <w:rPr>
                                <w:rFonts w:ascii="News Gothic MT" w:hAnsi="News Gothic MT"/>
                                <w:sz w:val="18"/>
                                <w:szCs w:val="18"/>
                              </w:rPr>
                            </w:pPr>
                            <w:r w:rsidRPr="008B3DED">
                              <w:rPr>
                                <w:rFonts w:ascii="News Gothic MT" w:hAnsi="News Gothic MT"/>
                                <w:sz w:val="18"/>
                                <w:szCs w:val="18"/>
                              </w:rPr>
                              <w:t xml:space="preserve">Tel:  </w:t>
                            </w:r>
                            <w:r>
                              <w:rPr>
                                <w:rFonts w:ascii="News Gothic MT" w:hAnsi="News Gothic MT"/>
                                <w:sz w:val="18"/>
                                <w:szCs w:val="18"/>
                              </w:rPr>
                              <w:t>503.226.4211 ext. 3590</w:t>
                            </w:r>
                          </w:p>
                          <w:p w14:paraId="016713B1" w14:textId="77777777" w:rsidR="000E0395" w:rsidRPr="008B3DED" w:rsidRDefault="000E0395" w:rsidP="0025016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6A6B1370" w14:textId="77777777" w:rsidR="000E0395" w:rsidRPr="008B3DED" w:rsidRDefault="000E0395" w:rsidP="0025016A">
                            <w:pPr>
                              <w:rPr>
                                <w:rFonts w:ascii="Calibri" w:hAnsi="Calibri"/>
                                <w:sz w:val="18"/>
                                <w:szCs w:val="18"/>
                              </w:rPr>
                            </w:pPr>
                            <w:proofErr w:type="gramStart"/>
                            <w:r>
                              <w:rPr>
                                <w:rFonts w:ascii="News Gothic MT" w:hAnsi="News Gothic MT"/>
                                <w:sz w:val="18"/>
                                <w:szCs w:val="18"/>
                              </w:rPr>
                              <w:t>email</w:t>
                            </w:r>
                            <w:proofErr w:type="gramEnd"/>
                            <w:r>
                              <w:rPr>
                                <w:rFonts w:ascii="News Gothic MT" w:hAnsi="News Gothic MT"/>
                                <w:sz w:val="18"/>
                                <w:szCs w:val="18"/>
                              </w:rPr>
                              <w:t>:  jgg</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5pt;margin-top:-27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R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1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" filled="f" stroked="f">
                <v:textbox>
                  <w:txbxContent>
                    <w:p w14:paraId="747C3986" w14:textId="77777777" w:rsidR="000E0395" w:rsidRPr="008B3DED" w:rsidRDefault="000E0395" w:rsidP="0025016A">
                      <w:pPr>
                        <w:pStyle w:val="Heading1"/>
                        <w:rPr>
                          <w:sz w:val="18"/>
                          <w:szCs w:val="18"/>
                        </w:rPr>
                      </w:pPr>
                      <w:r>
                        <w:rPr>
                          <w:sz w:val="18"/>
                          <w:szCs w:val="18"/>
                        </w:rPr>
                        <w:t>JENNIFER GROSS</w:t>
                      </w:r>
                    </w:p>
                    <w:p w14:paraId="5CB7C2B0" w14:textId="77777777" w:rsidR="000E0395" w:rsidRPr="008B3DED" w:rsidRDefault="000E0395" w:rsidP="0025016A">
                      <w:pPr>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14:paraId="10B4C144" w14:textId="77777777" w:rsidR="000E0395" w:rsidRPr="008B3DED" w:rsidRDefault="000E0395" w:rsidP="0025016A">
                      <w:pPr>
                        <w:rPr>
                          <w:rFonts w:ascii="News Gothic MT" w:hAnsi="News Gothic MT"/>
                          <w:sz w:val="18"/>
                          <w:szCs w:val="18"/>
                        </w:rPr>
                      </w:pPr>
                      <w:r w:rsidRPr="008B3DED">
                        <w:rPr>
                          <w:rFonts w:ascii="News Gothic MT" w:hAnsi="News Gothic MT"/>
                          <w:sz w:val="18"/>
                          <w:szCs w:val="18"/>
                        </w:rPr>
                        <w:t xml:space="preserve">Tel:  </w:t>
                      </w:r>
                      <w:r>
                        <w:rPr>
                          <w:rFonts w:ascii="News Gothic MT" w:hAnsi="News Gothic MT"/>
                          <w:sz w:val="18"/>
                          <w:szCs w:val="18"/>
                        </w:rPr>
                        <w:t>503.226.4211 ext. 3590</w:t>
                      </w:r>
                    </w:p>
                    <w:p w14:paraId="016713B1" w14:textId="77777777" w:rsidR="000E0395" w:rsidRPr="008B3DED" w:rsidRDefault="000E0395" w:rsidP="0025016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6A6B1370" w14:textId="77777777" w:rsidR="000E0395" w:rsidRPr="008B3DED" w:rsidRDefault="000E0395" w:rsidP="0025016A">
                      <w:pPr>
                        <w:rPr>
                          <w:rFonts w:ascii="Calibri" w:hAnsi="Calibri"/>
                          <w:sz w:val="18"/>
                          <w:szCs w:val="18"/>
                        </w:rPr>
                      </w:pPr>
                      <w:proofErr w:type="gramStart"/>
                      <w:r>
                        <w:rPr>
                          <w:rFonts w:ascii="News Gothic MT" w:hAnsi="News Gothic MT"/>
                          <w:sz w:val="18"/>
                          <w:szCs w:val="18"/>
                        </w:rPr>
                        <w:t>email</w:t>
                      </w:r>
                      <w:proofErr w:type="gramEnd"/>
                      <w:r>
                        <w:rPr>
                          <w:rFonts w:ascii="News Gothic MT" w:hAnsi="News Gothic MT"/>
                          <w:sz w:val="18"/>
                          <w:szCs w:val="18"/>
                        </w:rPr>
                        <w:t>:  jgg</w:t>
                      </w:r>
                      <w:r w:rsidRPr="008B3DED">
                        <w:rPr>
                          <w:rFonts w:ascii="News Gothic MT" w:hAnsi="News Gothic MT"/>
                          <w:sz w:val="18"/>
                          <w:szCs w:val="18"/>
                        </w:rPr>
                        <w:t xml:space="preserve">@nwnatural.com </w:t>
                      </w:r>
                    </w:p>
                  </w:txbxContent>
                </v:textbox>
              </v:rect>
            </w:pict>
          </mc:Fallback>
        </mc:AlternateContent>
      </w:r>
    </w:p>
    <w:p w14:paraId="3244FA74" w14:textId="77777777" w:rsidR="000C25ED" w:rsidRDefault="000C25ED" w:rsidP="00F13789">
      <w:pPr>
        <w:tabs>
          <w:tab w:val="right" w:pos="8640"/>
        </w:tabs>
        <w:rPr>
          <w:rFonts w:asciiTheme="minorHAnsi" w:hAnsiTheme="minorHAnsi" w:cstheme="minorHAnsi"/>
          <w:sz w:val="22"/>
          <w:szCs w:val="22"/>
        </w:rPr>
      </w:pPr>
    </w:p>
    <w:p w14:paraId="1B49116E" w14:textId="77777777" w:rsidR="007D393B" w:rsidRPr="0001569B" w:rsidRDefault="007D393B" w:rsidP="00F13789">
      <w:pPr>
        <w:tabs>
          <w:tab w:val="right" w:pos="8640"/>
        </w:tabs>
        <w:rPr>
          <w:rFonts w:asciiTheme="minorHAnsi" w:hAnsiTheme="minorHAnsi" w:cstheme="minorHAnsi"/>
          <w:sz w:val="22"/>
          <w:szCs w:val="22"/>
        </w:rPr>
      </w:pPr>
    </w:p>
    <w:p w14:paraId="5D2E61E8" w14:textId="1A30AABC" w:rsidR="00F13789" w:rsidRPr="0001569B" w:rsidRDefault="00230955" w:rsidP="00517426">
      <w:pPr>
        <w:tabs>
          <w:tab w:val="right" w:pos="9360"/>
        </w:tabs>
        <w:rPr>
          <w:rFonts w:asciiTheme="minorHAnsi" w:hAnsiTheme="minorHAnsi" w:cstheme="minorHAnsi"/>
          <w:sz w:val="22"/>
          <w:szCs w:val="22"/>
        </w:rPr>
      </w:pPr>
      <w:r w:rsidRPr="0001569B">
        <w:rPr>
          <w:rFonts w:asciiTheme="minorHAnsi" w:hAnsiTheme="minorHAnsi" w:cstheme="minorHAnsi"/>
          <w:sz w:val="22"/>
          <w:szCs w:val="22"/>
        </w:rPr>
        <w:t>Novembe</w:t>
      </w:r>
      <w:r w:rsidR="00727843">
        <w:rPr>
          <w:rFonts w:asciiTheme="minorHAnsi" w:hAnsiTheme="minorHAnsi" w:cstheme="minorHAnsi"/>
          <w:sz w:val="22"/>
          <w:szCs w:val="22"/>
        </w:rPr>
        <w:t xml:space="preserve">r </w:t>
      </w:r>
      <w:r w:rsidR="009F098C">
        <w:rPr>
          <w:rFonts w:asciiTheme="minorHAnsi" w:hAnsiTheme="minorHAnsi" w:cstheme="minorHAnsi"/>
          <w:sz w:val="22"/>
          <w:szCs w:val="22"/>
        </w:rPr>
        <w:t>17</w:t>
      </w:r>
      <w:r w:rsidR="00920C74">
        <w:rPr>
          <w:rFonts w:asciiTheme="minorHAnsi" w:hAnsiTheme="minorHAnsi" w:cstheme="minorHAnsi"/>
          <w:sz w:val="22"/>
          <w:szCs w:val="22"/>
        </w:rPr>
        <w:t xml:space="preserve">, </w:t>
      </w:r>
      <w:r w:rsidR="00727843">
        <w:rPr>
          <w:rFonts w:asciiTheme="minorHAnsi" w:hAnsiTheme="minorHAnsi" w:cstheme="minorHAnsi"/>
          <w:sz w:val="22"/>
          <w:szCs w:val="22"/>
        </w:rPr>
        <w:t>201</w:t>
      </w:r>
      <w:r w:rsidR="00920C74">
        <w:rPr>
          <w:rFonts w:asciiTheme="minorHAnsi" w:hAnsiTheme="minorHAnsi" w:cstheme="minorHAnsi"/>
          <w:sz w:val="22"/>
          <w:szCs w:val="22"/>
        </w:rPr>
        <w:t>4</w:t>
      </w:r>
      <w:r w:rsidR="007842D2" w:rsidRPr="0001569B">
        <w:rPr>
          <w:rFonts w:asciiTheme="minorHAnsi" w:hAnsiTheme="minorHAnsi" w:cstheme="minorHAnsi"/>
          <w:sz w:val="22"/>
          <w:szCs w:val="22"/>
        </w:rPr>
        <w:tab/>
        <w:t xml:space="preserve">NWN </w:t>
      </w:r>
      <w:r w:rsidR="002230BF">
        <w:rPr>
          <w:rFonts w:asciiTheme="minorHAnsi" w:hAnsiTheme="minorHAnsi" w:cstheme="minorHAnsi"/>
          <w:sz w:val="22"/>
          <w:szCs w:val="22"/>
        </w:rPr>
        <w:t xml:space="preserve">WUTC </w:t>
      </w:r>
      <w:r w:rsidR="007842D2" w:rsidRPr="0001569B">
        <w:rPr>
          <w:rFonts w:asciiTheme="minorHAnsi" w:hAnsiTheme="minorHAnsi" w:cstheme="minorHAnsi"/>
          <w:sz w:val="22"/>
          <w:szCs w:val="22"/>
        </w:rPr>
        <w:t>Advice No.</w:t>
      </w:r>
      <w:r w:rsidR="00517426" w:rsidRPr="0001569B">
        <w:rPr>
          <w:rFonts w:asciiTheme="minorHAnsi" w:hAnsiTheme="minorHAnsi" w:cstheme="minorHAnsi"/>
          <w:sz w:val="22"/>
          <w:szCs w:val="22"/>
        </w:rPr>
        <w:t xml:space="preserve"> </w:t>
      </w:r>
      <w:r w:rsidR="00F13B3B">
        <w:rPr>
          <w:rFonts w:asciiTheme="minorHAnsi" w:hAnsiTheme="minorHAnsi" w:cstheme="minorHAnsi"/>
          <w:sz w:val="22"/>
          <w:szCs w:val="22"/>
        </w:rPr>
        <w:t>14-7</w:t>
      </w:r>
    </w:p>
    <w:p w14:paraId="576EDCEB" w14:textId="77777777" w:rsidR="00FC47E6" w:rsidRPr="0001569B" w:rsidRDefault="00FC47E6" w:rsidP="00F13789">
      <w:pPr>
        <w:rPr>
          <w:rFonts w:asciiTheme="minorHAnsi" w:hAnsiTheme="minorHAnsi" w:cstheme="minorHAnsi"/>
          <w:sz w:val="22"/>
          <w:szCs w:val="22"/>
        </w:rPr>
      </w:pPr>
    </w:p>
    <w:p w14:paraId="531E02D4" w14:textId="77777777" w:rsidR="000C25ED" w:rsidRDefault="000C25ED" w:rsidP="00F13789">
      <w:pPr>
        <w:rPr>
          <w:rFonts w:asciiTheme="minorHAnsi" w:hAnsiTheme="minorHAnsi" w:cstheme="minorHAnsi"/>
          <w:b/>
          <w:i/>
          <w:sz w:val="22"/>
          <w:szCs w:val="22"/>
        </w:rPr>
      </w:pPr>
    </w:p>
    <w:p w14:paraId="415F6897" w14:textId="77777777" w:rsidR="007D393B" w:rsidRPr="0001569B" w:rsidRDefault="007D393B" w:rsidP="00F13789">
      <w:pPr>
        <w:rPr>
          <w:rFonts w:asciiTheme="minorHAnsi" w:hAnsiTheme="minorHAnsi" w:cstheme="minorHAnsi"/>
          <w:b/>
          <w:i/>
          <w:sz w:val="22"/>
          <w:szCs w:val="22"/>
        </w:rPr>
      </w:pPr>
    </w:p>
    <w:p w14:paraId="043C4013" w14:textId="77777777" w:rsidR="00F13789" w:rsidRPr="0001569B" w:rsidRDefault="00F13789" w:rsidP="00F13789">
      <w:pPr>
        <w:rPr>
          <w:rFonts w:asciiTheme="minorHAnsi" w:hAnsiTheme="minorHAnsi" w:cstheme="minorHAnsi"/>
          <w:b/>
          <w:i/>
          <w:sz w:val="22"/>
          <w:szCs w:val="22"/>
        </w:rPr>
      </w:pPr>
      <w:r w:rsidRPr="0001569B">
        <w:rPr>
          <w:rFonts w:asciiTheme="minorHAnsi" w:hAnsiTheme="minorHAnsi" w:cstheme="minorHAnsi"/>
          <w:b/>
          <w:i/>
          <w:sz w:val="22"/>
          <w:szCs w:val="22"/>
        </w:rPr>
        <w:t>VIA ELECTRONIC FILING</w:t>
      </w:r>
    </w:p>
    <w:p w14:paraId="1672DCDD" w14:textId="77777777" w:rsidR="00F570A0" w:rsidRDefault="00F570A0" w:rsidP="00F13789">
      <w:pPr>
        <w:rPr>
          <w:rFonts w:asciiTheme="minorHAnsi" w:hAnsiTheme="minorHAnsi" w:cstheme="minorHAnsi"/>
          <w:sz w:val="22"/>
          <w:szCs w:val="22"/>
        </w:rPr>
      </w:pPr>
    </w:p>
    <w:p w14:paraId="4B9EEE1A" w14:textId="3280A089" w:rsidR="00C82149" w:rsidRPr="0001569B" w:rsidRDefault="007D393B" w:rsidP="00C82149">
      <w:pPr>
        <w:rPr>
          <w:rFonts w:asciiTheme="minorHAnsi" w:hAnsiTheme="minorHAnsi" w:cstheme="minorHAnsi"/>
          <w:sz w:val="22"/>
          <w:szCs w:val="22"/>
        </w:rPr>
      </w:pPr>
      <w:r>
        <w:rPr>
          <w:rFonts w:asciiTheme="minorHAnsi" w:hAnsiTheme="minorHAnsi" w:cstheme="minorHAnsi"/>
          <w:sz w:val="22"/>
          <w:szCs w:val="22"/>
        </w:rPr>
        <w:t xml:space="preserve">Steven </w:t>
      </w:r>
      <w:r w:rsidR="002230BF">
        <w:rPr>
          <w:rFonts w:asciiTheme="minorHAnsi" w:hAnsiTheme="minorHAnsi" w:cstheme="minorHAnsi"/>
          <w:sz w:val="22"/>
          <w:szCs w:val="22"/>
        </w:rPr>
        <w:t xml:space="preserve">V. </w:t>
      </w:r>
      <w:r>
        <w:rPr>
          <w:rFonts w:asciiTheme="minorHAnsi" w:hAnsiTheme="minorHAnsi" w:cstheme="minorHAnsi"/>
          <w:sz w:val="22"/>
          <w:szCs w:val="22"/>
        </w:rPr>
        <w:t>King</w:t>
      </w:r>
      <w:r w:rsidR="002230BF">
        <w:rPr>
          <w:rFonts w:asciiTheme="minorHAnsi" w:hAnsiTheme="minorHAnsi" w:cstheme="minorHAnsi"/>
          <w:sz w:val="22"/>
          <w:szCs w:val="22"/>
        </w:rPr>
        <w:t xml:space="preserve">, </w:t>
      </w:r>
      <w:r w:rsidR="00C82149" w:rsidRPr="0001569B">
        <w:rPr>
          <w:rFonts w:asciiTheme="minorHAnsi" w:hAnsiTheme="minorHAnsi" w:cstheme="minorHAnsi"/>
          <w:sz w:val="22"/>
          <w:szCs w:val="22"/>
        </w:rPr>
        <w:t>Executive Director</w:t>
      </w:r>
      <w:r w:rsidR="002230BF">
        <w:rPr>
          <w:rFonts w:asciiTheme="minorHAnsi" w:hAnsiTheme="minorHAnsi" w:cstheme="minorHAnsi"/>
          <w:sz w:val="22"/>
          <w:szCs w:val="22"/>
        </w:rPr>
        <w:t xml:space="preserve"> and</w:t>
      </w:r>
      <w:r w:rsidR="002230BF" w:rsidRPr="0001569B">
        <w:rPr>
          <w:rFonts w:asciiTheme="minorHAnsi" w:hAnsiTheme="minorHAnsi" w:cstheme="minorHAnsi"/>
          <w:sz w:val="22"/>
          <w:szCs w:val="22"/>
        </w:rPr>
        <w:t xml:space="preserve"> Secretary</w:t>
      </w:r>
    </w:p>
    <w:p w14:paraId="2B214612"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WASHINGTON UTILITIES &amp;</w:t>
      </w:r>
    </w:p>
    <w:p w14:paraId="3689E639"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 xml:space="preserve">   TRANSPORTATION COMMISSION</w:t>
      </w:r>
    </w:p>
    <w:p w14:paraId="6351EFB2"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1300 S Evergreen Park Drive, SW</w:t>
      </w:r>
    </w:p>
    <w:p w14:paraId="59657B72"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Post Office Box 47250</w:t>
      </w:r>
    </w:p>
    <w:p w14:paraId="253DA0F4"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Olympia, Washington 98504-7250</w:t>
      </w:r>
    </w:p>
    <w:p w14:paraId="485470A1" w14:textId="77777777" w:rsidR="00F13789" w:rsidRDefault="00F13789" w:rsidP="00976B02">
      <w:pPr>
        <w:pStyle w:val="BodyTextIndent"/>
        <w:spacing w:after="0"/>
        <w:ind w:left="0"/>
        <w:rPr>
          <w:rFonts w:asciiTheme="minorHAnsi" w:hAnsiTheme="minorHAnsi" w:cstheme="minorHAnsi"/>
          <w:sz w:val="22"/>
          <w:szCs w:val="22"/>
        </w:rPr>
      </w:pPr>
    </w:p>
    <w:p w14:paraId="0AB7DDC4" w14:textId="77777777" w:rsidR="00976B02" w:rsidRPr="0001569B" w:rsidRDefault="00976B02" w:rsidP="00976B02">
      <w:pPr>
        <w:pStyle w:val="BodyTextIndent"/>
        <w:spacing w:after="0"/>
        <w:ind w:left="0"/>
        <w:rPr>
          <w:rFonts w:asciiTheme="minorHAnsi" w:hAnsiTheme="minorHAnsi" w:cstheme="minorHAnsi"/>
          <w:sz w:val="22"/>
          <w:szCs w:val="22"/>
        </w:rPr>
      </w:pPr>
    </w:p>
    <w:p w14:paraId="6A71AEF8" w14:textId="77777777" w:rsidR="00E83665" w:rsidRPr="002230BF" w:rsidRDefault="00B73C58" w:rsidP="00F13789">
      <w:pPr>
        <w:pStyle w:val="BodyTextIndent"/>
        <w:tabs>
          <w:tab w:val="left" w:pos="720"/>
        </w:tabs>
        <w:ind w:left="0"/>
        <w:rPr>
          <w:rFonts w:asciiTheme="minorHAnsi" w:hAnsiTheme="minorHAnsi" w:cstheme="minorHAnsi"/>
          <w:b/>
          <w:sz w:val="22"/>
          <w:szCs w:val="22"/>
        </w:rPr>
      </w:pPr>
      <w:r w:rsidRPr="002230BF">
        <w:rPr>
          <w:rFonts w:asciiTheme="minorHAnsi" w:hAnsiTheme="minorHAnsi" w:cstheme="minorHAnsi"/>
          <w:b/>
          <w:sz w:val="22"/>
          <w:szCs w:val="22"/>
        </w:rPr>
        <w:t>Re:</w:t>
      </w:r>
      <w:r w:rsidRPr="002230BF">
        <w:rPr>
          <w:rFonts w:asciiTheme="minorHAnsi" w:hAnsiTheme="minorHAnsi" w:cstheme="minorHAnsi"/>
          <w:b/>
          <w:sz w:val="22"/>
          <w:szCs w:val="22"/>
        </w:rPr>
        <w:tab/>
      </w:r>
      <w:r w:rsidR="003C6B1F" w:rsidRPr="002230BF">
        <w:rPr>
          <w:rFonts w:asciiTheme="minorHAnsi" w:hAnsiTheme="minorHAnsi" w:cstheme="minorHAnsi"/>
          <w:b/>
          <w:sz w:val="22"/>
          <w:szCs w:val="22"/>
        </w:rPr>
        <w:t xml:space="preserve">Schedule </w:t>
      </w:r>
      <w:r w:rsidR="00517426" w:rsidRPr="002230BF">
        <w:rPr>
          <w:rFonts w:asciiTheme="minorHAnsi" w:hAnsiTheme="minorHAnsi" w:cstheme="minorHAnsi"/>
          <w:b/>
          <w:sz w:val="22"/>
          <w:szCs w:val="22"/>
        </w:rPr>
        <w:t>G</w:t>
      </w:r>
      <w:r w:rsidR="003C6B1F" w:rsidRPr="002230BF">
        <w:rPr>
          <w:rFonts w:asciiTheme="minorHAnsi" w:hAnsiTheme="minorHAnsi" w:cstheme="minorHAnsi"/>
          <w:b/>
          <w:sz w:val="22"/>
          <w:szCs w:val="22"/>
        </w:rPr>
        <w:t xml:space="preserve">, </w:t>
      </w:r>
      <w:r w:rsidR="00517426" w:rsidRPr="002230BF">
        <w:rPr>
          <w:rFonts w:asciiTheme="minorHAnsi" w:hAnsiTheme="minorHAnsi" w:cstheme="minorHAnsi"/>
          <w:b/>
          <w:sz w:val="22"/>
          <w:szCs w:val="22"/>
        </w:rPr>
        <w:t>Energy Efficiency Services and Programs – Residential and Commercial</w:t>
      </w:r>
    </w:p>
    <w:p w14:paraId="2652622C" w14:textId="77777777" w:rsidR="003C6B1F" w:rsidRPr="0001569B" w:rsidRDefault="003C6B1F" w:rsidP="00F13789">
      <w:pPr>
        <w:pStyle w:val="BodyTextIndent"/>
        <w:tabs>
          <w:tab w:val="left" w:pos="720"/>
        </w:tabs>
        <w:ind w:left="0"/>
        <w:rPr>
          <w:rFonts w:asciiTheme="minorHAnsi" w:hAnsiTheme="minorHAnsi" w:cstheme="minorHAnsi"/>
          <w:sz w:val="22"/>
          <w:szCs w:val="22"/>
        </w:rPr>
        <w:sectPr w:rsidR="003C6B1F" w:rsidRPr="0001569B" w:rsidSect="00BB78C2">
          <w:headerReference w:type="default" r:id="rId10"/>
          <w:footerReference w:type="first" r:id="rId11"/>
          <w:pgSz w:w="12240" w:h="15840"/>
          <w:pgMar w:top="1440" w:right="1440" w:bottom="1440" w:left="1440" w:header="720" w:footer="720" w:gutter="0"/>
          <w:cols w:space="720"/>
          <w:docGrid w:linePitch="360"/>
        </w:sectPr>
      </w:pPr>
    </w:p>
    <w:p w14:paraId="418CF20C" w14:textId="77777777" w:rsidR="00F13789" w:rsidRDefault="00F13789" w:rsidP="00976B02">
      <w:pPr>
        <w:pStyle w:val="BodyTextIndent"/>
        <w:tabs>
          <w:tab w:val="left" w:pos="720"/>
        </w:tabs>
        <w:spacing w:after="0"/>
        <w:ind w:left="0"/>
        <w:rPr>
          <w:rFonts w:asciiTheme="minorHAnsi" w:hAnsiTheme="minorHAnsi" w:cstheme="minorHAnsi"/>
          <w:sz w:val="22"/>
          <w:szCs w:val="22"/>
        </w:rPr>
      </w:pPr>
    </w:p>
    <w:p w14:paraId="572E9BD0" w14:textId="77777777" w:rsidR="00F13789" w:rsidRDefault="00CB05D5" w:rsidP="005331A4">
      <w:pPr>
        <w:pStyle w:val="Default"/>
        <w:rPr>
          <w:rFonts w:asciiTheme="minorHAnsi" w:hAnsiTheme="minorHAnsi" w:cstheme="minorHAnsi"/>
          <w:sz w:val="22"/>
          <w:szCs w:val="22"/>
        </w:rPr>
      </w:pPr>
      <w:r w:rsidRPr="0001569B">
        <w:rPr>
          <w:rFonts w:asciiTheme="minorHAnsi" w:hAnsiTheme="minorHAnsi" w:cstheme="minorHAnsi"/>
          <w:sz w:val="22"/>
          <w:szCs w:val="22"/>
        </w:rPr>
        <w:tab/>
      </w:r>
      <w:r w:rsidR="00F13789" w:rsidRPr="0001569B">
        <w:rPr>
          <w:rFonts w:asciiTheme="minorHAnsi" w:hAnsiTheme="minorHAnsi" w:cstheme="minorHAnsi"/>
          <w:sz w:val="22"/>
          <w:szCs w:val="22"/>
        </w:rPr>
        <w:t xml:space="preserve">Northwest Natural Gas Company, dba NW Natural (NW Natural or Company), files </w:t>
      </w:r>
      <w:r w:rsidR="007D4D80" w:rsidRPr="0001569B">
        <w:rPr>
          <w:rFonts w:asciiTheme="minorHAnsi" w:hAnsiTheme="minorHAnsi" w:cstheme="minorHAnsi"/>
          <w:sz w:val="22"/>
          <w:szCs w:val="22"/>
        </w:rPr>
        <w:t xml:space="preserve">the following </w:t>
      </w:r>
      <w:r w:rsidR="005331A4">
        <w:rPr>
          <w:rFonts w:asciiTheme="minorHAnsi" w:hAnsiTheme="minorHAnsi" w:cstheme="minorHAnsi"/>
          <w:sz w:val="22"/>
          <w:szCs w:val="22"/>
        </w:rPr>
        <w:t xml:space="preserve">revisions to </w:t>
      </w:r>
      <w:r w:rsidR="005331A4" w:rsidRPr="005331A4">
        <w:rPr>
          <w:rFonts w:asciiTheme="minorHAnsi" w:hAnsiTheme="minorHAnsi" w:cstheme="minorHAnsi"/>
          <w:sz w:val="22"/>
          <w:szCs w:val="22"/>
        </w:rPr>
        <w:t xml:space="preserve">its Tariff WN U-6, </w:t>
      </w:r>
      <w:r w:rsidR="00F13789" w:rsidRPr="0001569B">
        <w:rPr>
          <w:rFonts w:asciiTheme="minorHAnsi" w:hAnsiTheme="minorHAnsi" w:cstheme="minorHAnsi"/>
          <w:sz w:val="22"/>
          <w:szCs w:val="22"/>
        </w:rPr>
        <w:t xml:space="preserve">stated to become effective with service on and after </w:t>
      </w:r>
      <w:r w:rsidR="00230955" w:rsidRPr="005331A4">
        <w:rPr>
          <w:rFonts w:asciiTheme="minorHAnsi" w:hAnsiTheme="minorHAnsi" w:cstheme="minorHAnsi"/>
          <w:sz w:val="22"/>
          <w:szCs w:val="22"/>
        </w:rPr>
        <w:t xml:space="preserve">January </w:t>
      </w:r>
      <w:r w:rsidR="00FA4F9A" w:rsidRPr="005331A4">
        <w:rPr>
          <w:rFonts w:asciiTheme="minorHAnsi" w:hAnsiTheme="minorHAnsi" w:cstheme="minorHAnsi"/>
          <w:sz w:val="22"/>
          <w:szCs w:val="22"/>
        </w:rPr>
        <w:t>1</w:t>
      </w:r>
      <w:r w:rsidR="00517426" w:rsidRPr="005331A4">
        <w:rPr>
          <w:rFonts w:asciiTheme="minorHAnsi" w:hAnsiTheme="minorHAnsi" w:cstheme="minorHAnsi"/>
          <w:sz w:val="22"/>
          <w:szCs w:val="22"/>
        </w:rPr>
        <w:t>, 201</w:t>
      </w:r>
      <w:r w:rsidR="00920C74">
        <w:rPr>
          <w:rFonts w:asciiTheme="minorHAnsi" w:hAnsiTheme="minorHAnsi" w:cstheme="minorHAnsi"/>
          <w:sz w:val="22"/>
          <w:szCs w:val="22"/>
        </w:rPr>
        <w:t>5</w:t>
      </w:r>
      <w:r w:rsidR="00A40C31" w:rsidRPr="0001569B">
        <w:rPr>
          <w:rFonts w:asciiTheme="minorHAnsi" w:hAnsiTheme="minorHAnsi" w:cstheme="minorHAnsi"/>
          <w:sz w:val="22"/>
          <w:szCs w:val="22"/>
        </w:rPr>
        <w:t>:</w:t>
      </w:r>
    </w:p>
    <w:p w14:paraId="321C5228" w14:textId="77777777" w:rsidR="005331A4" w:rsidRDefault="005331A4" w:rsidP="005331A4">
      <w:pPr>
        <w:pStyle w:val="Default"/>
      </w:pPr>
    </w:p>
    <w:p w14:paraId="038888F9" w14:textId="64CD7C1F" w:rsidR="007D4D80" w:rsidRPr="0001569B" w:rsidRDefault="002230BF" w:rsidP="00CB05D5">
      <w:pPr>
        <w:ind w:left="720"/>
        <w:rPr>
          <w:rFonts w:asciiTheme="minorHAnsi" w:hAnsiTheme="minorHAnsi" w:cstheme="minorHAnsi"/>
          <w:sz w:val="22"/>
          <w:szCs w:val="22"/>
        </w:rPr>
      </w:pPr>
      <w:r>
        <w:rPr>
          <w:rFonts w:asciiTheme="minorHAnsi" w:hAnsiTheme="minorHAnsi" w:cstheme="minorHAnsi"/>
          <w:sz w:val="22"/>
          <w:szCs w:val="22"/>
        </w:rPr>
        <w:t>Tenth</w:t>
      </w:r>
      <w:r w:rsidR="003C6B1F" w:rsidRPr="0001569B">
        <w:rPr>
          <w:rFonts w:asciiTheme="minorHAnsi" w:hAnsiTheme="minorHAnsi" w:cstheme="minorHAnsi"/>
          <w:sz w:val="22"/>
          <w:szCs w:val="22"/>
        </w:rPr>
        <w:t xml:space="preserve"> </w:t>
      </w:r>
      <w:r w:rsidR="007D4D80" w:rsidRPr="0001569B">
        <w:rPr>
          <w:rFonts w:asciiTheme="minorHAnsi" w:hAnsiTheme="minorHAnsi" w:cstheme="minorHAnsi"/>
          <w:sz w:val="22"/>
          <w:szCs w:val="22"/>
        </w:rPr>
        <w:t xml:space="preserve">Revision of Sheet </w:t>
      </w:r>
      <w:r w:rsidR="00517426" w:rsidRPr="0001569B">
        <w:rPr>
          <w:rFonts w:asciiTheme="minorHAnsi" w:hAnsiTheme="minorHAnsi" w:cstheme="minorHAnsi"/>
          <w:sz w:val="22"/>
          <w:szCs w:val="22"/>
        </w:rPr>
        <w:t>G</w:t>
      </w:r>
      <w:r>
        <w:rPr>
          <w:rFonts w:asciiTheme="minorHAnsi" w:hAnsiTheme="minorHAnsi" w:cstheme="minorHAnsi"/>
          <w:sz w:val="22"/>
          <w:szCs w:val="22"/>
        </w:rPr>
        <w:t>.</w:t>
      </w:r>
      <w:r w:rsidR="00517426" w:rsidRPr="0001569B">
        <w:rPr>
          <w:rFonts w:asciiTheme="minorHAnsi" w:hAnsiTheme="minorHAnsi" w:cstheme="minorHAnsi"/>
          <w:sz w:val="22"/>
          <w:szCs w:val="22"/>
        </w:rPr>
        <w:t>1</w:t>
      </w:r>
      <w:r w:rsidR="007D4D80" w:rsidRPr="0001569B">
        <w:rPr>
          <w:rFonts w:asciiTheme="minorHAnsi" w:hAnsiTheme="minorHAnsi" w:cstheme="minorHAnsi"/>
          <w:sz w:val="22"/>
          <w:szCs w:val="22"/>
        </w:rPr>
        <w:t xml:space="preserve">, </w:t>
      </w:r>
    </w:p>
    <w:p w14:paraId="27FB7407" w14:textId="77777777" w:rsidR="007D4D80" w:rsidRPr="0001569B" w:rsidRDefault="00E5081D" w:rsidP="00CB05D5">
      <w:pPr>
        <w:ind w:left="720"/>
        <w:rPr>
          <w:rFonts w:asciiTheme="minorHAnsi" w:hAnsiTheme="minorHAnsi" w:cstheme="minorHAnsi"/>
          <w:sz w:val="22"/>
          <w:szCs w:val="22"/>
        </w:rPr>
      </w:pPr>
      <w:r w:rsidRPr="0001569B">
        <w:rPr>
          <w:rFonts w:asciiTheme="minorHAnsi" w:hAnsiTheme="minorHAnsi" w:cstheme="minorHAnsi"/>
          <w:sz w:val="22"/>
          <w:szCs w:val="22"/>
        </w:rPr>
        <w:t xml:space="preserve">Schedule </w:t>
      </w:r>
      <w:r w:rsidR="00517426" w:rsidRPr="0001569B">
        <w:rPr>
          <w:rFonts w:asciiTheme="minorHAnsi" w:hAnsiTheme="minorHAnsi" w:cstheme="minorHAnsi"/>
          <w:sz w:val="22"/>
          <w:szCs w:val="22"/>
        </w:rPr>
        <w:t>G</w:t>
      </w:r>
      <w:r w:rsidR="007D4D80" w:rsidRPr="0001569B">
        <w:rPr>
          <w:rFonts w:asciiTheme="minorHAnsi" w:hAnsiTheme="minorHAnsi" w:cstheme="minorHAnsi"/>
          <w:sz w:val="22"/>
          <w:szCs w:val="22"/>
        </w:rPr>
        <w:t>,</w:t>
      </w:r>
    </w:p>
    <w:p w14:paraId="749EF387" w14:textId="0252EC60" w:rsidR="005866E9" w:rsidRDefault="00E5081D" w:rsidP="00CB05D5">
      <w:pPr>
        <w:ind w:left="720"/>
        <w:rPr>
          <w:rFonts w:asciiTheme="minorHAnsi" w:hAnsiTheme="minorHAnsi" w:cstheme="minorHAnsi"/>
          <w:sz w:val="22"/>
          <w:szCs w:val="22"/>
        </w:rPr>
      </w:pPr>
      <w:proofErr w:type="gramStart"/>
      <w:r w:rsidRPr="0001569B">
        <w:rPr>
          <w:rFonts w:asciiTheme="minorHAnsi" w:hAnsiTheme="minorHAnsi" w:cstheme="minorHAnsi"/>
          <w:sz w:val="22"/>
          <w:szCs w:val="22"/>
        </w:rPr>
        <w:t>“</w:t>
      </w:r>
      <w:r w:rsidR="00517426" w:rsidRPr="0001569B">
        <w:rPr>
          <w:rFonts w:asciiTheme="minorHAnsi" w:hAnsiTheme="minorHAnsi" w:cstheme="minorHAnsi"/>
          <w:sz w:val="22"/>
          <w:szCs w:val="22"/>
        </w:rPr>
        <w:t>Energy Efficiency Services and Programs – Residential and Commercial</w:t>
      </w:r>
      <w:r w:rsidR="00E40E74">
        <w:rPr>
          <w:rFonts w:asciiTheme="minorHAnsi" w:hAnsiTheme="minorHAnsi" w:cstheme="minorHAnsi"/>
          <w:sz w:val="22"/>
          <w:szCs w:val="22"/>
        </w:rPr>
        <w:t>.</w:t>
      </w:r>
      <w:r w:rsidR="00517426" w:rsidRPr="0001569B">
        <w:rPr>
          <w:rFonts w:asciiTheme="minorHAnsi" w:hAnsiTheme="minorHAnsi" w:cstheme="minorHAnsi"/>
          <w:sz w:val="22"/>
          <w:szCs w:val="22"/>
        </w:rPr>
        <w:t>”</w:t>
      </w:r>
      <w:proofErr w:type="gramEnd"/>
    </w:p>
    <w:p w14:paraId="10F16AB9" w14:textId="77777777" w:rsidR="00920C74" w:rsidRDefault="00920C74" w:rsidP="00CB05D5">
      <w:pPr>
        <w:ind w:left="720"/>
        <w:rPr>
          <w:rFonts w:asciiTheme="minorHAnsi" w:hAnsiTheme="minorHAnsi" w:cstheme="minorHAnsi"/>
          <w:sz w:val="22"/>
          <w:szCs w:val="22"/>
        </w:rPr>
      </w:pPr>
    </w:p>
    <w:p w14:paraId="4FDCD9BE" w14:textId="77777777" w:rsidR="00230955" w:rsidRDefault="007D4D80" w:rsidP="003C6B1F">
      <w:pPr>
        <w:ind w:firstLine="720"/>
        <w:rPr>
          <w:rFonts w:asciiTheme="minorHAnsi" w:hAnsiTheme="minorHAnsi" w:cstheme="minorHAnsi"/>
          <w:sz w:val="22"/>
          <w:szCs w:val="22"/>
        </w:rPr>
      </w:pPr>
      <w:r w:rsidRPr="0001569B">
        <w:rPr>
          <w:rFonts w:asciiTheme="minorHAnsi" w:hAnsiTheme="minorHAnsi" w:cstheme="minorHAnsi"/>
          <w:sz w:val="22"/>
          <w:szCs w:val="22"/>
        </w:rPr>
        <w:t xml:space="preserve">The purpose of this filing is to </w:t>
      </w:r>
      <w:r w:rsidR="00517426" w:rsidRPr="0001569B">
        <w:rPr>
          <w:rFonts w:asciiTheme="minorHAnsi" w:hAnsiTheme="minorHAnsi" w:cstheme="minorHAnsi"/>
          <w:sz w:val="22"/>
          <w:szCs w:val="22"/>
        </w:rPr>
        <w:t>revise the C</w:t>
      </w:r>
      <w:r w:rsidR="00727843">
        <w:rPr>
          <w:rFonts w:asciiTheme="minorHAnsi" w:hAnsiTheme="minorHAnsi" w:cstheme="minorHAnsi"/>
          <w:sz w:val="22"/>
          <w:szCs w:val="22"/>
        </w:rPr>
        <w:t xml:space="preserve">ompany’s </w:t>
      </w:r>
      <w:r w:rsidR="00D31866">
        <w:rPr>
          <w:rFonts w:asciiTheme="minorHAnsi" w:hAnsiTheme="minorHAnsi" w:cstheme="minorHAnsi"/>
          <w:sz w:val="22"/>
          <w:szCs w:val="22"/>
        </w:rPr>
        <w:t xml:space="preserve">attached </w:t>
      </w:r>
      <w:r w:rsidR="00727843">
        <w:rPr>
          <w:rFonts w:asciiTheme="minorHAnsi" w:hAnsiTheme="minorHAnsi" w:cstheme="minorHAnsi"/>
          <w:sz w:val="22"/>
          <w:szCs w:val="22"/>
        </w:rPr>
        <w:t>Energy Efficiency Plan</w:t>
      </w:r>
      <w:r w:rsidR="00517426" w:rsidRPr="0001569B">
        <w:rPr>
          <w:rFonts w:asciiTheme="minorHAnsi" w:hAnsiTheme="minorHAnsi" w:cstheme="minorHAnsi"/>
          <w:sz w:val="22"/>
          <w:szCs w:val="22"/>
        </w:rPr>
        <w:t xml:space="preserve"> (</w:t>
      </w:r>
      <w:r w:rsidR="00F71C67" w:rsidRPr="0001569B">
        <w:rPr>
          <w:rFonts w:asciiTheme="minorHAnsi" w:hAnsiTheme="minorHAnsi" w:cstheme="minorHAnsi"/>
          <w:sz w:val="22"/>
          <w:szCs w:val="22"/>
        </w:rPr>
        <w:t xml:space="preserve">EE Plan or </w:t>
      </w:r>
      <w:r w:rsidR="00517426" w:rsidRPr="0001569B">
        <w:rPr>
          <w:rFonts w:asciiTheme="minorHAnsi" w:hAnsiTheme="minorHAnsi" w:cstheme="minorHAnsi"/>
          <w:sz w:val="22"/>
          <w:szCs w:val="22"/>
        </w:rPr>
        <w:t>Plan)</w:t>
      </w:r>
      <w:r w:rsidR="00D31866">
        <w:rPr>
          <w:rFonts w:asciiTheme="minorHAnsi" w:hAnsiTheme="minorHAnsi" w:cstheme="minorHAnsi"/>
          <w:sz w:val="22"/>
          <w:szCs w:val="22"/>
        </w:rPr>
        <w:t>,</w:t>
      </w:r>
      <w:r w:rsidR="00517426" w:rsidRPr="0001569B">
        <w:rPr>
          <w:rFonts w:asciiTheme="minorHAnsi" w:hAnsiTheme="minorHAnsi" w:cstheme="minorHAnsi"/>
          <w:sz w:val="22"/>
          <w:szCs w:val="22"/>
        </w:rPr>
        <w:t xml:space="preserve"> which </w:t>
      </w:r>
      <w:r w:rsidR="000A4300">
        <w:rPr>
          <w:rFonts w:asciiTheme="minorHAnsi" w:hAnsiTheme="minorHAnsi" w:cstheme="minorHAnsi"/>
          <w:sz w:val="22"/>
          <w:szCs w:val="22"/>
        </w:rPr>
        <w:t xml:space="preserve">is </w:t>
      </w:r>
      <w:r w:rsidR="005331A4">
        <w:rPr>
          <w:rFonts w:asciiTheme="minorHAnsi" w:hAnsiTheme="minorHAnsi" w:cstheme="minorHAnsi"/>
          <w:sz w:val="22"/>
          <w:szCs w:val="22"/>
        </w:rPr>
        <w:t xml:space="preserve">by reference in Sheet G.1 </w:t>
      </w:r>
      <w:r w:rsidR="00517426" w:rsidRPr="0001569B">
        <w:rPr>
          <w:rFonts w:asciiTheme="minorHAnsi" w:hAnsiTheme="minorHAnsi" w:cstheme="minorHAnsi"/>
          <w:sz w:val="22"/>
          <w:szCs w:val="22"/>
        </w:rPr>
        <w:t xml:space="preserve">part of the Company’s Tariff.  </w:t>
      </w:r>
      <w:r w:rsidR="00D31866">
        <w:rPr>
          <w:rFonts w:asciiTheme="minorHAnsi" w:hAnsiTheme="minorHAnsi" w:cstheme="minorHAnsi"/>
          <w:sz w:val="22"/>
          <w:szCs w:val="22"/>
        </w:rPr>
        <w:t>In accordance with the parameters of the Plan, the Company is required to submit an annual filing each November to establish goals and metrics for the following calendar year.  This filing establishes</w:t>
      </w:r>
      <w:r w:rsidR="00727843">
        <w:rPr>
          <w:rFonts w:asciiTheme="minorHAnsi" w:hAnsiTheme="minorHAnsi" w:cstheme="minorHAnsi"/>
          <w:sz w:val="22"/>
          <w:szCs w:val="22"/>
        </w:rPr>
        <w:t xml:space="preserve"> 201</w:t>
      </w:r>
      <w:r w:rsidR="00920C74">
        <w:rPr>
          <w:rFonts w:asciiTheme="minorHAnsi" w:hAnsiTheme="minorHAnsi" w:cstheme="minorHAnsi"/>
          <w:sz w:val="22"/>
          <w:szCs w:val="22"/>
        </w:rPr>
        <w:t>5</w:t>
      </w:r>
      <w:r w:rsidR="00230955" w:rsidRPr="0001569B">
        <w:rPr>
          <w:rFonts w:asciiTheme="minorHAnsi" w:hAnsiTheme="minorHAnsi" w:cstheme="minorHAnsi"/>
          <w:sz w:val="22"/>
          <w:szCs w:val="22"/>
        </w:rPr>
        <w:t xml:space="preserve"> calendar year program goals and budget</w:t>
      </w:r>
      <w:r w:rsidR="00373219">
        <w:rPr>
          <w:rFonts w:asciiTheme="minorHAnsi" w:hAnsiTheme="minorHAnsi" w:cstheme="minorHAnsi"/>
          <w:sz w:val="22"/>
          <w:szCs w:val="22"/>
        </w:rPr>
        <w:t>, as well as</w:t>
      </w:r>
      <w:r w:rsidR="00920C74">
        <w:rPr>
          <w:rFonts w:asciiTheme="minorHAnsi" w:hAnsiTheme="minorHAnsi" w:cstheme="minorHAnsi"/>
          <w:sz w:val="22"/>
          <w:szCs w:val="22"/>
        </w:rPr>
        <w:t xml:space="preserve"> the revisions adopted as a result of the Commission’s Policy Statement issued </w:t>
      </w:r>
      <w:r w:rsidR="00E754A2">
        <w:rPr>
          <w:rFonts w:asciiTheme="minorHAnsi" w:hAnsiTheme="minorHAnsi" w:cstheme="minorHAnsi"/>
          <w:sz w:val="22"/>
          <w:szCs w:val="22"/>
        </w:rPr>
        <w:t xml:space="preserve">October 9, 2013, </w:t>
      </w:r>
      <w:r w:rsidR="00920C74">
        <w:rPr>
          <w:rFonts w:asciiTheme="minorHAnsi" w:hAnsiTheme="minorHAnsi" w:cstheme="minorHAnsi"/>
          <w:sz w:val="22"/>
          <w:szCs w:val="22"/>
        </w:rPr>
        <w:t xml:space="preserve">in </w:t>
      </w:r>
      <w:r w:rsidR="00E754A2">
        <w:rPr>
          <w:rFonts w:asciiTheme="minorHAnsi" w:hAnsiTheme="minorHAnsi" w:cstheme="minorHAnsi"/>
          <w:sz w:val="22"/>
          <w:szCs w:val="22"/>
        </w:rPr>
        <w:t xml:space="preserve">Docket No. </w:t>
      </w:r>
      <w:proofErr w:type="gramStart"/>
      <w:r w:rsidR="00920C74">
        <w:rPr>
          <w:rFonts w:asciiTheme="minorHAnsi" w:hAnsiTheme="minorHAnsi" w:cstheme="minorHAnsi"/>
          <w:sz w:val="22"/>
          <w:szCs w:val="22"/>
        </w:rPr>
        <w:t>UG-121207</w:t>
      </w:r>
      <w:r w:rsidR="00373219">
        <w:rPr>
          <w:rFonts w:asciiTheme="minorHAnsi" w:hAnsiTheme="minorHAnsi" w:cstheme="minorHAnsi"/>
          <w:sz w:val="22"/>
          <w:szCs w:val="22"/>
        </w:rPr>
        <w:t xml:space="preserve"> (Policy Statement)</w:t>
      </w:r>
      <w:r w:rsidR="00230955" w:rsidRPr="0001569B">
        <w:rPr>
          <w:rFonts w:asciiTheme="minorHAnsi" w:hAnsiTheme="minorHAnsi" w:cstheme="minorHAnsi"/>
          <w:sz w:val="22"/>
          <w:szCs w:val="22"/>
        </w:rPr>
        <w:t>.</w:t>
      </w:r>
      <w:proofErr w:type="gramEnd"/>
      <w:r w:rsidR="00230955" w:rsidRPr="0001569B">
        <w:rPr>
          <w:rFonts w:asciiTheme="minorHAnsi" w:hAnsiTheme="minorHAnsi" w:cstheme="minorHAnsi"/>
          <w:sz w:val="22"/>
          <w:szCs w:val="22"/>
        </w:rPr>
        <w:t xml:space="preserve">  </w:t>
      </w:r>
    </w:p>
    <w:p w14:paraId="669A2D7B" w14:textId="77777777" w:rsidR="00373219" w:rsidRDefault="00373219" w:rsidP="003C6B1F">
      <w:pPr>
        <w:ind w:firstLine="720"/>
        <w:rPr>
          <w:rFonts w:asciiTheme="minorHAnsi" w:hAnsiTheme="minorHAnsi" w:cstheme="minorHAnsi"/>
          <w:sz w:val="22"/>
          <w:szCs w:val="22"/>
        </w:rPr>
      </w:pPr>
    </w:p>
    <w:p w14:paraId="20E35385" w14:textId="74ADD9CA" w:rsidR="00EE6226" w:rsidRDefault="00373219" w:rsidP="003C6B1F">
      <w:pPr>
        <w:ind w:firstLine="720"/>
        <w:rPr>
          <w:rFonts w:asciiTheme="minorHAnsi" w:hAnsiTheme="minorHAnsi" w:cstheme="minorHAnsi"/>
          <w:sz w:val="22"/>
          <w:szCs w:val="22"/>
        </w:rPr>
      </w:pPr>
      <w:r>
        <w:rPr>
          <w:rFonts w:asciiTheme="minorHAnsi" w:hAnsiTheme="minorHAnsi" w:cstheme="minorHAnsi"/>
          <w:sz w:val="22"/>
          <w:szCs w:val="22"/>
        </w:rPr>
        <w:t xml:space="preserve">When </w:t>
      </w:r>
      <w:r w:rsidR="00FD6095">
        <w:rPr>
          <w:rFonts w:asciiTheme="minorHAnsi" w:hAnsiTheme="minorHAnsi" w:cstheme="minorHAnsi"/>
          <w:sz w:val="22"/>
          <w:szCs w:val="22"/>
        </w:rPr>
        <w:t xml:space="preserve">the Company submitted its </w:t>
      </w:r>
      <w:r>
        <w:rPr>
          <w:rFonts w:asciiTheme="minorHAnsi" w:hAnsiTheme="minorHAnsi" w:cstheme="minorHAnsi"/>
          <w:sz w:val="22"/>
          <w:szCs w:val="22"/>
        </w:rPr>
        <w:t>No</w:t>
      </w:r>
      <w:r w:rsidR="00FD6095">
        <w:rPr>
          <w:rFonts w:asciiTheme="minorHAnsi" w:hAnsiTheme="minorHAnsi" w:cstheme="minorHAnsi"/>
          <w:sz w:val="22"/>
          <w:szCs w:val="22"/>
        </w:rPr>
        <w:t>vember 2013 filing</w:t>
      </w:r>
      <w:r>
        <w:rPr>
          <w:rFonts w:asciiTheme="minorHAnsi" w:hAnsiTheme="minorHAnsi" w:cstheme="minorHAnsi"/>
          <w:sz w:val="22"/>
          <w:szCs w:val="22"/>
        </w:rPr>
        <w:t xml:space="preserve">, </w:t>
      </w:r>
      <w:r w:rsidR="00FD6095">
        <w:rPr>
          <w:rFonts w:asciiTheme="minorHAnsi" w:hAnsiTheme="minorHAnsi" w:cstheme="minorHAnsi"/>
          <w:sz w:val="22"/>
          <w:szCs w:val="22"/>
        </w:rPr>
        <w:t>it</w:t>
      </w:r>
      <w:r>
        <w:rPr>
          <w:rFonts w:asciiTheme="minorHAnsi" w:hAnsiTheme="minorHAnsi" w:cstheme="minorHAnsi"/>
          <w:sz w:val="22"/>
          <w:szCs w:val="22"/>
        </w:rPr>
        <w:t xml:space="preserve"> was too far along in it planning for 2014 to include any changes or consideration based on the Commission’s Policy Statement.  Since then, the Company has worked with </w:t>
      </w:r>
      <w:r w:rsidR="00EE6226">
        <w:rPr>
          <w:rFonts w:asciiTheme="minorHAnsi" w:hAnsiTheme="minorHAnsi" w:cstheme="minorHAnsi"/>
          <w:sz w:val="22"/>
          <w:szCs w:val="22"/>
        </w:rPr>
        <w:t>its program administrator, Energy Trust of Oregon (Energy Trust) to review its portfolio of offerings</w:t>
      </w:r>
      <w:r>
        <w:rPr>
          <w:rFonts w:asciiTheme="minorHAnsi" w:hAnsiTheme="minorHAnsi" w:cstheme="minorHAnsi"/>
          <w:sz w:val="22"/>
          <w:szCs w:val="22"/>
        </w:rPr>
        <w:t xml:space="preserve"> and </w:t>
      </w:r>
      <w:r w:rsidR="00EE6226">
        <w:rPr>
          <w:rFonts w:asciiTheme="minorHAnsi" w:hAnsiTheme="minorHAnsi" w:cstheme="minorHAnsi"/>
          <w:sz w:val="22"/>
          <w:szCs w:val="22"/>
        </w:rPr>
        <w:t>recommend</w:t>
      </w:r>
      <w:r>
        <w:rPr>
          <w:rFonts w:asciiTheme="minorHAnsi" w:hAnsiTheme="minorHAnsi" w:cstheme="minorHAnsi"/>
          <w:sz w:val="22"/>
          <w:szCs w:val="22"/>
        </w:rPr>
        <w:t xml:space="preserve"> changes based on the Commission’s direction in the Policy Statement. </w:t>
      </w:r>
    </w:p>
    <w:p w14:paraId="633E7371" w14:textId="77777777" w:rsidR="00EE6226" w:rsidRDefault="00EE6226" w:rsidP="003C6B1F">
      <w:pPr>
        <w:ind w:firstLine="720"/>
        <w:rPr>
          <w:rFonts w:asciiTheme="minorHAnsi" w:hAnsiTheme="minorHAnsi" w:cstheme="minorHAnsi"/>
          <w:sz w:val="22"/>
          <w:szCs w:val="22"/>
        </w:rPr>
      </w:pPr>
    </w:p>
    <w:p w14:paraId="43CFB142" w14:textId="1E6B47B0" w:rsidR="00603F9F" w:rsidRDefault="00373219" w:rsidP="003C6B1F">
      <w:pPr>
        <w:ind w:firstLine="720"/>
        <w:rPr>
          <w:rFonts w:asciiTheme="minorHAnsi" w:hAnsiTheme="minorHAnsi" w:cstheme="minorHAnsi"/>
          <w:sz w:val="22"/>
          <w:szCs w:val="22"/>
        </w:rPr>
      </w:pPr>
      <w:r>
        <w:rPr>
          <w:rFonts w:asciiTheme="minorHAnsi" w:hAnsiTheme="minorHAnsi" w:cstheme="minorHAnsi"/>
          <w:sz w:val="22"/>
          <w:szCs w:val="22"/>
        </w:rPr>
        <w:t xml:space="preserve">On April 25, 2014, NW Natural hosted a meeting </w:t>
      </w:r>
      <w:r w:rsidR="00902767">
        <w:rPr>
          <w:rFonts w:asciiTheme="minorHAnsi" w:hAnsiTheme="minorHAnsi" w:cstheme="minorHAnsi"/>
          <w:sz w:val="22"/>
          <w:szCs w:val="22"/>
        </w:rPr>
        <w:t xml:space="preserve">with its Energy Efficiency Advisory Group (EEAG), </w:t>
      </w:r>
      <w:r>
        <w:rPr>
          <w:rFonts w:asciiTheme="minorHAnsi" w:hAnsiTheme="minorHAnsi" w:cstheme="minorHAnsi"/>
          <w:sz w:val="22"/>
          <w:szCs w:val="22"/>
        </w:rPr>
        <w:t>wher</w:t>
      </w:r>
      <w:r w:rsidR="00902767">
        <w:rPr>
          <w:rFonts w:asciiTheme="minorHAnsi" w:hAnsiTheme="minorHAnsi" w:cstheme="minorHAnsi"/>
          <w:sz w:val="22"/>
          <w:szCs w:val="22"/>
        </w:rPr>
        <w:t xml:space="preserve">e its program manager </w:t>
      </w:r>
      <w:r w:rsidR="00FD6095">
        <w:rPr>
          <w:rFonts w:asciiTheme="minorHAnsi" w:hAnsiTheme="minorHAnsi" w:cstheme="minorHAnsi"/>
          <w:sz w:val="22"/>
          <w:szCs w:val="22"/>
        </w:rPr>
        <w:t xml:space="preserve">from Energy Trust </w:t>
      </w:r>
      <w:r w:rsidR="00293098">
        <w:rPr>
          <w:rFonts w:asciiTheme="minorHAnsi" w:hAnsiTheme="minorHAnsi" w:cstheme="minorHAnsi"/>
          <w:sz w:val="22"/>
          <w:szCs w:val="22"/>
        </w:rPr>
        <w:t>explained that</w:t>
      </w:r>
      <w:r w:rsidR="00460F52">
        <w:rPr>
          <w:rFonts w:asciiTheme="minorHAnsi" w:hAnsiTheme="minorHAnsi" w:cstheme="minorHAnsi"/>
          <w:sz w:val="22"/>
          <w:szCs w:val="22"/>
        </w:rPr>
        <w:t xml:space="preserve"> as the program matures and gas prices continue to be low, fewer measures will pass the Total Resource Cost (TRC) </w:t>
      </w:r>
      <w:r w:rsidR="00FD6095">
        <w:rPr>
          <w:rFonts w:asciiTheme="minorHAnsi" w:hAnsiTheme="minorHAnsi" w:cstheme="minorHAnsi"/>
          <w:sz w:val="22"/>
          <w:szCs w:val="22"/>
        </w:rPr>
        <w:t>test</w:t>
      </w:r>
      <w:r w:rsidR="00460F52">
        <w:rPr>
          <w:rFonts w:asciiTheme="minorHAnsi" w:hAnsiTheme="minorHAnsi" w:cstheme="minorHAnsi"/>
          <w:sz w:val="22"/>
          <w:szCs w:val="22"/>
        </w:rPr>
        <w:t xml:space="preserve">.  </w:t>
      </w:r>
      <w:r w:rsidR="00FD6095">
        <w:rPr>
          <w:rFonts w:asciiTheme="minorHAnsi" w:hAnsiTheme="minorHAnsi" w:cstheme="minorHAnsi"/>
          <w:sz w:val="22"/>
          <w:szCs w:val="22"/>
        </w:rPr>
        <w:t>He</w:t>
      </w:r>
      <w:r w:rsidR="00460F52">
        <w:rPr>
          <w:rFonts w:asciiTheme="minorHAnsi" w:hAnsiTheme="minorHAnsi" w:cstheme="minorHAnsi"/>
          <w:sz w:val="22"/>
          <w:szCs w:val="22"/>
        </w:rPr>
        <w:t xml:space="preserve"> show</w:t>
      </w:r>
      <w:r w:rsidR="00FD6095">
        <w:rPr>
          <w:rFonts w:asciiTheme="minorHAnsi" w:hAnsiTheme="minorHAnsi" w:cstheme="minorHAnsi"/>
          <w:sz w:val="22"/>
          <w:szCs w:val="22"/>
        </w:rPr>
        <w:t>ed</w:t>
      </w:r>
      <w:r w:rsidR="00460F52">
        <w:rPr>
          <w:rFonts w:asciiTheme="minorHAnsi" w:hAnsiTheme="minorHAnsi" w:cstheme="minorHAnsi"/>
          <w:sz w:val="22"/>
          <w:szCs w:val="22"/>
        </w:rPr>
        <w:t xml:space="preserve"> that </w:t>
      </w:r>
      <w:r w:rsidR="00902767">
        <w:rPr>
          <w:rFonts w:asciiTheme="minorHAnsi" w:hAnsiTheme="minorHAnsi" w:cstheme="minorHAnsi"/>
          <w:sz w:val="22"/>
          <w:szCs w:val="22"/>
        </w:rPr>
        <w:t xml:space="preserve">the Company’s programs </w:t>
      </w:r>
      <w:r w:rsidR="00460F52">
        <w:rPr>
          <w:rFonts w:asciiTheme="minorHAnsi" w:hAnsiTheme="minorHAnsi" w:cstheme="minorHAnsi"/>
          <w:sz w:val="22"/>
          <w:szCs w:val="22"/>
        </w:rPr>
        <w:t xml:space="preserve">have </w:t>
      </w:r>
      <w:r w:rsidR="00FD6095">
        <w:rPr>
          <w:rFonts w:asciiTheme="minorHAnsi" w:hAnsiTheme="minorHAnsi" w:cstheme="minorHAnsi"/>
          <w:sz w:val="22"/>
          <w:szCs w:val="22"/>
        </w:rPr>
        <w:t xml:space="preserve">been passing the TRC </w:t>
      </w:r>
      <w:r w:rsidR="00293098">
        <w:rPr>
          <w:rFonts w:asciiTheme="minorHAnsi" w:hAnsiTheme="minorHAnsi" w:cstheme="minorHAnsi"/>
          <w:sz w:val="22"/>
          <w:szCs w:val="22"/>
        </w:rPr>
        <w:t xml:space="preserve">test </w:t>
      </w:r>
      <w:r w:rsidR="00FD6095">
        <w:rPr>
          <w:rFonts w:asciiTheme="minorHAnsi" w:hAnsiTheme="minorHAnsi" w:cstheme="minorHAnsi"/>
          <w:sz w:val="22"/>
          <w:szCs w:val="22"/>
        </w:rPr>
        <w:t>because</w:t>
      </w:r>
      <w:r w:rsidR="00902767">
        <w:rPr>
          <w:rFonts w:asciiTheme="minorHAnsi" w:hAnsiTheme="minorHAnsi" w:cstheme="minorHAnsi"/>
          <w:sz w:val="22"/>
          <w:szCs w:val="22"/>
        </w:rPr>
        <w:t xml:space="preserve"> of non-energy benefits—namely water saving</w:t>
      </w:r>
      <w:r w:rsidR="002934C1">
        <w:rPr>
          <w:rFonts w:asciiTheme="minorHAnsi" w:hAnsiTheme="minorHAnsi" w:cstheme="minorHAnsi"/>
          <w:sz w:val="22"/>
          <w:szCs w:val="22"/>
        </w:rPr>
        <w:t xml:space="preserve">s. </w:t>
      </w:r>
      <w:r w:rsidR="00FD6095">
        <w:rPr>
          <w:rFonts w:asciiTheme="minorHAnsi" w:hAnsiTheme="minorHAnsi" w:cstheme="minorHAnsi"/>
          <w:sz w:val="22"/>
          <w:szCs w:val="22"/>
        </w:rPr>
        <w:t xml:space="preserve"> </w:t>
      </w:r>
      <w:r w:rsidR="00F13B3B">
        <w:rPr>
          <w:rFonts w:asciiTheme="minorHAnsi" w:hAnsiTheme="minorHAnsi" w:cstheme="minorHAnsi"/>
          <w:sz w:val="22"/>
          <w:szCs w:val="22"/>
        </w:rPr>
        <w:t>Since the portfolio would be</w:t>
      </w:r>
      <w:r w:rsidR="002D6B12">
        <w:rPr>
          <w:rFonts w:asciiTheme="minorHAnsi" w:hAnsiTheme="minorHAnsi" w:cstheme="minorHAnsi"/>
          <w:sz w:val="22"/>
          <w:szCs w:val="22"/>
        </w:rPr>
        <w:t xml:space="preserve"> moving towards being non-cost effective </w:t>
      </w:r>
      <w:r w:rsidR="00F13B3B">
        <w:rPr>
          <w:rFonts w:asciiTheme="minorHAnsi" w:hAnsiTheme="minorHAnsi" w:cstheme="minorHAnsi"/>
          <w:sz w:val="22"/>
          <w:szCs w:val="22"/>
        </w:rPr>
        <w:t>under TRC without water benefits,</w:t>
      </w:r>
      <w:r w:rsidR="002D6B12">
        <w:rPr>
          <w:rFonts w:asciiTheme="minorHAnsi" w:hAnsiTheme="minorHAnsi" w:cstheme="minorHAnsi"/>
          <w:sz w:val="22"/>
          <w:szCs w:val="22"/>
        </w:rPr>
        <w:t xml:space="preserve"> and the Company cannot ensure that its calculation balances all benefits and costs, th</w:t>
      </w:r>
      <w:r w:rsidR="002934C1">
        <w:rPr>
          <w:rFonts w:asciiTheme="minorHAnsi" w:hAnsiTheme="minorHAnsi" w:cstheme="minorHAnsi"/>
          <w:sz w:val="22"/>
          <w:szCs w:val="22"/>
        </w:rPr>
        <w:t xml:space="preserve">e </w:t>
      </w:r>
      <w:r w:rsidR="002934C1">
        <w:rPr>
          <w:rFonts w:asciiTheme="minorHAnsi" w:hAnsiTheme="minorHAnsi" w:cstheme="minorHAnsi"/>
          <w:sz w:val="22"/>
          <w:szCs w:val="22"/>
        </w:rPr>
        <w:lastRenderedPageBreak/>
        <w:t xml:space="preserve">Company proposed </w:t>
      </w:r>
      <w:r w:rsidR="00293098">
        <w:rPr>
          <w:rFonts w:asciiTheme="minorHAnsi" w:hAnsiTheme="minorHAnsi" w:cstheme="minorHAnsi"/>
          <w:sz w:val="22"/>
          <w:szCs w:val="22"/>
        </w:rPr>
        <w:t xml:space="preserve">to its EEAG </w:t>
      </w:r>
      <w:r w:rsidR="00603F9F">
        <w:rPr>
          <w:rFonts w:asciiTheme="minorHAnsi" w:hAnsiTheme="minorHAnsi" w:cstheme="minorHAnsi"/>
          <w:sz w:val="22"/>
          <w:szCs w:val="22"/>
        </w:rPr>
        <w:t xml:space="preserve">using Utility Cost Test (UCT) as the cost effectiveness standard and </w:t>
      </w:r>
      <w:r w:rsidR="00293098">
        <w:rPr>
          <w:rFonts w:asciiTheme="minorHAnsi" w:hAnsiTheme="minorHAnsi" w:cstheme="minorHAnsi"/>
          <w:sz w:val="22"/>
          <w:szCs w:val="22"/>
        </w:rPr>
        <w:t>shifting its focus from cost effective measures with short measure lives (such as showerheads) to acquiring</w:t>
      </w:r>
      <w:r w:rsidR="00603F9F">
        <w:rPr>
          <w:rFonts w:asciiTheme="minorHAnsi" w:hAnsiTheme="minorHAnsi" w:cstheme="minorHAnsi"/>
          <w:sz w:val="22"/>
          <w:szCs w:val="22"/>
        </w:rPr>
        <w:t xml:space="preserve"> </w:t>
      </w:r>
      <w:r w:rsidR="00293098">
        <w:rPr>
          <w:rFonts w:asciiTheme="minorHAnsi" w:hAnsiTheme="minorHAnsi" w:cstheme="minorHAnsi"/>
          <w:sz w:val="22"/>
          <w:szCs w:val="22"/>
        </w:rPr>
        <w:t>more durable savings from</w:t>
      </w:r>
      <w:r w:rsidR="00603F9F">
        <w:rPr>
          <w:rFonts w:asciiTheme="minorHAnsi" w:hAnsiTheme="minorHAnsi" w:cstheme="minorHAnsi"/>
          <w:sz w:val="22"/>
          <w:szCs w:val="22"/>
        </w:rPr>
        <w:t xml:space="preserve"> measures such as water and space heating equipment.  </w:t>
      </w:r>
    </w:p>
    <w:p w14:paraId="11D00832" w14:textId="77777777" w:rsidR="00293098" w:rsidRDefault="00293098" w:rsidP="003C6B1F">
      <w:pPr>
        <w:ind w:firstLine="720"/>
        <w:rPr>
          <w:rFonts w:asciiTheme="minorHAnsi" w:hAnsiTheme="minorHAnsi" w:cstheme="minorHAnsi"/>
          <w:sz w:val="22"/>
          <w:szCs w:val="22"/>
        </w:rPr>
      </w:pPr>
    </w:p>
    <w:p w14:paraId="74D72A1F" w14:textId="185E8F42" w:rsidR="00293098" w:rsidRDefault="00293098" w:rsidP="003C6B1F">
      <w:pPr>
        <w:ind w:firstLine="720"/>
        <w:rPr>
          <w:rFonts w:asciiTheme="minorHAnsi" w:hAnsiTheme="minorHAnsi" w:cstheme="minorHAnsi"/>
          <w:sz w:val="22"/>
          <w:szCs w:val="22"/>
        </w:rPr>
      </w:pPr>
      <w:r>
        <w:rPr>
          <w:rFonts w:asciiTheme="minorHAnsi" w:hAnsiTheme="minorHAnsi" w:cstheme="minorHAnsi"/>
          <w:sz w:val="22"/>
          <w:szCs w:val="22"/>
        </w:rPr>
        <w:t xml:space="preserve">Because </w:t>
      </w:r>
      <w:r w:rsidR="00EE6226">
        <w:rPr>
          <w:rFonts w:asciiTheme="minorHAnsi" w:hAnsiTheme="minorHAnsi" w:cstheme="minorHAnsi"/>
          <w:sz w:val="22"/>
          <w:szCs w:val="22"/>
        </w:rPr>
        <w:t>using the UCT</w:t>
      </w:r>
      <w:r>
        <w:rPr>
          <w:rFonts w:asciiTheme="minorHAnsi" w:hAnsiTheme="minorHAnsi" w:cstheme="minorHAnsi"/>
          <w:sz w:val="22"/>
          <w:szCs w:val="22"/>
        </w:rPr>
        <w:t xml:space="preserve"> represents a fairly significant shift in program administration, the Company </w:t>
      </w:r>
      <w:r w:rsidR="00857662">
        <w:rPr>
          <w:rFonts w:asciiTheme="minorHAnsi" w:hAnsiTheme="minorHAnsi" w:cstheme="minorHAnsi"/>
          <w:sz w:val="22"/>
          <w:szCs w:val="22"/>
        </w:rPr>
        <w:t>guaranteed its EEAG that it would continue to report TRC values at the program level in quarterly reports and at the portfolio level with its annual report. The Company will work with its EEAG after its 2015 Annual Report is filed to assess if the new cost effectiveness standard and new focus on long term savings measures is successful, and</w:t>
      </w:r>
      <w:r w:rsidR="00EE6226">
        <w:rPr>
          <w:rFonts w:asciiTheme="minorHAnsi" w:hAnsiTheme="minorHAnsi" w:cstheme="minorHAnsi"/>
          <w:sz w:val="22"/>
          <w:szCs w:val="22"/>
        </w:rPr>
        <w:t xml:space="preserve"> if it</w:t>
      </w:r>
      <w:r w:rsidR="00857662">
        <w:rPr>
          <w:rFonts w:asciiTheme="minorHAnsi" w:hAnsiTheme="minorHAnsi" w:cstheme="minorHAnsi"/>
          <w:sz w:val="22"/>
          <w:szCs w:val="22"/>
        </w:rPr>
        <w:t xml:space="preserve"> should be continued or modified. </w:t>
      </w:r>
    </w:p>
    <w:p w14:paraId="7D77DDCB" w14:textId="77777777" w:rsidR="00603F9F" w:rsidRDefault="00603F9F" w:rsidP="003C6B1F">
      <w:pPr>
        <w:ind w:firstLine="720"/>
        <w:rPr>
          <w:rFonts w:asciiTheme="minorHAnsi" w:hAnsiTheme="minorHAnsi" w:cstheme="minorHAnsi"/>
          <w:sz w:val="22"/>
          <w:szCs w:val="22"/>
        </w:rPr>
      </w:pPr>
    </w:p>
    <w:p w14:paraId="32E280DD" w14:textId="169B5D6D" w:rsidR="00EE6226" w:rsidRDefault="00603F9F" w:rsidP="00986E85">
      <w:pPr>
        <w:ind w:firstLine="720"/>
        <w:rPr>
          <w:rFonts w:asciiTheme="minorHAnsi" w:hAnsiTheme="minorHAnsi" w:cstheme="minorHAnsi"/>
          <w:sz w:val="22"/>
          <w:szCs w:val="22"/>
        </w:rPr>
      </w:pPr>
      <w:r>
        <w:rPr>
          <w:rFonts w:asciiTheme="minorHAnsi" w:hAnsiTheme="minorHAnsi" w:cstheme="minorHAnsi"/>
          <w:sz w:val="22"/>
          <w:szCs w:val="22"/>
        </w:rPr>
        <w:t>The UCT ensures that the utility is investing in a prudent acquisition</w:t>
      </w:r>
      <w:r w:rsidR="00815C0B">
        <w:rPr>
          <w:rFonts w:asciiTheme="minorHAnsi" w:hAnsiTheme="minorHAnsi" w:cstheme="minorHAnsi"/>
          <w:sz w:val="22"/>
          <w:szCs w:val="22"/>
        </w:rPr>
        <w:t xml:space="preserve"> for the energy system and ratepayers</w:t>
      </w:r>
      <w:r>
        <w:rPr>
          <w:rFonts w:asciiTheme="minorHAnsi" w:hAnsiTheme="minorHAnsi" w:cstheme="minorHAnsi"/>
          <w:sz w:val="22"/>
          <w:szCs w:val="22"/>
        </w:rPr>
        <w:t xml:space="preserve">, but </w:t>
      </w:r>
      <w:r w:rsidR="00815C0B">
        <w:rPr>
          <w:rFonts w:asciiTheme="minorHAnsi" w:hAnsiTheme="minorHAnsi" w:cstheme="minorHAnsi"/>
          <w:sz w:val="22"/>
          <w:szCs w:val="22"/>
        </w:rPr>
        <w:t>because the UCT does not look at all the costs a participant spends, a measure that passes the UCT may have a poor payback and be a bad</w:t>
      </w:r>
      <w:r w:rsidR="000032C8">
        <w:rPr>
          <w:rFonts w:asciiTheme="minorHAnsi" w:hAnsiTheme="minorHAnsi" w:cstheme="minorHAnsi"/>
          <w:sz w:val="22"/>
          <w:szCs w:val="22"/>
        </w:rPr>
        <w:t xml:space="preserve"> economic choice</w:t>
      </w:r>
      <w:r w:rsidR="00815C0B">
        <w:rPr>
          <w:rFonts w:asciiTheme="minorHAnsi" w:hAnsiTheme="minorHAnsi" w:cstheme="minorHAnsi"/>
          <w:sz w:val="22"/>
          <w:szCs w:val="22"/>
        </w:rPr>
        <w:t xml:space="preserve"> for the participant.  U</w:t>
      </w:r>
      <w:r w:rsidR="000032C8">
        <w:rPr>
          <w:rFonts w:asciiTheme="minorHAnsi" w:hAnsiTheme="minorHAnsi" w:cstheme="minorHAnsi"/>
          <w:sz w:val="22"/>
          <w:szCs w:val="22"/>
        </w:rPr>
        <w:t>tilities in U</w:t>
      </w:r>
      <w:r w:rsidR="00F13B3B">
        <w:rPr>
          <w:rFonts w:asciiTheme="minorHAnsi" w:hAnsiTheme="minorHAnsi" w:cstheme="minorHAnsi"/>
          <w:sz w:val="22"/>
          <w:szCs w:val="22"/>
        </w:rPr>
        <w:t>G</w:t>
      </w:r>
      <w:r w:rsidR="000032C8">
        <w:rPr>
          <w:rFonts w:asciiTheme="minorHAnsi" w:hAnsiTheme="minorHAnsi" w:cstheme="minorHAnsi"/>
          <w:sz w:val="22"/>
          <w:szCs w:val="22"/>
        </w:rPr>
        <w:t xml:space="preserve"> 121207 workshops voiced concern that utility incentives may be viewed as an endorsement for investing in a measure whether or not it had a good payback for customers</w:t>
      </w:r>
      <w:r w:rsidR="00815C0B">
        <w:rPr>
          <w:rFonts w:asciiTheme="minorHAnsi" w:hAnsiTheme="minorHAnsi" w:cstheme="minorHAnsi"/>
          <w:sz w:val="22"/>
          <w:szCs w:val="22"/>
        </w:rPr>
        <w:t xml:space="preserve">. </w:t>
      </w:r>
      <w:r w:rsidRPr="00EE6226">
        <w:rPr>
          <w:rFonts w:asciiTheme="minorHAnsi" w:hAnsiTheme="minorHAnsi" w:cstheme="minorHAnsi"/>
          <w:sz w:val="22"/>
          <w:szCs w:val="22"/>
        </w:rPr>
        <w:t>For this reason, the Company agreed to poin</w:t>
      </w:r>
      <w:r w:rsidR="00C048CE" w:rsidRPr="00EE6226">
        <w:rPr>
          <w:rFonts w:asciiTheme="minorHAnsi" w:hAnsiTheme="minorHAnsi" w:cstheme="minorHAnsi"/>
          <w:sz w:val="22"/>
          <w:szCs w:val="22"/>
        </w:rPr>
        <w:t xml:space="preserve">t </w:t>
      </w:r>
      <w:r w:rsidRPr="00EE6226">
        <w:rPr>
          <w:rFonts w:asciiTheme="minorHAnsi" w:hAnsiTheme="minorHAnsi" w:cstheme="minorHAnsi"/>
          <w:sz w:val="22"/>
          <w:szCs w:val="22"/>
        </w:rPr>
        <w:t>customers to Energy Trust’s webpage that provides payback info.</w:t>
      </w:r>
      <w:r>
        <w:rPr>
          <w:rFonts w:asciiTheme="minorHAnsi" w:hAnsiTheme="minorHAnsi" w:cstheme="minorHAnsi"/>
          <w:sz w:val="22"/>
          <w:szCs w:val="22"/>
        </w:rPr>
        <w:t xml:space="preserve"> </w:t>
      </w:r>
      <w:r w:rsidR="00290100">
        <w:rPr>
          <w:rFonts w:asciiTheme="minorHAnsi" w:hAnsiTheme="minorHAnsi" w:cstheme="minorHAnsi"/>
          <w:sz w:val="22"/>
          <w:szCs w:val="22"/>
        </w:rPr>
        <w:t xml:space="preserve">Residential customers will be directed to </w:t>
      </w:r>
      <w:r w:rsidR="001F5CE0">
        <w:rPr>
          <w:rFonts w:asciiTheme="minorHAnsi" w:hAnsiTheme="minorHAnsi" w:cstheme="minorHAnsi"/>
          <w:sz w:val="22"/>
          <w:szCs w:val="22"/>
        </w:rPr>
        <w:t xml:space="preserve">an online payback estimator located at the following URL: </w:t>
      </w:r>
      <w:r w:rsidR="00067526">
        <w:rPr>
          <w:rFonts w:asciiTheme="minorHAnsi" w:hAnsiTheme="minorHAnsi" w:cstheme="minorHAnsi"/>
          <w:sz w:val="22"/>
          <w:szCs w:val="22"/>
        </w:rPr>
        <w:t xml:space="preserve"> </w:t>
      </w:r>
      <w:hyperlink r:id="rId12" w:history="1">
        <w:r w:rsidR="00067526" w:rsidRPr="00B34EA5">
          <w:rPr>
            <w:rStyle w:val="Hyperlink"/>
            <w:rFonts w:asciiTheme="minorHAnsi" w:hAnsiTheme="minorHAnsi" w:cstheme="minorHAnsi"/>
            <w:sz w:val="22"/>
            <w:szCs w:val="22"/>
          </w:rPr>
          <w:t>https://energytrust.org/forms/residential/energypaybackestimator/</w:t>
        </w:r>
      </w:hyperlink>
      <w:r w:rsidR="00067526">
        <w:rPr>
          <w:rFonts w:asciiTheme="minorHAnsi" w:hAnsiTheme="minorHAnsi" w:cstheme="minorHAnsi"/>
          <w:sz w:val="22"/>
          <w:szCs w:val="22"/>
        </w:rPr>
        <w:t xml:space="preserve"> </w:t>
      </w:r>
      <w:r w:rsidR="00290100">
        <w:rPr>
          <w:rFonts w:asciiTheme="minorHAnsi" w:hAnsiTheme="minorHAnsi" w:cstheme="minorHAnsi"/>
          <w:sz w:val="22"/>
          <w:szCs w:val="22"/>
        </w:rPr>
        <w:t xml:space="preserve"> </w:t>
      </w:r>
    </w:p>
    <w:p w14:paraId="7875861B" w14:textId="77777777" w:rsidR="00EE6226" w:rsidRDefault="00EE6226" w:rsidP="00986E85">
      <w:pPr>
        <w:ind w:firstLine="720"/>
        <w:rPr>
          <w:rFonts w:asciiTheme="minorHAnsi" w:hAnsiTheme="minorHAnsi" w:cstheme="minorHAnsi"/>
          <w:sz w:val="22"/>
          <w:szCs w:val="22"/>
        </w:rPr>
      </w:pPr>
    </w:p>
    <w:p w14:paraId="7A84C2BB" w14:textId="2D8EB700" w:rsidR="00986E85" w:rsidRDefault="00986E85" w:rsidP="00986E85">
      <w:pPr>
        <w:ind w:firstLine="720"/>
        <w:rPr>
          <w:rFonts w:asciiTheme="minorHAnsi" w:hAnsiTheme="minorHAnsi" w:cstheme="minorHAnsi"/>
          <w:sz w:val="22"/>
          <w:szCs w:val="22"/>
        </w:rPr>
      </w:pPr>
      <w:r>
        <w:rPr>
          <w:rFonts w:asciiTheme="minorHAnsi" w:hAnsiTheme="minorHAnsi" w:cstheme="minorHAnsi"/>
          <w:sz w:val="22"/>
          <w:szCs w:val="22"/>
        </w:rPr>
        <w:t>The energy payback estimator utilizes deemed savings values</w:t>
      </w:r>
      <w:r w:rsidR="001F5CE0">
        <w:rPr>
          <w:rFonts w:asciiTheme="minorHAnsi" w:hAnsiTheme="minorHAnsi" w:cstheme="minorHAnsi"/>
          <w:sz w:val="22"/>
          <w:szCs w:val="22"/>
        </w:rPr>
        <w:t xml:space="preserve"> calibrated to the customer’</w:t>
      </w:r>
      <w:r>
        <w:rPr>
          <w:rFonts w:asciiTheme="minorHAnsi" w:hAnsiTheme="minorHAnsi" w:cstheme="minorHAnsi"/>
          <w:sz w:val="22"/>
          <w:szCs w:val="22"/>
        </w:rPr>
        <w:t>s utility records to produce</w:t>
      </w:r>
      <w:r w:rsidR="00887EBE">
        <w:rPr>
          <w:rFonts w:asciiTheme="minorHAnsi" w:hAnsiTheme="minorHAnsi" w:cstheme="minorHAnsi"/>
          <w:sz w:val="22"/>
          <w:szCs w:val="22"/>
        </w:rPr>
        <w:t xml:space="preserve"> reports detailing annual energy </w:t>
      </w:r>
      <w:r>
        <w:rPr>
          <w:rFonts w:asciiTheme="minorHAnsi" w:hAnsiTheme="minorHAnsi" w:cstheme="minorHAnsi"/>
          <w:sz w:val="22"/>
          <w:szCs w:val="22"/>
        </w:rPr>
        <w:t>and cost savings</w:t>
      </w:r>
      <w:r w:rsidR="00887EBE">
        <w:rPr>
          <w:rFonts w:asciiTheme="minorHAnsi" w:hAnsiTheme="minorHAnsi" w:cstheme="minorHAnsi"/>
          <w:sz w:val="22"/>
          <w:szCs w:val="22"/>
        </w:rPr>
        <w:t xml:space="preserve"> and a simple payback calculation. </w:t>
      </w:r>
      <w:r w:rsidR="004D012A">
        <w:rPr>
          <w:rFonts w:asciiTheme="minorHAnsi" w:hAnsiTheme="minorHAnsi" w:cstheme="minorHAnsi"/>
          <w:sz w:val="22"/>
          <w:szCs w:val="22"/>
        </w:rPr>
        <w:t xml:space="preserve">The Company will report site traffic statistics, both in aggregate and by geography, detailing the volume of visits to the URL listed above. </w:t>
      </w:r>
      <w:r>
        <w:rPr>
          <w:rFonts w:asciiTheme="minorHAnsi" w:hAnsiTheme="minorHAnsi" w:cstheme="minorHAnsi"/>
          <w:sz w:val="22"/>
          <w:szCs w:val="22"/>
        </w:rPr>
        <w:t>The</w:t>
      </w:r>
      <w:r w:rsidR="00887EBE">
        <w:rPr>
          <w:rFonts w:asciiTheme="minorHAnsi" w:hAnsiTheme="minorHAnsi" w:cstheme="minorHAnsi"/>
          <w:sz w:val="22"/>
          <w:szCs w:val="22"/>
        </w:rPr>
        <w:t xml:space="preserve"> tool is </w:t>
      </w:r>
      <w:r>
        <w:rPr>
          <w:rFonts w:asciiTheme="minorHAnsi" w:hAnsiTheme="minorHAnsi" w:cstheme="minorHAnsi"/>
          <w:sz w:val="22"/>
          <w:szCs w:val="22"/>
        </w:rPr>
        <w:t xml:space="preserve">designed </w:t>
      </w:r>
      <w:r w:rsidR="00887EBE">
        <w:rPr>
          <w:rFonts w:asciiTheme="minorHAnsi" w:hAnsiTheme="minorHAnsi" w:cstheme="minorHAnsi"/>
          <w:sz w:val="22"/>
          <w:szCs w:val="22"/>
        </w:rPr>
        <w:t xml:space="preserve">for residential customers as all of the measures </w:t>
      </w:r>
      <w:r>
        <w:rPr>
          <w:rFonts w:asciiTheme="minorHAnsi" w:hAnsiTheme="minorHAnsi" w:cstheme="minorHAnsi"/>
          <w:sz w:val="22"/>
          <w:szCs w:val="22"/>
        </w:rPr>
        <w:t>screening</w:t>
      </w:r>
      <w:r w:rsidR="00887EBE">
        <w:rPr>
          <w:rFonts w:asciiTheme="minorHAnsi" w:hAnsiTheme="minorHAnsi" w:cstheme="minorHAnsi"/>
          <w:sz w:val="22"/>
          <w:szCs w:val="22"/>
        </w:rPr>
        <w:t xml:space="preserve"> beneath 1.0 under the TRC </w:t>
      </w:r>
      <w:r w:rsidR="00F13B3B">
        <w:rPr>
          <w:rFonts w:asciiTheme="minorHAnsi" w:hAnsiTheme="minorHAnsi" w:cstheme="minorHAnsi"/>
          <w:sz w:val="22"/>
          <w:szCs w:val="22"/>
        </w:rPr>
        <w:t>–</w:t>
      </w:r>
      <w:r w:rsidR="00E40E74">
        <w:rPr>
          <w:rFonts w:asciiTheme="minorHAnsi" w:hAnsiTheme="minorHAnsi" w:cstheme="minorHAnsi"/>
          <w:sz w:val="22"/>
          <w:szCs w:val="22"/>
        </w:rPr>
        <w:t xml:space="preserve"> </w:t>
      </w:r>
      <w:r w:rsidR="00F13B3B">
        <w:rPr>
          <w:rFonts w:asciiTheme="minorHAnsi" w:hAnsiTheme="minorHAnsi" w:cstheme="minorHAnsi"/>
          <w:sz w:val="22"/>
          <w:szCs w:val="22"/>
        </w:rPr>
        <w:t>with the exception of two</w:t>
      </w:r>
      <w:r w:rsidR="00E40E74">
        <w:rPr>
          <w:rFonts w:asciiTheme="minorHAnsi" w:hAnsiTheme="minorHAnsi" w:cstheme="minorHAnsi"/>
          <w:sz w:val="22"/>
          <w:szCs w:val="22"/>
        </w:rPr>
        <w:t xml:space="preserve"> –</w:t>
      </w:r>
      <w:r w:rsidR="00F13B3B">
        <w:rPr>
          <w:rFonts w:asciiTheme="minorHAnsi" w:hAnsiTheme="minorHAnsi" w:cstheme="minorHAnsi"/>
          <w:sz w:val="22"/>
          <w:szCs w:val="22"/>
        </w:rPr>
        <w:t xml:space="preserve"> </w:t>
      </w:r>
      <w:proofErr w:type="spellStart"/>
      <w:r w:rsidR="00887EBE">
        <w:rPr>
          <w:rFonts w:asciiTheme="minorHAnsi" w:hAnsiTheme="minorHAnsi" w:cstheme="minorHAnsi"/>
          <w:sz w:val="22"/>
          <w:szCs w:val="22"/>
        </w:rPr>
        <w:t>are</w:t>
      </w:r>
      <w:proofErr w:type="spellEnd"/>
      <w:r w:rsidR="00887EBE">
        <w:rPr>
          <w:rFonts w:asciiTheme="minorHAnsi" w:hAnsiTheme="minorHAnsi" w:cstheme="minorHAnsi"/>
          <w:sz w:val="22"/>
          <w:szCs w:val="22"/>
        </w:rPr>
        <w:t xml:space="preserve"> residential retrofit meas</w:t>
      </w:r>
      <w:r>
        <w:rPr>
          <w:rFonts w:asciiTheme="minorHAnsi" w:hAnsiTheme="minorHAnsi" w:cstheme="minorHAnsi"/>
          <w:sz w:val="22"/>
          <w:szCs w:val="22"/>
        </w:rPr>
        <w:t xml:space="preserve">ures. Commercial customers utilizing the Existing Buildings Program “custom-path” may access funding for detailed, site specific feasibility studies which provide financial analysis including savings and payback estimates. Energy Efficiency measures supported by the Existing Building prescriptive track all screen above 1.0 under the TRC with the exception of two insulation measures, one of which is newly proposed for 2015.  </w:t>
      </w:r>
    </w:p>
    <w:p w14:paraId="522F883A" w14:textId="77777777" w:rsidR="000032C8" w:rsidRDefault="000032C8" w:rsidP="003C6B1F">
      <w:pPr>
        <w:ind w:firstLine="720"/>
        <w:rPr>
          <w:rFonts w:asciiTheme="minorHAnsi" w:hAnsiTheme="minorHAnsi" w:cstheme="minorHAnsi"/>
          <w:sz w:val="22"/>
          <w:szCs w:val="22"/>
        </w:rPr>
      </w:pPr>
    </w:p>
    <w:p w14:paraId="38EF17C0" w14:textId="77777777" w:rsidR="00232606" w:rsidRDefault="0014721C" w:rsidP="00232606">
      <w:pPr>
        <w:ind w:firstLine="720"/>
        <w:rPr>
          <w:rFonts w:asciiTheme="minorHAnsi" w:hAnsiTheme="minorHAnsi" w:cstheme="minorHAnsi"/>
          <w:sz w:val="22"/>
          <w:szCs w:val="22"/>
        </w:rPr>
      </w:pPr>
      <w:r w:rsidRPr="0087476C">
        <w:rPr>
          <w:rFonts w:asciiTheme="minorHAnsi" w:hAnsiTheme="minorHAnsi" w:cstheme="minorHAnsi"/>
          <w:sz w:val="22"/>
          <w:szCs w:val="22"/>
        </w:rPr>
        <w:t>As part of moving to the UCT as the cost effectiveness standard, the Company’s portfolio will includ</w:t>
      </w:r>
      <w:r w:rsidR="00F13B3B">
        <w:rPr>
          <w:rFonts w:asciiTheme="minorHAnsi" w:hAnsiTheme="minorHAnsi" w:cstheme="minorHAnsi"/>
          <w:sz w:val="22"/>
          <w:szCs w:val="22"/>
        </w:rPr>
        <w:t>e measures it otherwise would not</w:t>
      </w:r>
      <w:r w:rsidRPr="0087476C">
        <w:rPr>
          <w:rFonts w:asciiTheme="minorHAnsi" w:hAnsiTheme="minorHAnsi" w:cstheme="minorHAnsi"/>
          <w:sz w:val="22"/>
          <w:szCs w:val="22"/>
        </w:rPr>
        <w:t xml:space="preserve"> have</w:t>
      </w:r>
      <w:r w:rsidR="00FA4619">
        <w:rPr>
          <w:rFonts w:asciiTheme="minorHAnsi" w:hAnsiTheme="minorHAnsi" w:cstheme="minorHAnsi"/>
          <w:sz w:val="22"/>
          <w:szCs w:val="22"/>
        </w:rPr>
        <w:t>,</w:t>
      </w:r>
      <w:r w:rsidRPr="0087476C">
        <w:rPr>
          <w:rFonts w:asciiTheme="minorHAnsi" w:hAnsiTheme="minorHAnsi" w:cstheme="minorHAnsi"/>
          <w:sz w:val="22"/>
          <w:szCs w:val="22"/>
        </w:rPr>
        <w:t xml:space="preserve"> </w:t>
      </w:r>
      <w:r w:rsidR="00C048CE" w:rsidRPr="0087476C">
        <w:rPr>
          <w:rFonts w:asciiTheme="minorHAnsi" w:hAnsiTheme="minorHAnsi" w:cstheme="minorHAnsi"/>
          <w:sz w:val="22"/>
          <w:szCs w:val="22"/>
        </w:rPr>
        <w:t>and in some cases, incentives will be more generous</w:t>
      </w:r>
      <w:r w:rsidR="00986E85" w:rsidRPr="0087476C">
        <w:rPr>
          <w:rFonts w:asciiTheme="minorHAnsi" w:hAnsiTheme="minorHAnsi" w:cstheme="minorHAnsi"/>
          <w:sz w:val="22"/>
          <w:szCs w:val="22"/>
        </w:rPr>
        <w:t xml:space="preserve">. Weatherization measures are maintained at existing levels, </w:t>
      </w:r>
      <w:r w:rsidR="00DE6859" w:rsidRPr="0087476C">
        <w:rPr>
          <w:rFonts w:asciiTheme="minorHAnsi" w:hAnsiTheme="minorHAnsi" w:cstheme="minorHAnsi"/>
          <w:sz w:val="22"/>
          <w:szCs w:val="22"/>
        </w:rPr>
        <w:t>including a modification of</w:t>
      </w:r>
      <w:r w:rsidR="00986E85" w:rsidRPr="0087476C">
        <w:rPr>
          <w:rFonts w:asciiTheme="minorHAnsi" w:hAnsiTheme="minorHAnsi" w:cstheme="minorHAnsi"/>
          <w:sz w:val="22"/>
          <w:szCs w:val="22"/>
        </w:rPr>
        <w:t xml:space="preserve"> attic and ceiling insulation eligibility requirements </w:t>
      </w:r>
      <w:r w:rsidR="00DA2959" w:rsidRPr="0087476C">
        <w:rPr>
          <w:rFonts w:asciiTheme="minorHAnsi" w:hAnsiTheme="minorHAnsi" w:cstheme="minorHAnsi"/>
          <w:sz w:val="22"/>
          <w:szCs w:val="22"/>
        </w:rPr>
        <w:t>for both residential and commercial customers</w:t>
      </w:r>
      <w:r w:rsidR="00986E85" w:rsidRPr="0087476C">
        <w:rPr>
          <w:rFonts w:asciiTheme="minorHAnsi" w:hAnsiTheme="minorHAnsi" w:cstheme="minorHAnsi"/>
          <w:sz w:val="22"/>
          <w:szCs w:val="22"/>
        </w:rPr>
        <w:t xml:space="preserve"> </w:t>
      </w:r>
      <w:r w:rsidR="00DE6859" w:rsidRPr="0087476C">
        <w:rPr>
          <w:rFonts w:asciiTheme="minorHAnsi" w:hAnsiTheme="minorHAnsi" w:cstheme="minorHAnsi"/>
          <w:sz w:val="22"/>
          <w:szCs w:val="22"/>
        </w:rPr>
        <w:t>designed</w:t>
      </w:r>
      <w:r w:rsidR="00986E85" w:rsidRPr="0087476C">
        <w:rPr>
          <w:rFonts w:asciiTheme="minorHAnsi" w:hAnsiTheme="minorHAnsi" w:cstheme="minorHAnsi"/>
          <w:sz w:val="22"/>
          <w:szCs w:val="22"/>
        </w:rPr>
        <w:t xml:space="preserve"> to en</w:t>
      </w:r>
      <w:r w:rsidR="00DE6859" w:rsidRPr="0087476C">
        <w:rPr>
          <w:rFonts w:asciiTheme="minorHAnsi" w:hAnsiTheme="minorHAnsi" w:cstheme="minorHAnsi"/>
          <w:sz w:val="22"/>
          <w:szCs w:val="22"/>
        </w:rPr>
        <w:t xml:space="preserve">franchise </w:t>
      </w:r>
      <w:r w:rsidR="00986E85" w:rsidRPr="0087476C">
        <w:rPr>
          <w:rFonts w:asciiTheme="minorHAnsi" w:hAnsiTheme="minorHAnsi" w:cstheme="minorHAnsi"/>
          <w:sz w:val="22"/>
          <w:szCs w:val="22"/>
        </w:rPr>
        <w:t xml:space="preserve">greater participation. </w:t>
      </w:r>
      <w:r w:rsidR="00C048CE" w:rsidRPr="0087476C">
        <w:rPr>
          <w:rFonts w:asciiTheme="minorHAnsi" w:hAnsiTheme="minorHAnsi" w:cstheme="minorHAnsi"/>
          <w:sz w:val="22"/>
          <w:szCs w:val="22"/>
        </w:rPr>
        <w:t xml:space="preserve"> </w:t>
      </w:r>
      <w:r w:rsidR="00C946E8" w:rsidRPr="0087476C">
        <w:rPr>
          <w:rFonts w:asciiTheme="minorHAnsi" w:hAnsiTheme="minorHAnsi" w:cstheme="minorHAnsi"/>
          <w:sz w:val="22"/>
          <w:szCs w:val="22"/>
        </w:rPr>
        <w:t>Other</w:t>
      </w:r>
      <w:r w:rsidR="00C946E8">
        <w:rPr>
          <w:rFonts w:asciiTheme="minorHAnsi" w:hAnsiTheme="minorHAnsi" w:cstheme="minorHAnsi"/>
          <w:sz w:val="22"/>
          <w:szCs w:val="22"/>
        </w:rPr>
        <w:t xml:space="preserve"> key changes include </w:t>
      </w:r>
      <w:r w:rsidR="00DE6859">
        <w:rPr>
          <w:rFonts w:asciiTheme="minorHAnsi" w:hAnsiTheme="minorHAnsi" w:cstheme="minorHAnsi"/>
          <w:sz w:val="22"/>
          <w:szCs w:val="22"/>
        </w:rPr>
        <w:t>the introduction</w:t>
      </w:r>
      <w:r w:rsidR="00C946E8">
        <w:rPr>
          <w:rFonts w:asciiTheme="minorHAnsi" w:hAnsiTheme="minorHAnsi" w:cstheme="minorHAnsi"/>
          <w:sz w:val="22"/>
          <w:szCs w:val="22"/>
        </w:rPr>
        <w:t xml:space="preserve"> of a tiered furnace incentive, offering greater incentives for residential furnaces with an AFUE of 95 or </w:t>
      </w:r>
      <w:r w:rsidR="00C946E8" w:rsidRPr="00C946E8">
        <w:rPr>
          <w:rFonts w:asciiTheme="minorHAnsi" w:hAnsiTheme="minorHAnsi" w:cstheme="minorHAnsi"/>
          <w:sz w:val="22"/>
          <w:szCs w:val="22"/>
        </w:rPr>
        <w:t xml:space="preserve">better. Under a UCT framework, the Company </w:t>
      </w:r>
      <w:r w:rsidR="00C946E8">
        <w:rPr>
          <w:rFonts w:asciiTheme="minorHAnsi" w:hAnsiTheme="minorHAnsi" w:cstheme="minorHAnsi"/>
          <w:sz w:val="22"/>
          <w:szCs w:val="22"/>
        </w:rPr>
        <w:t>will</w:t>
      </w:r>
      <w:r w:rsidR="00C946E8" w:rsidRPr="00C946E8">
        <w:rPr>
          <w:rFonts w:asciiTheme="minorHAnsi" w:hAnsiTheme="minorHAnsi" w:cstheme="minorHAnsi"/>
          <w:sz w:val="22"/>
          <w:szCs w:val="22"/>
        </w:rPr>
        <w:t xml:space="preserve"> leverage </w:t>
      </w:r>
      <w:r w:rsidR="00C946E8">
        <w:rPr>
          <w:rFonts w:asciiTheme="minorHAnsi" w:hAnsiTheme="minorHAnsi" w:cstheme="minorHAnsi"/>
          <w:sz w:val="22"/>
          <w:szCs w:val="22"/>
        </w:rPr>
        <w:t>greater savings potential</w:t>
      </w:r>
      <w:r w:rsidR="00C946E8" w:rsidRPr="00C946E8">
        <w:rPr>
          <w:rFonts w:asciiTheme="minorHAnsi" w:hAnsiTheme="minorHAnsi" w:cstheme="minorHAnsi"/>
          <w:sz w:val="22"/>
          <w:szCs w:val="22"/>
        </w:rPr>
        <w:t xml:space="preserve"> to </w:t>
      </w:r>
      <w:r w:rsidR="00C946E8">
        <w:rPr>
          <w:rFonts w:asciiTheme="minorHAnsi" w:hAnsiTheme="minorHAnsi" w:cstheme="minorHAnsi"/>
          <w:sz w:val="22"/>
          <w:szCs w:val="22"/>
        </w:rPr>
        <w:t xml:space="preserve">offer an incentive of $350, which is $250 more than the </w:t>
      </w:r>
      <w:r w:rsidR="00DE6859">
        <w:rPr>
          <w:rFonts w:asciiTheme="minorHAnsi" w:hAnsiTheme="minorHAnsi" w:cstheme="minorHAnsi"/>
          <w:sz w:val="22"/>
          <w:szCs w:val="22"/>
        </w:rPr>
        <w:t xml:space="preserve">historical offer of $100. This offer would not be possible under a framework solely prioritizing TRC, as the incremental cost of a higher tier furnace also has the effect of lowering the measure’s TRC screening. Also of note, the Company will continue support for residential new construction projects exceeding the State Of Washington’s building energy code. Washington’s current energy code mandates low-flow water fixtures, thus negating the water conservation benefits formerly credited to high performance building tracks such as Energy STAR, as these fixtures are now considered baseline requirements, as opposed to incremental improvements. </w:t>
      </w:r>
      <w:r w:rsidR="00C946E8">
        <w:rPr>
          <w:rFonts w:asciiTheme="minorHAnsi" w:hAnsiTheme="minorHAnsi" w:cstheme="minorHAnsi"/>
          <w:sz w:val="22"/>
          <w:szCs w:val="22"/>
        </w:rPr>
        <w:t xml:space="preserve"> </w:t>
      </w:r>
      <w:r w:rsidR="00DE6859">
        <w:rPr>
          <w:rFonts w:asciiTheme="minorHAnsi" w:hAnsiTheme="minorHAnsi" w:cstheme="minorHAnsi"/>
          <w:sz w:val="22"/>
          <w:szCs w:val="22"/>
        </w:rPr>
        <w:t>A complete list of measures screening beneath 1.0 TRC are listed</w:t>
      </w:r>
      <w:r w:rsidR="00CD1149">
        <w:rPr>
          <w:rFonts w:asciiTheme="minorHAnsi" w:hAnsiTheme="minorHAnsi" w:cstheme="minorHAnsi"/>
          <w:sz w:val="22"/>
          <w:szCs w:val="22"/>
        </w:rPr>
        <w:t xml:space="preserve"> in </w:t>
      </w:r>
      <w:r w:rsidR="00976B02">
        <w:rPr>
          <w:rFonts w:asciiTheme="minorHAnsi" w:hAnsiTheme="minorHAnsi" w:cstheme="minorHAnsi"/>
          <w:sz w:val="22"/>
          <w:szCs w:val="22"/>
        </w:rPr>
        <w:t>Exhibit B.</w:t>
      </w:r>
      <w:r w:rsidR="00232606">
        <w:rPr>
          <w:rFonts w:asciiTheme="minorHAnsi" w:hAnsiTheme="minorHAnsi" w:cstheme="minorHAnsi"/>
          <w:sz w:val="22"/>
          <w:szCs w:val="22"/>
        </w:rPr>
        <w:t xml:space="preserve">  Members of the EEAG consented with the Company’s </w:t>
      </w:r>
      <w:r w:rsidR="00232606">
        <w:rPr>
          <w:rFonts w:asciiTheme="minorHAnsi" w:hAnsiTheme="minorHAnsi" w:cstheme="minorHAnsi"/>
          <w:sz w:val="22"/>
          <w:szCs w:val="22"/>
        </w:rPr>
        <w:lastRenderedPageBreak/>
        <w:t xml:space="preserve">approval to move forward with its plan to use the UCT as its primary cost effectiveness screening tool starting January 1, 2015.  </w:t>
      </w:r>
    </w:p>
    <w:p w14:paraId="46438DA6" w14:textId="77777777" w:rsidR="004C77F3" w:rsidRDefault="004C77F3" w:rsidP="00232606">
      <w:pPr>
        <w:ind w:firstLine="720"/>
        <w:rPr>
          <w:rFonts w:asciiTheme="minorHAnsi" w:hAnsiTheme="minorHAnsi" w:cstheme="minorHAnsi"/>
          <w:sz w:val="22"/>
          <w:szCs w:val="22"/>
        </w:rPr>
      </w:pPr>
    </w:p>
    <w:p w14:paraId="1CAD7A8F" w14:textId="77777777" w:rsidR="004C77F3" w:rsidRDefault="004C77F3" w:rsidP="004C77F3">
      <w:pPr>
        <w:ind w:firstLine="720"/>
        <w:rPr>
          <w:rFonts w:asciiTheme="minorHAnsi" w:hAnsiTheme="minorHAnsi" w:cstheme="minorHAnsi"/>
          <w:sz w:val="22"/>
          <w:szCs w:val="22"/>
        </w:rPr>
      </w:pPr>
      <w:r w:rsidRPr="004C77F3">
        <w:rPr>
          <w:rFonts w:asciiTheme="minorHAnsi" w:hAnsiTheme="minorHAnsi" w:cstheme="minorHAnsi"/>
          <w:sz w:val="22"/>
          <w:szCs w:val="22"/>
        </w:rPr>
        <w:t>In light of these changes, the Company expects that in 2015 it will spend approximately $1.5 million on the acquisition of 240,000 therm savings in the residential and commercial sector.  The Company will maintain a benefit to cost ratio of 1.0 or better for its total portfolio using UCT but will continue reporting both UCT and TRC.  Further, we propose maintaining the performance metrics of $0.65 for the overall levelized cost per therm saved and $6.50 or less for the first year therm cost.</w:t>
      </w:r>
      <w:r w:rsidRPr="000D5200">
        <w:rPr>
          <w:rFonts w:asciiTheme="minorHAnsi" w:hAnsiTheme="minorHAnsi" w:cstheme="minorHAnsi"/>
          <w:sz w:val="22"/>
          <w:szCs w:val="22"/>
        </w:rPr>
        <w:t xml:space="preserve">  </w:t>
      </w:r>
    </w:p>
    <w:p w14:paraId="20875413" w14:textId="77777777" w:rsidR="00815C0B" w:rsidRDefault="00815C0B" w:rsidP="003C6B1F">
      <w:pPr>
        <w:ind w:firstLine="720"/>
        <w:rPr>
          <w:rFonts w:asciiTheme="minorHAnsi" w:hAnsiTheme="minorHAnsi" w:cstheme="minorHAnsi"/>
          <w:sz w:val="22"/>
          <w:szCs w:val="22"/>
        </w:rPr>
      </w:pPr>
    </w:p>
    <w:p w14:paraId="28D84BB3" w14:textId="77777777" w:rsidR="004C77F3" w:rsidRDefault="004C77F3" w:rsidP="004C77F3">
      <w:pPr>
        <w:ind w:firstLine="720"/>
        <w:rPr>
          <w:rFonts w:asciiTheme="minorHAnsi" w:hAnsiTheme="minorHAnsi" w:cstheme="minorHAnsi"/>
          <w:sz w:val="22"/>
          <w:szCs w:val="22"/>
        </w:rPr>
      </w:pPr>
      <w:r>
        <w:rPr>
          <w:rFonts w:asciiTheme="minorHAnsi" w:hAnsiTheme="minorHAnsi" w:cstheme="minorHAnsi"/>
          <w:sz w:val="22"/>
          <w:szCs w:val="22"/>
        </w:rPr>
        <w:t>Besides establishing 2015 goals and performance metrics, the</w:t>
      </w:r>
      <w:r w:rsidRPr="0001569B">
        <w:rPr>
          <w:rFonts w:asciiTheme="minorHAnsi" w:hAnsiTheme="minorHAnsi" w:cstheme="minorHAnsi"/>
          <w:sz w:val="22"/>
          <w:szCs w:val="22"/>
        </w:rPr>
        <w:t xml:space="preserve"> Company is also</w:t>
      </w:r>
      <w:r>
        <w:rPr>
          <w:rFonts w:asciiTheme="minorHAnsi" w:hAnsiTheme="minorHAnsi" w:cstheme="minorHAnsi"/>
          <w:sz w:val="22"/>
          <w:szCs w:val="22"/>
        </w:rPr>
        <w:t xml:space="preserve"> updating savings assumptions, changing incentive offers and introducing 37 new measures to its residential and commercial portfolio.  Updated, changed or new measures are noted the revised list of measures included as Appendix A of the EE Plan.  The list is revised to include a Unit Energy Savings (UES) value for each incented measures.  </w:t>
      </w:r>
    </w:p>
    <w:p w14:paraId="50996C30" w14:textId="77777777" w:rsidR="004C77F3" w:rsidRDefault="004C77F3" w:rsidP="003C6B1F">
      <w:pPr>
        <w:ind w:firstLine="720"/>
        <w:rPr>
          <w:rFonts w:asciiTheme="minorHAnsi" w:hAnsiTheme="minorHAnsi" w:cstheme="minorHAnsi"/>
          <w:sz w:val="22"/>
          <w:szCs w:val="22"/>
        </w:rPr>
      </w:pPr>
    </w:p>
    <w:p w14:paraId="02B12C55" w14:textId="570F391D" w:rsidR="00BD3A3E" w:rsidRDefault="008B0285" w:rsidP="00BD3A3E">
      <w:pPr>
        <w:ind w:firstLine="720"/>
        <w:rPr>
          <w:rFonts w:asciiTheme="minorHAnsi" w:hAnsiTheme="minorHAnsi" w:cstheme="minorHAnsi"/>
          <w:sz w:val="22"/>
          <w:szCs w:val="22"/>
        </w:rPr>
      </w:pPr>
      <w:r>
        <w:rPr>
          <w:rFonts w:asciiTheme="minorHAnsi" w:hAnsiTheme="minorHAnsi" w:cstheme="minorHAnsi"/>
          <w:sz w:val="22"/>
          <w:szCs w:val="22"/>
        </w:rPr>
        <w:t xml:space="preserve">Besides these new measures, the EE Plan is revised </w:t>
      </w:r>
      <w:r w:rsidR="00F13B3B">
        <w:rPr>
          <w:rFonts w:asciiTheme="minorHAnsi" w:hAnsiTheme="minorHAnsi" w:cstheme="minorHAnsi"/>
          <w:sz w:val="22"/>
          <w:szCs w:val="22"/>
        </w:rPr>
        <w:t xml:space="preserve">to include </w:t>
      </w:r>
      <w:r>
        <w:rPr>
          <w:rFonts w:asciiTheme="minorHAnsi" w:hAnsiTheme="minorHAnsi" w:cstheme="minorHAnsi"/>
          <w:sz w:val="22"/>
          <w:szCs w:val="22"/>
        </w:rPr>
        <w:t>on-the-bill repayment services for a new</w:t>
      </w:r>
      <w:r w:rsidR="00F13B3B">
        <w:rPr>
          <w:rFonts w:asciiTheme="minorHAnsi" w:hAnsiTheme="minorHAnsi" w:cstheme="minorHAnsi"/>
          <w:sz w:val="22"/>
          <w:szCs w:val="22"/>
        </w:rPr>
        <w:t xml:space="preserve"> residential loan offering.</w:t>
      </w:r>
      <w:r>
        <w:rPr>
          <w:rFonts w:asciiTheme="minorHAnsi" w:hAnsiTheme="minorHAnsi" w:cstheme="minorHAnsi"/>
          <w:sz w:val="22"/>
          <w:szCs w:val="22"/>
        </w:rPr>
        <w:t xml:space="preserve"> </w:t>
      </w:r>
      <w:r w:rsidRPr="008B0285">
        <w:rPr>
          <w:rFonts w:asciiTheme="minorHAnsi" w:hAnsiTheme="minorHAnsi" w:cstheme="minorHAnsi"/>
          <w:sz w:val="22"/>
          <w:szCs w:val="22"/>
        </w:rPr>
        <w:t xml:space="preserve">NW Natural will assist in marketing a loan offering available to residential homeowners who heat their homes with gas heat.  </w:t>
      </w:r>
      <w:r w:rsidR="00BD3A3E">
        <w:rPr>
          <w:rFonts w:asciiTheme="minorHAnsi" w:hAnsiTheme="minorHAnsi" w:cstheme="minorHAnsi"/>
          <w:sz w:val="22"/>
          <w:szCs w:val="22"/>
        </w:rPr>
        <w:t xml:space="preserve">NW Natural will not be a party to </w:t>
      </w:r>
      <w:r w:rsidR="00E40E74">
        <w:rPr>
          <w:rFonts w:asciiTheme="minorHAnsi" w:hAnsiTheme="minorHAnsi" w:cstheme="minorHAnsi"/>
          <w:sz w:val="22"/>
          <w:szCs w:val="22"/>
        </w:rPr>
        <w:t xml:space="preserve">the </w:t>
      </w:r>
      <w:r w:rsidR="00BD3A3E">
        <w:rPr>
          <w:rFonts w:asciiTheme="minorHAnsi" w:hAnsiTheme="minorHAnsi" w:cstheme="minorHAnsi"/>
          <w:sz w:val="22"/>
          <w:szCs w:val="22"/>
        </w:rPr>
        <w:t xml:space="preserve">loan, will not qualify customers for </w:t>
      </w:r>
      <w:r w:rsidR="00F13B3B">
        <w:rPr>
          <w:rFonts w:asciiTheme="minorHAnsi" w:hAnsiTheme="minorHAnsi" w:cstheme="minorHAnsi"/>
          <w:sz w:val="22"/>
          <w:szCs w:val="22"/>
        </w:rPr>
        <w:t xml:space="preserve">the </w:t>
      </w:r>
      <w:r w:rsidR="00BD3A3E">
        <w:rPr>
          <w:rFonts w:asciiTheme="minorHAnsi" w:hAnsiTheme="minorHAnsi" w:cstheme="minorHAnsi"/>
          <w:sz w:val="22"/>
          <w:szCs w:val="22"/>
        </w:rPr>
        <w:t xml:space="preserve">loans, </w:t>
      </w:r>
      <w:r w:rsidR="00F13B3B">
        <w:rPr>
          <w:rFonts w:asciiTheme="minorHAnsi" w:hAnsiTheme="minorHAnsi" w:cstheme="minorHAnsi"/>
          <w:sz w:val="22"/>
          <w:szCs w:val="22"/>
        </w:rPr>
        <w:t xml:space="preserve">and </w:t>
      </w:r>
      <w:r w:rsidR="00BD3A3E">
        <w:rPr>
          <w:rFonts w:asciiTheme="minorHAnsi" w:hAnsiTheme="minorHAnsi" w:cstheme="minorHAnsi"/>
          <w:sz w:val="22"/>
          <w:szCs w:val="22"/>
        </w:rPr>
        <w:t>will not charge late fees or disconnect customers’ service for nonpayment of loan fees.  The Company’s role is limited to marketing</w:t>
      </w:r>
      <w:r w:rsidR="00F13B3B">
        <w:rPr>
          <w:rFonts w:asciiTheme="minorHAnsi" w:hAnsiTheme="minorHAnsi" w:cstheme="minorHAnsi"/>
          <w:sz w:val="22"/>
          <w:szCs w:val="22"/>
        </w:rPr>
        <w:t xml:space="preserve"> the offering</w:t>
      </w:r>
      <w:r w:rsidR="00BD3A3E">
        <w:rPr>
          <w:rFonts w:asciiTheme="minorHAnsi" w:hAnsiTheme="minorHAnsi" w:cstheme="minorHAnsi"/>
          <w:sz w:val="22"/>
          <w:szCs w:val="22"/>
        </w:rPr>
        <w:t xml:space="preserve"> and </w:t>
      </w:r>
      <w:r w:rsidR="00F13B3B">
        <w:rPr>
          <w:rFonts w:asciiTheme="minorHAnsi" w:hAnsiTheme="minorHAnsi" w:cstheme="minorHAnsi"/>
          <w:sz w:val="22"/>
          <w:szCs w:val="22"/>
        </w:rPr>
        <w:t xml:space="preserve">providing billing and remittance </w:t>
      </w:r>
      <w:r w:rsidR="00E27597">
        <w:rPr>
          <w:rFonts w:asciiTheme="minorHAnsi" w:hAnsiTheme="minorHAnsi" w:cstheme="minorHAnsi"/>
          <w:sz w:val="22"/>
          <w:szCs w:val="22"/>
        </w:rPr>
        <w:t xml:space="preserve">services </w:t>
      </w:r>
      <w:r w:rsidR="00F13B3B">
        <w:rPr>
          <w:rFonts w:asciiTheme="minorHAnsi" w:hAnsiTheme="minorHAnsi" w:cstheme="minorHAnsi"/>
          <w:sz w:val="22"/>
          <w:szCs w:val="22"/>
        </w:rPr>
        <w:t>for the loan originator</w:t>
      </w:r>
      <w:r w:rsidR="00BD3A3E">
        <w:rPr>
          <w:rFonts w:asciiTheme="minorHAnsi" w:hAnsiTheme="minorHAnsi" w:cstheme="minorHAnsi"/>
          <w:sz w:val="22"/>
          <w:szCs w:val="22"/>
        </w:rPr>
        <w:t xml:space="preserve">. </w:t>
      </w:r>
    </w:p>
    <w:p w14:paraId="61FE5AAB" w14:textId="77777777" w:rsidR="00BD3A3E" w:rsidRDefault="00BD3A3E" w:rsidP="003C6B1F">
      <w:pPr>
        <w:ind w:firstLine="720"/>
        <w:rPr>
          <w:rFonts w:asciiTheme="minorHAnsi" w:hAnsiTheme="minorHAnsi" w:cstheme="minorHAnsi"/>
          <w:sz w:val="22"/>
          <w:szCs w:val="22"/>
        </w:rPr>
      </w:pPr>
    </w:p>
    <w:p w14:paraId="75E94F40" w14:textId="7E0EFDA0" w:rsidR="00815C0B" w:rsidRDefault="00BD3A3E" w:rsidP="003C6B1F">
      <w:pPr>
        <w:ind w:firstLine="720"/>
        <w:rPr>
          <w:rFonts w:asciiTheme="minorHAnsi" w:hAnsiTheme="minorHAnsi" w:cstheme="minorHAnsi"/>
          <w:sz w:val="22"/>
          <w:szCs w:val="22"/>
        </w:rPr>
      </w:pPr>
      <w:r>
        <w:rPr>
          <w:rFonts w:asciiTheme="minorHAnsi" w:hAnsiTheme="minorHAnsi" w:cstheme="minorHAnsi"/>
          <w:sz w:val="22"/>
          <w:szCs w:val="22"/>
        </w:rPr>
        <w:t xml:space="preserve">Loans will be provided through </w:t>
      </w:r>
      <w:r w:rsidR="008B0285" w:rsidRPr="008B0285">
        <w:rPr>
          <w:rFonts w:asciiTheme="minorHAnsi" w:hAnsiTheme="minorHAnsi" w:cstheme="minorHAnsi"/>
          <w:sz w:val="22"/>
          <w:szCs w:val="22"/>
        </w:rPr>
        <w:t>Craft3</w:t>
      </w:r>
      <w:r w:rsidR="008B0285">
        <w:rPr>
          <w:rFonts w:asciiTheme="minorHAnsi" w:hAnsiTheme="minorHAnsi" w:cstheme="minorHAnsi"/>
          <w:sz w:val="22"/>
          <w:szCs w:val="22"/>
        </w:rPr>
        <w:t xml:space="preserve">, </w:t>
      </w:r>
      <w:r w:rsidR="008B0285" w:rsidRPr="008B0285">
        <w:rPr>
          <w:rFonts w:asciiTheme="minorHAnsi" w:hAnsiTheme="minorHAnsi" w:cstheme="minorHAnsi"/>
          <w:sz w:val="22"/>
          <w:szCs w:val="22"/>
        </w:rPr>
        <w:t>a non-profit community development financial institution (CDFI) lender</w:t>
      </w:r>
      <w:r>
        <w:rPr>
          <w:rFonts w:asciiTheme="minorHAnsi" w:hAnsiTheme="minorHAnsi" w:cstheme="minorHAnsi"/>
          <w:sz w:val="22"/>
          <w:szCs w:val="22"/>
        </w:rPr>
        <w:t xml:space="preserve"> that</w:t>
      </w:r>
      <w:r w:rsidR="008B0285" w:rsidRPr="008B0285">
        <w:rPr>
          <w:rFonts w:asciiTheme="minorHAnsi" w:hAnsiTheme="minorHAnsi" w:cstheme="minorHAnsi"/>
          <w:sz w:val="22"/>
          <w:szCs w:val="22"/>
        </w:rPr>
        <w:t xml:space="preserve"> received a grant from the State Of Washington’s </w:t>
      </w:r>
      <w:hyperlink r:id="rId13" w:history="1">
        <w:r w:rsidR="008B0285" w:rsidRPr="008B0285">
          <w:rPr>
            <w:rFonts w:asciiTheme="minorHAnsi" w:hAnsiTheme="minorHAnsi" w:cstheme="minorHAnsi"/>
            <w:sz w:val="22"/>
            <w:szCs w:val="22"/>
          </w:rPr>
          <w:t>Clean Energy Revolving Loan Fund</w:t>
        </w:r>
      </w:hyperlink>
      <w:r w:rsidR="008B0285" w:rsidRPr="008B0285">
        <w:rPr>
          <w:rFonts w:asciiTheme="minorHAnsi" w:hAnsiTheme="minorHAnsi" w:cstheme="minorHAnsi"/>
          <w:sz w:val="22"/>
          <w:szCs w:val="22"/>
        </w:rPr>
        <w:t xml:space="preserve"> for the purpose of providing financing to qualify</w:t>
      </w:r>
      <w:r w:rsidR="00E27597">
        <w:rPr>
          <w:rFonts w:asciiTheme="minorHAnsi" w:hAnsiTheme="minorHAnsi" w:cstheme="minorHAnsi"/>
          <w:sz w:val="22"/>
          <w:szCs w:val="22"/>
        </w:rPr>
        <w:t>ing Washington residents.</w:t>
      </w:r>
      <w:r w:rsidR="008B0285">
        <w:rPr>
          <w:rFonts w:asciiTheme="minorHAnsi" w:hAnsiTheme="minorHAnsi" w:cstheme="minorHAnsi"/>
          <w:sz w:val="22"/>
          <w:szCs w:val="22"/>
        </w:rPr>
        <w:t xml:space="preserve"> </w:t>
      </w:r>
      <w:r>
        <w:rPr>
          <w:rFonts w:asciiTheme="minorHAnsi" w:hAnsiTheme="minorHAnsi" w:cstheme="minorHAnsi"/>
          <w:sz w:val="22"/>
          <w:szCs w:val="22"/>
        </w:rPr>
        <w:t>Loans will be offered to qualifying customers for the</w:t>
      </w:r>
      <w:r w:rsidR="008B0285" w:rsidRPr="008B0285">
        <w:rPr>
          <w:rFonts w:asciiTheme="minorHAnsi" w:hAnsiTheme="minorHAnsi" w:cstheme="minorHAnsi"/>
          <w:sz w:val="22"/>
          <w:szCs w:val="22"/>
        </w:rPr>
        <w:t xml:space="preserve"> purpose of installing energy efficiency measures incented </w:t>
      </w:r>
      <w:r w:rsidR="008B0285">
        <w:rPr>
          <w:rFonts w:asciiTheme="minorHAnsi" w:hAnsiTheme="minorHAnsi" w:cstheme="minorHAnsi"/>
          <w:sz w:val="22"/>
          <w:szCs w:val="22"/>
        </w:rPr>
        <w:t>through NW Natural’s</w:t>
      </w:r>
      <w:r w:rsidR="008B0285" w:rsidRPr="008B0285">
        <w:rPr>
          <w:rFonts w:asciiTheme="minorHAnsi" w:hAnsiTheme="minorHAnsi" w:cstheme="minorHAnsi"/>
          <w:sz w:val="22"/>
          <w:szCs w:val="22"/>
        </w:rPr>
        <w:t xml:space="preserve"> existing homes program</w:t>
      </w:r>
      <w:r>
        <w:rPr>
          <w:rFonts w:asciiTheme="minorHAnsi" w:hAnsiTheme="minorHAnsi" w:cstheme="minorHAnsi"/>
          <w:sz w:val="22"/>
          <w:szCs w:val="22"/>
        </w:rPr>
        <w:t>.</w:t>
      </w:r>
      <w:r w:rsidR="00E27597">
        <w:rPr>
          <w:rFonts w:asciiTheme="minorHAnsi" w:hAnsiTheme="minorHAnsi" w:cstheme="minorHAnsi"/>
          <w:sz w:val="22"/>
          <w:szCs w:val="22"/>
        </w:rPr>
        <w:t xml:space="preserve"> </w:t>
      </w:r>
      <w:r w:rsidR="001E4A2D">
        <w:rPr>
          <w:rFonts w:asciiTheme="minorHAnsi" w:hAnsiTheme="minorHAnsi" w:cstheme="minorHAnsi"/>
          <w:sz w:val="22"/>
          <w:szCs w:val="22"/>
        </w:rPr>
        <w:t xml:space="preserve">Trade Allies preparing customer bids for eligible measures will complete a workbook detailing an estimated impact to the customer’s utility bill, including both the cost of financing and projected energy savings. A sample output from the “Bill Impact Estimator” is included in </w:t>
      </w:r>
      <w:r w:rsidR="00976B02">
        <w:rPr>
          <w:rFonts w:asciiTheme="minorHAnsi" w:hAnsiTheme="minorHAnsi" w:cstheme="minorHAnsi"/>
          <w:sz w:val="22"/>
          <w:szCs w:val="22"/>
        </w:rPr>
        <w:t>Exhibit C</w:t>
      </w:r>
      <w:r w:rsidR="001E4A2D">
        <w:rPr>
          <w:rFonts w:asciiTheme="minorHAnsi" w:hAnsiTheme="minorHAnsi" w:cstheme="minorHAnsi"/>
          <w:sz w:val="22"/>
          <w:szCs w:val="22"/>
        </w:rPr>
        <w:t>. All customers will receive a projected Bill Impact prior to applying for financing wi</w:t>
      </w:r>
      <w:r w:rsidR="00E27597">
        <w:rPr>
          <w:rFonts w:asciiTheme="minorHAnsi" w:hAnsiTheme="minorHAnsi" w:cstheme="minorHAnsi"/>
          <w:sz w:val="22"/>
          <w:szCs w:val="22"/>
        </w:rPr>
        <w:t>th the program lender, Craft3.</w:t>
      </w:r>
      <w:r w:rsidR="001E4A2D">
        <w:rPr>
          <w:rFonts w:asciiTheme="minorHAnsi" w:hAnsiTheme="minorHAnsi" w:cstheme="minorHAnsi"/>
          <w:sz w:val="22"/>
          <w:szCs w:val="22"/>
        </w:rPr>
        <w:t xml:space="preserve"> </w:t>
      </w:r>
      <w:r w:rsidR="008B0285" w:rsidRPr="008B0285">
        <w:rPr>
          <w:rFonts w:asciiTheme="minorHAnsi" w:hAnsiTheme="minorHAnsi" w:cstheme="minorHAnsi"/>
          <w:sz w:val="22"/>
          <w:szCs w:val="22"/>
        </w:rPr>
        <w:t>Customers who ob</w:t>
      </w:r>
      <w:r w:rsidR="00E27597">
        <w:rPr>
          <w:rFonts w:asciiTheme="minorHAnsi" w:hAnsiTheme="minorHAnsi" w:cstheme="minorHAnsi"/>
          <w:sz w:val="22"/>
          <w:szCs w:val="22"/>
        </w:rPr>
        <w:t>tain a loan from Craft3 with on-the-</w:t>
      </w:r>
      <w:r w:rsidR="008B0285" w:rsidRPr="008B0285">
        <w:rPr>
          <w:rFonts w:asciiTheme="minorHAnsi" w:hAnsiTheme="minorHAnsi" w:cstheme="minorHAnsi"/>
          <w:sz w:val="22"/>
          <w:szCs w:val="22"/>
        </w:rPr>
        <w:t>bill repayment services will receive a loan repayment charge as a separately itemized as “Energy</w:t>
      </w:r>
      <w:r w:rsidR="00E90B08">
        <w:rPr>
          <w:rFonts w:asciiTheme="minorHAnsi" w:hAnsiTheme="minorHAnsi" w:cstheme="minorHAnsi"/>
          <w:sz w:val="22"/>
          <w:szCs w:val="22"/>
        </w:rPr>
        <w:t xml:space="preserve"> </w:t>
      </w:r>
      <w:r w:rsidR="008B0285" w:rsidRPr="008B0285">
        <w:rPr>
          <w:rFonts w:asciiTheme="minorHAnsi" w:hAnsiTheme="minorHAnsi" w:cstheme="minorHAnsi"/>
          <w:sz w:val="22"/>
          <w:szCs w:val="22"/>
        </w:rPr>
        <w:t>Upgrade Loan” on their monthly bill for natural gas service for the term of the loan or until the loan has been paid off, transferred</w:t>
      </w:r>
      <w:r w:rsidR="00E27597">
        <w:rPr>
          <w:rFonts w:asciiTheme="minorHAnsi" w:hAnsiTheme="minorHAnsi" w:cstheme="minorHAnsi"/>
          <w:sz w:val="22"/>
          <w:szCs w:val="22"/>
        </w:rPr>
        <w:t>,</w:t>
      </w:r>
      <w:r w:rsidR="008B0285" w:rsidRPr="008B0285">
        <w:rPr>
          <w:rFonts w:asciiTheme="minorHAnsi" w:hAnsiTheme="minorHAnsi" w:cstheme="minorHAnsi"/>
          <w:sz w:val="22"/>
          <w:szCs w:val="22"/>
        </w:rPr>
        <w:t xml:space="preserve"> or otherwise discharged </w:t>
      </w:r>
      <w:r w:rsidR="008B0285">
        <w:rPr>
          <w:rFonts w:asciiTheme="minorHAnsi" w:hAnsiTheme="minorHAnsi" w:cstheme="minorHAnsi"/>
          <w:sz w:val="22"/>
          <w:szCs w:val="22"/>
        </w:rPr>
        <w:t xml:space="preserve">from the </w:t>
      </w:r>
      <w:r w:rsidR="008B0285" w:rsidRPr="008B0285">
        <w:rPr>
          <w:rFonts w:asciiTheme="minorHAnsi" w:hAnsiTheme="minorHAnsi" w:cstheme="minorHAnsi"/>
          <w:sz w:val="22"/>
          <w:szCs w:val="22"/>
        </w:rPr>
        <w:t>bill</w:t>
      </w:r>
      <w:r w:rsidR="008B0285">
        <w:rPr>
          <w:rFonts w:asciiTheme="minorHAnsi" w:hAnsiTheme="minorHAnsi" w:cstheme="minorHAnsi"/>
          <w:sz w:val="22"/>
          <w:szCs w:val="22"/>
        </w:rPr>
        <w:t>.</w:t>
      </w:r>
      <w:r w:rsidR="001E4A2D">
        <w:rPr>
          <w:rFonts w:asciiTheme="minorHAnsi" w:hAnsiTheme="minorHAnsi" w:cstheme="minorHAnsi"/>
          <w:sz w:val="22"/>
          <w:szCs w:val="22"/>
        </w:rPr>
        <w:t xml:space="preserve"> </w:t>
      </w:r>
    </w:p>
    <w:p w14:paraId="12924822" w14:textId="77777777" w:rsidR="00EB1D7A" w:rsidRDefault="00EB1D7A" w:rsidP="003C6B1F">
      <w:pPr>
        <w:ind w:firstLine="720"/>
        <w:rPr>
          <w:rFonts w:asciiTheme="minorHAnsi" w:hAnsiTheme="minorHAnsi" w:cstheme="minorHAnsi"/>
          <w:sz w:val="22"/>
          <w:szCs w:val="22"/>
        </w:rPr>
      </w:pPr>
    </w:p>
    <w:p w14:paraId="10E5F9D3" w14:textId="2F1FDCBF" w:rsidR="0067052C" w:rsidRDefault="00EB1D7A" w:rsidP="0067052C">
      <w:pPr>
        <w:ind w:firstLine="720"/>
        <w:rPr>
          <w:rFonts w:asciiTheme="minorHAnsi" w:hAnsiTheme="minorHAnsi" w:cstheme="minorHAnsi"/>
          <w:sz w:val="22"/>
          <w:szCs w:val="22"/>
        </w:rPr>
      </w:pPr>
      <w:r w:rsidRPr="0067052C">
        <w:rPr>
          <w:rFonts w:asciiTheme="minorHAnsi" w:hAnsiTheme="minorHAnsi" w:cstheme="minorHAnsi"/>
          <w:sz w:val="22"/>
          <w:szCs w:val="22"/>
        </w:rPr>
        <w:t>Th</w:t>
      </w:r>
      <w:r w:rsidR="0067052C">
        <w:rPr>
          <w:rFonts w:asciiTheme="minorHAnsi" w:hAnsiTheme="minorHAnsi" w:cstheme="minorHAnsi"/>
          <w:sz w:val="22"/>
          <w:szCs w:val="22"/>
        </w:rPr>
        <w:t>is</w:t>
      </w:r>
      <w:r w:rsidRPr="0067052C">
        <w:rPr>
          <w:rFonts w:asciiTheme="minorHAnsi" w:hAnsiTheme="minorHAnsi" w:cstheme="minorHAnsi"/>
          <w:sz w:val="22"/>
          <w:szCs w:val="22"/>
        </w:rPr>
        <w:t xml:space="preserve"> financing will assist customers in overcoming t</w:t>
      </w:r>
      <w:r w:rsidR="00BD3A3E">
        <w:rPr>
          <w:rFonts w:asciiTheme="minorHAnsi" w:hAnsiTheme="minorHAnsi" w:cstheme="minorHAnsi"/>
          <w:sz w:val="22"/>
          <w:szCs w:val="22"/>
        </w:rPr>
        <w:t>he first cost barrier experienced with</w:t>
      </w:r>
      <w:r w:rsidRPr="0067052C">
        <w:rPr>
          <w:rFonts w:asciiTheme="minorHAnsi" w:hAnsiTheme="minorHAnsi" w:cstheme="minorHAnsi"/>
          <w:sz w:val="22"/>
          <w:szCs w:val="22"/>
        </w:rPr>
        <w:t xml:space="preserve"> installing multiple energy savings measures. </w:t>
      </w:r>
      <w:r w:rsidR="0067052C" w:rsidRPr="0067052C">
        <w:rPr>
          <w:rFonts w:asciiTheme="minorHAnsi" w:hAnsiTheme="minorHAnsi" w:cstheme="minorHAnsi"/>
          <w:sz w:val="22"/>
          <w:szCs w:val="22"/>
        </w:rPr>
        <w:t xml:space="preserve">Loans up to $7500 </w:t>
      </w:r>
      <w:r w:rsidR="0067052C">
        <w:rPr>
          <w:rFonts w:asciiTheme="minorHAnsi" w:hAnsiTheme="minorHAnsi" w:cstheme="minorHAnsi"/>
          <w:sz w:val="22"/>
          <w:szCs w:val="22"/>
        </w:rPr>
        <w:t>will have terms not to exceed seven years</w:t>
      </w:r>
      <w:r w:rsidR="00BD3A3E">
        <w:rPr>
          <w:rFonts w:asciiTheme="minorHAnsi" w:hAnsiTheme="minorHAnsi" w:cstheme="minorHAnsi"/>
          <w:sz w:val="22"/>
          <w:szCs w:val="22"/>
        </w:rPr>
        <w:t>,</w:t>
      </w:r>
      <w:r w:rsidR="0067052C">
        <w:rPr>
          <w:rFonts w:asciiTheme="minorHAnsi" w:hAnsiTheme="minorHAnsi" w:cstheme="minorHAnsi"/>
          <w:sz w:val="22"/>
          <w:szCs w:val="22"/>
        </w:rPr>
        <w:t xml:space="preserve"> and loans </w:t>
      </w:r>
      <w:r w:rsidR="0067052C" w:rsidRPr="0067052C">
        <w:rPr>
          <w:rFonts w:asciiTheme="minorHAnsi" w:hAnsiTheme="minorHAnsi" w:cstheme="minorHAnsi"/>
          <w:sz w:val="22"/>
          <w:szCs w:val="22"/>
        </w:rPr>
        <w:t xml:space="preserve">between $7,500 and $15,000 </w:t>
      </w:r>
      <w:r w:rsidR="0067052C">
        <w:rPr>
          <w:rFonts w:asciiTheme="minorHAnsi" w:hAnsiTheme="minorHAnsi" w:cstheme="minorHAnsi"/>
          <w:sz w:val="22"/>
          <w:szCs w:val="22"/>
        </w:rPr>
        <w:t>will have terms not longer than 15-years</w:t>
      </w:r>
      <w:r w:rsidR="00E27597">
        <w:rPr>
          <w:rFonts w:asciiTheme="minorHAnsi" w:hAnsiTheme="minorHAnsi" w:cstheme="minorHAnsi"/>
          <w:sz w:val="22"/>
          <w:szCs w:val="22"/>
        </w:rPr>
        <w:t xml:space="preserve">. </w:t>
      </w:r>
      <w:r w:rsidR="0067052C" w:rsidRPr="0067052C">
        <w:rPr>
          <w:rFonts w:asciiTheme="minorHAnsi" w:hAnsiTheme="minorHAnsi" w:cstheme="minorHAnsi"/>
          <w:sz w:val="22"/>
          <w:szCs w:val="22"/>
        </w:rPr>
        <w:t>The interest rate will</w:t>
      </w:r>
      <w:r w:rsidR="006C3AC4">
        <w:rPr>
          <w:rFonts w:asciiTheme="minorHAnsi" w:hAnsiTheme="minorHAnsi" w:cstheme="minorHAnsi"/>
          <w:sz w:val="22"/>
          <w:szCs w:val="22"/>
        </w:rPr>
        <w:t xml:space="preserve"> </w:t>
      </w:r>
      <w:r w:rsidR="0048500E">
        <w:rPr>
          <w:rFonts w:asciiTheme="minorHAnsi" w:hAnsiTheme="minorHAnsi" w:cstheme="minorHAnsi"/>
          <w:sz w:val="22"/>
          <w:szCs w:val="22"/>
        </w:rPr>
        <w:t>be</w:t>
      </w:r>
      <w:r w:rsidR="00BD3A3E">
        <w:rPr>
          <w:rFonts w:asciiTheme="minorHAnsi" w:hAnsiTheme="minorHAnsi" w:cstheme="minorHAnsi"/>
          <w:sz w:val="22"/>
          <w:szCs w:val="22"/>
        </w:rPr>
        <w:t xml:space="preserve"> 4.49%</w:t>
      </w:r>
      <w:r w:rsidR="0048500E">
        <w:rPr>
          <w:rStyle w:val="FootnoteReference"/>
          <w:rFonts w:asciiTheme="minorHAnsi" w:hAnsiTheme="minorHAnsi" w:cstheme="minorHAnsi"/>
          <w:sz w:val="22"/>
          <w:szCs w:val="22"/>
        </w:rPr>
        <w:footnoteReference w:id="1"/>
      </w:r>
      <w:r w:rsidR="00DC779E">
        <w:rPr>
          <w:rFonts w:asciiTheme="minorHAnsi" w:hAnsiTheme="minorHAnsi" w:cstheme="minorHAnsi"/>
          <w:sz w:val="22"/>
          <w:szCs w:val="22"/>
        </w:rPr>
        <w:t>, a</w:t>
      </w:r>
      <w:r w:rsidR="00BD3A3E">
        <w:rPr>
          <w:rFonts w:asciiTheme="minorHAnsi" w:hAnsiTheme="minorHAnsi" w:cstheme="minorHAnsi"/>
          <w:sz w:val="22"/>
          <w:szCs w:val="22"/>
        </w:rPr>
        <w:t>nd</w:t>
      </w:r>
      <w:r w:rsidR="0067052C" w:rsidRPr="0067052C">
        <w:rPr>
          <w:rFonts w:asciiTheme="minorHAnsi" w:hAnsiTheme="minorHAnsi" w:cstheme="minorHAnsi"/>
          <w:sz w:val="22"/>
          <w:szCs w:val="22"/>
        </w:rPr>
        <w:t xml:space="preserve"> </w:t>
      </w:r>
      <w:r w:rsidR="0067052C">
        <w:rPr>
          <w:rFonts w:asciiTheme="minorHAnsi" w:hAnsiTheme="minorHAnsi" w:cstheme="minorHAnsi"/>
          <w:sz w:val="22"/>
          <w:szCs w:val="22"/>
        </w:rPr>
        <w:t>n</w:t>
      </w:r>
      <w:r w:rsidR="0067052C" w:rsidRPr="0067052C">
        <w:rPr>
          <w:rFonts w:asciiTheme="minorHAnsi" w:hAnsiTheme="minorHAnsi" w:cstheme="minorHAnsi"/>
          <w:sz w:val="22"/>
          <w:szCs w:val="22"/>
        </w:rPr>
        <w:t xml:space="preserve">o more than 25% of </w:t>
      </w:r>
      <w:r w:rsidR="0067052C">
        <w:rPr>
          <w:rFonts w:asciiTheme="minorHAnsi" w:hAnsiTheme="minorHAnsi" w:cstheme="minorHAnsi"/>
          <w:sz w:val="22"/>
          <w:szCs w:val="22"/>
        </w:rPr>
        <w:t>funding</w:t>
      </w:r>
      <w:r w:rsidR="0067052C" w:rsidRPr="0067052C">
        <w:rPr>
          <w:rFonts w:asciiTheme="minorHAnsi" w:hAnsiTheme="minorHAnsi" w:cstheme="minorHAnsi"/>
          <w:sz w:val="22"/>
          <w:szCs w:val="22"/>
        </w:rPr>
        <w:t xml:space="preserve"> may be used for non-energy related measures.  Expenditure</w:t>
      </w:r>
      <w:r w:rsidR="0067052C">
        <w:rPr>
          <w:rFonts w:asciiTheme="minorHAnsi" w:hAnsiTheme="minorHAnsi" w:cstheme="minorHAnsi"/>
          <w:sz w:val="22"/>
          <w:szCs w:val="22"/>
        </w:rPr>
        <w:t>s</w:t>
      </w:r>
      <w:r w:rsidR="0067052C" w:rsidRPr="0067052C">
        <w:rPr>
          <w:rFonts w:asciiTheme="minorHAnsi" w:hAnsiTheme="minorHAnsi" w:cstheme="minorHAnsi"/>
          <w:sz w:val="22"/>
          <w:szCs w:val="22"/>
        </w:rPr>
        <w:t xml:space="preserve"> that are non-energy related will be restricted to costs incurred by the commissioning of </w:t>
      </w:r>
      <w:r w:rsidR="00E27597">
        <w:rPr>
          <w:rFonts w:asciiTheme="minorHAnsi" w:hAnsiTheme="minorHAnsi" w:cstheme="minorHAnsi"/>
          <w:sz w:val="22"/>
          <w:szCs w:val="22"/>
        </w:rPr>
        <w:t>energy efficiency</w:t>
      </w:r>
      <w:r w:rsidR="0067052C" w:rsidRPr="0067052C">
        <w:rPr>
          <w:rFonts w:asciiTheme="minorHAnsi" w:hAnsiTheme="minorHAnsi" w:cstheme="minorHAnsi"/>
          <w:sz w:val="22"/>
          <w:szCs w:val="22"/>
        </w:rPr>
        <w:t xml:space="preserve"> measures (for example, removal of knob and tube wiring). </w:t>
      </w:r>
    </w:p>
    <w:p w14:paraId="76DA1E90" w14:textId="77777777" w:rsidR="00232606" w:rsidRDefault="00232606" w:rsidP="00232606">
      <w:pPr>
        <w:ind w:firstLine="720"/>
        <w:rPr>
          <w:rFonts w:asciiTheme="minorHAnsi" w:hAnsiTheme="minorHAnsi" w:cstheme="minorHAnsi"/>
          <w:sz w:val="22"/>
          <w:szCs w:val="22"/>
        </w:rPr>
      </w:pPr>
    </w:p>
    <w:p w14:paraId="4684FC91" w14:textId="5AFD501D" w:rsidR="00232606" w:rsidRDefault="00232606" w:rsidP="00232606">
      <w:pPr>
        <w:ind w:firstLine="720"/>
        <w:rPr>
          <w:rFonts w:asciiTheme="minorHAnsi" w:hAnsiTheme="minorHAnsi" w:cstheme="minorHAnsi"/>
          <w:sz w:val="22"/>
          <w:szCs w:val="22"/>
        </w:rPr>
      </w:pPr>
      <w:r w:rsidRPr="004C77F3">
        <w:rPr>
          <w:rFonts w:asciiTheme="minorHAnsi" w:hAnsiTheme="minorHAnsi" w:cstheme="minorHAnsi"/>
          <w:sz w:val="22"/>
          <w:szCs w:val="22"/>
        </w:rPr>
        <w:lastRenderedPageBreak/>
        <w:t>Another change for 2015 will be an investment in upstream market transformation.  NW Natural is planning to partner with other local gas utilities in a pilot project where participating utilities will fund Northwest Energy Efficiency Alliance (NEEA) to research and develop new gas technologies for the region. Since investing in NEEA is new for gas utilities and working on gas technologies is new for NEEA, the Company</w:t>
      </w:r>
      <w:r>
        <w:rPr>
          <w:rFonts w:asciiTheme="minorHAnsi" w:hAnsiTheme="minorHAnsi" w:cstheme="minorHAnsi"/>
          <w:sz w:val="22"/>
          <w:szCs w:val="22"/>
        </w:rPr>
        <w:t xml:space="preserve"> is not able to provide meaningful performance benchmarks but will provide updates on the investments and progress in its quarterly and annual reports.</w:t>
      </w:r>
    </w:p>
    <w:p w14:paraId="0A06EB7E" w14:textId="77777777" w:rsidR="00232606" w:rsidRDefault="00232606" w:rsidP="003C6B1F">
      <w:pPr>
        <w:ind w:firstLine="720"/>
        <w:rPr>
          <w:rFonts w:asciiTheme="minorHAnsi" w:hAnsiTheme="minorHAnsi" w:cstheme="minorHAnsi"/>
          <w:sz w:val="22"/>
          <w:szCs w:val="22"/>
        </w:rPr>
      </w:pPr>
    </w:p>
    <w:p w14:paraId="05F1A3A6" w14:textId="65B2EBF8" w:rsidR="00230955" w:rsidRDefault="00E27597" w:rsidP="003C6B1F">
      <w:pPr>
        <w:ind w:firstLine="720"/>
        <w:rPr>
          <w:rFonts w:asciiTheme="minorHAnsi" w:hAnsiTheme="minorHAnsi" w:cstheme="minorHAnsi"/>
          <w:sz w:val="22"/>
          <w:szCs w:val="22"/>
        </w:rPr>
      </w:pPr>
      <w:r>
        <w:rPr>
          <w:rFonts w:asciiTheme="minorHAnsi" w:hAnsiTheme="minorHAnsi" w:cstheme="minorHAnsi"/>
          <w:sz w:val="22"/>
          <w:szCs w:val="22"/>
        </w:rPr>
        <w:t xml:space="preserve">In </w:t>
      </w:r>
      <w:r w:rsidR="00515162">
        <w:rPr>
          <w:rFonts w:asciiTheme="minorHAnsi" w:hAnsiTheme="minorHAnsi" w:cstheme="minorHAnsi"/>
          <w:sz w:val="22"/>
          <w:szCs w:val="22"/>
        </w:rPr>
        <w:t xml:space="preserve">alignment </w:t>
      </w:r>
      <w:r>
        <w:rPr>
          <w:rFonts w:asciiTheme="minorHAnsi" w:hAnsiTheme="minorHAnsi" w:cstheme="minorHAnsi"/>
          <w:sz w:val="22"/>
          <w:szCs w:val="22"/>
        </w:rPr>
        <w:t xml:space="preserve">with the direction </w:t>
      </w:r>
      <w:r w:rsidR="00515162">
        <w:rPr>
          <w:rFonts w:asciiTheme="minorHAnsi" w:hAnsiTheme="minorHAnsi" w:cstheme="minorHAnsi"/>
          <w:sz w:val="22"/>
          <w:szCs w:val="22"/>
        </w:rPr>
        <w:t xml:space="preserve">provided in the Policy Statement, the </w:t>
      </w:r>
      <w:r w:rsidR="00230955" w:rsidRPr="007D393B">
        <w:rPr>
          <w:rFonts w:asciiTheme="minorHAnsi" w:hAnsiTheme="minorHAnsi" w:cstheme="minorHAnsi"/>
          <w:sz w:val="22"/>
          <w:szCs w:val="22"/>
        </w:rPr>
        <w:t>Company’s Washington Low Income Energy Efficiency (WA-LIEE) program will</w:t>
      </w:r>
      <w:r w:rsidR="00515162">
        <w:rPr>
          <w:rFonts w:asciiTheme="minorHAnsi" w:hAnsiTheme="minorHAnsi" w:cstheme="minorHAnsi"/>
          <w:sz w:val="22"/>
          <w:szCs w:val="22"/>
        </w:rPr>
        <w:t xml:space="preserve"> provide incentives to home weatherization project that pass the Savings-to-Investment Ratio, and will not include the costs of WA-LIEE in the portfolio costs evaluated by </w:t>
      </w:r>
      <w:r w:rsidR="00515162" w:rsidRPr="002408CD">
        <w:rPr>
          <w:rFonts w:asciiTheme="minorHAnsi" w:hAnsiTheme="minorHAnsi" w:cstheme="minorHAnsi"/>
          <w:sz w:val="22"/>
          <w:szCs w:val="22"/>
        </w:rPr>
        <w:t>TRC and UCT. In 2015 the Company will target</w:t>
      </w:r>
      <w:r w:rsidR="00230955" w:rsidRPr="002408CD">
        <w:rPr>
          <w:rFonts w:asciiTheme="minorHAnsi" w:hAnsiTheme="minorHAnsi" w:cstheme="minorHAnsi"/>
          <w:sz w:val="22"/>
          <w:szCs w:val="22"/>
        </w:rPr>
        <w:t xml:space="preserve"> to</w:t>
      </w:r>
      <w:r w:rsidR="00FD253D" w:rsidRPr="002408CD">
        <w:rPr>
          <w:rFonts w:asciiTheme="minorHAnsi" w:hAnsiTheme="minorHAnsi" w:cstheme="minorHAnsi"/>
          <w:sz w:val="22"/>
          <w:szCs w:val="22"/>
        </w:rPr>
        <w:t xml:space="preserve"> treat</w:t>
      </w:r>
      <w:r w:rsidR="00515162" w:rsidRPr="002408CD">
        <w:rPr>
          <w:rFonts w:asciiTheme="minorHAnsi" w:hAnsiTheme="minorHAnsi" w:cstheme="minorHAnsi"/>
          <w:sz w:val="22"/>
          <w:szCs w:val="22"/>
        </w:rPr>
        <w:t>ing</w:t>
      </w:r>
      <w:r w:rsidR="00FD253D" w:rsidRPr="002408CD">
        <w:rPr>
          <w:rFonts w:asciiTheme="minorHAnsi" w:hAnsiTheme="minorHAnsi" w:cstheme="minorHAnsi"/>
          <w:sz w:val="22"/>
          <w:szCs w:val="22"/>
        </w:rPr>
        <w:t xml:space="preserve"> </w:t>
      </w:r>
      <w:r w:rsidR="002408CD" w:rsidRPr="002408CD">
        <w:rPr>
          <w:rFonts w:asciiTheme="minorHAnsi" w:hAnsiTheme="minorHAnsi" w:cstheme="minorHAnsi"/>
          <w:sz w:val="22"/>
          <w:szCs w:val="22"/>
        </w:rPr>
        <w:t xml:space="preserve">10 </w:t>
      </w:r>
      <w:r w:rsidR="000D5200" w:rsidRPr="002408CD">
        <w:rPr>
          <w:rFonts w:asciiTheme="minorHAnsi" w:hAnsiTheme="minorHAnsi" w:cstheme="minorHAnsi"/>
          <w:sz w:val="22"/>
          <w:szCs w:val="22"/>
        </w:rPr>
        <w:t xml:space="preserve">to </w:t>
      </w:r>
      <w:r w:rsidR="002408CD" w:rsidRPr="002408CD">
        <w:rPr>
          <w:rFonts w:asciiTheme="minorHAnsi" w:hAnsiTheme="minorHAnsi" w:cstheme="minorHAnsi"/>
          <w:sz w:val="22"/>
          <w:szCs w:val="22"/>
        </w:rPr>
        <w:t xml:space="preserve">12 </w:t>
      </w:r>
      <w:r w:rsidR="00FD253D" w:rsidRPr="002408CD">
        <w:rPr>
          <w:rFonts w:asciiTheme="minorHAnsi" w:hAnsiTheme="minorHAnsi" w:cstheme="minorHAnsi"/>
          <w:sz w:val="22"/>
          <w:szCs w:val="22"/>
        </w:rPr>
        <w:t xml:space="preserve">low income homes, </w:t>
      </w:r>
      <w:r w:rsidR="005331A4" w:rsidRPr="002408CD">
        <w:rPr>
          <w:rFonts w:asciiTheme="minorHAnsi" w:hAnsiTheme="minorHAnsi" w:cstheme="minorHAnsi"/>
          <w:sz w:val="22"/>
          <w:szCs w:val="22"/>
        </w:rPr>
        <w:t xml:space="preserve">acquiring </w:t>
      </w:r>
      <w:r w:rsidR="000D5200" w:rsidRPr="002408CD">
        <w:rPr>
          <w:rFonts w:asciiTheme="minorHAnsi" w:hAnsiTheme="minorHAnsi" w:cstheme="minorHAnsi"/>
          <w:sz w:val="22"/>
          <w:szCs w:val="22"/>
        </w:rPr>
        <w:t xml:space="preserve">up to </w:t>
      </w:r>
      <w:r w:rsidR="009122D3" w:rsidRPr="002408CD">
        <w:rPr>
          <w:rFonts w:asciiTheme="minorHAnsi" w:hAnsiTheme="minorHAnsi" w:cstheme="minorHAnsi"/>
          <w:sz w:val="22"/>
          <w:szCs w:val="22"/>
        </w:rPr>
        <w:t>5275</w:t>
      </w:r>
      <w:r w:rsidR="00FD253D" w:rsidRPr="002408CD">
        <w:rPr>
          <w:rFonts w:asciiTheme="minorHAnsi" w:hAnsiTheme="minorHAnsi" w:cstheme="minorHAnsi"/>
          <w:sz w:val="22"/>
          <w:szCs w:val="22"/>
        </w:rPr>
        <w:t xml:space="preserve"> therms saved</w:t>
      </w:r>
      <w:r w:rsidR="00230955" w:rsidRPr="002408CD">
        <w:rPr>
          <w:rFonts w:asciiTheme="minorHAnsi" w:hAnsiTheme="minorHAnsi" w:cstheme="minorHAnsi"/>
          <w:sz w:val="22"/>
          <w:szCs w:val="22"/>
        </w:rPr>
        <w:t xml:space="preserve"> at a cost of </w:t>
      </w:r>
      <w:r w:rsidR="002408CD" w:rsidRPr="002408CD">
        <w:rPr>
          <w:rFonts w:asciiTheme="minorHAnsi" w:hAnsiTheme="minorHAnsi" w:cstheme="minorHAnsi"/>
          <w:sz w:val="22"/>
          <w:szCs w:val="22"/>
        </w:rPr>
        <w:t>$44,650 to $53,580.</w:t>
      </w:r>
      <w:r w:rsidR="00F23982">
        <w:rPr>
          <w:rFonts w:asciiTheme="minorHAnsi" w:hAnsiTheme="minorHAnsi" w:cstheme="minorHAnsi"/>
          <w:sz w:val="22"/>
          <w:szCs w:val="22"/>
        </w:rPr>
        <w:t xml:space="preserve">   </w:t>
      </w:r>
    </w:p>
    <w:p w14:paraId="221FCC95" w14:textId="77777777" w:rsidR="00193893" w:rsidRDefault="00193893" w:rsidP="003C6B1F">
      <w:pPr>
        <w:ind w:firstLine="720"/>
        <w:rPr>
          <w:rFonts w:asciiTheme="minorHAnsi" w:hAnsiTheme="minorHAnsi" w:cstheme="minorHAnsi"/>
          <w:sz w:val="22"/>
          <w:szCs w:val="22"/>
        </w:rPr>
      </w:pPr>
    </w:p>
    <w:p w14:paraId="6B97BDF7" w14:textId="77777777" w:rsidR="008B20B7" w:rsidRDefault="004C4613" w:rsidP="00193893">
      <w:pPr>
        <w:ind w:firstLine="720"/>
        <w:rPr>
          <w:rFonts w:asciiTheme="minorHAnsi" w:hAnsiTheme="minorHAnsi" w:cstheme="minorHAnsi"/>
          <w:sz w:val="22"/>
          <w:szCs w:val="22"/>
        </w:rPr>
      </w:pPr>
      <w:r>
        <w:rPr>
          <w:rFonts w:asciiTheme="minorHAnsi" w:hAnsiTheme="minorHAnsi" w:cstheme="minorHAnsi"/>
          <w:sz w:val="22"/>
          <w:szCs w:val="22"/>
        </w:rPr>
        <w:t>In support of these revisions, attached are the following work papers:</w:t>
      </w:r>
    </w:p>
    <w:p w14:paraId="693E43D1" w14:textId="42F74C31" w:rsidR="00967B6E" w:rsidRPr="007D393B" w:rsidRDefault="00AE70FD" w:rsidP="00967B6E">
      <w:pPr>
        <w:pStyle w:val="ListParagraph"/>
        <w:numPr>
          <w:ilvl w:val="0"/>
          <w:numId w:val="3"/>
        </w:numPr>
        <w:rPr>
          <w:rFonts w:asciiTheme="minorHAnsi" w:hAnsiTheme="minorHAnsi" w:cstheme="minorHAnsi"/>
          <w:sz w:val="22"/>
          <w:szCs w:val="22"/>
        </w:rPr>
      </w:pPr>
      <w:r w:rsidRPr="007D393B">
        <w:rPr>
          <w:rFonts w:asciiTheme="minorHAnsi" w:hAnsiTheme="minorHAnsi" w:cstheme="minorHAnsi"/>
          <w:b/>
          <w:sz w:val="22"/>
          <w:szCs w:val="22"/>
        </w:rPr>
        <w:t xml:space="preserve">Exhibit </w:t>
      </w:r>
      <w:r w:rsidR="00B560C5">
        <w:rPr>
          <w:rFonts w:asciiTheme="minorHAnsi" w:hAnsiTheme="minorHAnsi" w:cstheme="minorHAnsi"/>
          <w:b/>
          <w:sz w:val="22"/>
          <w:szCs w:val="22"/>
        </w:rPr>
        <w:t>A</w:t>
      </w:r>
      <w:r w:rsidRPr="007D393B">
        <w:rPr>
          <w:rFonts w:asciiTheme="minorHAnsi" w:hAnsiTheme="minorHAnsi" w:cstheme="minorHAnsi"/>
          <w:sz w:val="22"/>
          <w:szCs w:val="22"/>
        </w:rPr>
        <w:t xml:space="preserve"> - </w:t>
      </w:r>
      <w:r w:rsidR="00967B6E" w:rsidRPr="007D393B">
        <w:rPr>
          <w:rFonts w:asciiTheme="minorHAnsi" w:hAnsiTheme="minorHAnsi" w:cstheme="minorHAnsi"/>
          <w:sz w:val="22"/>
          <w:szCs w:val="22"/>
        </w:rPr>
        <w:t xml:space="preserve">Energy Trust’s </w:t>
      </w:r>
      <w:r w:rsidR="00A1366B">
        <w:rPr>
          <w:rFonts w:asciiTheme="minorHAnsi" w:hAnsiTheme="minorHAnsi" w:cstheme="minorHAnsi"/>
          <w:sz w:val="22"/>
          <w:szCs w:val="22"/>
        </w:rPr>
        <w:t xml:space="preserve">narrative </w:t>
      </w:r>
      <w:r w:rsidR="00967B6E" w:rsidRPr="007D393B">
        <w:rPr>
          <w:rFonts w:asciiTheme="minorHAnsi" w:hAnsiTheme="minorHAnsi" w:cstheme="minorHAnsi"/>
          <w:sz w:val="22"/>
          <w:szCs w:val="22"/>
        </w:rPr>
        <w:t>blessing memo</w:t>
      </w:r>
      <w:r w:rsidR="00A1366B">
        <w:rPr>
          <w:rFonts w:asciiTheme="minorHAnsi" w:hAnsiTheme="minorHAnsi" w:cstheme="minorHAnsi"/>
          <w:sz w:val="22"/>
          <w:szCs w:val="22"/>
        </w:rPr>
        <w:t>s</w:t>
      </w:r>
      <w:r w:rsidR="00967B6E" w:rsidRPr="007D393B">
        <w:rPr>
          <w:rFonts w:asciiTheme="minorHAnsi" w:hAnsiTheme="minorHAnsi" w:cstheme="minorHAnsi"/>
          <w:sz w:val="22"/>
          <w:szCs w:val="22"/>
        </w:rPr>
        <w:t xml:space="preserve"> </w:t>
      </w:r>
      <w:r w:rsidR="00A1366B">
        <w:rPr>
          <w:rFonts w:asciiTheme="minorHAnsi" w:hAnsiTheme="minorHAnsi" w:cstheme="minorHAnsi"/>
          <w:sz w:val="22"/>
          <w:szCs w:val="22"/>
        </w:rPr>
        <w:t xml:space="preserve">and BCR calculators </w:t>
      </w:r>
      <w:r w:rsidR="00967B6E" w:rsidRPr="007D393B">
        <w:rPr>
          <w:rFonts w:asciiTheme="minorHAnsi" w:hAnsiTheme="minorHAnsi" w:cstheme="minorHAnsi"/>
          <w:sz w:val="22"/>
          <w:szCs w:val="22"/>
        </w:rPr>
        <w:t>for</w:t>
      </w:r>
      <w:r w:rsidR="00A1366B">
        <w:rPr>
          <w:rFonts w:asciiTheme="minorHAnsi" w:hAnsiTheme="minorHAnsi" w:cstheme="minorHAnsi"/>
          <w:sz w:val="22"/>
          <w:szCs w:val="22"/>
        </w:rPr>
        <w:t xml:space="preserve"> 37 updated, changed or new measures</w:t>
      </w:r>
      <w:r w:rsidR="00967B6E" w:rsidRPr="007D393B">
        <w:rPr>
          <w:rFonts w:asciiTheme="minorHAnsi" w:hAnsiTheme="minorHAnsi" w:cstheme="minorHAnsi"/>
          <w:sz w:val="22"/>
          <w:szCs w:val="22"/>
        </w:rPr>
        <w:t>, which outlines the</w:t>
      </w:r>
      <w:r w:rsidR="00E90B08">
        <w:rPr>
          <w:rFonts w:asciiTheme="minorHAnsi" w:hAnsiTheme="minorHAnsi" w:cstheme="minorHAnsi"/>
          <w:sz w:val="22"/>
          <w:szCs w:val="22"/>
        </w:rPr>
        <w:t xml:space="preserve"> </w:t>
      </w:r>
      <w:r w:rsidR="00967B6E" w:rsidRPr="007D393B">
        <w:rPr>
          <w:rFonts w:asciiTheme="minorHAnsi" w:hAnsiTheme="minorHAnsi" w:cstheme="minorHAnsi"/>
          <w:sz w:val="22"/>
          <w:szCs w:val="22"/>
        </w:rPr>
        <w:t xml:space="preserve">justification for offering the proposed incentive for cost effective savings. </w:t>
      </w:r>
    </w:p>
    <w:p w14:paraId="14BC86E4" w14:textId="060BFE2A" w:rsidR="00967B6E" w:rsidRDefault="00AE70FD" w:rsidP="00967B6E">
      <w:pPr>
        <w:pStyle w:val="ListParagraph"/>
        <w:numPr>
          <w:ilvl w:val="0"/>
          <w:numId w:val="3"/>
        </w:numPr>
        <w:rPr>
          <w:rFonts w:asciiTheme="minorHAnsi" w:hAnsiTheme="minorHAnsi" w:cstheme="minorHAnsi"/>
          <w:sz w:val="22"/>
          <w:szCs w:val="22"/>
        </w:rPr>
      </w:pPr>
      <w:r w:rsidRPr="007D393B">
        <w:rPr>
          <w:rFonts w:asciiTheme="minorHAnsi" w:hAnsiTheme="minorHAnsi" w:cstheme="minorHAnsi"/>
          <w:b/>
          <w:sz w:val="22"/>
          <w:szCs w:val="22"/>
        </w:rPr>
        <w:t xml:space="preserve">Exhibit </w:t>
      </w:r>
      <w:r w:rsidR="00B560C5">
        <w:rPr>
          <w:rFonts w:asciiTheme="minorHAnsi" w:hAnsiTheme="minorHAnsi" w:cstheme="minorHAnsi"/>
          <w:b/>
          <w:sz w:val="22"/>
          <w:szCs w:val="22"/>
        </w:rPr>
        <w:t>B</w:t>
      </w:r>
      <w:r w:rsidR="00232606">
        <w:rPr>
          <w:rFonts w:asciiTheme="minorHAnsi" w:hAnsiTheme="minorHAnsi" w:cstheme="minorHAnsi"/>
          <w:b/>
          <w:sz w:val="22"/>
          <w:szCs w:val="22"/>
        </w:rPr>
        <w:t xml:space="preserve"> - </w:t>
      </w:r>
      <w:r w:rsidR="00BE4BD2">
        <w:rPr>
          <w:rFonts w:asciiTheme="minorHAnsi" w:hAnsiTheme="minorHAnsi" w:cstheme="minorHAnsi"/>
          <w:sz w:val="22"/>
          <w:szCs w:val="22"/>
        </w:rPr>
        <w:t>List of active 2015 measures which screen &lt;1.0 TRC</w:t>
      </w:r>
      <w:r>
        <w:rPr>
          <w:rFonts w:asciiTheme="minorHAnsi" w:hAnsiTheme="minorHAnsi" w:cstheme="minorHAnsi"/>
          <w:sz w:val="22"/>
          <w:szCs w:val="22"/>
        </w:rPr>
        <w:t xml:space="preserve"> </w:t>
      </w:r>
      <w:r w:rsidR="00A1366B">
        <w:rPr>
          <w:rFonts w:asciiTheme="minorHAnsi" w:hAnsiTheme="minorHAnsi" w:cstheme="minorHAnsi"/>
          <w:sz w:val="22"/>
          <w:szCs w:val="22"/>
        </w:rPr>
        <w:t xml:space="preserve"> </w:t>
      </w:r>
    </w:p>
    <w:p w14:paraId="1F8F83C4" w14:textId="3C0AF07B" w:rsidR="00851E9D" w:rsidRPr="007D393B" w:rsidRDefault="00AE70FD" w:rsidP="007D393B">
      <w:pPr>
        <w:pStyle w:val="ListParagraph"/>
        <w:numPr>
          <w:ilvl w:val="0"/>
          <w:numId w:val="3"/>
        </w:numPr>
        <w:rPr>
          <w:rFonts w:asciiTheme="minorHAnsi" w:hAnsiTheme="minorHAnsi" w:cstheme="minorHAnsi"/>
          <w:sz w:val="22"/>
          <w:szCs w:val="22"/>
        </w:rPr>
      </w:pPr>
      <w:r w:rsidRPr="007D393B">
        <w:rPr>
          <w:rFonts w:asciiTheme="minorHAnsi" w:hAnsiTheme="minorHAnsi" w:cstheme="minorHAnsi"/>
          <w:b/>
          <w:sz w:val="22"/>
          <w:szCs w:val="22"/>
        </w:rPr>
        <w:t>Exhibit</w:t>
      </w:r>
      <w:r w:rsidR="00976B02">
        <w:rPr>
          <w:rFonts w:asciiTheme="minorHAnsi" w:hAnsiTheme="minorHAnsi" w:cstheme="minorHAnsi"/>
          <w:b/>
          <w:sz w:val="22"/>
          <w:szCs w:val="22"/>
        </w:rPr>
        <w:t xml:space="preserve"> </w:t>
      </w:r>
      <w:r w:rsidR="00B560C5">
        <w:rPr>
          <w:rFonts w:asciiTheme="minorHAnsi" w:hAnsiTheme="minorHAnsi" w:cstheme="minorHAnsi"/>
          <w:b/>
          <w:sz w:val="22"/>
          <w:szCs w:val="22"/>
        </w:rPr>
        <w:t>C</w:t>
      </w:r>
      <w:r w:rsidR="00232606">
        <w:rPr>
          <w:rFonts w:asciiTheme="minorHAnsi" w:hAnsiTheme="minorHAnsi" w:cstheme="minorHAnsi"/>
          <w:b/>
          <w:sz w:val="22"/>
          <w:szCs w:val="22"/>
        </w:rPr>
        <w:t xml:space="preserve"> - </w:t>
      </w:r>
      <w:r w:rsidR="00147C4C">
        <w:rPr>
          <w:rFonts w:asciiTheme="minorHAnsi" w:hAnsiTheme="minorHAnsi" w:cstheme="minorHAnsi"/>
          <w:sz w:val="22"/>
          <w:szCs w:val="22"/>
        </w:rPr>
        <w:t>S</w:t>
      </w:r>
      <w:r w:rsidR="00FE5452">
        <w:rPr>
          <w:rFonts w:asciiTheme="minorHAnsi" w:hAnsiTheme="minorHAnsi" w:cstheme="minorHAnsi"/>
          <w:sz w:val="22"/>
          <w:szCs w:val="22"/>
        </w:rPr>
        <w:t>ample Bill Impact Estimator</w:t>
      </w:r>
      <w:r w:rsidR="00BE4BD2">
        <w:rPr>
          <w:rFonts w:asciiTheme="minorHAnsi" w:hAnsiTheme="minorHAnsi" w:cstheme="minorHAnsi"/>
          <w:sz w:val="22"/>
          <w:szCs w:val="22"/>
        </w:rPr>
        <w:t xml:space="preserve">. </w:t>
      </w:r>
      <w:r w:rsidR="00147C4C">
        <w:rPr>
          <w:rFonts w:asciiTheme="minorHAnsi" w:hAnsiTheme="minorHAnsi" w:cstheme="minorHAnsi"/>
          <w:sz w:val="22"/>
          <w:szCs w:val="22"/>
        </w:rPr>
        <w:t>(</w:t>
      </w:r>
      <w:r w:rsidR="004C77F3" w:rsidRPr="004C77F3">
        <w:rPr>
          <w:rFonts w:asciiTheme="minorHAnsi" w:hAnsiTheme="minorHAnsi" w:cstheme="minorHAnsi"/>
          <w:sz w:val="22"/>
          <w:szCs w:val="22"/>
        </w:rPr>
        <w:t>Sample does not reflect measures proposed in this filing but will be updated as appropriate</w:t>
      </w:r>
      <w:r w:rsidR="00147C4C" w:rsidRPr="004C77F3">
        <w:rPr>
          <w:rFonts w:asciiTheme="minorHAnsi" w:hAnsiTheme="minorHAnsi" w:cstheme="minorHAnsi"/>
          <w:sz w:val="22"/>
          <w:szCs w:val="22"/>
        </w:rPr>
        <w:t>.)</w:t>
      </w:r>
      <w:r w:rsidR="00147C4C">
        <w:rPr>
          <w:rFonts w:asciiTheme="minorHAnsi" w:hAnsiTheme="minorHAnsi" w:cstheme="minorHAnsi"/>
          <w:sz w:val="22"/>
          <w:szCs w:val="22"/>
        </w:rPr>
        <w:t xml:space="preserve"> </w:t>
      </w:r>
    </w:p>
    <w:p w14:paraId="5FBEACC0" w14:textId="77777777" w:rsidR="00967B6E" w:rsidRDefault="00967B6E" w:rsidP="00967B6E">
      <w:pPr>
        <w:pStyle w:val="ListParagraph"/>
        <w:rPr>
          <w:rFonts w:asciiTheme="minorHAnsi" w:hAnsiTheme="minorHAnsi" w:cstheme="minorHAnsi"/>
          <w:sz w:val="22"/>
          <w:szCs w:val="22"/>
        </w:rPr>
      </w:pPr>
    </w:p>
    <w:p w14:paraId="30F62495" w14:textId="77777777" w:rsidR="0043287D" w:rsidRDefault="0043287D" w:rsidP="00E90B08">
      <w:pPr>
        <w:pStyle w:val="ListParagraph"/>
        <w:ind w:left="0" w:firstLine="720"/>
        <w:rPr>
          <w:rFonts w:asciiTheme="minorHAnsi" w:hAnsiTheme="minorHAnsi" w:cstheme="minorHAnsi"/>
          <w:sz w:val="22"/>
          <w:szCs w:val="22"/>
        </w:rPr>
      </w:pPr>
      <w:r>
        <w:rPr>
          <w:rFonts w:asciiTheme="minorHAnsi" w:hAnsiTheme="minorHAnsi" w:cstheme="minorHAnsi"/>
          <w:sz w:val="22"/>
          <w:szCs w:val="22"/>
        </w:rPr>
        <w:t xml:space="preserve">Other tariff changes include removing the cost effectiveness standard from Schedule G and placing it in the EE Plan as the Plan is intended to be the comprehensive definition of the program. </w:t>
      </w:r>
    </w:p>
    <w:p w14:paraId="6DE63201" w14:textId="77777777" w:rsidR="0043287D" w:rsidRPr="00967B6E" w:rsidRDefault="0043287D" w:rsidP="00967B6E">
      <w:pPr>
        <w:pStyle w:val="ListParagraph"/>
        <w:rPr>
          <w:rFonts w:asciiTheme="minorHAnsi" w:hAnsiTheme="minorHAnsi" w:cstheme="minorHAnsi"/>
          <w:sz w:val="22"/>
          <w:szCs w:val="22"/>
        </w:rPr>
      </w:pPr>
    </w:p>
    <w:p w14:paraId="33195450" w14:textId="0CC7EF45" w:rsidR="0001569B" w:rsidRDefault="0001569B" w:rsidP="00193893">
      <w:pPr>
        <w:ind w:firstLine="720"/>
        <w:rPr>
          <w:rFonts w:asciiTheme="minorHAnsi" w:hAnsiTheme="minorHAnsi" w:cstheme="minorHAnsi"/>
          <w:sz w:val="22"/>
          <w:szCs w:val="22"/>
        </w:rPr>
      </w:pPr>
      <w:r w:rsidRPr="00421EB5">
        <w:rPr>
          <w:rFonts w:asciiTheme="minorHAnsi" w:hAnsiTheme="minorHAnsi" w:cstheme="minorHAnsi"/>
          <w:sz w:val="22"/>
          <w:szCs w:val="22"/>
        </w:rPr>
        <w:t xml:space="preserve">The Company has shared this filing with its Energy Efficiency Advisory </w:t>
      </w:r>
      <w:r w:rsidR="009D5E70">
        <w:rPr>
          <w:rFonts w:asciiTheme="minorHAnsi" w:hAnsiTheme="minorHAnsi" w:cstheme="minorHAnsi"/>
          <w:sz w:val="22"/>
          <w:szCs w:val="22"/>
        </w:rPr>
        <w:t>Group</w:t>
      </w:r>
      <w:r w:rsidRPr="00421EB5">
        <w:rPr>
          <w:rFonts w:asciiTheme="minorHAnsi" w:hAnsiTheme="minorHAnsi" w:cstheme="minorHAnsi"/>
          <w:sz w:val="22"/>
          <w:szCs w:val="22"/>
        </w:rPr>
        <w:t>.</w:t>
      </w:r>
      <w:r>
        <w:rPr>
          <w:rFonts w:asciiTheme="minorHAnsi" w:hAnsiTheme="minorHAnsi" w:cstheme="minorHAnsi"/>
          <w:sz w:val="22"/>
          <w:szCs w:val="22"/>
        </w:rPr>
        <w:t xml:space="preserve"> </w:t>
      </w:r>
    </w:p>
    <w:p w14:paraId="6DC455F4" w14:textId="77777777" w:rsidR="008B20B7" w:rsidRPr="0001569B" w:rsidRDefault="008B20B7" w:rsidP="00193893">
      <w:pPr>
        <w:ind w:firstLine="720"/>
        <w:rPr>
          <w:rFonts w:asciiTheme="minorHAnsi" w:hAnsiTheme="minorHAnsi" w:cstheme="minorHAnsi"/>
          <w:sz w:val="22"/>
          <w:szCs w:val="22"/>
        </w:rPr>
      </w:pPr>
    </w:p>
    <w:p w14:paraId="20226A21" w14:textId="77777777" w:rsidR="00C82149" w:rsidRPr="0001569B" w:rsidRDefault="00C82149" w:rsidP="00C82149">
      <w:pPr>
        <w:ind w:firstLine="720"/>
        <w:rPr>
          <w:rFonts w:asciiTheme="minorHAnsi" w:hAnsiTheme="minorHAnsi" w:cstheme="minorHAnsi"/>
          <w:sz w:val="22"/>
          <w:szCs w:val="22"/>
        </w:rPr>
      </w:pPr>
      <w:r w:rsidRPr="0001569B">
        <w:rPr>
          <w:rFonts w:asciiTheme="minorHAnsi" w:hAnsiTheme="minorHAnsi" w:cstheme="minorHAnsi"/>
          <w:sz w:val="22"/>
          <w:szCs w:val="22"/>
        </w:rPr>
        <w:t xml:space="preserve">The Company respectfully requests that the tariff sheets filed herein be approved to become effective with service on and after </w:t>
      </w:r>
      <w:r w:rsidR="00230955" w:rsidRPr="0001569B">
        <w:rPr>
          <w:rFonts w:asciiTheme="minorHAnsi" w:hAnsiTheme="minorHAnsi" w:cstheme="minorHAnsi"/>
          <w:sz w:val="22"/>
          <w:szCs w:val="22"/>
        </w:rPr>
        <w:t xml:space="preserve">January </w:t>
      </w:r>
      <w:r w:rsidR="00FA4F9A" w:rsidRPr="0001569B">
        <w:rPr>
          <w:rFonts w:asciiTheme="minorHAnsi" w:hAnsiTheme="minorHAnsi" w:cstheme="minorHAnsi"/>
          <w:sz w:val="22"/>
          <w:szCs w:val="22"/>
        </w:rPr>
        <w:t>1</w:t>
      </w:r>
      <w:r w:rsidR="003C0FEC" w:rsidRPr="0001569B">
        <w:rPr>
          <w:rFonts w:asciiTheme="minorHAnsi" w:hAnsiTheme="minorHAnsi" w:cstheme="minorHAnsi"/>
          <w:sz w:val="22"/>
          <w:szCs w:val="22"/>
        </w:rPr>
        <w:t>,</w:t>
      </w:r>
      <w:r w:rsidRPr="0001569B">
        <w:rPr>
          <w:rFonts w:asciiTheme="minorHAnsi" w:hAnsiTheme="minorHAnsi" w:cstheme="minorHAnsi"/>
          <w:sz w:val="22"/>
          <w:szCs w:val="22"/>
        </w:rPr>
        <w:t xml:space="preserve"> 201</w:t>
      </w:r>
      <w:r w:rsidR="00E754A2">
        <w:rPr>
          <w:rFonts w:asciiTheme="minorHAnsi" w:hAnsiTheme="minorHAnsi" w:cstheme="minorHAnsi"/>
          <w:sz w:val="22"/>
          <w:szCs w:val="22"/>
        </w:rPr>
        <w:t>5</w:t>
      </w:r>
      <w:r w:rsidRPr="0001569B">
        <w:rPr>
          <w:rFonts w:asciiTheme="minorHAnsi" w:hAnsiTheme="minorHAnsi" w:cstheme="minorHAnsi"/>
          <w:sz w:val="22"/>
          <w:szCs w:val="22"/>
        </w:rPr>
        <w:t xml:space="preserve">.  </w:t>
      </w:r>
    </w:p>
    <w:p w14:paraId="634E2A76" w14:textId="77777777" w:rsidR="00C82149" w:rsidRPr="0001569B" w:rsidRDefault="00C82149" w:rsidP="00C82149">
      <w:pPr>
        <w:ind w:firstLine="1440"/>
        <w:rPr>
          <w:rFonts w:asciiTheme="minorHAnsi" w:hAnsiTheme="minorHAnsi" w:cstheme="minorHAnsi"/>
          <w:sz w:val="22"/>
          <w:szCs w:val="22"/>
        </w:rPr>
      </w:pPr>
    </w:p>
    <w:p w14:paraId="48BFCCBB" w14:textId="77777777" w:rsidR="00C82149" w:rsidRPr="0001569B" w:rsidRDefault="00C82149" w:rsidP="00C82149">
      <w:pPr>
        <w:ind w:firstLine="720"/>
        <w:rPr>
          <w:rFonts w:asciiTheme="minorHAnsi" w:hAnsiTheme="minorHAnsi" w:cstheme="minorHAnsi"/>
          <w:sz w:val="22"/>
          <w:szCs w:val="22"/>
        </w:rPr>
      </w:pPr>
      <w:r w:rsidRPr="0001569B">
        <w:rPr>
          <w:rFonts w:asciiTheme="minorHAnsi" w:hAnsiTheme="minorHAnsi" w:cstheme="minorHAnsi"/>
          <w:sz w:val="22"/>
          <w:szCs w:val="22"/>
        </w:rPr>
        <w:t>As required by WAC 480-80-103(4</w:t>
      </w:r>
      <w:proofErr w:type="gramStart"/>
      <w:r w:rsidRPr="0001569B">
        <w:rPr>
          <w:rFonts w:asciiTheme="minorHAnsi" w:hAnsiTheme="minorHAnsi" w:cstheme="minorHAnsi"/>
          <w:sz w:val="22"/>
          <w:szCs w:val="22"/>
        </w:rPr>
        <w:t>)(</w:t>
      </w:r>
      <w:proofErr w:type="gramEnd"/>
      <w:r w:rsidRPr="0001569B">
        <w:rPr>
          <w:rFonts w:asciiTheme="minorHAnsi" w:hAnsiTheme="minorHAnsi" w:cstheme="minorHAnsi"/>
          <w:sz w:val="22"/>
          <w:szCs w:val="22"/>
        </w:rPr>
        <w:t>a), I certify that I have authority to issue tariff revisions on behalf of NW Natural.</w:t>
      </w:r>
    </w:p>
    <w:p w14:paraId="011DEFF0" w14:textId="77777777" w:rsidR="00C82149" w:rsidRPr="0001569B" w:rsidRDefault="00C82149" w:rsidP="00C82149">
      <w:pPr>
        <w:ind w:firstLine="1440"/>
        <w:rPr>
          <w:rFonts w:asciiTheme="minorHAnsi" w:hAnsiTheme="minorHAnsi" w:cstheme="minorHAnsi"/>
          <w:sz w:val="22"/>
          <w:szCs w:val="22"/>
        </w:rPr>
      </w:pPr>
    </w:p>
    <w:p w14:paraId="27AB4DC1" w14:textId="77777777" w:rsidR="002230BF" w:rsidRDefault="00C82149" w:rsidP="00C82149">
      <w:pPr>
        <w:ind w:firstLine="720"/>
        <w:rPr>
          <w:rFonts w:asciiTheme="minorHAnsi" w:hAnsiTheme="minorHAnsi" w:cstheme="minorHAnsi"/>
          <w:sz w:val="22"/>
          <w:szCs w:val="22"/>
        </w:rPr>
      </w:pPr>
      <w:r w:rsidRPr="0001569B">
        <w:rPr>
          <w:rFonts w:asciiTheme="minorHAnsi" w:hAnsiTheme="minorHAnsi" w:cstheme="minorHAnsi"/>
          <w:sz w:val="22"/>
          <w:szCs w:val="22"/>
        </w:rPr>
        <w:t xml:space="preserve">A copy of the filing is available for public inspection in the Company’s main office in Portland, Oregon and on its website at www.nwnatural.com. </w:t>
      </w:r>
    </w:p>
    <w:p w14:paraId="37B324D6" w14:textId="77777777" w:rsidR="002230BF" w:rsidRDefault="002230BF">
      <w:pPr>
        <w:rPr>
          <w:rFonts w:asciiTheme="minorHAnsi" w:hAnsiTheme="minorHAnsi" w:cstheme="minorHAnsi"/>
          <w:sz w:val="22"/>
          <w:szCs w:val="22"/>
        </w:rPr>
      </w:pPr>
      <w:r>
        <w:rPr>
          <w:rFonts w:asciiTheme="minorHAnsi" w:hAnsiTheme="minorHAnsi" w:cstheme="minorHAnsi"/>
          <w:sz w:val="22"/>
          <w:szCs w:val="22"/>
        </w:rPr>
        <w:br w:type="page"/>
      </w:r>
    </w:p>
    <w:p w14:paraId="0B8E620C" w14:textId="2B4D6D9B"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lastRenderedPageBreak/>
        <w:t>Please address correspondence on this matter to me with copies to the following:</w:t>
      </w:r>
    </w:p>
    <w:p w14:paraId="705424FF" w14:textId="77777777" w:rsidR="00C82149" w:rsidRPr="0001569B" w:rsidRDefault="00C82149" w:rsidP="00C82149">
      <w:pPr>
        <w:ind w:firstLine="1440"/>
        <w:rPr>
          <w:rFonts w:asciiTheme="minorHAnsi" w:hAnsiTheme="minorHAnsi" w:cstheme="minorHAnsi"/>
          <w:sz w:val="22"/>
          <w:szCs w:val="22"/>
        </w:rPr>
      </w:pPr>
    </w:p>
    <w:p w14:paraId="671C50A5" w14:textId="1FC1EA99" w:rsidR="00C82149" w:rsidRPr="0001569B" w:rsidRDefault="002230BF" w:rsidP="00C82149">
      <w:pPr>
        <w:tabs>
          <w:tab w:val="left" w:pos="5760"/>
        </w:tabs>
        <w:jc w:val="center"/>
        <w:rPr>
          <w:rFonts w:asciiTheme="minorHAnsi" w:hAnsiTheme="minorHAnsi" w:cstheme="minorHAnsi"/>
          <w:sz w:val="22"/>
          <w:szCs w:val="22"/>
        </w:rPr>
      </w:pPr>
      <w:proofErr w:type="gramStart"/>
      <w:r>
        <w:rPr>
          <w:rFonts w:asciiTheme="minorHAnsi" w:hAnsiTheme="minorHAnsi" w:cstheme="minorHAnsi"/>
          <w:sz w:val="22"/>
          <w:szCs w:val="22"/>
        </w:rPr>
        <w:t>eFiling</w:t>
      </w:r>
      <w:proofErr w:type="gramEnd"/>
    </w:p>
    <w:p w14:paraId="444EB1DE" w14:textId="77777777"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Rates &amp; Regulatory Affairs</w:t>
      </w:r>
    </w:p>
    <w:p w14:paraId="1A0A6904" w14:textId="77777777"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 xml:space="preserve">220 NW Second </w:t>
      </w:r>
      <w:proofErr w:type="gramStart"/>
      <w:r w:rsidRPr="0001569B">
        <w:rPr>
          <w:rFonts w:asciiTheme="minorHAnsi" w:hAnsiTheme="minorHAnsi" w:cstheme="minorHAnsi"/>
          <w:sz w:val="22"/>
          <w:szCs w:val="22"/>
        </w:rPr>
        <w:t>Avenue</w:t>
      </w:r>
      <w:proofErr w:type="gramEnd"/>
    </w:p>
    <w:p w14:paraId="1C6B905A" w14:textId="77777777"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Portland, Oregon 97209</w:t>
      </w:r>
    </w:p>
    <w:p w14:paraId="658D94A0" w14:textId="77777777"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Telecopier:   (503) 721-2516</w:t>
      </w:r>
    </w:p>
    <w:p w14:paraId="038BA65B" w14:textId="77777777"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Telephone:   (503) 226-4211, ext. 3589</w:t>
      </w:r>
    </w:p>
    <w:p w14:paraId="16B8A3D1" w14:textId="45B33061" w:rsidR="00C82149" w:rsidRPr="0001569B" w:rsidRDefault="00C82149" w:rsidP="00C82149">
      <w:pPr>
        <w:tabs>
          <w:tab w:val="left" w:pos="5760"/>
        </w:tabs>
        <w:jc w:val="center"/>
        <w:rPr>
          <w:rFonts w:asciiTheme="minorHAnsi" w:hAnsiTheme="minorHAnsi" w:cstheme="minorHAnsi"/>
          <w:sz w:val="22"/>
          <w:szCs w:val="22"/>
        </w:rPr>
      </w:pPr>
      <w:r w:rsidRPr="0001569B">
        <w:rPr>
          <w:rFonts w:asciiTheme="minorHAnsi" w:hAnsiTheme="minorHAnsi" w:cstheme="minorHAnsi"/>
          <w:sz w:val="22"/>
          <w:szCs w:val="22"/>
        </w:rPr>
        <w:t xml:space="preserve">E-mail:  </w:t>
      </w:r>
      <w:hyperlink r:id="rId14" w:history="1">
        <w:r w:rsidRPr="0001569B">
          <w:rPr>
            <w:rStyle w:val="Hyperlink"/>
            <w:rFonts w:asciiTheme="minorHAnsi" w:hAnsiTheme="minorHAnsi" w:cstheme="minorHAnsi"/>
            <w:sz w:val="22"/>
            <w:szCs w:val="22"/>
          </w:rPr>
          <w:t>eFiling@nwnatural.com</w:t>
        </w:r>
      </w:hyperlink>
    </w:p>
    <w:p w14:paraId="2D039F93" w14:textId="77777777" w:rsidR="007D393B" w:rsidRDefault="007D393B" w:rsidP="00C82149">
      <w:pPr>
        <w:rPr>
          <w:rFonts w:asciiTheme="minorHAnsi" w:hAnsiTheme="minorHAnsi" w:cstheme="minorHAnsi"/>
          <w:sz w:val="22"/>
          <w:szCs w:val="22"/>
        </w:rPr>
      </w:pPr>
    </w:p>
    <w:p w14:paraId="4A714732"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ab/>
        <w:t xml:space="preserve">Please call me if you have any questions. </w:t>
      </w:r>
    </w:p>
    <w:p w14:paraId="76C536B5" w14:textId="77777777" w:rsidR="00C82149" w:rsidRPr="0001569B" w:rsidRDefault="00C82149" w:rsidP="00C82149">
      <w:pPr>
        <w:rPr>
          <w:rFonts w:asciiTheme="minorHAnsi" w:hAnsiTheme="minorHAnsi" w:cstheme="minorHAnsi"/>
          <w:sz w:val="22"/>
          <w:szCs w:val="22"/>
        </w:rPr>
      </w:pPr>
    </w:p>
    <w:p w14:paraId="06D0AD07"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Sincerely,</w:t>
      </w:r>
    </w:p>
    <w:p w14:paraId="0E8A8EFB" w14:textId="77777777" w:rsidR="00C82149" w:rsidRPr="0001569B" w:rsidRDefault="00C82149" w:rsidP="00C82149">
      <w:pPr>
        <w:rPr>
          <w:rFonts w:asciiTheme="minorHAnsi" w:hAnsiTheme="minorHAnsi" w:cstheme="minorHAnsi"/>
          <w:sz w:val="22"/>
          <w:szCs w:val="22"/>
        </w:rPr>
      </w:pPr>
    </w:p>
    <w:p w14:paraId="749BF7D1" w14:textId="77777777" w:rsidR="00C82149" w:rsidRPr="0001569B" w:rsidRDefault="00C82149" w:rsidP="00C82149">
      <w:pPr>
        <w:rPr>
          <w:rFonts w:asciiTheme="minorHAnsi" w:hAnsiTheme="minorHAnsi" w:cstheme="minorHAnsi"/>
          <w:i/>
          <w:sz w:val="22"/>
          <w:szCs w:val="22"/>
        </w:rPr>
      </w:pPr>
      <w:r w:rsidRPr="0001569B">
        <w:rPr>
          <w:rFonts w:asciiTheme="minorHAnsi" w:hAnsiTheme="minorHAnsi" w:cstheme="minorHAnsi"/>
          <w:i/>
          <w:sz w:val="22"/>
          <w:szCs w:val="22"/>
        </w:rPr>
        <w:t>/s/ Jennifer Gross</w:t>
      </w:r>
    </w:p>
    <w:p w14:paraId="1E7EF574"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 xml:space="preserve"> </w:t>
      </w:r>
    </w:p>
    <w:p w14:paraId="079B259B"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Jennifer Gross</w:t>
      </w:r>
    </w:p>
    <w:p w14:paraId="65FE6334" w14:textId="77777777" w:rsidR="00C82149" w:rsidRPr="0001569B" w:rsidRDefault="00C82149" w:rsidP="00C82149">
      <w:pPr>
        <w:rPr>
          <w:rFonts w:asciiTheme="minorHAnsi" w:hAnsiTheme="minorHAnsi" w:cstheme="minorHAnsi"/>
          <w:sz w:val="22"/>
          <w:szCs w:val="22"/>
        </w:rPr>
      </w:pPr>
      <w:r w:rsidRPr="0001569B">
        <w:rPr>
          <w:rFonts w:asciiTheme="minorHAnsi" w:hAnsiTheme="minorHAnsi" w:cstheme="minorHAnsi"/>
          <w:sz w:val="22"/>
          <w:szCs w:val="22"/>
        </w:rPr>
        <w:t>NW Natural</w:t>
      </w:r>
    </w:p>
    <w:p w14:paraId="6B30AF0F" w14:textId="77777777" w:rsidR="00C82149" w:rsidRPr="0001569B" w:rsidRDefault="00C82149" w:rsidP="00C82149">
      <w:pPr>
        <w:rPr>
          <w:rFonts w:asciiTheme="minorHAnsi" w:hAnsiTheme="minorHAnsi" w:cstheme="minorHAnsi"/>
          <w:sz w:val="22"/>
          <w:szCs w:val="22"/>
        </w:rPr>
      </w:pPr>
    </w:p>
    <w:p w14:paraId="45B8C53D" w14:textId="1BB09B18" w:rsidR="009E5AB5" w:rsidRDefault="00722EED" w:rsidP="00982953">
      <w:pPr>
        <w:rPr>
          <w:rFonts w:asciiTheme="minorHAnsi" w:hAnsiTheme="minorHAnsi" w:cstheme="minorHAnsi"/>
          <w:sz w:val="22"/>
          <w:szCs w:val="22"/>
        </w:rPr>
      </w:pPr>
      <w:r w:rsidRPr="0001569B">
        <w:rPr>
          <w:rFonts w:asciiTheme="minorHAnsi" w:hAnsiTheme="minorHAnsi" w:cstheme="minorHAnsi"/>
          <w:sz w:val="22"/>
          <w:szCs w:val="22"/>
        </w:rPr>
        <w:t>E</w:t>
      </w:r>
      <w:r w:rsidR="00C82149" w:rsidRPr="0001569B">
        <w:rPr>
          <w:rFonts w:asciiTheme="minorHAnsi" w:hAnsiTheme="minorHAnsi" w:cstheme="minorHAnsi"/>
          <w:sz w:val="22"/>
          <w:szCs w:val="22"/>
        </w:rPr>
        <w:t>nclosures</w:t>
      </w:r>
    </w:p>
    <w:p w14:paraId="4C541398" w14:textId="77777777" w:rsidR="00722EED" w:rsidRDefault="00722EED" w:rsidP="00982953">
      <w:pPr>
        <w:rPr>
          <w:rFonts w:asciiTheme="minorHAnsi" w:hAnsiTheme="minorHAnsi" w:cstheme="minorHAnsi"/>
          <w:sz w:val="22"/>
          <w:szCs w:val="22"/>
        </w:rPr>
      </w:pPr>
    </w:p>
    <w:p w14:paraId="74EACCCE" w14:textId="77777777" w:rsidR="00722EED" w:rsidRDefault="00722EED" w:rsidP="00982953">
      <w:pPr>
        <w:rPr>
          <w:rFonts w:asciiTheme="minorHAnsi" w:hAnsiTheme="minorHAnsi" w:cstheme="minorHAnsi"/>
          <w:sz w:val="22"/>
          <w:szCs w:val="22"/>
        </w:rPr>
      </w:pPr>
    </w:p>
    <w:p w14:paraId="3A89CC21" w14:textId="77777777" w:rsidR="00722EED" w:rsidRDefault="00722EED" w:rsidP="00982953">
      <w:pPr>
        <w:rPr>
          <w:rFonts w:asciiTheme="minorHAnsi" w:hAnsiTheme="minorHAnsi" w:cstheme="minorHAnsi"/>
          <w:sz w:val="22"/>
          <w:szCs w:val="22"/>
        </w:rPr>
        <w:sectPr w:rsidR="00722EED" w:rsidSect="0001569B">
          <w:headerReference w:type="default" r:id="rId15"/>
          <w:type w:val="continuous"/>
          <w:pgSz w:w="12240" w:h="15840"/>
          <w:pgMar w:top="1440" w:right="1440" w:bottom="1350" w:left="1440" w:header="720" w:footer="720" w:gutter="0"/>
          <w:cols w:space="720"/>
          <w:docGrid w:linePitch="360"/>
        </w:sectPr>
      </w:pPr>
    </w:p>
    <w:p w14:paraId="4BAC7321" w14:textId="77777777" w:rsidR="00722EED" w:rsidRPr="00AB3847" w:rsidRDefault="00722EED" w:rsidP="00722EED">
      <w:pPr>
        <w:tabs>
          <w:tab w:val="center" w:pos="4680"/>
          <w:tab w:val="left" w:pos="9720"/>
        </w:tabs>
        <w:suppressAutoHyphens/>
        <w:jc w:val="center"/>
        <w:outlineLvl w:val="0"/>
        <w:rPr>
          <w:rFonts w:cs="Arial"/>
          <w:spacing w:val="-2"/>
          <w:szCs w:val="24"/>
        </w:rPr>
      </w:pPr>
      <w:bookmarkStart w:id="0" w:name="OLE_LINK23"/>
      <w:bookmarkStart w:id="1" w:name="OLE_LINK24"/>
      <w:r w:rsidRPr="00AB3847">
        <w:rPr>
          <w:rFonts w:cs="Arial"/>
          <w:spacing w:val="-2"/>
          <w:szCs w:val="24"/>
        </w:rPr>
        <w:lastRenderedPageBreak/>
        <w:t>SCHEDULE G</w:t>
      </w:r>
    </w:p>
    <w:p w14:paraId="31C98B43" w14:textId="77777777" w:rsidR="00722EED" w:rsidRPr="00AB3847" w:rsidRDefault="00722EED" w:rsidP="00722EED">
      <w:pPr>
        <w:tabs>
          <w:tab w:val="left" w:pos="9720"/>
        </w:tabs>
        <w:jc w:val="center"/>
        <w:rPr>
          <w:rFonts w:cs="Arial"/>
          <w:spacing w:val="-2"/>
          <w:szCs w:val="24"/>
        </w:rPr>
      </w:pPr>
      <w:r w:rsidRPr="00AB3847">
        <w:rPr>
          <w:rFonts w:cs="Arial"/>
          <w:spacing w:val="-2"/>
          <w:szCs w:val="24"/>
        </w:rPr>
        <w:t xml:space="preserve">ENERGY </w:t>
      </w:r>
      <w:bookmarkStart w:id="2" w:name="OLE_LINK3"/>
      <w:bookmarkStart w:id="3" w:name="OLE_LINK4"/>
      <w:r w:rsidRPr="00AB3847">
        <w:rPr>
          <w:rFonts w:cs="Arial"/>
          <w:spacing w:val="-2"/>
          <w:szCs w:val="24"/>
        </w:rPr>
        <w:t>EFFICIENCY SERVICES AND PROGRAMS – RESIDENTIAL AND COMMERCIAL</w:t>
      </w:r>
      <w:bookmarkEnd w:id="2"/>
      <w:bookmarkEnd w:id="3"/>
    </w:p>
    <w:bookmarkEnd w:id="0"/>
    <w:bookmarkEnd w:id="1"/>
    <w:p w14:paraId="1BF04DC0" w14:textId="77777777" w:rsidR="00722EED" w:rsidRPr="000A5653" w:rsidRDefault="00722EED" w:rsidP="00722EED">
      <w:pPr>
        <w:tabs>
          <w:tab w:val="left" w:pos="9720"/>
        </w:tabs>
        <w:jc w:val="center"/>
        <w:rPr>
          <w:rFonts w:cs="Arial"/>
          <w:spacing w:val="-2"/>
          <w:sz w:val="20"/>
        </w:rPr>
        <w:sectPr w:rsidR="00722EED" w:rsidRPr="000A5653">
          <w:headerReference w:type="default" r:id="rId16"/>
          <w:footerReference w:type="default" r:id="rId17"/>
          <w:pgSz w:w="12240" w:h="15840" w:code="1"/>
          <w:pgMar w:top="720" w:right="1800" w:bottom="720" w:left="1440" w:header="720" w:footer="576" w:gutter="0"/>
          <w:cols w:space="720"/>
        </w:sectPr>
      </w:pPr>
    </w:p>
    <w:p w14:paraId="6CE3925E" w14:textId="77777777" w:rsidR="00722EED" w:rsidRPr="00595B01" w:rsidRDefault="00722EED" w:rsidP="00722EED">
      <w:pPr>
        <w:tabs>
          <w:tab w:val="left" w:pos="9720"/>
        </w:tabs>
        <w:jc w:val="center"/>
        <w:rPr>
          <w:rFonts w:cs="Arial"/>
          <w:b/>
          <w:spacing w:val="-2"/>
          <w:sz w:val="20"/>
        </w:rPr>
      </w:pPr>
    </w:p>
    <w:p w14:paraId="71731542" w14:textId="77777777" w:rsidR="00722EED" w:rsidRPr="000A5653" w:rsidRDefault="00722EED" w:rsidP="00722EED">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Pr>
          <w:rFonts w:cs="Arial"/>
          <w:b/>
          <w:bCs/>
          <w:spacing w:val="-1"/>
          <w:sz w:val="20"/>
        </w:rPr>
        <w:tab/>
      </w:r>
    </w:p>
    <w:p w14:paraId="67038195" w14:textId="77777777" w:rsidR="00722EED" w:rsidRPr="000A5653" w:rsidRDefault="00722EED" w:rsidP="00722EED">
      <w:pPr>
        <w:tabs>
          <w:tab w:val="left" w:pos="-720"/>
          <w:tab w:val="left" w:pos="9720"/>
        </w:tabs>
        <w:suppressAutoHyphens/>
        <w:rPr>
          <w:rFonts w:cs="Arial"/>
          <w:spacing w:val="-1"/>
          <w:sz w:val="20"/>
        </w:rPr>
      </w:pPr>
      <w:r w:rsidRPr="000A5653">
        <w:rPr>
          <w:rFonts w:cs="Arial"/>
          <w:spacing w:val="-1"/>
          <w:sz w:val="20"/>
        </w:rPr>
        <w:t xml:space="preserve">This program is intended to provide an economical and effective means </w:t>
      </w:r>
      <w:r>
        <w:rPr>
          <w:rFonts w:cs="Arial"/>
          <w:spacing w:val="-1"/>
          <w:sz w:val="20"/>
        </w:rPr>
        <w:t xml:space="preserve">for </w:t>
      </w:r>
      <w:r w:rsidRPr="000A5653">
        <w:rPr>
          <w:rFonts w:cs="Arial"/>
          <w:spacing w:val="-1"/>
          <w:sz w:val="20"/>
        </w:rPr>
        <w:t xml:space="preserve">conserving Natural Gas through </w:t>
      </w:r>
      <w:r>
        <w:rPr>
          <w:rFonts w:cs="Arial"/>
          <w:spacing w:val="-1"/>
          <w:sz w:val="20"/>
        </w:rPr>
        <w:t xml:space="preserve">reduced </w:t>
      </w:r>
      <w:r w:rsidRPr="000A5653">
        <w:rPr>
          <w:rFonts w:cs="Arial"/>
          <w:spacing w:val="-1"/>
          <w:sz w:val="20"/>
        </w:rPr>
        <w:t xml:space="preserve">heat loss </w:t>
      </w:r>
      <w:r>
        <w:rPr>
          <w:rFonts w:cs="Arial"/>
          <w:spacing w:val="-1"/>
          <w:sz w:val="20"/>
        </w:rPr>
        <w:t xml:space="preserve">and improved efficiencies </w:t>
      </w:r>
      <w:r w:rsidRPr="000A5653">
        <w:rPr>
          <w:rFonts w:cs="Arial"/>
          <w:spacing w:val="-1"/>
          <w:sz w:val="20"/>
        </w:rPr>
        <w:t xml:space="preserve">in Residential dwellings and Commercial buildings.  </w:t>
      </w:r>
    </w:p>
    <w:p w14:paraId="0C8F0DAB" w14:textId="77777777" w:rsidR="00722EED" w:rsidRPr="000A5653" w:rsidRDefault="00722EED" w:rsidP="00722EED">
      <w:pPr>
        <w:tabs>
          <w:tab w:val="left" w:pos="-720"/>
          <w:tab w:val="left" w:pos="9720"/>
        </w:tabs>
        <w:suppressAutoHyphens/>
        <w:rPr>
          <w:rFonts w:cs="Arial"/>
          <w:spacing w:val="-1"/>
          <w:sz w:val="20"/>
          <w:u w:val="single"/>
        </w:rPr>
      </w:pPr>
    </w:p>
    <w:p w14:paraId="670C191C" w14:textId="77777777" w:rsidR="00722EED" w:rsidRPr="000A5653" w:rsidRDefault="00722EED" w:rsidP="00722EED">
      <w:pPr>
        <w:tabs>
          <w:tab w:val="left" w:pos="-720"/>
          <w:tab w:val="left" w:pos="9720"/>
        </w:tabs>
        <w:suppressAutoHyphens/>
        <w:outlineLvl w:val="0"/>
        <w:rPr>
          <w:rFonts w:cs="Arial"/>
          <w:spacing w:val="-1"/>
          <w:sz w:val="20"/>
        </w:rPr>
      </w:pPr>
      <w:r>
        <w:rPr>
          <w:rFonts w:cs="Arial"/>
          <w:noProof/>
        </w:rPr>
        <mc:AlternateContent>
          <mc:Choice Requires="wps">
            <w:drawing>
              <wp:anchor distT="91440" distB="91440" distL="114300" distR="114300" simplePos="0" relativeHeight="251661312" behindDoc="0" locked="0" layoutInCell="0" allowOverlap="1" wp14:anchorId="180EC6E3" wp14:editId="09F0A3FF">
                <wp:simplePos x="0" y="0"/>
                <wp:positionH relativeFrom="margin">
                  <wp:posOffset>5819140</wp:posOffset>
                </wp:positionH>
                <wp:positionV relativeFrom="margin">
                  <wp:posOffset>1433830</wp:posOffset>
                </wp:positionV>
                <wp:extent cx="733425" cy="6638925"/>
                <wp:effectExtent l="0" t="0" r="0" b="0"/>
                <wp:wrapSquare wrapText="bothSides"/>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66389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DF795C" w14:textId="77777777" w:rsidR="000E0395" w:rsidRDefault="000E0395" w:rsidP="00722EED">
                            <w:pPr>
                              <w:rPr>
                                <w:sz w:val="18"/>
                                <w:szCs w:val="18"/>
                              </w:rPr>
                            </w:pPr>
                          </w:p>
                          <w:p w14:paraId="053FA381" w14:textId="77777777" w:rsidR="000E0395" w:rsidRDefault="000E0395" w:rsidP="00722EED">
                            <w:pPr>
                              <w:rPr>
                                <w:sz w:val="18"/>
                                <w:szCs w:val="18"/>
                              </w:rPr>
                            </w:pPr>
                          </w:p>
                          <w:p w14:paraId="7570409C" w14:textId="77777777" w:rsidR="000E0395" w:rsidRDefault="000E0395" w:rsidP="00722EED">
                            <w:pPr>
                              <w:rPr>
                                <w:sz w:val="18"/>
                                <w:szCs w:val="18"/>
                              </w:rPr>
                            </w:pPr>
                            <w:r>
                              <w:rPr>
                                <w:sz w:val="18"/>
                                <w:szCs w:val="18"/>
                              </w:rPr>
                              <w:t>(C)</w:t>
                            </w:r>
                          </w:p>
                          <w:p w14:paraId="6E6B9C14" w14:textId="77777777" w:rsidR="000E0395" w:rsidRPr="00EF6EBF" w:rsidRDefault="000E0395" w:rsidP="00722EED">
                            <w:pPr>
                              <w:rPr>
                                <w:color w:val="4F81BD"/>
                                <w:sz w:val="18"/>
                                <w:szCs w:val="18"/>
                              </w:rPr>
                            </w:pPr>
                          </w:p>
                          <w:p w14:paraId="314F8B66" w14:textId="77777777" w:rsidR="000E0395" w:rsidRDefault="000E0395" w:rsidP="00722EED">
                            <w:pPr>
                              <w:rPr>
                                <w:sz w:val="18"/>
                                <w:szCs w:val="18"/>
                              </w:rPr>
                            </w:pPr>
                          </w:p>
                          <w:p w14:paraId="53A3A3B1" w14:textId="77777777" w:rsidR="000E0395" w:rsidRDefault="000E0395" w:rsidP="00722EED">
                            <w:pPr>
                              <w:rPr>
                                <w:sz w:val="18"/>
                                <w:szCs w:val="18"/>
                              </w:rPr>
                            </w:pPr>
                          </w:p>
                          <w:p w14:paraId="47CB9CC2" w14:textId="77777777" w:rsidR="000E0395" w:rsidRDefault="000E0395" w:rsidP="00722EED">
                            <w:pPr>
                              <w:rPr>
                                <w:sz w:val="18"/>
                                <w:szCs w:val="18"/>
                              </w:rPr>
                            </w:pPr>
                          </w:p>
                          <w:p w14:paraId="6949A80C" w14:textId="77777777" w:rsidR="000E0395" w:rsidRDefault="000E0395" w:rsidP="00722EED">
                            <w:pPr>
                              <w:rPr>
                                <w:sz w:val="18"/>
                                <w:szCs w:val="18"/>
                              </w:rPr>
                            </w:pPr>
                          </w:p>
                          <w:p w14:paraId="49C0D1F0" w14:textId="77777777" w:rsidR="000E0395" w:rsidRDefault="000E0395" w:rsidP="00722EED">
                            <w:pPr>
                              <w:rPr>
                                <w:sz w:val="18"/>
                                <w:szCs w:val="18"/>
                              </w:rPr>
                            </w:pPr>
                          </w:p>
                          <w:p w14:paraId="0542CE84" w14:textId="77777777" w:rsidR="000E0395" w:rsidRDefault="000E0395" w:rsidP="00722EED">
                            <w:pPr>
                              <w:rPr>
                                <w:sz w:val="18"/>
                                <w:szCs w:val="18"/>
                              </w:rPr>
                            </w:pPr>
                          </w:p>
                          <w:p w14:paraId="6EF947C3" w14:textId="77777777" w:rsidR="000E0395" w:rsidRDefault="000E0395" w:rsidP="00722EED">
                            <w:pPr>
                              <w:rPr>
                                <w:sz w:val="18"/>
                                <w:szCs w:val="18"/>
                              </w:rPr>
                            </w:pPr>
                          </w:p>
                          <w:p w14:paraId="6C42EB50" w14:textId="77777777" w:rsidR="000E0395" w:rsidRDefault="000E0395" w:rsidP="00722EED">
                            <w:pPr>
                              <w:rPr>
                                <w:sz w:val="18"/>
                                <w:szCs w:val="18"/>
                              </w:rPr>
                            </w:pPr>
                          </w:p>
                          <w:p w14:paraId="5E4A566B" w14:textId="77777777" w:rsidR="000E0395" w:rsidRDefault="000E0395" w:rsidP="00722EED">
                            <w:pPr>
                              <w:rPr>
                                <w:sz w:val="18"/>
                                <w:szCs w:val="18"/>
                              </w:rPr>
                            </w:pPr>
                          </w:p>
                          <w:p w14:paraId="64E23889" w14:textId="77777777" w:rsidR="000E0395" w:rsidRDefault="000E0395" w:rsidP="00722EED">
                            <w:pPr>
                              <w:rPr>
                                <w:sz w:val="18"/>
                                <w:szCs w:val="18"/>
                              </w:rPr>
                            </w:pPr>
                          </w:p>
                          <w:p w14:paraId="559FCEAA" w14:textId="77777777" w:rsidR="000E0395" w:rsidRDefault="000E0395" w:rsidP="00722EED">
                            <w:pPr>
                              <w:rPr>
                                <w:sz w:val="18"/>
                                <w:szCs w:val="18"/>
                              </w:rPr>
                            </w:pPr>
                          </w:p>
                          <w:p w14:paraId="6EC82300" w14:textId="77777777" w:rsidR="000E0395" w:rsidRDefault="000E0395" w:rsidP="00722EED">
                            <w:pPr>
                              <w:rPr>
                                <w:sz w:val="18"/>
                                <w:szCs w:val="18"/>
                              </w:rPr>
                            </w:pPr>
                          </w:p>
                          <w:p w14:paraId="0EF3AFA3" w14:textId="77777777" w:rsidR="000E0395" w:rsidRDefault="000E0395" w:rsidP="00722EED">
                            <w:pPr>
                              <w:rPr>
                                <w:sz w:val="18"/>
                                <w:szCs w:val="18"/>
                              </w:rPr>
                            </w:pPr>
                          </w:p>
                          <w:p w14:paraId="35A5C4A0" w14:textId="77777777" w:rsidR="000E0395" w:rsidRDefault="000E0395" w:rsidP="00722EED">
                            <w:pPr>
                              <w:rPr>
                                <w:sz w:val="18"/>
                                <w:szCs w:val="18"/>
                              </w:rPr>
                            </w:pPr>
                          </w:p>
                          <w:p w14:paraId="337501BF" w14:textId="77777777" w:rsidR="000E0395" w:rsidRDefault="000E0395" w:rsidP="00722EED">
                            <w:pPr>
                              <w:rPr>
                                <w:sz w:val="18"/>
                                <w:szCs w:val="18"/>
                              </w:rPr>
                            </w:pPr>
                          </w:p>
                          <w:p w14:paraId="2AD0CB23" w14:textId="77777777" w:rsidR="000E0395" w:rsidRDefault="000E0395" w:rsidP="00722EED">
                            <w:pPr>
                              <w:rPr>
                                <w:sz w:val="18"/>
                                <w:szCs w:val="18"/>
                              </w:rPr>
                            </w:pPr>
                          </w:p>
                          <w:p w14:paraId="270DD3E2" w14:textId="77777777" w:rsidR="000E0395" w:rsidRDefault="000E0395" w:rsidP="00722EED">
                            <w:pPr>
                              <w:rPr>
                                <w:sz w:val="18"/>
                                <w:szCs w:val="18"/>
                              </w:rPr>
                            </w:pPr>
                          </w:p>
                          <w:p w14:paraId="58865A98" w14:textId="77777777" w:rsidR="000E0395" w:rsidRDefault="000E0395" w:rsidP="00722EED">
                            <w:pPr>
                              <w:rPr>
                                <w:sz w:val="18"/>
                                <w:szCs w:val="18"/>
                              </w:rPr>
                            </w:pPr>
                          </w:p>
                          <w:p w14:paraId="354E5CB9" w14:textId="77777777" w:rsidR="000E0395" w:rsidRDefault="000E0395" w:rsidP="00722EED">
                            <w:pPr>
                              <w:rPr>
                                <w:sz w:val="18"/>
                                <w:szCs w:val="18"/>
                              </w:rPr>
                            </w:pPr>
                            <w:r>
                              <w:rPr>
                                <w:sz w:val="18"/>
                                <w:szCs w:val="18"/>
                              </w:rPr>
                              <w:t>(D)</w:t>
                            </w:r>
                          </w:p>
                          <w:p w14:paraId="1A480771" w14:textId="77777777" w:rsidR="000E0395" w:rsidRDefault="000E0395" w:rsidP="00722EED">
                            <w:pPr>
                              <w:rPr>
                                <w:sz w:val="18"/>
                                <w:szCs w:val="18"/>
                              </w:rPr>
                            </w:pPr>
                            <w:r>
                              <w:rPr>
                                <w:sz w:val="18"/>
                                <w:szCs w:val="18"/>
                              </w:rPr>
                              <w:t>(M)</w:t>
                            </w:r>
                          </w:p>
                          <w:p w14:paraId="5852328C" w14:textId="77777777" w:rsidR="000E0395" w:rsidRDefault="000E0395" w:rsidP="00722EED">
                            <w:pPr>
                              <w:rPr>
                                <w:sz w:val="18"/>
                                <w:szCs w:val="18"/>
                              </w:rPr>
                            </w:pPr>
                          </w:p>
                          <w:p w14:paraId="6469FD0C" w14:textId="77777777" w:rsidR="000E0395" w:rsidRDefault="000E0395" w:rsidP="00722EED">
                            <w:pPr>
                              <w:rPr>
                                <w:sz w:val="18"/>
                                <w:szCs w:val="18"/>
                              </w:rPr>
                            </w:pPr>
                          </w:p>
                          <w:p w14:paraId="511DAD8B" w14:textId="77777777" w:rsidR="000E0395" w:rsidRDefault="000E0395" w:rsidP="00722EED">
                            <w:pPr>
                              <w:rPr>
                                <w:sz w:val="18"/>
                                <w:szCs w:val="18"/>
                              </w:rPr>
                            </w:pPr>
                          </w:p>
                          <w:p w14:paraId="7A9794D2" w14:textId="77777777" w:rsidR="000E0395" w:rsidRDefault="000E0395" w:rsidP="00722EED">
                            <w:pPr>
                              <w:rPr>
                                <w:sz w:val="18"/>
                                <w:szCs w:val="18"/>
                              </w:rPr>
                            </w:pPr>
                          </w:p>
                          <w:p w14:paraId="243528A3" w14:textId="77777777" w:rsidR="000E0395" w:rsidRDefault="000E0395" w:rsidP="00722EED">
                            <w:pPr>
                              <w:rPr>
                                <w:sz w:val="18"/>
                                <w:szCs w:val="18"/>
                              </w:rPr>
                            </w:pPr>
                          </w:p>
                          <w:p w14:paraId="2664C1B8" w14:textId="77777777" w:rsidR="000E0395" w:rsidRDefault="000E0395" w:rsidP="00722EED">
                            <w:pPr>
                              <w:rPr>
                                <w:sz w:val="18"/>
                                <w:szCs w:val="18"/>
                              </w:rPr>
                            </w:pPr>
                          </w:p>
                          <w:p w14:paraId="026874C8" w14:textId="77777777" w:rsidR="000E0395" w:rsidRDefault="000E0395" w:rsidP="00722EED">
                            <w:pPr>
                              <w:rPr>
                                <w:sz w:val="18"/>
                                <w:szCs w:val="18"/>
                              </w:rPr>
                            </w:pPr>
                          </w:p>
                          <w:p w14:paraId="7C54D453" w14:textId="77777777" w:rsidR="000E0395" w:rsidRDefault="000E0395" w:rsidP="00722EED">
                            <w:pPr>
                              <w:rPr>
                                <w:sz w:val="18"/>
                                <w:szCs w:val="18"/>
                              </w:rPr>
                            </w:pPr>
                          </w:p>
                          <w:p w14:paraId="5D6272C8" w14:textId="77777777" w:rsidR="000E0395" w:rsidRDefault="000E0395" w:rsidP="00722EED">
                            <w:pPr>
                              <w:rPr>
                                <w:sz w:val="18"/>
                                <w:szCs w:val="18"/>
                              </w:rPr>
                            </w:pPr>
                          </w:p>
                          <w:p w14:paraId="24DA5260" w14:textId="77777777" w:rsidR="000E0395" w:rsidRDefault="000E0395" w:rsidP="00722EED">
                            <w:pPr>
                              <w:rPr>
                                <w:sz w:val="18"/>
                                <w:szCs w:val="18"/>
                              </w:rPr>
                            </w:pPr>
                          </w:p>
                          <w:p w14:paraId="6697000B" w14:textId="77777777" w:rsidR="000E0395" w:rsidRDefault="000E0395" w:rsidP="00722EED">
                            <w:pPr>
                              <w:rPr>
                                <w:sz w:val="18"/>
                                <w:szCs w:val="18"/>
                              </w:rPr>
                            </w:pPr>
                          </w:p>
                          <w:p w14:paraId="49E997A9" w14:textId="77777777" w:rsidR="000E0395" w:rsidRDefault="000E0395" w:rsidP="00722EED">
                            <w:pPr>
                              <w:rPr>
                                <w:sz w:val="18"/>
                                <w:szCs w:val="18"/>
                              </w:rPr>
                            </w:pPr>
                          </w:p>
                          <w:p w14:paraId="216C1D4A" w14:textId="77777777" w:rsidR="000E0395" w:rsidRDefault="000E0395" w:rsidP="00722EED">
                            <w:pPr>
                              <w:rPr>
                                <w:sz w:val="18"/>
                                <w:szCs w:val="18"/>
                              </w:rPr>
                            </w:pPr>
                            <w:r>
                              <w:rPr>
                                <w:sz w:val="18"/>
                                <w:szCs w:val="18"/>
                              </w:rPr>
                              <w:t>(M)</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7" style="position:absolute;margin-left:458.2pt;margin-top:112.9pt;width:57.75pt;height:522.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" o:allowincell="f" filled="f" fillcolor="black" stroked="f" strokeweight="1.5pt">
                <v:textbox inset="21.6pt,21.6pt,21.6pt,21.6pt">
                  <w:txbxContent>
                    <w:p w14:paraId="51DF795C" w14:textId="77777777" w:rsidR="000E0395" w:rsidRDefault="000E0395" w:rsidP="00722EED">
                      <w:pPr>
                        <w:rPr>
                          <w:sz w:val="18"/>
                          <w:szCs w:val="18"/>
                        </w:rPr>
                      </w:pPr>
                    </w:p>
                    <w:p w14:paraId="053FA381" w14:textId="77777777" w:rsidR="000E0395" w:rsidRDefault="000E0395" w:rsidP="00722EED">
                      <w:pPr>
                        <w:rPr>
                          <w:sz w:val="18"/>
                          <w:szCs w:val="18"/>
                        </w:rPr>
                      </w:pPr>
                    </w:p>
                    <w:p w14:paraId="7570409C" w14:textId="77777777" w:rsidR="000E0395" w:rsidRDefault="000E0395" w:rsidP="00722EED">
                      <w:pPr>
                        <w:rPr>
                          <w:sz w:val="18"/>
                          <w:szCs w:val="18"/>
                        </w:rPr>
                      </w:pPr>
                      <w:r>
                        <w:rPr>
                          <w:sz w:val="18"/>
                          <w:szCs w:val="18"/>
                        </w:rPr>
                        <w:t>(C)</w:t>
                      </w:r>
                    </w:p>
                    <w:p w14:paraId="6E6B9C14" w14:textId="77777777" w:rsidR="000E0395" w:rsidRPr="00EF6EBF" w:rsidRDefault="000E0395" w:rsidP="00722EED">
                      <w:pPr>
                        <w:rPr>
                          <w:color w:val="4F81BD"/>
                          <w:sz w:val="18"/>
                          <w:szCs w:val="18"/>
                        </w:rPr>
                      </w:pPr>
                    </w:p>
                    <w:p w14:paraId="314F8B66" w14:textId="77777777" w:rsidR="000E0395" w:rsidRDefault="000E0395" w:rsidP="00722EED">
                      <w:pPr>
                        <w:rPr>
                          <w:sz w:val="18"/>
                          <w:szCs w:val="18"/>
                        </w:rPr>
                      </w:pPr>
                    </w:p>
                    <w:p w14:paraId="53A3A3B1" w14:textId="77777777" w:rsidR="000E0395" w:rsidRDefault="000E0395" w:rsidP="00722EED">
                      <w:pPr>
                        <w:rPr>
                          <w:sz w:val="18"/>
                          <w:szCs w:val="18"/>
                        </w:rPr>
                      </w:pPr>
                    </w:p>
                    <w:p w14:paraId="47CB9CC2" w14:textId="77777777" w:rsidR="000E0395" w:rsidRDefault="000E0395" w:rsidP="00722EED">
                      <w:pPr>
                        <w:rPr>
                          <w:sz w:val="18"/>
                          <w:szCs w:val="18"/>
                        </w:rPr>
                      </w:pPr>
                    </w:p>
                    <w:p w14:paraId="6949A80C" w14:textId="77777777" w:rsidR="000E0395" w:rsidRDefault="000E0395" w:rsidP="00722EED">
                      <w:pPr>
                        <w:rPr>
                          <w:sz w:val="18"/>
                          <w:szCs w:val="18"/>
                        </w:rPr>
                      </w:pPr>
                    </w:p>
                    <w:p w14:paraId="49C0D1F0" w14:textId="77777777" w:rsidR="000E0395" w:rsidRDefault="000E0395" w:rsidP="00722EED">
                      <w:pPr>
                        <w:rPr>
                          <w:sz w:val="18"/>
                          <w:szCs w:val="18"/>
                        </w:rPr>
                      </w:pPr>
                    </w:p>
                    <w:p w14:paraId="0542CE84" w14:textId="77777777" w:rsidR="000E0395" w:rsidRDefault="000E0395" w:rsidP="00722EED">
                      <w:pPr>
                        <w:rPr>
                          <w:sz w:val="18"/>
                          <w:szCs w:val="18"/>
                        </w:rPr>
                      </w:pPr>
                    </w:p>
                    <w:p w14:paraId="6EF947C3" w14:textId="77777777" w:rsidR="000E0395" w:rsidRDefault="000E0395" w:rsidP="00722EED">
                      <w:pPr>
                        <w:rPr>
                          <w:sz w:val="18"/>
                          <w:szCs w:val="18"/>
                        </w:rPr>
                      </w:pPr>
                    </w:p>
                    <w:p w14:paraId="6C42EB50" w14:textId="77777777" w:rsidR="000E0395" w:rsidRDefault="000E0395" w:rsidP="00722EED">
                      <w:pPr>
                        <w:rPr>
                          <w:sz w:val="18"/>
                          <w:szCs w:val="18"/>
                        </w:rPr>
                      </w:pPr>
                    </w:p>
                    <w:p w14:paraId="5E4A566B" w14:textId="77777777" w:rsidR="000E0395" w:rsidRDefault="000E0395" w:rsidP="00722EED">
                      <w:pPr>
                        <w:rPr>
                          <w:sz w:val="18"/>
                          <w:szCs w:val="18"/>
                        </w:rPr>
                      </w:pPr>
                    </w:p>
                    <w:p w14:paraId="64E23889" w14:textId="77777777" w:rsidR="000E0395" w:rsidRDefault="000E0395" w:rsidP="00722EED">
                      <w:pPr>
                        <w:rPr>
                          <w:sz w:val="18"/>
                          <w:szCs w:val="18"/>
                        </w:rPr>
                      </w:pPr>
                    </w:p>
                    <w:p w14:paraId="559FCEAA" w14:textId="77777777" w:rsidR="000E0395" w:rsidRDefault="000E0395" w:rsidP="00722EED">
                      <w:pPr>
                        <w:rPr>
                          <w:sz w:val="18"/>
                          <w:szCs w:val="18"/>
                        </w:rPr>
                      </w:pPr>
                    </w:p>
                    <w:p w14:paraId="6EC82300" w14:textId="77777777" w:rsidR="000E0395" w:rsidRDefault="000E0395" w:rsidP="00722EED">
                      <w:pPr>
                        <w:rPr>
                          <w:sz w:val="18"/>
                          <w:szCs w:val="18"/>
                        </w:rPr>
                      </w:pPr>
                    </w:p>
                    <w:p w14:paraId="0EF3AFA3" w14:textId="77777777" w:rsidR="000E0395" w:rsidRDefault="000E0395" w:rsidP="00722EED">
                      <w:pPr>
                        <w:rPr>
                          <w:sz w:val="18"/>
                          <w:szCs w:val="18"/>
                        </w:rPr>
                      </w:pPr>
                    </w:p>
                    <w:p w14:paraId="35A5C4A0" w14:textId="77777777" w:rsidR="000E0395" w:rsidRDefault="000E0395" w:rsidP="00722EED">
                      <w:pPr>
                        <w:rPr>
                          <w:sz w:val="18"/>
                          <w:szCs w:val="18"/>
                        </w:rPr>
                      </w:pPr>
                    </w:p>
                    <w:p w14:paraId="337501BF" w14:textId="77777777" w:rsidR="000E0395" w:rsidRDefault="000E0395" w:rsidP="00722EED">
                      <w:pPr>
                        <w:rPr>
                          <w:sz w:val="18"/>
                          <w:szCs w:val="18"/>
                        </w:rPr>
                      </w:pPr>
                    </w:p>
                    <w:p w14:paraId="2AD0CB23" w14:textId="77777777" w:rsidR="000E0395" w:rsidRDefault="000E0395" w:rsidP="00722EED">
                      <w:pPr>
                        <w:rPr>
                          <w:sz w:val="18"/>
                          <w:szCs w:val="18"/>
                        </w:rPr>
                      </w:pPr>
                    </w:p>
                    <w:p w14:paraId="270DD3E2" w14:textId="77777777" w:rsidR="000E0395" w:rsidRDefault="000E0395" w:rsidP="00722EED">
                      <w:pPr>
                        <w:rPr>
                          <w:sz w:val="18"/>
                          <w:szCs w:val="18"/>
                        </w:rPr>
                      </w:pPr>
                    </w:p>
                    <w:p w14:paraId="58865A98" w14:textId="77777777" w:rsidR="000E0395" w:rsidRDefault="000E0395" w:rsidP="00722EED">
                      <w:pPr>
                        <w:rPr>
                          <w:sz w:val="18"/>
                          <w:szCs w:val="18"/>
                        </w:rPr>
                      </w:pPr>
                    </w:p>
                    <w:p w14:paraId="354E5CB9" w14:textId="77777777" w:rsidR="000E0395" w:rsidRDefault="000E0395" w:rsidP="00722EED">
                      <w:pPr>
                        <w:rPr>
                          <w:sz w:val="18"/>
                          <w:szCs w:val="18"/>
                        </w:rPr>
                      </w:pPr>
                      <w:r>
                        <w:rPr>
                          <w:sz w:val="18"/>
                          <w:szCs w:val="18"/>
                        </w:rPr>
                        <w:t>(D)</w:t>
                      </w:r>
                    </w:p>
                    <w:p w14:paraId="1A480771" w14:textId="77777777" w:rsidR="000E0395" w:rsidRDefault="000E0395" w:rsidP="00722EED">
                      <w:pPr>
                        <w:rPr>
                          <w:sz w:val="18"/>
                          <w:szCs w:val="18"/>
                        </w:rPr>
                      </w:pPr>
                      <w:r>
                        <w:rPr>
                          <w:sz w:val="18"/>
                          <w:szCs w:val="18"/>
                        </w:rPr>
                        <w:t>(M)</w:t>
                      </w:r>
                    </w:p>
                    <w:p w14:paraId="5852328C" w14:textId="77777777" w:rsidR="000E0395" w:rsidRDefault="000E0395" w:rsidP="00722EED">
                      <w:pPr>
                        <w:rPr>
                          <w:sz w:val="18"/>
                          <w:szCs w:val="18"/>
                        </w:rPr>
                      </w:pPr>
                    </w:p>
                    <w:p w14:paraId="6469FD0C" w14:textId="77777777" w:rsidR="000E0395" w:rsidRDefault="000E0395" w:rsidP="00722EED">
                      <w:pPr>
                        <w:rPr>
                          <w:sz w:val="18"/>
                          <w:szCs w:val="18"/>
                        </w:rPr>
                      </w:pPr>
                    </w:p>
                    <w:p w14:paraId="511DAD8B" w14:textId="77777777" w:rsidR="000E0395" w:rsidRDefault="000E0395" w:rsidP="00722EED">
                      <w:pPr>
                        <w:rPr>
                          <w:sz w:val="18"/>
                          <w:szCs w:val="18"/>
                        </w:rPr>
                      </w:pPr>
                    </w:p>
                    <w:p w14:paraId="7A9794D2" w14:textId="77777777" w:rsidR="000E0395" w:rsidRDefault="000E0395" w:rsidP="00722EED">
                      <w:pPr>
                        <w:rPr>
                          <w:sz w:val="18"/>
                          <w:szCs w:val="18"/>
                        </w:rPr>
                      </w:pPr>
                    </w:p>
                    <w:p w14:paraId="243528A3" w14:textId="77777777" w:rsidR="000E0395" w:rsidRDefault="000E0395" w:rsidP="00722EED">
                      <w:pPr>
                        <w:rPr>
                          <w:sz w:val="18"/>
                          <w:szCs w:val="18"/>
                        </w:rPr>
                      </w:pPr>
                    </w:p>
                    <w:p w14:paraId="2664C1B8" w14:textId="77777777" w:rsidR="000E0395" w:rsidRDefault="000E0395" w:rsidP="00722EED">
                      <w:pPr>
                        <w:rPr>
                          <w:sz w:val="18"/>
                          <w:szCs w:val="18"/>
                        </w:rPr>
                      </w:pPr>
                    </w:p>
                    <w:p w14:paraId="026874C8" w14:textId="77777777" w:rsidR="000E0395" w:rsidRDefault="000E0395" w:rsidP="00722EED">
                      <w:pPr>
                        <w:rPr>
                          <w:sz w:val="18"/>
                          <w:szCs w:val="18"/>
                        </w:rPr>
                      </w:pPr>
                    </w:p>
                    <w:p w14:paraId="7C54D453" w14:textId="77777777" w:rsidR="000E0395" w:rsidRDefault="000E0395" w:rsidP="00722EED">
                      <w:pPr>
                        <w:rPr>
                          <w:sz w:val="18"/>
                          <w:szCs w:val="18"/>
                        </w:rPr>
                      </w:pPr>
                    </w:p>
                    <w:p w14:paraId="5D6272C8" w14:textId="77777777" w:rsidR="000E0395" w:rsidRDefault="000E0395" w:rsidP="00722EED">
                      <w:pPr>
                        <w:rPr>
                          <w:sz w:val="18"/>
                          <w:szCs w:val="18"/>
                        </w:rPr>
                      </w:pPr>
                    </w:p>
                    <w:p w14:paraId="24DA5260" w14:textId="77777777" w:rsidR="000E0395" w:rsidRDefault="000E0395" w:rsidP="00722EED">
                      <w:pPr>
                        <w:rPr>
                          <w:sz w:val="18"/>
                          <w:szCs w:val="18"/>
                        </w:rPr>
                      </w:pPr>
                    </w:p>
                    <w:p w14:paraId="6697000B" w14:textId="77777777" w:rsidR="000E0395" w:rsidRDefault="000E0395" w:rsidP="00722EED">
                      <w:pPr>
                        <w:rPr>
                          <w:sz w:val="18"/>
                          <w:szCs w:val="18"/>
                        </w:rPr>
                      </w:pPr>
                    </w:p>
                    <w:p w14:paraId="49E997A9" w14:textId="77777777" w:rsidR="000E0395" w:rsidRDefault="000E0395" w:rsidP="00722EED">
                      <w:pPr>
                        <w:rPr>
                          <w:sz w:val="18"/>
                          <w:szCs w:val="18"/>
                        </w:rPr>
                      </w:pPr>
                    </w:p>
                    <w:p w14:paraId="216C1D4A" w14:textId="77777777" w:rsidR="000E0395" w:rsidRDefault="000E0395" w:rsidP="00722EED">
                      <w:pPr>
                        <w:rPr>
                          <w:sz w:val="18"/>
                          <w:szCs w:val="18"/>
                        </w:rPr>
                      </w:pPr>
                      <w:r>
                        <w:rPr>
                          <w:sz w:val="18"/>
                          <w:szCs w:val="18"/>
                        </w:rPr>
                        <w:t>(M)</w:t>
                      </w:r>
                    </w:p>
                  </w:txbxContent>
                </v:textbox>
                <w10:wrap type="square" anchorx="margin" anchory="margin"/>
              </v:rect>
            </w:pict>
          </mc:Fallback>
        </mc:AlternateContent>
      </w:r>
      <w:r w:rsidRPr="000A5653">
        <w:rPr>
          <w:rFonts w:cs="Arial"/>
          <w:b/>
          <w:spacing w:val="-1"/>
          <w:sz w:val="20"/>
          <w:u w:val="single"/>
        </w:rPr>
        <w:t>AVAILABLE</w:t>
      </w:r>
      <w:r w:rsidRPr="000A5653">
        <w:rPr>
          <w:rFonts w:cs="Arial"/>
          <w:b/>
          <w:bCs/>
          <w:spacing w:val="-1"/>
          <w:sz w:val="20"/>
        </w:rPr>
        <w:t>:</w:t>
      </w:r>
    </w:p>
    <w:p w14:paraId="562C25A8" w14:textId="77777777" w:rsidR="00722EED" w:rsidRPr="000A5653" w:rsidRDefault="00722EED" w:rsidP="00722EED">
      <w:pPr>
        <w:tabs>
          <w:tab w:val="left" w:pos="-720"/>
          <w:tab w:val="left" w:pos="9720"/>
        </w:tabs>
        <w:suppressAutoHyphens/>
        <w:outlineLvl w:val="0"/>
        <w:rPr>
          <w:rFonts w:cs="Arial"/>
          <w:spacing w:val="-1"/>
          <w:sz w:val="20"/>
        </w:rPr>
      </w:pPr>
      <w:r>
        <w:rPr>
          <w:rFonts w:cs="Arial"/>
          <w:spacing w:val="-1"/>
          <w:sz w:val="20"/>
        </w:rPr>
        <w:t>To all Residential Customers served on Rate Schedules 1, 2 and 27; and all Commercial Firm and Interruptible Sales Customers served on Rate Schedules 3, 41 and 42 i</w:t>
      </w:r>
      <w:r w:rsidRPr="000A5653">
        <w:rPr>
          <w:rFonts w:cs="Arial"/>
          <w:spacing w:val="-1"/>
          <w:sz w:val="20"/>
        </w:rPr>
        <w:t>n all territory served by the Company under the Tariff of which this program is a part.</w:t>
      </w:r>
    </w:p>
    <w:p w14:paraId="76AD79BE" w14:textId="77777777" w:rsidR="00722EED" w:rsidRPr="000A5653" w:rsidRDefault="00722EED" w:rsidP="00722EED">
      <w:pPr>
        <w:tabs>
          <w:tab w:val="left" w:pos="-720"/>
          <w:tab w:val="left" w:pos="9720"/>
        </w:tabs>
        <w:suppressAutoHyphens/>
        <w:rPr>
          <w:rFonts w:cs="Arial"/>
          <w:spacing w:val="-1"/>
          <w:sz w:val="20"/>
        </w:rPr>
      </w:pPr>
    </w:p>
    <w:p w14:paraId="78245473" w14:textId="77777777" w:rsidR="00722EED" w:rsidRPr="000A5653" w:rsidRDefault="00722EED" w:rsidP="00722EED">
      <w:pPr>
        <w:tabs>
          <w:tab w:val="left" w:pos="9720"/>
        </w:tabs>
        <w:outlineLvl w:val="0"/>
        <w:rPr>
          <w:rFonts w:cs="Arial"/>
          <w:sz w:val="20"/>
        </w:rPr>
      </w:pPr>
      <w:r w:rsidRPr="000A5653">
        <w:rPr>
          <w:rFonts w:cs="Arial"/>
          <w:b/>
          <w:sz w:val="20"/>
          <w:u w:val="single"/>
        </w:rPr>
        <w:t>DESCRIPTION</w:t>
      </w:r>
      <w:r w:rsidRPr="000A5653">
        <w:rPr>
          <w:rFonts w:cs="Arial"/>
          <w:b/>
          <w:sz w:val="20"/>
        </w:rPr>
        <w:t>:</w:t>
      </w:r>
    </w:p>
    <w:p w14:paraId="24C8A54F" w14:textId="77777777" w:rsidR="00722EED" w:rsidRDefault="00722EED" w:rsidP="00722EED">
      <w:pPr>
        <w:pStyle w:val="BodyText"/>
        <w:widowControl/>
        <w:tabs>
          <w:tab w:val="left" w:pos="9720"/>
        </w:tabs>
        <w:rPr>
          <w:rFonts w:cs="Arial"/>
        </w:rPr>
      </w:pPr>
      <w:r w:rsidRPr="000A5653">
        <w:rPr>
          <w:rFonts w:cs="Arial"/>
        </w:rPr>
        <w:t>The Energy Trust of Oregon (Energy Trust) will deliver and administer a cost-effective energy efficiency program to NW Natural’s Residential and Commercial</w:t>
      </w:r>
      <w:r>
        <w:rPr>
          <w:rFonts w:cs="Arial"/>
          <w:spacing w:val="-1"/>
        </w:rPr>
        <w:t xml:space="preserve"> Firm Sales and Interruptible Sales Customers in accordance with the Company’s Energy Efficiency Plan, revised </w:t>
      </w:r>
      <w:r w:rsidRPr="00FE3082">
        <w:rPr>
          <w:rFonts w:cs="Arial"/>
          <w:spacing w:val="-1"/>
        </w:rPr>
        <w:t xml:space="preserve">on </w:t>
      </w:r>
      <w:r>
        <w:rPr>
          <w:rFonts w:cs="Arial"/>
          <w:spacing w:val="-1"/>
        </w:rPr>
        <w:t>November 13, 2014 (EE Plan)</w:t>
      </w:r>
      <w:r w:rsidRPr="000A5653">
        <w:rPr>
          <w:rFonts w:cs="Arial"/>
        </w:rPr>
        <w:t xml:space="preserve">.  Energy Trust administered programs will offer applicable </w:t>
      </w:r>
      <w:r>
        <w:rPr>
          <w:rFonts w:cs="Arial"/>
        </w:rPr>
        <w:t>C</w:t>
      </w:r>
      <w:r w:rsidRPr="000A5653">
        <w:rPr>
          <w:rFonts w:cs="Arial"/>
        </w:rPr>
        <w:t>ustomers incentive dollars for installing specific, cost</w:t>
      </w:r>
      <w:r>
        <w:rPr>
          <w:rFonts w:cs="Arial"/>
        </w:rPr>
        <w:noBreakHyphen/>
      </w:r>
      <w:r w:rsidRPr="000A5653">
        <w:rPr>
          <w:rFonts w:cs="Arial"/>
        </w:rPr>
        <w:t>effective energy efficient measures</w:t>
      </w:r>
      <w:r>
        <w:rPr>
          <w:rFonts w:cs="Arial"/>
        </w:rPr>
        <w:t>, including rebates for energy efficient retrofit or replacement appliances</w:t>
      </w:r>
      <w:r w:rsidRPr="000A5653">
        <w:rPr>
          <w:rFonts w:cs="Arial"/>
        </w:rPr>
        <w:t xml:space="preserve">.  Program offerings may vary from time-to-time.  </w:t>
      </w:r>
      <w:r>
        <w:rPr>
          <w:rFonts w:cs="Arial"/>
        </w:rPr>
        <w:t xml:space="preserve">Current offerings are described on the following Company webpage:  </w:t>
      </w:r>
    </w:p>
    <w:p w14:paraId="407A7FF8" w14:textId="77777777" w:rsidR="00722EED" w:rsidRPr="006D6044" w:rsidRDefault="00722EED" w:rsidP="00722EED">
      <w:pPr>
        <w:jc w:val="center"/>
        <w:rPr>
          <w:rFonts w:cs="Arial"/>
          <w:sz w:val="20"/>
        </w:rPr>
      </w:pPr>
      <w:r w:rsidRPr="006D6044">
        <w:rPr>
          <w:rFonts w:cs="Arial"/>
          <w:sz w:val="20"/>
        </w:rPr>
        <w:t>https://www.nwnatural.com/Residential/Conserve/EnergyTrustOfOregonServicesAndIncentives</w:t>
      </w:r>
    </w:p>
    <w:p w14:paraId="368C36BE" w14:textId="77777777" w:rsidR="00722EED" w:rsidRDefault="00722EED" w:rsidP="00722EED">
      <w:pPr>
        <w:pStyle w:val="BodyText"/>
        <w:widowControl/>
        <w:tabs>
          <w:tab w:val="left" w:pos="9720"/>
        </w:tabs>
        <w:rPr>
          <w:rFonts w:cs="Arial"/>
        </w:rPr>
      </w:pPr>
    </w:p>
    <w:p w14:paraId="3C1CF535" w14:textId="77777777" w:rsidR="00722EED" w:rsidRPr="000A5653" w:rsidRDefault="00722EED" w:rsidP="00722EED">
      <w:pPr>
        <w:pStyle w:val="BodyText"/>
        <w:widowControl/>
        <w:tabs>
          <w:tab w:val="left" w:pos="9720"/>
        </w:tabs>
        <w:outlineLvl w:val="0"/>
        <w:rPr>
          <w:rFonts w:cs="Arial"/>
          <w:b/>
          <w:u w:val="single"/>
        </w:rPr>
      </w:pPr>
      <w:r w:rsidRPr="000A5653">
        <w:rPr>
          <w:rFonts w:cs="Arial"/>
          <w:b/>
          <w:u w:val="single"/>
        </w:rPr>
        <w:t>OVERSIGHT</w:t>
      </w:r>
    </w:p>
    <w:p w14:paraId="3DF7D875" w14:textId="77777777" w:rsidR="00722EED" w:rsidRPr="000A5653" w:rsidRDefault="00722EED" w:rsidP="00722EED">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proofErr w:type="gramStart"/>
      <w:r w:rsidRPr="000A5653">
        <w:rPr>
          <w:rFonts w:cs="Arial"/>
        </w:rPr>
        <w:t>group</w:t>
      </w:r>
      <w:proofErr w:type="gramEnd"/>
      <w:r w:rsidRPr="000A5653">
        <w:rPr>
          <w:rFonts w:cs="Arial"/>
        </w:rPr>
        <w:t xml:space="preserve"> </w:t>
      </w:r>
      <w:r>
        <w:rPr>
          <w:rFonts w:cs="Arial"/>
        </w:rPr>
        <w:t>comprised</w:t>
      </w:r>
      <w:r w:rsidRPr="000A5653">
        <w:rPr>
          <w:rFonts w:cs="Arial"/>
        </w:rPr>
        <w:t xml:space="preserve"> of interested parties to the Company’s</w:t>
      </w:r>
      <w:r>
        <w:rPr>
          <w:rFonts w:cs="Arial"/>
        </w:rPr>
        <w:t xml:space="preserve"> 2008 general rate case.  EEAG oversight is </w:t>
      </w:r>
      <w:r w:rsidRPr="000A5653">
        <w:rPr>
          <w:rFonts w:cs="Arial"/>
        </w:rPr>
        <w:t>required per the stipulated agreement attached to Commission Order No. 04 to the Company’s rate case, docketed as UG-080546</w:t>
      </w:r>
      <w:r>
        <w:rPr>
          <w:rFonts w:cs="Arial"/>
        </w:rPr>
        <w:t>.</w:t>
      </w:r>
      <w:r w:rsidRPr="000A5653">
        <w:rPr>
          <w:rFonts w:cs="Arial"/>
        </w:rPr>
        <w:t xml:space="preserve">  </w:t>
      </w:r>
      <w:r>
        <w:rPr>
          <w:rFonts w:cs="Arial"/>
        </w:rPr>
        <w:t xml:space="preserve">The Company will consult with the EEAG prior to making any significant program changes such as changing an incentive amount or adding program measures. </w:t>
      </w:r>
    </w:p>
    <w:p w14:paraId="6837D10D" w14:textId="77777777" w:rsidR="00722EED" w:rsidRDefault="00722EED" w:rsidP="00722EED">
      <w:pPr>
        <w:pStyle w:val="BodyText"/>
        <w:widowControl/>
        <w:tabs>
          <w:tab w:val="left" w:pos="9720"/>
        </w:tabs>
        <w:rPr>
          <w:rFonts w:cs="Arial"/>
        </w:rPr>
      </w:pPr>
    </w:p>
    <w:p w14:paraId="405BC3AD" w14:textId="77777777" w:rsidR="00722EED" w:rsidRPr="00132064" w:rsidRDefault="00722EED" w:rsidP="00722EED">
      <w:pPr>
        <w:pStyle w:val="BodyText"/>
        <w:widowControl/>
        <w:tabs>
          <w:tab w:val="left" w:pos="9720"/>
        </w:tabs>
        <w:outlineLvl w:val="0"/>
        <w:rPr>
          <w:rFonts w:cs="Arial"/>
          <w:b/>
          <w:u w:val="single"/>
        </w:rPr>
      </w:pPr>
      <w:r w:rsidRPr="00132064">
        <w:rPr>
          <w:rFonts w:cs="Arial"/>
          <w:b/>
          <w:u w:val="single"/>
        </w:rPr>
        <w:t>REPORTING</w:t>
      </w:r>
    </w:p>
    <w:p w14:paraId="1B6EA987" w14:textId="77777777" w:rsidR="00722EED" w:rsidRPr="00664D76" w:rsidRDefault="00722EED" w:rsidP="00722EED">
      <w:pPr>
        <w:pStyle w:val="BodyText"/>
        <w:widowControl/>
        <w:tabs>
          <w:tab w:val="left" w:pos="9720"/>
        </w:tabs>
        <w:rPr>
          <w:rFonts w:cs="Arial"/>
          <w:b/>
        </w:rPr>
      </w:pPr>
      <w:r w:rsidRPr="000A5653">
        <w:rPr>
          <w:rFonts w:cs="Arial"/>
        </w:rPr>
        <w:t>Energy Trust will provide the EEAG and WUTC with Quarterly and an Annual Reports demonstrating total program costs, therms saved and levelized costs of measures offered</w:t>
      </w:r>
      <w:r>
        <w:rPr>
          <w:rFonts w:cs="Arial"/>
        </w:rPr>
        <w:t>.  Reporting will be consistent with the Company’s EE Plan</w:t>
      </w:r>
      <w:r w:rsidRPr="000A5653">
        <w:rPr>
          <w:rFonts w:cs="Arial"/>
        </w:rPr>
        <w:t xml:space="preserve">. </w:t>
      </w:r>
    </w:p>
    <w:p w14:paraId="7F6A662C" w14:textId="77777777" w:rsidR="00722EED" w:rsidRPr="004A17FF" w:rsidRDefault="00722EED" w:rsidP="00722EED">
      <w:pPr>
        <w:tabs>
          <w:tab w:val="left" w:pos="9720"/>
        </w:tabs>
        <w:autoSpaceDE w:val="0"/>
        <w:autoSpaceDN w:val="0"/>
        <w:adjustRightInd w:val="0"/>
        <w:rPr>
          <w:rFonts w:cs="Arial"/>
          <w:sz w:val="22"/>
          <w:szCs w:val="22"/>
        </w:rPr>
      </w:pPr>
    </w:p>
    <w:p w14:paraId="2FDEA6CA" w14:textId="77777777" w:rsidR="00722EED" w:rsidRPr="000A5653" w:rsidRDefault="00722EED" w:rsidP="00722EED">
      <w:pPr>
        <w:tabs>
          <w:tab w:val="left" w:pos="9720"/>
        </w:tabs>
        <w:outlineLvl w:val="0"/>
        <w:rPr>
          <w:rFonts w:cs="Arial"/>
          <w:b/>
          <w:sz w:val="20"/>
          <w:u w:val="single"/>
        </w:rPr>
      </w:pPr>
      <w:r>
        <w:rPr>
          <w:rFonts w:cs="Arial"/>
          <w:b/>
          <w:noProof/>
          <w:sz w:val="20"/>
          <w:u w:val="single"/>
        </w:rPr>
        <mc:AlternateContent>
          <mc:Choice Requires="wps">
            <w:drawing>
              <wp:anchor distT="0" distB="0" distL="114300" distR="114300" simplePos="0" relativeHeight="251662336" behindDoc="0" locked="0" layoutInCell="1" allowOverlap="1" wp14:anchorId="6FD02395" wp14:editId="1EF202F1">
                <wp:simplePos x="0" y="0"/>
                <wp:positionH relativeFrom="column">
                  <wp:posOffset>6162675</wp:posOffset>
                </wp:positionH>
                <wp:positionV relativeFrom="paragraph">
                  <wp:posOffset>109855</wp:posOffset>
                </wp:positionV>
                <wp:extent cx="0" cy="1543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543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8.65pt" to="485.2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"/>
            </w:pict>
          </mc:Fallback>
        </mc:AlternateContent>
      </w:r>
      <w:r w:rsidRPr="000A5653">
        <w:rPr>
          <w:rFonts w:cs="Arial"/>
          <w:b/>
          <w:sz w:val="20"/>
          <w:u w:val="single"/>
        </w:rPr>
        <w:t>CUSTOMER NOTIFICATION</w:t>
      </w:r>
    </w:p>
    <w:p w14:paraId="0BB15027" w14:textId="77777777" w:rsidR="00722EED" w:rsidRDefault="00722EED" w:rsidP="00722EED">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2C5CA78F" w14:textId="77777777" w:rsidR="00722EED" w:rsidRPr="00AB3847" w:rsidRDefault="00722EED" w:rsidP="00722EED">
      <w:pPr>
        <w:tabs>
          <w:tab w:val="left" w:pos="9720"/>
        </w:tabs>
        <w:rPr>
          <w:rFonts w:cs="Arial"/>
          <w:sz w:val="20"/>
        </w:rPr>
      </w:pPr>
    </w:p>
    <w:p w14:paraId="7994E60C" w14:textId="77777777" w:rsidR="00722EED" w:rsidRPr="000A5653" w:rsidRDefault="00722EED" w:rsidP="00722EED">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604A570A" w14:textId="77777777" w:rsidR="00722EED" w:rsidRDefault="00722EED" w:rsidP="00722EED">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 xml:space="preserve">Deferred balances will accrue interest. </w:t>
      </w:r>
    </w:p>
    <w:p w14:paraId="1EF9FE11" w14:textId="77777777" w:rsidR="00722EED" w:rsidRDefault="00722EED" w:rsidP="00722EED">
      <w:pPr>
        <w:tabs>
          <w:tab w:val="left" w:pos="9720"/>
        </w:tabs>
        <w:autoSpaceDE w:val="0"/>
        <w:autoSpaceDN w:val="0"/>
        <w:adjustRightInd w:val="0"/>
        <w:ind w:left="720"/>
        <w:outlineLvl w:val="0"/>
        <w:rPr>
          <w:rFonts w:cs="Arial"/>
          <w:i/>
          <w:sz w:val="20"/>
        </w:rPr>
      </w:pPr>
    </w:p>
    <w:p w14:paraId="25CA354A" w14:textId="77777777" w:rsidR="00722EED" w:rsidRDefault="00722EED" w:rsidP="00722EED">
      <w:pPr>
        <w:tabs>
          <w:tab w:val="left" w:pos="990"/>
          <w:tab w:val="left" w:pos="9720"/>
        </w:tabs>
        <w:autoSpaceDE w:val="0"/>
        <w:autoSpaceDN w:val="0"/>
        <w:adjustRightInd w:val="0"/>
        <w:ind w:left="990" w:hanging="270"/>
        <w:jc w:val="center"/>
        <w:rPr>
          <w:rFonts w:cs="Arial"/>
          <w:sz w:val="20"/>
        </w:rPr>
        <w:sectPr w:rsidR="00722EED" w:rsidSect="00307082">
          <w:headerReference w:type="default" r:id="rId18"/>
          <w:type w:val="continuous"/>
          <w:pgSz w:w="12240" w:h="15840" w:code="1"/>
          <w:pgMar w:top="720" w:right="1800" w:bottom="720" w:left="1440" w:header="720" w:footer="576" w:gutter="0"/>
          <w:cols w:space="720"/>
          <w:docGrid w:linePitch="360"/>
        </w:sectPr>
      </w:pPr>
    </w:p>
    <w:p w14:paraId="49672F37" w14:textId="77777777" w:rsidR="0090399E" w:rsidRPr="0090399E" w:rsidRDefault="0090399E" w:rsidP="00307082">
      <w:pPr>
        <w:jc w:val="center"/>
        <w:rPr>
          <w:rFonts w:asciiTheme="minorHAnsi" w:hAnsiTheme="minorHAnsi"/>
          <w:szCs w:val="24"/>
        </w:rPr>
      </w:pPr>
    </w:p>
    <w:p w14:paraId="49B24133" w14:textId="77777777" w:rsidR="00307082" w:rsidRPr="00040AB6" w:rsidRDefault="00307082" w:rsidP="00307082">
      <w:pPr>
        <w:jc w:val="center"/>
        <w:rPr>
          <w:rFonts w:asciiTheme="minorHAnsi" w:hAnsiTheme="minorHAnsi"/>
          <w:sz w:val="52"/>
          <w:szCs w:val="52"/>
        </w:rPr>
      </w:pPr>
      <w:r w:rsidRPr="00040AB6">
        <w:rPr>
          <w:rFonts w:asciiTheme="minorHAnsi" w:hAnsiTheme="minorHAnsi"/>
          <w:sz w:val="52"/>
          <w:szCs w:val="52"/>
        </w:rPr>
        <w:t xml:space="preserve">NW Natural’s 2015 </w:t>
      </w:r>
    </w:p>
    <w:p w14:paraId="567C0E41" w14:textId="77777777" w:rsidR="00307082" w:rsidRPr="00040AB6" w:rsidRDefault="00307082" w:rsidP="00307082">
      <w:pPr>
        <w:jc w:val="center"/>
        <w:rPr>
          <w:rFonts w:asciiTheme="minorHAnsi" w:hAnsiTheme="minorHAnsi"/>
          <w:sz w:val="52"/>
          <w:szCs w:val="52"/>
        </w:rPr>
      </w:pPr>
      <w:r w:rsidRPr="00040AB6">
        <w:rPr>
          <w:rFonts w:asciiTheme="minorHAnsi" w:hAnsiTheme="minorHAnsi"/>
          <w:sz w:val="52"/>
          <w:szCs w:val="52"/>
        </w:rPr>
        <w:t>Energy Efficiency Plan</w:t>
      </w:r>
    </w:p>
    <w:p w14:paraId="703BAD73" w14:textId="77777777" w:rsidR="00307082" w:rsidRPr="00040AB6" w:rsidRDefault="00307082" w:rsidP="00307082">
      <w:pPr>
        <w:rPr>
          <w:rFonts w:asciiTheme="minorHAnsi" w:hAnsiTheme="minorHAnsi"/>
          <w:sz w:val="32"/>
          <w:szCs w:val="32"/>
        </w:rPr>
      </w:pPr>
    </w:p>
    <w:p w14:paraId="3C7A0CD0" w14:textId="77777777" w:rsidR="00307082" w:rsidRPr="00040AB6" w:rsidRDefault="00307082" w:rsidP="00307082">
      <w:pPr>
        <w:pStyle w:val="ListParagraph"/>
        <w:numPr>
          <w:ilvl w:val="0"/>
          <w:numId w:val="7"/>
        </w:numPr>
        <w:spacing w:line="276" w:lineRule="auto"/>
        <w:ind w:left="720"/>
        <w:rPr>
          <w:rFonts w:asciiTheme="minorHAnsi" w:hAnsiTheme="minorHAnsi"/>
          <w:sz w:val="32"/>
          <w:szCs w:val="32"/>
        </w:rPr>
      </w:pPr>
      <w:r w:rsidRPr="00040AB6">
        <w:rPr>
          <w:rFonts w:asciiTheme="minorHAnsi" w:hAnsiTheme="minorHAnsi"/>
          <w:sz w:val="32"/>
          <w:szCs w:val="32"/>
        </w:rPr>
        <w:t>Background</w:t>
      </w:r>
    </w:p>
    <w:p w14:paraId="314A60F4"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Northwest Natural, dba NW Natural (“NW Natural” or Company”), began offering its current energy efficiency programs to </w:t>
      </w:r>
      <w:smartTag w:uri="urn:schemas-microsoft-com:office:smarttags" w:element="State">
        <w:smartTag w:uri="urn:schemas-microsoft-com:office:smarttags" w:element="place">
          <w:r w:rsidRPr="00040AB6">
            <w:rPr>
              <w:rFonts w:asciiTheme="minorHAnsi" w:hAnsiTheme="minorHAnsi"/>
              <w:szCs w:val="24"/>
            </w:rPr>
            <w:t>Washington</w:t>
          </w:r>
        </w:smartTag>
      </w:smartTag>
      <w:r w:rsidRPr="00040AB6">
        <w:rPr>
          <w:rFonts w:asciiTheme="minorHAnsi" w:hAnsiTheme="minorHAnsi"/>
          <w:szCs w:val="24"/>
        </w:rPr>
        <w:t xml:space="preserve"> customers on October 1, 2009.  The Washington Utilities and Transportation Commission’s (“WUTC’s”) Order No. 04 in the Company’s 2008 rate case, docketed as UG-080546, directed NW Natural to create and begin offering a   program.</w:t>
      </w:r>
    </w:p>
    <w:p w14:paraId="0D763EDF" w14:textId="77777777" w:rsidR="00307082" w:rsidRPr="00040AB6" w:rsidRDefault="00307082" w:rsidP="00307082">
      <w:pPr>
        <w:pStyle w:val="ListParagraph"/>
        <w:ind w:hanging="720"/>
        <w:rPr>
          <w:rFonts w:asciiTheme="minorHAnsi" w:hAnsiTheme="minorHAnsi"/>
          <w:szCs w:val="24"/>
        </w:rPr>
      </w:pPr>
    </w:p>
    <w:p w14:paraId="0C569668" w14:textId="77777777" w:rsidR="00307082" w:rsidRPr="00040AB6" w:rsidRDefault="00307082" w:rsidP="00307082">
      <w:pPr>
        <w:pStyle w:val="ListParagraph"/>
        <w:numPr>
          <w:ilvl w:val="0"/>
          <w:numId w:val="7"/>
        </w:numPr>
        <w:ind w:left="720"/>
        <w:rPr>
          <w:rFonts w:asciiTheme="minorHAnsi" w:hAnsiTheme="minorHAnsi"/>
          <w:sz w:val="32"/>
          <w:szCs w:val="32"/>
        </w:rPr>
      </w:pPr>
      <w:r w:rsidRPr="00040AB6">
        <w:rPr>
          <w:rFonts w:asciiTheme="minorHAnsi" w:hAnsiTheme="minorHAnsi"/>
          <w:sz w:val="32"/>
          <w:szCs w:val="32"/>
        </w:rPr>
        <w:t>Oversight</w:t>
      </w:r>
    </w:p>
    <w:p w14:paraId="70D4B965"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NW Natural’s energy efficiency programs were developed and continue to evolve under the direction and oversight of the Energy Efficiency Advisory Group (“EEAG”) which is comprised of interested parties to the Company’s 2008 rate case.  The EEAG includes representatives from NW Natural, Energy Trust of Oregon (“Energy Trust”), WUTC Staff, Public Counsel, Northwest Industrial Gas Users (“NWIGU”), The Energy Project, and NW Energy Coalition. </w:t>
      </w:r>
    </w:p>
    <w:p w14:paraId="2BD93893" w14:textId="77777777" w:rsidR="00307082" w:rsidRPr="00040AB6" w:rsidRDefault="00307082" w:rsidP="00307082">
      <w:pPr>
        <w:pStyle w:val="ListParagraph"/>
        <w:ind w:hanging="720"/>
        <w:rPr>
          <w:rFonts w:asciiTheme="minorHAnsi" w:hAnsiTheme="minorHAnsi"/>
          <w:szCs w:val="24"/>
        </w:rPr>
      </w:pPr>
    </w:p>
    <w:p w14:paraId="475C33FF" w14:textId="77777777" w:rsidR="00307082" w:rsidRPr="00040AB6" w:rsidRDefault="00307082" w:rsidP="00307082">
      <w:pPr>
        <w:pStyle w:val="ListParagraph"/>
        <w:numPr>
          <w:ilvl w:val="0"/>
          <w:numId w:val="7"/>
        </w:numPr>
        <w:ind w:left="720"/>
        <w:rPr>
          <w:rFonts w:asciiTheme="minorHAnsi" w:hAnsiTheme="minorHAnsi"/>
          <w:sz w:val="32"/>
          <w:szCs w:val="32"/>
        </w:rPr>
      </w:pPr>
      <w:r w:rsidRPr="00040AB6">
        <w:rPr>
          <w:rFonts w:asciiTheme="minorHAnsi" w:hAnsiTheme="minorHAnsi"/>
          <w:sz w:val="32"/>
          <w:szCs w:val="32"/>
        </w:rPr>
        <w:t>Program Administration</w:t>
      </w:r>
    </w:p>
    <w:p w14:paraId="37439A40"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NW Natural’s general energy efficiency programs are administered by the Energy Trust, which is an independent, nonprofit organization dedicated to helping utility customers save electric and gas energy.  Energy Trust was formed in 2002 in response to Oregon legislation that restructured electric utilities</w:t>
      </w:r>
      <w:r w:rsidRPr="00040AB6">
        <w:rPr>
          <w:rStyle w:val="FootnoteReference"/>
          <w:rFonts w:asciiTheme="minorHAnsi" w:hAnsiTheme="minorHAnsi"/>
          <w:szCs w:val="24"/>
        </w:rPr>
        <w:footnoteReference w:id="2"/>
      </w:r>
      <w:r w:rsidRPr="00040AB6">
        <w:rPr>
          <w:rFonts w:asciiTheme="minorHAnsi" w:hAnsiTheme="minorHAnsi"/>
          <w:szCs w:val="24"/>
        </w:rPr>
        <w:t xml:space="preserve"> for multiple reasons including allowing non-residential customers to purchase their electricity from providers other than the utility and reassigning the responsibility for demand side management from utility operations to Energy Trust.  </w:t>
      </w:r>
    </w:p>
    <w:p w14:paraId="37815035" w14:textId="77777777" w:rsidR="00307082" w:rsidRPr="00040AB6" w:rsidRDefault="00307082" w:rsidP="00307082">
      <w:pPr>
        <w:ind w:left="720"/>
        <w:rPr>
          <w:rFonts w:asciiTheme="minorHAnsi" w:hAnsiTheme="minorHAnsi"/>
          <w:szCs w:val="24"/>
        </w:rPr>
      </w:pPr>
    </w:p>
    <w:p w14:paraId="76EEDB9D"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NW Natural began using Energy Trust as the delivery arm for its </w:t>
      </w:r>
      <w:smartTag w:uri="urn:schemas-microsoft-com:office:smarttags" w:element="State">
        <w:smartTag w:uri="urn:schemas-microsoft-com:office:smarttags" w:element="place">
          <w:r w:rsidRPr="00040AB6">
            <w:rPr>
              <w:rFonts w:asciiTheme="minorHAnsi" w:hAnsiTheme="minorHAnsi"/>
              <w:szCs w:val="24"/>
            </w:rPr>
            <w:t>Oregon</w:t>
          </w:r>
        </w:smartTag>
      </w:smartTag>
      <w:r w:rsidRPr="00040AB6">
        <w:rPr>
          <w:rFonts w:asciiTheme="minorHAnsi" w:hAnsiTheme="minorHAnsi"/>
          <w:szCs w:val="24"/>
        </w:rPr>
        <w:t xml:space="preserve"> energy efficiency program in 2003.  Since NW Natural’s </w:t>
      </w:r>
      <w:smartTag w:uri="urn:schemas-microsoft-com:office:smarttags" w:element="State">
        <w:r w:rsidRPr="00040AB6">
          <w:rPr>
            <w:rFonts w:asciiTheme="minorHAnsi" w:hAnsiTheme="minorHAnsi"/>
            <w:szCs w:val="24"/>
          </w:rPr>
          <w:t>Washington</w:t>
        </w:r>
      </w:smartTag>
      <w:r w:rsidRPr="00040AB6">
        <w:rPr>
          <w:rFonts w:asciiTheme="minorHAnsi" w:hAnsiTheme="minorHAnsi"/>
          <w:szCs w:val="24"/>
        </w:rPr>
        <w:t xml:space="preserve"> service territory is contiguous with its </w:t>
      </w:r>
      <w:smartTag w:uri="urn:schemas-microsoft-com:office:smarttags" w:element="State">
        <w:r w:rsidRPr="00040AB6">
          <w:rPr>
            <w:rFonts w:asciiTheme="minorHAnsi" w:hAnsiTheme="minorHAnsi"/>
            <w:szCs w:val="24"/>
          </w:rPr>
          <w:t>Oregon</w:t>
        </w:r>
      </w:smartTag>
      <w:r w:rsidRPr="00040AB6">
        <w:rPr>
          <w:rFonts w:asciiTheme="minorHAnsi" w:hAnsiTheme="minorHAnsi"/>
          <w:szCs w:val="24"/>
        </w:rPr>
        <w:t xml:space="preserve"> territory, it made sense to have Energy Trust extend the boundaries of the </w:t>
      </w:r>
      <w:smartTag w:uri="urn:schemas-microsoft-com:office:smarttags" w:element="State">
        <w:r w:rsidRPr="00040AB6">
          <w:rPr>
            <w:rFonts w:asciiTheme="minorHAnsi" w:hAnsiTheme="minorHAnsi"/>
            <w:szCs w:val="24"/>
          </w:rPr>
          <w:t>Oregon</w:t>
        </w:r>
      </w:smartTag>
      <w:r w:rsidRPr="00040AB6">
        <w:rPr>
          <w:rFonts w:asciiTheme="minorHAnsi" w:hAnsiTheme="minorHAnsi"/>
          <w:szCs w:val="24"/>
        </w:rPr>
        <w:t xml:space="preserve"> program offerings into </w:t>
      </w:r>
      <w:smartTag w:uri="urn:schemas-microsoft-com:office:smarttags" w:element="State">
        <w:smartTag w:uri="urn:schemas-microsoft-com:office:smarttags" w:element="place">
          <w:r w:rsidRPr="00040AB6">
            <w:rPr>
              <w:rFonts w:asciiTheme="minorHAnsi" w:hAnsiTheme="minorHAnsi"/>
              <w:szCs w:val="24"/>
            </w:rPr>
            <w:t>Washington</w:t>
          </w:r>
        </w:smartTag>
      </w:smartTag>
      <w:r w:rsidRPr="00040AB6">
        <w:rPr>
          <w:rFonts w:asciiTheme="minorHAnsi" w:hAnsiTheme="minorHAnsi"/>
          <w:szCs w:val="24"/>
        </w:rPr>
        <w:t xml:space="preserve">.  </w:t>
      </w:r>
    </w:p>
    <w:p w14:paraId="446C187C" w14:textId="77777777" w:rsidR="00307082" w:rsidRPr="00040AB6" w:rsidRDefault="00307082" w:rsidP="00307082">
      <w:pPr>
        <w:ind w:left="720"/>
        <w:rPr>
          <w:rFonts w:asciiTheme="minorHAnsi" w:hAnsiTheme="minorHAnsi"/>
          <w:szCs w:val="24"/>
        </w:rPr>
      </w:pPr>
    </w:p>
    <w:p w14:paraId="01F43008"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As agreed to in UG-080546, Energy Trust administered the Company’s program for one pilot year.  During this time, the EEAG monitored the program’s performance and assessed whether Energy Trust should be the ongoing program administrator.  On May 25, 2011, NW Natural made a compliance filing in UG-080546 wherein it stated the </w:t>
      </w:r>
      <w:r w:rsidRPr="00040AB6">
        <w:rPr>
          <w:rFonts w:asciiTheme="minorHAnsi" w:hAnsiTheme="minorHAnsi"/>
          <w:szCs w:val="24"/>
        </w:rPr>
        <w:lastRenderedPageBreak/>
        <w:t xml:space="preserve">EEAG’s opinion to allow Energy Trust to continue administering NW Natural’s energy efficiency programs in </w:t>
      </w:r>
      <w:smartTag w:uri="urn:schemas-microsoft-com:office:smarttags" w:element="State">
        <w:smartTag w:uri="urn:schemas-microsoft-com:office:smarttags" w:element="place">
          <w:r w:rsidRPr="00040AB6">
            <w:rPr>
              <w:rFonts w:asciiTheme="minorHAnsi" w:hAnsiTheme="minorHAnsi"/>
              <w:szCs w:val="24"/>
            </w:rPr>
            <w:t>Washington</w:t>
          </w:r>
        </w:smartTag>
      </w:smartTag>
      <w:r w:rsidRPr="00040AB6">
        <w:rPr>
          <w:rFonts w:asciiTheme="minorHAnsi" w:hAnsiTheme="minorHAnsi"/>
          <w:szCs w:val="24"/>
        </w:rPr>
        <w:t xml:space="preserve">. On June 8, 2011, Public Counsel separately filed a letter supporting this decision.  </w:t>
      </w:r>
    </w:p>
    <w:p w14:paraId="0FE3545D" w14:textId="77777777" w:rsidR="00307082" w:rsidRPr="00040AB6" w:rsidRDefault="00307082" w:rsidP="00307082">
      <w:pPr>
        <w:ind w:left="1080"/>
        <w:rPr>
          <w:rFonts w:asciiTheme="minorHAnsi" w:hAnsiTheme="minorHAnsi"/>
          <w:szCs w:val="24"/>
        </w:rPr>
      </w:pPr>
    </w:p>
    <w:p w14:paraId="1F2822C5"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NW Natural’s Washington Low Income Energy Efficiency Program (“WA-LIEE”) is administered by Clark County Community Action Agency, Klickitat County Community Action Agency and Skamania County Community Action Agency. </w:t>
      </w:r>
    </w:p>
    <w:p w14:paraId="61CAA5C6" w14:textId="77777777" w:rsidR="00307082" w:rsidRPr="00040AB6" w:rsidRDefault="00307082" w:rsidP="00307082">
      <w:pPr>
        <w:ind w:left="720"/>
        <w:rPr>
          <w:rFonts w:asciiTheme="minorHAnsi" w:hAnsiTheme="minorHAnsi"/>
          <w:szCs w:val="24"/>
        </w:rPr>
      </w:pPr>
    </w:p>
    <w:p w14:paraId="36467E56" w14:textId="77777777" w:rsidR="00307082" w:rsidRPr="00040AB6" w:rsidRDefault="00307082" w:rsidP="00307082">
      <w:pPr>
        <w:pStyle w:val="ListParagraph"/>
        <w:numPr>
          <w:ilvl w:val="0"/>
          <w:numId w:val="7"/>
        </w:numPr>
        <w:ind w:left="720"/>
        <w:rPr>
          <w:rFonts w:asciiTheme="minorHAnsi" w:hAnsiTheme="minorHAnsi"/>
          <w:sz w:val="32"/>
          <w:szCs w:val="32"/>
        </w:rPr>
      </w:pPr>
      <w:r w:rsidRPr="00040AB6">
        <w:rPr>
          <w:rFonts w:asciiTheme="minorHAnsi" w:hAnsiTheme="minorHAnsi"/>
          <w:sz w:val="32"/>
          <w:szCs w:val="32"/>
        </w:rPr>
        <w:t>Programs Offered</w:t>
      </w:r>
    </w:p>
    <w:p w14:paraId="4969882D"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NW Natural offers the following general energy efficiency programs:</w:t>
      </w:r>
    </w:p>
    <w:p w14:paraId="709A0581" w14:textId="77777777" w:rsidR="00307082" w:rsidRPr="00040AB6" w:rsidRDefault="00307082" w:rsidP="00307082">
      <w:pPr>
        <w:pStyle w:val="ListParagraph"/>
        <w:rPr>
          <w:rFonts w:asciiTheme="minorHAnsi" w:hAnsiTheme="minorHAnsi"/>
          <w:szCs w:val="24"/>
        </w:rPr>
      </w:pPr>
    </w:p>
    <w:p w14:paraId="5FD219ED" w14:textId="77777777" w:rsidR="00307082" w:rsidRPr="00040AB6" w:rsidRDefault="00307082" w:rsidP="00307082">
      <w:pPr>
        <w:pStyle w:val="ListParagraph"/>
        <w:tabs>
          <w:tab w:val="left" w:pos="720"/>
        </w:tabs>
        <w:ind w:left="1440"/>
        <w:rPr>
          <w:rFonts w:asciiTheme="minorHAnsi" w:hAnsiTheme="minorHAnsi"/>
          <w:szCs w:val="24"/>
        </w:rPr>
      </w:pPr>
      <w:r w:rsidRPr="00040AB6">
        <w:rPr>
          <w:rFonts w:asciiTheme="minorHAnsi" w:hAnsiTheme="minorHAnsi"/>
          <w:szCs w:val="24"/>
          <w:u w:val="single"/>
        </w:rPr>
        <w:t>Residential</w:t>
      </w:r>
      <w:r w:rsidRPr="00040AB6">
        <w:rPr>
          <w:rFonts w:asciiTheme="minorHAnsi" w:hAnsiTheme="minorHAnsi"/>
          <w:szCs w:val="24"/>
        </w:rPr>
        <w:t xml:space="preserve"> – Residential customers with gas heated homes are offered home energy reviews wherein an energy consultant identifies measures that could be installed to improve the efficiency of the customer’s home.  Specific incentive offerings are also available for the installation of certain efficient gas appliances.  The Company also offers on-the-bill repayment services for loans offered by Craft3 for the purpose of installing energy efficiency measures</w:t>
      </w:r>
    </w:p>
    <w:p w14:paraId="1A3980E0" w14:textId="77777777" w:rsidR="00307082" w:rsidRPr="00040AB6" w:rsidRDefault="00307082" w:rsidP="00307082">
      <w:pPr>
        <w:pStyle w:val="ListParagraph"/>
        <w:tabs>
          <w:tab w:val="left" w:pos="720"/>
        </w:tabs>
        <w:ind w:left="1440"/>
        <w:rPr>
          <w:rFonts w:asciiTheme="minorHAnsi" w:hAnsiTheme="minorHAnsi"/>
          <w:szCs w:val="24"/>
        </w:rPr>
      </w:pPr>
    </w:p>
    <w:p w14:paraId="2B11DACE" w14:textId="77777777" w:rsidR="00307082" w:rsidRPr="00040AB6" w:rsidRDefault="00307082" w:rsidP="00307082">
      <w:pPr>
        <w:pStyle w:val="ListParagraph"/>
        <w:tabs>
          <w:tab w:val="left" w:pos="720"/>
        </w:tabs>
        <w:ind w:left="1440"/>
        <w:rPr>
          <w:rFonts w:asciiTheme="minorHAnsi" w:hAnsiTheme="minorHAnsi"/>
          <w:szCs w:val="24"/>
        </w:rPr>
      </w:pPr>
      <w:r w:rsidRPr="00040AB6">
        <w:rPr>
          <w:rFonts w:asciiTheme="minorHAnsi" w:hAnsiTheme="minorHAnsi"/>
          <w:szCs w:val="24"/>
          <w:u w:val="single"/>
        </w:rPr>
        <w:t>New Homes</w:t>
      </w:r>
      <w:r w:rsidRPr="00040AB6">
        <w:rPr>
          <w:rFonts w:asciiTheme="minorHAnsi" w:hAnsiTheme="minorHAnsi"/>
          <w:szCs w:val="24"/>
        </w:rPr>
        <w:t xml:space="preserve"> – The New Homes program encourages builders to construct homes to an energy efficiency standard that is better than </w:t>
      </w:r>
      <w:smartTag w:uri="urn:schemas-microsoft-com:office:smarttags" w:element="State">
        <w:smartTag w:uri="urn:schemas-microsoft-com:office:smarttags" w:element="place">
          <w:r w:rsidRPr="00040AB6">
            <w:rPr>
              <w:rFonts w:asciiTheme="minorHAnsi" w:hAnsiTheme="minorHAnsi"/>
              <w:szCs w:val="24"/>
            </w:rPr>
            <w:t>Washington</w:t>
          </w:r>
        </w:smartTag>
      </w:smartTag>
      <w:r w:rsidRPr="00040AB6">
        <w:rPr>
          <w:rFonts w:asciiTheme="minorHAnsi" w:hAnsiTheme="minorHAnsi"/>
          <w:szCs w:val="24"/>
        </w:rPr>
        <w:t xml:space="preserve"> building code.  Qualifying homes must meet the criteria established in ENERGY STAR’s Builder Option Package (“BOP”) for natural gas heated new construction. </w:t>
      </w:r>
    </w:p>
    <w:p w14:paraId="6703EAF9" w14:textId="77777777" w:rsidR="00307082" w:rsidRPr="00040AB6" w:rsidRDefault="00307082" w:rsidP="00307082">
      <w:pPr>
        <w:pStyle w:val="ListParagraph"/>
        <w:tabs>
          <w:tab w:val="left" w:pos="720"/>
        </w:tabs>
        <w:ind w:left="1440"/>
        <w:rPr>
          <w:rFonts w:asciiTheme="minorHAnsi" w:hAnsiTheme="minorHAnsi"/>
        </w:rPr>
      </w:pPr>
    </w:p>
    <w:p w14:paraId="1C5A4001" w14:textId="77777777" w:rsidR="00307082" w:rsidRPr="00040AB6" w:rsidRDefault="00307082" w:rsidP="00307082">
      <w:pPr>
        <w:pStyle w:val="ListParagraph"/>
        <w:tabs>
          <w:tab w:val="left" w:pos="720"/>
        </w:tabs>
        <w:ind w:left="1440"/>
        <w:rPr>
          <w:rFonts w:asciiTheme="minorHAnsi" w:hAnsiTheme="minorHAnsi"/>
          <w:szCs w:val="24"/>
        </w:rPr>
      </w:pPr>
      <w:r w:rsidRPr="00040AB6">
        <w:rPr>
          <w:rFonts w:asciiTheme="minorHAnsi" w:hAnsiTheme="minorHAnsi"/>
          <w:szCs w:val="24"/>
          <w:u w:val="single"/>
        </w:rPr>
        <w:t>Commercial</w:t>
      </w:r>
      <w:r w:rsidRPr="00040AB6">
        <w:rPr>
          <w:rFonts w:asciiTheme="minorHAnsi" w:hAnsiTheme="minorHAnsi"/>
          <w:szCs w:val="24"/>
        </w:rPr>
        <w:t xml:space="preserve"> – Commercial customers are offered incentives for prescriptive efficient gas appliance installations, as well as efficient installations unique to the customer’s facilities that are identified in a custom study. </w:t>
      </w:r>
    </w:p>
    <w:p w14:paraId="4D562F45" w14:textId="77777777" w:rsidR="00307082" w:rsidRPr="00040AB6" w:rsidRDefault="00307082" w:rsidP="00307082">
      <w:pPr>
        <w:pStyle w:val="ListParagraph"/>
        <w:rPr>
          <w:rFonts w:asciiTheme="minorHAnsi" w:hAnsiTheme="minorHAnsi"/>
          <w:szCs w:val="24"/>
        </w:rPr>
      </w:pPr>
    </w:p>
    <w:p w14:paraId="7E6039C9" w14:textId="77777777" w:rsidR="00307082" w:rsidRPr="00040AB6" w:rsidRDefault="00307082" w:rsidP="00307082">
      <w:pPr>
        <w:tabs>
          <w:tab w:val="left" w:pos="1440"/>
        </w:tabs>
        <w:ind w:left="720"/>
        <w:rPr>
          <w:rFonts w:asciiTheme="minorHAnsi" w:hAnsiTheme="minorHAnsi"/>
          <w:szCs w:val="24"/>
        </w:rPr>
      </w:pPr>
      <w:r w:rsidRPr="00040AB6">
        <w:rPr>
          <w:rFonts w:asciiTheme="minorHAnsi" w:hAnsiTheme="minorHAnsi"/>
          <w:szCs w:val="24"/>
        </w:rPr>
        <w:t>Specific measure offerings are as listed in Appendix A to this Plan.</w:t>
      </w:r>
    </w:p>
    <w:p w14:paraId="4C95DE69" w14:textId="77777777" w:rsidR="00307082" w:rsidRPr="00040AB6" w:rsidRDefault="00307082" w:rsidP="00307082">
      <w:pPr>
        <w:tabs>
          <w:tab w:val="left" w:pos="1440"/>
        </w:tabs>
        <w:ind w:left="720"/>
        <w:rPr>
          <w:rFonts w:asciiTheme="minorHAnsi" w:hAnsiTheme="minorHAnsi"/>
          <w:szCs w:val="24"/>
        </w:rPr>
      </w:pPr>
    </w:p>
    <w:p w14:paraId="2C824EDE" w14:textId="77777777" w:rsidR="00307082" w:rsidRPr="00040AB6" w:rsidRDefault="00307082" w:rsidP="00307082">
      <w:pPr>
        <w:tabs>
          <w:tab w:val="left" w:pos="1440"/>
        </w:tabs>
        <w:ind w:left="720"/>
        <w:rPr>
          <w:rFonts w:asciiTheme="minorHAnsi" w:hAnsiTheme="minorHAnsi"/>
          <w:szCs w:val="24"/>
        </w:rPr>
      </w:pPr>
      <w:r w:rsidRPr="00040AB6">
        <w:rPr>
          <w:rFonts w:asciiTheme="minorHAnsi" w:hAnsiTheme="minorHAnsi"/>
          <w:szCs w:val="24"/>
        </w:rPr>
        <w:t xml:space="preserve">Under NW Natural’s low income energy efficiency program, agencies administering the program leverage other funding sources with WA-LIEE dollars to provide whole-house weatherization services to qualifying customers.  Agencies are paid $3,500 per home for cost effective energy efficiency installations as well as an average of $440 per home for health and safety repairs.  Program details are available in the Company’s Schedule I, “Washington Low Income Energy Efficiency Program (WA-LIEE).” </w:t>
      </w:r>
    </w:p>
    <w:p w14:paraId="1E1863A2" w14:textId="77777777" w:rsidR="00307082" w:rsidRPr="00040AB6" w:rsidRDefault="00307082" w:rsidP="00307082">
      <w:pPr>
        <w:pStyle w:val="ListParagraph"/>
        <w:rPr>
          <w:rFonts w:asciiTheme="minorHAnsi" w:hAnsiTheme="minorHAnsi"/>
          <w:sz w:val="32"/>
          <w:szCs w:val="32"/>
        </w:rPr>
      </w:pPr>
    </w:p>
    <w:p w14:paraId="28B2EE2F" w14:textId="77777777" w:rsidR="00307082" w:rsidRPr="00040AB6" w:rsidRDefault="00307082" w:rsidP="00307082">
      <w:pPr>
        <w:tabs>
          <w:tab w:val="left" w:pos="720"/>
        </w:tabs>
        <w:rPr>
          <w:rFonts w:asciiTheme="minorHAnsi" w:hAnsiTheme="minorHAnsi"/>
          <w:sz w:val="32"/>
          <w:szCs w:val="32"/>
        </w:rPr>
      </w:pPr>
      <w:r w:rsidRPr="00040AB6">
        <w:rPr>
          <w:rFonts w:asciiTheme="minorHAnsi" w:hAnsiTheme="minorHAnsi"/>
          <w:sz w:val="32"/>
          <w:szCs w:val="32"/>
        </w:rPr>
        <w:t>V.      Cost Effectiveness Standard</w:t>
      </w:r>
    </w:p>
    <w:p w14:paraId="73683A9E" w14:textId="77777777" w:rsidR="00307082" w:rsidRPr="00040AB6" w:rsidRDefault="00307082" w:rsidP="00307082">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The goal of NW Natural’s portfolio of residential, new homes, and commercial energy efficiency programs is to acquire cost-effective gas therm savings. The portfolio of programs offered through the Energy Trust will be deemed cost-effective if at the end of the program year the program portfolio passes the Utility Cost (UCT) test by having a benefit to cost ratio of one or more.  The UCT is defined as follows:</w:t>
      </w:r>
    </w:p>
    <w:p w14:paraId="009DAC6C" w14:textId="77777777" w:rsidR="00307082" w:rsidRPr="00040AB6" w:rsidRDefault="00307082" w:rsidP="00307082">
      <w:pPr>
        <w:tabs>
          <w:tab w:val="left" w:pos="9720"/>
        </w:tabs>
        <w:ind w:left="720"/>
        <w:rPr>
          <w:rFonts w:asciiTheme="minorHAnsi" w:hAnsiTheme="minorHAnsi"/>
          <w:szCs w:val="24"/>
        </w:rPr>
      </w:pPr>
    </w:p>
    <w:p w14:paraId="3BEC69CD"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lastRenderedPageBreak/>
        <w:t>The UCT measures the present value of the energy savings in relation to the net costs incurred by the program, including incentive costs and excluding any net costs incurred by the participant.  The UCT is Benefits divided by Costs where each is defined as follows:</w:t>
      </w:r>
    </w:p>
    <w:p w14:paraId="77A3AAA6" w14:textId="77777777" w:rsidR="00307082" w:rsidRPr="00040AB6" w:rsidRDefault="00307082" w:rsidP="00307082">
      <w:pPr>
        <w:tabs>
          <w:tab w:val="num" w:pos="1080"/>
          <w:tab w:val="left" w:pos="9720"/>
        </w:tabs>
        <w:autoSpaceDE w:val="0"/>
        <w:autoSpaceDN w:val="0"/>
        <w:adjustRightInd w:val="0"/>
        <w:ind w:left="1080"/>
        <w:rPr>
          <w:rFonts w:asciiTheme="minorHAnsi" w:hAnsiTheme="minorHAnsi"/>
          <w:szCs w:val="24"/>
        </w:rPr>
      </w:pPr>
    </w:p>
    <w:p w14:paraId="5CD68B0E" w14:textId="77777777" w:rsidR="00307082" w:rsidRPr="00040AB6" w:rsidRDefault="00307082" w:rsidP="00307082">
      <w:pPr>
        <w:tabs>
          <w:tab w:val="left" w:pos="9720"/>
        </w:tabs>
        <w:ind w:left="720"/>
        <w:outlineLvl w:val="0"/>
        <w:rPr>
          <w:rFonts w:asciiTheme="minorHAnsi" w:hAnsiTheme="minorHAnsi"/>
          <w:szCs w:val="24"/>
        </w:rPr>
      </w:pPr>
      <w:r w:rsidRPr="00040AB6">
        <w:rPr>
          <w:rFonts w:asciiTheme="minorHAnsi" w:hAnsiTheme="minorHAnsi"/>
          <w:szCs w:val="24"/>
        </w:rPr>
        <w:t xml:space="preserve">UCT </w:t>
      </w:r>
      <w:r w:rsidRPr="00040AB6">
        <w:rPr>
          <w:rFonts w:asciiTheme="minorHAnsi" w:hAnsiTheme="minorHAnsi"/>
          <w:b/>
          <w:szCs w:val="24"/>
        </w:rPr>
        <w:t>Benefits</w:t>
      </w:r>
      <w:r w:rsidRPr="00040AB6">
        <w:rPr>
          <w:rFonts w:asciiTheme="minorHAnsi" w:hAnsiTheme="minorHAnsi"/>
          <w:szCs w:val="24"/>
        </w:rPr>
        <w:t xml:space="preserve"> are:</w:t>
      </w:r>
    </w:p>
    <w:p w14:paraId="2DA16F61" w14:textId="77777777" w:rsidR="00307082" w:rsidRPr="00040AB6" w:rsidRDefault="00307082" w:rsidP="00307082">
      <w:pPr>
        <w:pStyle w:val="ListParagraph"/>
        <w:numPr>
          <w:ilvl w:val="0"/>
          <w:numId w:val="12"/>
        </w:numPr>
        <w:tabs>
          <w:tab w:val="left" w:pos="1440"/>
          <w:tab w:val="left" w:pos="9720"/>
        </w:tabs>
        <w:autoSpaceDE w:val="0"/>
        <w:autoSpaceDN w:val="0"/>
        <w:adjustRightInd w:val="0"/>
        <w:rPr>
          <w:rFonts w:asciiTheme="minorHAnsi" w:hAnsiTheme="minorHAnsi"/>
          <w:szCs w:val="24"/>
        </w:rPr>
      </w:pPr>
      <w:r w:rsidRPr="00040AB6">
        <w:rPr>
          <w:rFonts w:asciiTheme="minorHAnsi" w:hAnsiTheme="minorHAnsi"/>
          <w:szCs w:val="24"/>
        </w:rPr>
        <w:t>The value of gas energy saved based on the Company’s avoided costs.  The Company’s avoided costs include the following values:</w:t>
      </w:r>
    </w:p>
    <w:p w14:paraId="253AA72B"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The long term gas price forecast compiled from a consultant’s gas price forecast;</w:t>
      </w:r>
    </w:p>
    <w:p w14:paraId="562BE8AC"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A price for carbon included in the gas price forecast.</w:t>
      </w:r>
    </w:p>
    <w:p w14:paraId="6D89F655"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Gas storage carrying costs for inventory;</w:t>
      </w:r>
    </w:p>
    <w:p w14:paraId="60BC11A3"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 xml:space="preserve">Upstream variable transmission costs; and </w:t>
      </w:r>
    </w:p>
    <w:p w14:paraId="29FD96AC" w14:textId="77777777" w:rsidR="00307082" w:rsidRPr="00040AB6" w:rsidRDefault="00307082" w:rsidP="00307082">
      <w:pPr>
        <w:pStyle w:val="ListParagraph"/>
        <w:tabs>
          <w:tab w:val="left" w:pos="1440"/>
          <w:tab w:val="left" w:pos="9720"/>
        </w:tabs>
        <w:autoSpaceDE w:val="0"/>
        <w:autoSpaceDN w:val="0"/>
        <w:adjustRightInd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r>
      <w:r w:rsidRPr="00040AB6">
        <w:rPr>
          <w:rFonts w:asciiTheme="minorHAnsi" w:hAnsiTheme="minorHAnsi"/>
          <w:szCs w:val="24"/>
        </w:rPr>
        <w:tab/>
        <w:t>Peak related on‐system transmission costs; and</w:t>
      </w:r>
    </w:p>
    <w:p w14:paraId="008A1303" w14:textId="77777777" w:rsidR="00307082" w:rsidRPr="00040AB6" w:rsidRDefault="00307082" w:rsidP="00307082">
      <w:pPr>
        <w:tabs>
          <w:tab w:val="left" w:pos="1440"/>
          <w:tab w:val="left" w:pos="9720"/>
        </w:tabs>
        <w:autoSpaceDE w:val="0"/>
        <w:autoSpaceDN w:val="0"/>
        <w:adjustRightInd w:val="0"/>
        <w:ind w:left="990" w:hanging="270"/>
        <w:rPr>
          <w:rFonts w:asciiTheme="minorHAnsi" w:hAnsiTheme="minorHAnsi"/>
          <w:szCs w:val="24"/>
        </w:rPr>
      </w:pPr>
      <w:r w:rsidRPr="00040AB6">
        <w:rPr>
          <w:rFonts w:asciiTheme="minorHAnsi" w:hAnsiTheme="minorHAnsi"/>
          <w:szCs w:val="24"/>
        </w:rPr>
        <w:t>2.  The 10% credit for the benefits of conservation in addressing risk and uncertainty as well as unquantified environmental benefits.</w:t>
      </w:r>
    </w:p>
    <w:p w14:paraId="4C081B5A"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p>
    <w:p w14:paraId="6E0E2D8D"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 xml:space="preserve">UCT </w:t>
      </w:r>
      <w:r w:rsidRPr="00040AB6">
        <w:rPr>
          <w:rFonts w:asciiTheme="minorHAnsi" w:hAnsiTheme="minorHAnsi"/>
          <w:b/>
          <w:szCs w:val="24"/>
        </w:rPr>
        <w:t>Costs</w:t>
      </w:r>
      <w:r w:rsidRPr="00040AB6">
        <w:rPr>
          <w:rFonts w:asciiTheme="minorHAnsi" w:hAnsiTheme="minorHAnsi"/>
          <w:szCs w:val="24"/>
        </w:rPr>
        <w:t xml:space="preserve"> are: </w:t>
      </w:r>
    </w:p>
    <w:p w14:paraId="30F66812"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1.  Incentives paid to the participant;</w:t>
      </w:r>
    </w:p>
    <w:p w14:paraId="780338F4"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2.  Administrative costs; and</w:t>
      </w:r>
    </w:p>
    <w:p w14:paraId="2EACCE3F"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3.  Evaluation, verification, and monitoring.</w:t>
      </w:r>
    </w:p>
    <w:p w14:paraId="3671060D" w14:textId="77777777" w:rsidR="00307082" w:rsidRPr="00040AB6" w:rsidRDefault="00307082" w:rsidP="00307082">
      <w:pPr>
        <w:tabs>
          <w:tab w:val="left" w:pos="9720"/>
        </w:tabs>
        <w:ind w:left="720"/>
        <w:rPr>
          <w:rFonts w:asciiTheme="minorHAnsi" w:hAnsiTheme="minorHAnsi"/>
          <w:szCs w:val="24"/>
        </w:rPr>
      </w:pPr>
    </w:p>
    <w:p w14:paraId="2901FF49" w14:textId="77777777" w:rsidR="00307082" w:rsidRPr="00040AB6" w:rsidRDefault="00307082" w:rsidP="00307082">
      <w:pPr>
        <w:tabs>
          <w:tab w:val="left" w:pos="9720"/>
        </w:tabs>
        <w:ind w:left="720"/>
        <w:rPr>
          <w:rFonts w:asciiTheme="minorHAnsi" w:hAnsiTheme="minorHAnsi"/>
          <w:szCs w:val="24"/>
        </w:rPr>
      </w:pPr>
      <w:r w:rsidRPr="00040AB6">
        <w:rPr>
          <w:rFonts w:asciiTheme="minorHAnsi" w:hAnsiTheme="minorHAnsi"/>
          <w:szCs w:val="24"/>
        </w:rPr>
        <w:t>The Company will continue to monitor and report the how the portfolio fairs using the Total Resource Cost (TRC), which is benefits divided by costs when each is defined as follows:</w:t>
      </w:r>
    </w:p>
    <w:p w14:paraId="4CAB4FD6" w14:textId="77777777" w:rsidR="00307082" w:rsidRPr="00040AB6" w:rsidRDefault="00307082" w:rsidP="00307082">
      <w:pPr>
        <w:tabs>
          <w:tab w:val="left" w:pos="9720"/>
        </w:tabs>
        <w:ind w:left="1080"/>
        <w:rPr>
          <w:rFonts w:asciiTheme="minorHAnsi" w:hAnsiTheme="minorHAnsi"/>
          <w:szCs w:val="24"/>
        </w:rPr>
      </w:pPr>
    </w:p>
    <w:p w14:paraId="6322A70C" w14:textId="77777777" w:rsidR="00307082" w:rsidRPr="00040AB6" w:rsidRDefault="00307082" w:rsidP="00307082">
      <w:pPr>
        <w:tabs>
          <w:tab w:val="left" w:pos="9720"/>
        </w:tabs>
        <w:ind w:left="720"/>
        <w:outlineLvl w:val="0"/>
        <w:rPr>
          <w:rFonts w:asciiTheme="minorHAnsi" w:hAnsiTheme="minorHAnsi"/>
          <w:szCs w:val="24"/>
        </w:rPr>
      </w:pPr>
      <w:r w:rsidRPr="00040AB6">
        <w:rPr>
          <w:rFonts w:asciiTheme="minorHAnsi" w:hAnsiTheme="minorHAnsi"/>
          <w:szCs w:val="24"/>
        </w:rPr>
        <w:t xml:space="preserve">TRC </w:t>
      </w:r>
      <w:r w:rsidRPr="00040AB6">
        <w:rPr>
          <w:rFonts w:asciiTheme="minorHAnsi" w:hAnsiTheme="minorHAnsi"/>
          <w:b/>
          <w:szCs w:val="24"/>
        </w:rPr>
        <w:t xml:space="preserve">Benefits </w:t>
      </w:r>
      <w:r w:rsidRPr="00040AB6">
        <w:rPr>
          <w:rFonts w:asciiTheme="minorHAnsi" w:hAnsiTheme="minorHAnsi"/>
          <w:szCs w:val="24"/>
        </w:rPr>
        <w:t>includes</w:t>
      </w:r>
      <w:r w:rsidRPr="00040AB6">
        <w:rPr>
          <w:rFonts w:asciiTheme="minorHAnsi" w:hAnsiTheme="minorHAnsi"/>
          <w:szCs w:val="24"/>
        </w:rPr>
        <w:tab/>
      </w:r>
    </w:p>
    <w:p w14:paraId="436F5D30" w14:textId="77777777" w:rsidR="00307082" w:rsidRPr="00040AB6" w:rsidRDefault="00307082" w:rsidP="00307082">
      <w:pPr>
        <w:pStyle w:val="ListParagraph"/>
        <w:numPr>
          <w:ilvl w:val="0"/>
          <w:numId w:val="13"/>
        </w:numPr>
        <w:tabs>
          <w:tab w:val="left" w:pos="1440"/>
          <w:tab w:val="left" w:pos="9720"/>
        </w:tabs>
        <w:autoSpaceDE w:val="0"/>
        <w:autoSpaceDN w:val="0"/>
        <w:adjustRightInd w:val="0"/>
        <w:rPr>
          <w:rFonts w:asciiTheme="minorHAnsi" w:hAnsiTheme="minorHAnsi"/>
          <w:szCs w:val="24"/>
        </w:rPr>
      </w:pPr>
      <w:r w:rsidRPr="00040AB6">
        <w:rPr>
          <w:rFonts w:asciiTheme="minorHAnsi" w:hAnsiTheme="minorHAnsi"/>
          <w:szCs w:val="24"/>
        </w:rPr>
        <w:t>The value of gas energy saved based on the Company’s avoided costs.  The Company’s avoided costs include the following values:</w:t>
      </w:r>
    </w:p>
    <w:p w14:paraId="2256CE82"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The long term gas price forecast compiled from a consultant’s gas price forecast;</w:t>
      </w:r>
    </w:p>
    <w:p w14:paraId="773D236B"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A price for carbon included in the gas price forecast.</w:t>
      </w:r>
    </w:p>
    <w:p w14:paraId="7F84CA09"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Gas storage carrying costs for inventory;</w:t>
      </w:r>
    </w:p>
    <w:p w14:paraId="2447B960" w14:textId="77777777" w:rsidR="00307082" w:rsidRPr="00040AB6" w:rsidRDefault="00307082" w:rsidP="00307082">
      <w:pPr>
        <w:autoSpaceDE w:val="0"/>
        <w:autoSpaceDN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t xml:space="preserve">Upstream variable transmission costs; and </w:t>
      </w:r>
    </w:p>
    <w:p w14:paraId="6E9F6653" w14:textId="77777777" w:rsidR="00307082" w:rsidRPr="00040AB6" w:rsidRDefault="00307082" w:rsidP="00307082">
      <w:pPr>
        <w:pStyle w:val="ListParagraph"/>
        <w:tabs>
          <w:tab w:val="left" w:pos="1440"/>
          <w:tab w:val="left" w:pos="9720"/>
        </w:tabs>
        <w:autoSpaceDE w:val="0"/>
        <w:autoSpaceDN w:val="0"/>
        <w:adjustRightInd w:val="0"/>
        <w:ind w:left="1620" w:hanging="540"/>
        <w:rPr>
          <w:rFonts w:asciiTheme="minorHAnsi" w:hAnsiTheme="minorHAnsi"/>
          <w:szCs w:val="24"/>
        </w:rPr>
      </w:pPr>
      <w:r w:rsidRPr="00040AB6">
        <w:rPr>
          <w:rFonts w:asciiTheme="minorHAnsi" w:hAnsiTheme="minorHAnsi"/>
          <w:szCs w:val="24"/>
        </w:rPr>
        <w:t xml:space="preserve">• </w:t>
      </w:r>
      <w:r w:rsidRPr="00040AB6">
        <w:rPr>
          <w:rFonts w:asciiTheme="minorHAnsi" w:hAnsiTheme="minorHAnsi"/>
          <w:szCs w:val="24"/>
        </w:rPr>
        <w:tab/>
      </w:r>
      <w:r w:rsidRPr="00040AB6">
        <w:rPr>
          <w:rFonts w:asciiTheme="minorHAnsi" w:hAnsiTheme="minorHAnsi"/>
          <w:szCs w:val="24"/>
        </w:rPr>
        <w:tab/>
        <w:t>Peak related on‐system transmission costs; and</w:t>
      </w:r>
    </w:p>
    <w:p w14:paraId="74255ECF" w14:textId="77777777" w:rsidR="00307082" w:rsidRPr="00040AB6" w:rsidRDefault="00307082" w:rsidP="00307082">
      <w:pPr>
        <w:tabs>
          <w:tab w:val="left" w:pos="990"/>
          <w:tab w:val="left" w:pos="9720"/>
        </w:tabs>
        <w:autoSpaceDE w:val="0"/>
        <w:autoSpaceDN w:val="0"/>
        <w:adjustRightInd w:val="0"/>
        <w:ind w:left="1080" w:hanging="360"/>
        <w:rPr>
          <w:rFonts w:asciiTheme="minorHAnsi" w:hAnsiTheme="minorHAnsi"/>
          <w:szCs w:val="24"/>
        </w:rPr>
      </w:pPr>
      <w:r w:rsidRPr="00040AB6">
        <w:rPr>
          <w:rFonts w:asciiTheme="minorHAnsi" w:hAnsiTheme="minorHAnsi"/>
          <w:szCs w:val="24"/>
        </w:rPr>
        <w:t xml:space="preserve">2.  </w:t>
      </w:r>
      <w:r w:rsidRPr="00040AB6">
        <w:rPr>
          <w:rFonts w:asciiTheme="minorHAnsi" w:hAnsiTheme="minorHAnsi"/>
          <w:szCs w:val="24"/>
        </w:rPr>
        <w:tab/>
        <w:t>Non-energy benefits as quantified by a reasonable and practical method; and</w:t>
      </w:r>
    </w:p>
    <w:p w14:paraId="58B3112D" w14:textId="77777777" w:rsidR="00307082" w:rsidRPr="00040AB6" w:rsidRDefault="00307082" w:rsidP="00307082">
      <w:pPr>
        <w:tabs>
          <w:tab w:val="left" w:pos="990"/>
          <w:tab w:val="left" w:pos="9720"/>
        </w:tabs>
        <w:autoSpaceDE w:val="0"/>
        <w:autoSpaceDN w:val="0"/>
        <w:adjustRightInd w:val="0"/>
        <w:ind w:left="1080" w:hanging="360"/>
        <w:rPr>
          <w:rFonts w:asciiTheme="minorHAnsi" w:hAnsiTheme="minorHAnsi"/>
          <w:szCs w:val="24"/>
        </w:rPr>
      </w:pPr>
      <w:r w:rsidRPr="00040AB6">
        <w:rPr>
          <w:rFonts w:asciiTheme="minorHAnsi" w:hAnsiTheme="minorHAnsi"/>
          <w:szCs w:val="24"/>
        </w:rPr>
        <w:t xml:space="preserve">3.  </w:t>
      </w:r>
      <w:r w:rsidRPr="00040AB6">
        <w:rPr>
          <w:rFonts w:asciiTheme="minorHAnsi" w:hAnsiTheme="minorHAnsi"/>
          <w:szCs w:val="24"/>
        </w:rPr>
        <w:tab/>
        <w:t>The 10% credit for the benefits of conservation in addressing risk and uncertainty as well as unquantified environmental benefits.</w:t>
      </w:r>
    </w:p>
    <w:p w14:paraId="68A6CD6D"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p>
    <w:p w14:paraId="6223C5E2"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 xml:space="preserve">TRC </w:t>
      </w:r>
      <w:r w:rsidRPr="00040AB6">
        <w:rPr>
          <w:rFonts w:asciiTheme="minorHAnsi" w:hAnsiTheme="minorHAnsi"/>
          <w:b/>
          <w:szCs w:val="24"/>
        </w:rPr>
        <w:t xml:space="preserve">Costs </w:t>
      </w:r>
      <w:r w:rsidRPr="00040AB6">
        <w:rPr>
          <w:rFonts w:asciiTheme="minorHAnsi" w:hAnsiTheme="minorHAnsi"/>
          <w:szCs w:val="24"/>
        </w:rPr>
        <w:t xml:space="preserve">are: </w:t>
      </w:r>
    </w:p>
    <w:p w14:paraId="116B4F8A" w14:textId="77777777" w:rsidR="00307082" w:rsidRPr="00040AB6" w:rsidRDefault="00307082" w:rsidP="00307082">
      <w:pPr>
        <w:tabs>
          <w:tab w:val="left" w:pos="1080"/>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 xml:space="preserve">1. </w:t>
      </w:r>
      <w:r w:rsidRPr="00040AB6">
        <w:rPr>
          <w:rFonts w:asciiTheme="minorHAnsi" w:hAnsiTheme="minorHAnsi"/>
          <w:szCs w:val="24"/>
        </w:rPr>
        <w:tab/>
        <w:t xml:space="preserve">Incentives paid to the participant; </w:t>
      </w:r>
    </w:p>
    <w:p w14:paraId="5CD70BD7" w14:textId="77777777" w:rsidR="00307082" w:rsidRPr="00040AB6" w:rsidRDefault="00307082" w:rsidP="00307082">
      <w:pPr>
        <w:tabs>
          <w:tab w:val="left" w:pos="1080"/>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 xml:space="preserve">2. </w:t>
      </w:r>
      <w:r w:rsidRPr="00040AB6">
        <w:rPr>
          <w:rFonts w:asciiTheme="minorHAnsi" w:hAnsiTheme="minorHAnsi"/>
          <w:szCs w:val="24"/>
        </w:rPr>
        <w:tab/>
        <w:t xml:space="preserve">Administrative costs; </w:t>
      </w:r>
    </w:p>
    <w:p w14:paraId="40EE257A" w14:textId="77777777" w:rsidR="00307082" w:rsidRPr="00040AB6" w:rsidRDefault="00307082" w:rsidP="00307082">
      <w:pPr>
        <w:tabs>
          <w:tab w:val="left" w:pos="1080"/>
          <w:tab w:val="left" w:pos="9720"/>
        </w:tabs>
        <w:autoSpaceDE w:val="0"/>
        <w:autoSpaceDN w:val="0"/>
        <w:adjustRightInd w:val="0"/>
        <w:ind w:left="1080" w:hanging="360"/>
        <w:rPr>
          <w:rFonts w:asciiTheme="minorHAnsi" w:hAnsiTheme="minorHAnsi"/>
          <w:szCs w:val="24"/>
        </w:rPr>
      </w:pPr>
      <w:r w:rsidRPr="00040AB6">
        <w:rPr>
          <w:rFonts w:asciiTheme="minorHAnsi" w:hAnsiTheme="minorHAnsi"/>
          <w:szCs w:val="24"/>
        </w:rPr>
        <w:t xml:space="preserve">3. </w:t>
      </w:r>
      <w:r w:rsidRPr="00040AB6">
        <w:rPr>
          <w:rFonts w:asciiTheme="minorHAnsi" w:hAnsiTheme="minorHAnsi"/>
          <w:szCs w:val="24"/>
        </w:rPr>
        <w:tab/>
        <w:t>Evaluation, verification, and monitoring; and</w:t>
      </w:r>
    </w:p>
    <w:p w14:paraId="0B208227" w14:textId="77777777" w:rsidR="00307082" w:rsidRPr="00040AB6" w:rsidRDefault="00307082" w:rsidP="00307082">
      <w:pPr>
        <w:tabs>
          <w:tab w:val="left" w:pos="1080"/>
          <w:tab w:val="left" w:pos="9720"/>
        </w:tabs>
        <w:autoSpaceDE w:val="0"/>
        <w:autoSpaceDN w:val="0"/>
        <w:adjustRightInd w:val="0"/>
        <w:ind w:left="1080" w:hanging="360"/>
        <w:rPr>
          <w:rFonts w:asciiTheme="minorHAnsi" w:hAnsiTheme="minorHAnsi"/>
          <w:szCs w:val="24"/>
        </w:rPr>
      </w:pPr>
      <w:r w:rsidRPr="00040AB6">
        <w:rPr>
          <w:rFonts w:asciiTheme="minorHAnsi" w:hAnsiTheme="minorHAnsi"/>
          <w:szCs w:val="24"/>
        </w:rPr>
        <w:lastRenderedPageBreak/>
        <w:t xml:space="preserve">4. </w:t>
      </w:r>
      <w:r w:rsidRPr="00040AB6">
        <w:rPr>
          <w:rFonts w:asciiTheme="minorHAnsi" w:hAnsiTheme="minorHAnsi"/>
          <w:szCs w:val="24"/>
        </w:rPr>
        <w:tab/>
        <w:t>The participant’s remaining out-of-pocket costs for the installed cost of the measures after incentives and Federal tax credits.</w:t>
      </w:r>
    </w:p>
    <w:p w14:paraId="792DDAEC" w14:textId="77777777" w:rsidR="00307082" w:rsidRPr="00040AB6" w:rsidRDefault="00307082" w:rsidP="00307082">
      <w:pPr>
        <w:tabs>
          <w:tab w:val="num" w:pos="360"/>
          <w:tab w:val="left" w:pos="9720"/>
        </w:tabs>
        <w:autoSpaceDE w:val="0"/>
        <w:autoSpaceDN w:val="0"/>
        <w:adjustRightInd w:val="0"/>
        <w:ind w:left="720" w:hanging="360"/>
        <w:rPr>
          <w:rFonts w:asciiTheme="minorHAnsi" w:hAnsiTheme="minorHAnsi"/>
          <w:szCs w:val="24"/>
        </w:rPr>
      </w:pPr>
    </w:p>
    <w:p w14:paraId="6F3477E2" w14:textId="77777777" w:rsidR="00307082" w:rsidRPr="00040AB6" w:rsidRDefault="00307082" w:rsidP="00307082">
      <w:pPr>
        <w:pStyle w:val="BodyText"/>
        <w:widowControl/>
        <w:tabs>
          <w:tab w:val="left" w:pos="9720"/>
        </w:tabs>
        <w:ind w:left="720"/>
        <w:rPr>
          <w:rFonts w:asciiTheme="minorHAnsi" w:hAnsiTheme="minorHAnsi"/>
          <w:sz w:val="24"/>
          <w:szCs w:val="24"/>
          <w:u w:val="single"/>
        </w:rPr>
      </w:pPr>
      <w:r w:rsidRPr="00040AB6">
        <w:rPr>
          <w:rFonts w:asciiTheme="minorHAnsi" w:hAnsiTheme="minorHAnsi"/>
          <w:sz w:val="24"/>
          <w:szCs w:val="24"/>
          <w:u w:val="single"/>
        </w:rPr>
        <w:t>Levelized Cost Metric</w:t>
      </w:r>
    </w:p>
    <w:p w14:paraId="4AE8055F" w14:textId="77777777" w:rsidR="00307082" w:rsidRPr="00040AB6" w:rsidRDefault="00307082" w:rsidP="00307082">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The portfolio of measures promoted through the program will also meet  and report on a Levelized Cost metric, which is determined as follows:</w:t>
      </w:r>
    </w:p>
    <w:p w14:paraId="4222F97C" w14:textId="77777777" w:rsidR="00307082" w:rsidRPr="00040AB6" w:rsidRDefault="00307082" w:rsidP="00307082">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 </w:t>
      </w:r>
    </w:p>
    <w:p w14:paraId="52C9DA12" w14:textId="77777777" w:rsidR="00307082" w:rsidRPr="00040AB6" w:rsidRDefault="00307082" w:rsidP="00307082">
      <w:pPr>
        <w:tabs>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t xml:space="preserve">The levelized cost is the present value of the total cost of a measure over its economic life, converted to equal annual payments.  The levelized cost calculation starts with the incremental capital cost of a given measure or package of measures.  The total cost is amortized over an estimated measure lifetime using the discount rate established in the Company’s most current IRP.  The annual net measure cost is then divided by the annual net energy savings (therms) from the measure application (again relative to a standard technology) to produce the levelized cost estimate in dollars per therm saved, as illustrated in the following formula. </w:t>
      </w:r>
    </w:p>
    <w:p w14:paraId="24BFBE15" w14:textId="77777777" w:rsidR="00307082" w:rsidRPr="00040AB6" w:rsidRDefault="00307082" w:rsidP="00307082">
      <w:pPr>
        <w:tabs>
          <w:tab w:val="left" w:pos="1710"/>
          <w:tab w:val="left" w:pos="9720"/>
        </w:tabs>
        <w:autoSpaceDE w:val="0"/>
        <w:autoSpaceDN w:val="0"/>
        <w:adjustRightInd w:val="0"/>
        <w:ind w:left="720"/>
        <w:rPr>
          <w:rFonts w:asciiTheme="minorHAnsi" w:hAnsiTheme="minorHAnsi"/>
          <w:szCs w:val="24"/>
        </w:rPr>
      </w:pPr>
      <w:r w:rsidRPr="00040AB6">
        <w:rPr>
          <w:rFonts w:asciiTheme="minorHAnsi" w:hAnsiTheme="minorHAnsi"/>
          <w:szCs w:val="24"/>
        </w:rPr>
        <w:object w:dxaOrig="4099" w:dyaOrig="700" w14:anchorId="09923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9.25pt;height:32.25pt" o:ole="">
            <v:imagedata r:id="rId19" o:title=""/>
          </v:shape>
          <o:OLEObject Type="Embed" ProgID="Equation.3" ShapeID="_x0000_i1033" DrawAspect="Content" ObjectID="_1477738758" r:id="rId20"/>
        </w:object>
      </w:r>
    </w:p>
    <w:p w14:paraId="6AEBE16D"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The levelized cost of an energy efficiency measure is cost-effective if it is less than the average levelized costs of other supply-side options.  A cost-effective threshold is established in the Company’s most current Integrated Resource Plan (IRP) and further refined through the BCR test.</w:t>
      </w:r>
    </w:p>
    <w:p w14:paraId="7633FC78" w14:textId="77777777" w:rsidR="00307082" w:rsidRPr="00040AB6" w:rsidRDefault="00307082" w:rsidP="00307082">
      <w:pPr>
        <w:tabs>
          <w:tab w:val="left" w:pos="720"/>
        </w:tabs>
        <w:rPr>
          <w:rFonts w:asciiTheme="minorHAnsi" w:hAnsiTheme="minorHAnsi"/>
          <w:szCs w:val="24"/>
        </w:rPr>
      </w:pPr>
    </w:p>
    <w:p w14:paraId="43697AC2" w14:textId="77777777" w:rsidR="00307082" w:rsidRPr="00040AB6" w:rsidRDefault="00307082" w:rsidP="00307082">
      <w:pPr>
        <w:tabs>
          <w:tab w:val="left" w:pos="720"/>
        </w:tabs>
        <w:rPr>
          <w:rFonts w:asciiTheme="minorHAnsi" w:hAnsiTheme="minorHAnsi"/>
          <w:sz w:val="44"/>
          <w:szCs w:val="44"/>
        </w:rPr>
      </w:pPr>
      <w:r w:rsidRPr="00040AB6">
        <w:rPr>
          <w:rFonts w:asciiTheme="minorHAnsi" w:hAnsiTheme="minorHAnsi"/>
          <w:sz w:val="32"/>
          <w:szCs w:val="32"/>
        </w:rPr>
        <w:t xml:space="preserve">VI. </w:t>
      </w:r>
      <w:r w:rsidRPr="00040AB6">
        <w:rPr>
          <w:rFonts w:asciiTheme="minorHAnsi" w:hAnsiTheme="minorHAnsi"/>
          <w:sz w:val="32"/>
          <w:szCs w:val="32"/>
        </w:rPr>
        <w:tab/>
        <w:t>Program Evaluation, Monitoring and Verification (“EM&amp;V”)</w:t>
      </w:r>
      <w:r w:rsidRPr="00040AB6">
        <w:rPr>
          <w:rFonts w:asciiTheme="minorHAnsi" w:hAnsiTheme="minorHAnsi"/>
          <w:sz w:val="44"/>
          <w:szCs w:val="44"/>
        </w:rPr>
        <w:t xml:space="preserve"> </w:t>
      </w:r>
    </w:p>
    <w:p w14:paraId="4097455C" w14:textId="77777777" w:rsidR="00307082" w:rsidRPr="00040AB6" w:rsidRDefault="00307082" w:rsidP="00307082">
      <w:pPr>
        <w:tabs>
          <w:tab w:val="left" w:pos="720"/>
        </w:tabs>
        <w:rPr>
          <w:rFonts w:asciiTheme="minorHAnsi" w:hAnsiTheme="minorHAnsi" w:cs="Calibri"/>
          <w:szCs w:val="24"/>
        </w:rPr>
      </w:pPr>
      <w:r w:rsidRPr="00040AB6">
        <w:rPr>
          <w:rFonts w:asciiTheme="minorHAnsi" w:hAnsiTheme="minorHAnsi" w:cs="Calibri"/>
          <w:szCs w:val="24"/>
        </w:rPr>
        <w:tab/>
      </w:r>
    </w:p>
    <w:p w14:paraId="064CAEF2" w14:textId="77777777" w:rsidR="00307082" w:rsidRPr="00040AB6" w:rsidRDefault="00307082" w:rsidP="00307082">
      <w:pPr>
        <w:tabs>
          <w:tab w:val="left" w:pos="720"/>
        </w:tabs>
        <w:rPr>
          <w:rFonts w:asciiTheme="minorHAnsi" w:hAnsiTheme="minorHAnsi" w:cs="Calibri"/>
          <w:szCs w:val="24"/>
          <w:u w:val="single"/>
        </w:rPr>
      </w:pPr>
      <w:r w:rsidRPr="00040AB6">
        <w:rPr>
          <w:rFonts w:asciiTheme="minorHAnsi" w:hAnsiTheme="minorHAnsi" w:cs="Calibri"/>
          <w:szCs w:val="24"/>
        </w:rPr>
        <w:tab/>
      </w:r>
      <w:r w:rsidRPr="00040AB6">
        <w:rPr>
          <w:rFonts w:asciiTheme="minorHAnsi" w:hAnsiTheme="minorHAnsi" w:cs="Calibri"/>
          <w:szCs w:val="24"/>
          <w:u w:val="single"/>
        </w:rPr>
        <w:t>Impact Evaluations</w:t>
      </w:r>
    </w:p>
    <w:p w14:paraId="46E02932" w14:textId="77777777" w:rsidR="00307082" w:rsidRPr="00040AB6" w:rsidRDefault="00307082" w:rsidP="00307082">
      <w:pPr>
        <w:tabs>
          <w:tab w:val="center" w:pos="720"/>
        </w:tabs>
        <w:ind w:left="720"/>
        <w:rPr>
          <w:rFonts w:asciiTheme="minorHAnsi" w:hAnsiTheme="minorHAnsi" w:cs="Calibri"/>
          <w:szCs w:val="24"/>
        </w:rPr>
      </w:pPr>
      <w:r w:rsidRPr="00040AB6">
        <w:rPr>
          <w:rFonts w:asciiTheme="minorHAnsi" w:hAnsiTheme="minorHAnsi" w:cs="Calibri"/>
          <w:szCs w:val="24"/>
        </w:rPr>
        <w:t xml:space="preserve">Deemed gross savings by measure are used to determine total therms reported as saved per program year.  The deemed savings used will be consistent with the most current impact studies performed on the programs that the Energy Trust delivers in Oregon until after mid-2012 when such impact evaluations will include results from the Washington-delivered programs.  The Energy Trust performs the impact study wherein they analyze customers’ energy usage data before and after a measure is installed.  The </w:t>
      </w:r>
      <w:r w:rsidRPr="00040AB6">
        <w:rPr>
          <w:rFonts w:asciiTheme="minorHAnsi" w:hAnsiTheme="minorHAnsi"/>
          <w:szCs w:val="24"/>
        </w:rPr>
        <w:t>savings from all measures’ are analyzed annually unless sample sizes based on participation rates are not statistically significant.  From the impact evaluation, the Energy Trust is able to determine if average savings are consistent with deemed savings.  If they are not, the deemed savings are “trued-up” once annually to reflect the findings.  A link to the annual true up report as well as a short summary of the results will be provided in the quarterly report following the report’s release.</w:t>
      </w:r>
      <w:r w:rsidRPr="00040AB6">
        <w:rPr>
          <w:rFonts w:asciiTheme="minorHAnsi" w:hAnsiTheme="minorHAnsi" w:cs="Calibri"/>
          <w:szCs w:val="24"/>
        </w:rPr>
        <w:t xml:space="preserve"> </w:t>
      </w:r>
    </w:p>
    <w:p w14:paraId="20992E3F" w14:textId="77777777" w:rsidR="00307082" w:rsidRPr="00040AB6" w:rsidRDefault="00307082">
      <w:pPr>
        <w:rPr>
          <w:rFonts w:asciiTheme="minorHAnsi" w:hAnsiTheme="minorHAnsi" w:cs="Calibri"/>
          <w:szCs w:val="24"/>
        </w:rPr>
      </w:pPr>
      <w:r w:rsidRPr="00040AB6">
        <w:rPr>
          <w:rFonts w:asciiTheme="minorHAnsi" w:hAnsiTheme="minorHAnsi" w:cs="Calibri"/>
          <w:szCs w:val="24"/>
        </w:rPr>
        <w:br w:type="page"/>
      </w:r>
    </w:p>
    <w:p w14:paraId="2F8FDA83" w14:textId="77777777" w:rsidR="00307082" w:rsidRPr="00040AB6" w:rsidRDefault="00307082" w:rsidP="00307082">
      <w:pPr>
        <w:rPr>
          <w:rFonts w:asciiTheme="minorHAnsi" w:hAnsiTheme="minorHAnsi" w:cs="Calibri"/>
          <w:szCs w:val="24"/>
        </w:rPr>
      </w:pPr>
    </w:p>
    <w:p w14:paraId="3CBEB333" w14:textId="77777777" w:rsidR="00307082" w:rsidRPr="00040AB6" w:rsidRDefault="00307082" w:rsidP="00307082">
      <w:pPr>
        <w:pStyle w:val="ListParagraph"/>
        <w:rPr>
          <w:rFonts w:asciiTheme="minorHAnsi" w:hAnsiTheme="minorHAnsi" w:cs="Calibri"/>
          <w:szCs w:val="24"/>
          <w:u w:val="single"/>
        </w:rPr>
      </w:pPr>
      <w:r w:rsidRPr="00040AB6">
        <w:rPr>
          <w:rFonts w:asciiTheme="minorHAnsi" w:hAnsiTheme="minorHAnsi" w:cs="Calibri"/>
          <w:szCs w:val="24"/>
          <w:u w:val="single"/>
        </w:rPr>
        <w:t>Process Evaluations</w:t>
      </w:r>
    </w:p>
    <w:p w14:paraId="7AED7CAC" w14:textId="77777777" w:rsidR="00307082" w:rsidRPr="00040AB6" w:rsidRDefault="00307082" w:rsidP="00307082">
      <w:pPr>
        <w:tabs>
          <w:tab w:val="center" w:pos="720"/>
        </w:tabs>
        <w:ind w:left="720"/>
        <w:rPr>
          <w:rFonts w:asciiTheme="minorHAnsi" w:hAnsiTheme="minorHAnsi"/>
          <w:szCs w:val="24"/>
        </w:rPr>
      </w:pPr>
      <w:r w:rsidRPr="00040AB6">
        <w:rPr>
          <w:rFonts w:asciiTheme="minorHAnsi" w:hAnsiTheme="minorHAnsi"/>
          <w:szCs w:val="24"/>
        </w:rPr>
        <w:t xml:space="preserve">Besides impact evaluations, the Energy Trust contracts with a third party to perform a process evaluation on all general energy efficiency programs offered, typically on an annual basis.  The third party studies and reports on the processes employed for each program.  Study results are available on the Energy Trust’s website:  www.energytrust.org.  A link to the annual process evaluation as well as a short summary of the results will be provided in the quarterly report following the report’s release. </w:t>
      </w:r>
    </w:p>
    <w:p w14:paraId="03D4C7D3" w14:textId="77777777" w:rsidR="00307082" w:rsidRPr="00040AB6" w:rsidRDefault="00307082" w:rsidP="00307082">
      <w:pPr>
        <w:tabs>
          <w:tab w:val="center" w:pos="720"/>
        </w:tabs>
        <w:ind w:left="720"/>
        <w:rPr>
          <w:rFonts w:asciiTheme="minorHAnsi" w:hAnsiTheme="minorHAnsi" w:cs="Calibri"/>
          <w:szCs w:val="24"/>
        </w:rPr>
      </w:pPr>
    </w:p>
    <w:p w14:paraId="1502AE5D" w14:textId="77777777" w:rsidR="00307082" w:rsidRPr="00040AB6" w:rsidRDefault="00307082" w:rsidP="00307082">
      <w:pPr>
        <w:pStyle w:val="ListParagraph"/>
        <w:numPr>
          <w:ilvl w:val="0"/>
          <w:numId w:val="10"/>
        </w:numPr>
        <w:tabs>
          <w:tab w:val="left" w:pos="720"/>
        </w:tabs>
        <w:ind w:hanging="1260"/>
        <w:rPr>
          <w:rFonts w:asciiTheme="minorHAnsi" w:hAnsiTheme="minorHAnsi"/>
          <w:sz w:val="32"/>
          <w:szCs w:val="32"/>
        </w:rPr>
      </w:pPr>
      <w:r w:rsidRPr="00040AB6">
        <w:rPr>
          <w:rFonts w:asciiTheme="minorHAnsi" w:hAnsiTheme="minorHAnsi"/>
          <w:sz w:val="32"/>
          <w:szCs w:val="32"/>
        </w:rPr>
        <w:t>Process for Program Changes</w:t>
      </w:r>
    </w:p>
    <w:p w14:paraId="22E7EEEB"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NW Natural will file to revise Appendix A of its Energy Efficiency Plan when it plans to add, change, or remove a long- term incentive offering.  Every year the Company will consider if program year changes are needed.  If they are, the Company will revise its EE Plan to make requested program modifications when it makes its annual advice filing, submitted no later than December 1, to revise the performance metrics and budget that are also included in the Plan.  This does not preclude the Company from filing to revise Schedule G or its EE Plan at any time during the year.  Advice filings revising or adding measures will include:</w:t>
      </w:r>
    </w:p>
    <w:p w14:paraId="36C56BA3" w14:textId="77777777" w:rsidR="00307082" w:rsidRPr="00040AB6" w:rsidRDefault="00307082" w:rsidP="00307082">
      <w:pPr>
        <w:pStyle w:val="ListParagraph"/>
        <w:rPr>
          <w:rFonts w:asciiTheme="minorHAnsi" w:hAnsiTheme="minorHAnsi"/>
          <w:szCs w:val="24"/>
        </w:rPr>
      </w:pPr>
    </w:p>
    <w:p w14:paraId="4EBF23E1" w14:textId="77777777" w:rsidR="00307082" w:rsidRPr="00040AB6" w:rsidRDefault="00307082" w:rsidP="00307082">
      <w:pPr>
        <w:pStyle w:val="ListParagraph"/>
        <w:numPr>
          <w:ilvl w:val="0"/>
          <w:numId w:val="8"/>
        </w:numPr>
        <w:tabs>
          <w:tab w:val="left" w:pos="2160"/>
        </w:tabs>
        <w:ind w:left="2160" w:hanging="720"/>
        <w:rPr>
          <w:rFonts w:asciiTheme="minorHAnsi" w:hAnsiTheme="minorHAnsi"/>
          <w:szCs w:val="24"/>
        </w:rPr>
      </w:pPr>
      <w:r w:rsidRPr="00040AB6">
        <w:rPr>
          <w:rFonts w:asciiTheme="minorHAnsi" w:hAnsiTheme="minorHAnsi"/>
          <w:szCs w:val="24"/>
        </w:rPr>
        <w:t xml:space="preserve">A benefit cost ratio (“BCR”) calculator demonstrating the measure’s life, measure cost, the quantifiable non-energy benefits, the utility system benefits and the societal BCR; and </w:t>
      </w:r>
    </w:p>
    <w:p w14:paraId="15D05C83" w14:textId="77777777" w:rsidR="00307082" w:rsidRPr="00040AB6" w:rsidRDefault="00307082" w:rsidP="00307082">
      <w:pPr>
        <w:pStyle w:val="ListParagraph"/>
        <w:tabs>
          <w:tab w:val="left" w:pos="2160"/>
        </w:tabs>
        <w:ind w:left="1800"/>
        <w:rPr>
          <w:rFonts w:asciiTheme="minorHAnsi" w:hAnsiTheme="minorHAnsi"/>
          <w:szCs w:val="24"/>
        </w:rPr>
      </w:pPr>
    </w:p>
    <w:p w14:paraId="7579C509" w14:textId="77777777" w:rsidR="00307082" w:rsidRPr="00040AB6" w:rsidRDefault="00307082" w:rsidP="00307082">
      <w:pPr>
        <w:pStyle w:val="ListParagraph"/>
        <w:numPr>
          <w:ilvl w:val="0"/>
          <w:numId w:val="8"/>
        </w:numPr>
        <w:tabs>
          <w:tab w:val="left" w:pos="2160"/>
        </w:tabs>
        <w:ind w:left="2160" w:hanging="720"/>
        <w:rPr>
          <w:rFonts w:asciiTheme="minorHAnsi" w:hAnsiTheme="minorHAnsi"/>
          <w:szCs w:val="24"/>
        </w:rPr>
      </w:pPr>
      <w:r w:rsidRPr="00040AB6">
        <w:rPr>
          <w:rFonts w:asciiTheme="minorHAnsi" w:hAnsiTheme="minorHAnsi"/>
          <w:szCs w:val="24"/>
        </w:rPr>
        <w:t xml:space="preserve">For new measures, a blessing memo which refers to an in-house Energy Trust document that summarizes the vetting of a measure before it is introduced as a program offering.  The EEAG will be given the opportunity to review all tariff filings before they are filed.  The Company will generally give the EEAG ten business days to review a draft filing.  The EEAG’s review process will not be less than five business days.  </w:t>
      </w:r>
    </w:p>
    <w:p w14:paraId="5B88D3FE" w14:textId="77777777" w:rsidR="00307082" w:rsidRPr="00040AB6" w:rsidRDefault="00307082" w:rsidP="00307082">
      <w:pPr>
        <w:pStyle w:val="ListParagraph"/>
        <w:tabs>
          <w:tab w:val="left" w:pos="2160"/>
        </w:tabs>
        <w:ind w:left="1800"/>
        <w:rPr>
          <w:rFonts w:asciiTheme="minorHAnsi" w:hAnsiTheme="minorHAnsi"/>
          <w:szCs w:val="24"/>
        </w:rPr>
      </w:pPr>
    </w:p>
    <w:p w14:paraId="2B399C81" w14:textId="77777777" w:rsidR="00307082" w:rsidRPr="00040AB6" w:rsidRDefault="00307082" w:rsidP="00307082">
      <w:pPr>
        <w:pStyle w:val="ListParagraph"/>
        <w:tabs>
          <w:tab w:val="left" w:pos="2160"/>
        </w:tabs>
        <w:ind w:left="2160" w:hanging="720"/>
        <w:rPr>
          <w:rFonts w:asciiTheme="minorHAnsi" w:hAnsiTheme="minorHAnsi"/>
          <w:szCs w:val="24"/>
        </w:rPr>
      </w:pPr>
      <w:r w:rsidRPr="00040AB6">
        <w:rPr>
          <w:rFonts w:asciiTheme="minorHAnsi" w:hAnsiTheme="minorHAnsi"/>
          <w:szCs w:val="24"/>
        </w:rPr>
        <w:t>3)</w:t>
      </w:r>
      <w:r w:rsidRPr="00040AB6">
        <w:rPr>
          <w:rFonts w:asciiTheme="minorHAnsi" w:hAnsiTheme="minorHAnsi"/>
          <w:szCs w:val="24"/>
        </w:rPr>
        <w:tab/>
        <w:t>New programs proposed mid-cycle will include a program-specific plan addressing the possible need for program-specific metrics.</w:t>
      </w:r>
    </w:p>
    <w:p w14:paraId="5C35C38C" w14:textId="77777777" w:rsidR="00307082" w:rsidRPr="00040AB6" w:rsidRDefault="00307082" w:rsidP="00307082">
      <w:pPr>
        <w:pStyle w:val="ListParagraph"/>
        <w:ind w:left="1440"/>
        <w:rPr>
          <w:rFonts w:asciiTheme="minorHAnsi" w:hAnsiTheme="minorHAnsi"/>
          <w:szCs w:val="24"/>
        </w:rPr>
      </w:pPr>
    </w:p>
    <w:p w14:paraId="159BC507"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Please note that not all advice filings must include the EE Plan.  The EE Plan will only be included when it is being revised. </w:t>
      </w:r>
    </w:p>
    <w:p w14:paraId="13E257FD" w14:textId="77777777" w:rsidR="00307082" w:rsidRPr="00040AB6" w:rsidRDefault="00307082" w:rsidP="00307082">
      <w:pPr>
        <w:pStyle w:val="ListParagraph"/>
        <w:rPr>
          <w:rFonts w:asciiTheme="minorHAnsi" w:hAnsiTheme="minorHAnsi"/>
          <w:szCs w:val="24"/>
        </w:rPr>
      </w:pPr>
    </w:p>
    <w:p w14:paraId="6D565275"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The Company will work to resolve issues with EEAG members before filing.  If the EEAG cannot completely recommend approval of a filing, the Company may still choose to make the filing with the WUTC with the understanding that EEAG members may intervene in that public proceeding.  </w:t>
      </w:r>
    </w:p>
    <w:p w14:paraId="23A652A2" w14:textId="77777777" w:rsidR="00307082" w:rsidRPr="00040AB6" w:rsidRDefault="00307082">
      <w:pPr>
        <w:rPr>
          <w:rFonts w:asciiTheme="minorHAnsi" w:hAnsiTheme="minorHAnsi"/>
          <w:szCs w:val="24"/>
        </w:rPr>
      </w:pPr>
      <w:r w:rsidRPr="00040AB6">
        <w:rPr>
          <w:rFonts w:asciiTheme="minorHAnsi" w:hAnsiTheme="minorHAnsi"/>
          <w:szCs w:val="24"/>
        </w:rPr>
        <w:br w:type="page"/>
      </w:r>
    </w:p>
    <w:p w14:paraId="3EBCDB8E"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lastRenderedPageBreak/>
        <w:t>Annual Schedule for Program Planning</w:t>
      </w:r>
    </w:p>
    <w:p w14:paraId="6E3FB418"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By November 15 of each year, the Company will provide the EEAG with the following proposals for the next program year, which will subsequently be filed with the WUTC in a new docket that will contain all the required reporting for the calendar year, including a link to the Purchased Gas Adjustment (PGA) filing wherein program costs are recovered:</w:t>
      </w:r>
    </w:p>
    <w:p w14:paraId="1CECF0EF" w14:textId="77777777" w:rsidR="00307082" w:rsidRPr="00040AB6" w:rsidRDefault="00307082" w:rsidP="00307082">
      <w:pPr>
        <w:pStyle w:val="ListParagraph"/>
        <w:ind w:left="1440"/>
        <w:rPr>
          <w:rFonts w:asciiTheme="minorHAnsi" w:hAnsiTheme="minorHAnsi"/>
          <w:szCs w:val="24"/>
          <w:u w:val="single"/>
        </w:rPr>
      </w:pPr>
    </w:p>
    <w:p w14:paraId="48E3D02C"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u w:val="single"/>
        </w:rPr>
        <w:t>Budget</w:t>
      </w:r>
    </w:p>
    <w:p w14:paraId="66B60F89"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 xml:space="preserve">The Company will provide a total estimated program budget for the next calendar year.  The budget will present expected expenditures by program and customer class. </w:t>
      </w:r>
    </w:p>
    <w:p w14:paraId="717ED5A8" w14:textId="77777777" w:rsidR="00307082" w:rsidRPr="00040AB6" w:rsidRDefault="00307082" w:rsidP="00307082">
      <w:pPr>
        <w:pStyle w:val="ListParagraph"/>
        <w:ind w:left="1440"/>
        <w:rPr>
          <w:rFonts w:asciiTheme="minorHAnsi" w:hAnsiTheme="minorHAnsi"/>
          <w:szCs w:val="24"/>
        </w:rPr>
      </w:pPr>
    </w:p>
    <w:p w14:paraId="29D77489"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 xml:space="preserve">Please note that this budget forecast will be based on the best information available at the time.  As the year progresses, budgeted dollars may be reallocated among various programs or new offerings that are approved by the WUTC.  </w:t>
      </w:r>
    </w:p>
    <w:p w14:paraId="499E71D4" w14:textId="77777777" w:rsidR="00307082" w:rsidRPr="00040AB6" w:rsidRDefault="00307082" w:rsidP="00307082">
      <w:pPr>
        <w:rPr>
          <w:rFonts w:asciiTheme="minorHAnsi" w:hAnsiTheme="minorHAnsi"/>
          <w:szCs w:val="24"/>
        </w:rPr>
      </w:pPr>
    </w:p>
    <w:p w14:paraId="5E81A57C" w14:textId="77777777" w:rsidR="00307082" w:rsidRPr="00040AB6" w:rsidRDefault="00307082" w:rsidP="00307082">
      <w:pPr>
        <w:pStyle w:val="ListParagraph"/>
        <w:ind w:left="1440"/>
        <w:rPr>
          <w:rFonts w:asciiTheme="minorHAnsi" w:hAnsiTheme="minorHAnsi"/>
          <w:szCs w:val="24"/>
          <w:u w:val="single"/>
        </w:rPr>
      </w:pPr>
      <w:r w:rsidRPr="00040AB6">
        <w:rPr>
          <w:rFonts w:asciiTheme="minorHAnsi" w:hAnsiTheme="minorHAnsi"/>
          <w:szCs w:val="24"/>
          <w:u w:val="single"/>
        </w:rPr>
        <w:t>Funding Schedule</w:t>
      </w:r>
    </w:p>
    <w:p w14:paraId="2EB66D39"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 xml:space="preserve">A funding schedule is a contractually-agreed-to timeline between NW Natural and Energy Trust wherewith NW Natural will provide Energy Trust the necessary money for program administration and delivery.  The amounts dispersed to the Energy Trust in one year are the sum of all funds needed for that program year determined by subtracting any unspent or uncommitted funds previously dispersed to the Energy Trust for the Washington program from the total forecasted budget.  </w:t>
      </w:r>
    </w:p>
    <w:p w14:paraId="2789021E" w14:textId="77777777" w:rsidR="00307082" w:rsidRPr="00040AB6" w:rsidRDefault="00307082" w:rsidP="00307082">
      <w:pPr>
        <w:pStyle w:val="ListParagraph"/>
        <w:ind w:left="1440"/>
        <w:rPr>
          <w:rFonts w:asciiTheme="minorHAnsi" w:hAnsiTheme="minorHAnsi"/>
          <w:szCs w:val="24"/>
        </w:rPr>
      </w:pPr>
    </w:p>
    <w:p w14:paraId="4E230DA4" w14:textId="77777777" w:rsidR="00307082" w:rsidRPr="00040AB6" w:rsidRDefault="00307082" w:rsidP="00307082">
      <w:pPr>
        <w:pStyle w:val="ListParagraph"/>
        <w:ind w:left="1440"/>
        <w:rPr>
          <w:rFonts w:asciiTheme="minorHAnsi" w:hAnsiTheme="minorHAnsi"/>
          <w:szCs w:val="24"/>
          <w:u w:val="single"/>
        </w:rPr>
      </w:pPr>
      <w:r w:rsidRPr="00040AB6">
        <w:rPr>
          <w:rFonts w:asciiTheme="minorHAnsi" w:hAnsiTheme="minorHAnsi"/>
          <w:szCs w:val="24"/>
          <w:u w:val="single"/>
        </w:rPr>
        <w:t>Metrics</w:t>
      </w:r>
    </w:p>
    <w:p w14:paraId="31CF3721"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The Company will propose performance metrics that will address the following:</w:t>
      </w:r>
    </w:p>
    <w:p w14:paraId="7582ABB3" w14:textId="77777777" w:rsidR="00307082" w:rsidRPr="00040AB6" w:rsidRDefault="00307082" w:rsidP="00307082">
      <w:pPr>
        <w:pStyle w:val="ListParagraph"/>
        <w:ind w:left="1440"/>
        <w:rPr>
          <w:rFonts w:asciiTheme="minorHAnsi" w:hAnsiTheme="minorHAnsi"/>
          <w:szCs w:val="24"/>
        </w:rPr>
      </w:pPr>
    </w:p>
    <w:p w14:paraId="3101F381" w14:textId="77777777" w:rsidR="00307082" w:rsidRPr="00040AB6" w:rsidRDefault="00307082" w:rsidP="00307082">
      <w:pPr>
        <w:numPr>
          <w:ilvl w:val="0"/>
          <w:numId w:val="5"/>
        </w:numPr>
        <w:ind w:left="1800"/>
        <w:rPr>
          <w:rFonts w:asciiTheme="minorHAnsi" w:hAnsiTheme="minorHAnsi"/>
          <w:szCs w:val="24"/>
        </w:rPr>
      </w:pPr>
      <w:r w:rsidRPr="00040AB6">
        <w:rPr>
          <w:rFonts w:asciiTheme="minorHAnsi" w:hAnsiTheme="minorHAnsi"/>
          <w:szCs w:val="24"/>
        </w:rPr>
        <w:t>Total program costs</w:t>
      </w:r>
    </w:p>
    <w:p w14:paraId="32E770E8" w14:textId="77777777" w:rsidR="00307082" w:rsidRPr="00040AB6" w:rsidRDefault="00307082" w:rsidP="00307082">
      <w:pPr>
        <w:numPr>
          <w:ilvl w:val="0"/>
          <w:numId w:val="5"/>
        </w:numPr>
        <w:ind w:left="1800"/>
        <w:rPr>
          <w:rFonts w:asciiTheme="minorHAnsi" w:hAnsiTheme="minorHAnsi"/>
          <w:szCs w:val="24"/>
        </w:rPr>
      </w:pPr>
      <w:r w:rsidRPr="00040AB6">
        <w:rPr>
          <w:rFonts w:asciiTheme="minorHAnsi" w:hAnsiTheme="minorHAnsi"/>
          <w:szCs w:val="24"/>
        </w:rPr>
        <w:t>Projected therm savings consistent with most recent IRP</w:t>
      </w:r>
    </w:p>
    <w:p w14:paraId="73E35456" w14:textId="77777777" w:rsidR="00307082" w:rsidRPr="00040AB6" w:rsidRDefault="00307082" w:rsidP="00307082">
      <w:pPr>
        <w:numPr>
          <w:ilvl w:val="0"/>
          <w:numId w:val="5"/>
        </w:numPr>
        <w:ind w:left="1800"/>
        <w:rPr>
          <w:rFonts w:asciiTheme="minorHAnsi" w:hAnsiTheme="minorHAnsi"/>
          <w:szCs w:val="24"/>
        </w:rPr>
      </w:pPr>
      <w:r w:rsidRPr="00040AB6">
        <w:rPr>
          <w:rFonts w:asciiTheme="minorHAnsi" w:hAnsiTheme="minorHAnsi"/>
          <w:szCs w:val="24"/>
        </w:rPr>
        <w:t>Average levelized cost for measures</w:t>
      </w:r>
    </w:p>
    <w:p w14:paraId="73276232" w14:textId="77777777" w:rsidR="00307082" w:rsidRPr="00040AB6" w:rsidRDefault="00307082" w:rsidP="00307082">
      <w:pPr>
        <w:numPr>
          <w:ilvl w:val="0"/>
          <w:numId w:val="5"/>
        </w:numPr>
        <w:ind w:left="1800"/>
        <w:rPr>
          <w:rFonts w:asciiTheme="minorHAnsi" w:hAnsiTheme="minorHAnsi"/>
          <w:szCs w:val="24"/>
        </w:rPr>
      </w:pPr>
      <w:r w:rsidRPr="00040AB6">
        <w:rPr>
          <w:rFonts w:asciiTheme="minorHAnsi" w:hAnsiTheme="minorHAnsi"/>
          <w:szCs w:val="24"/>
        </w:rPr>
        <w:t>A ceiling for average cost per therm</w:t>
      </w:r>
    </w:p>
    <w:p w14:paraId="48EF1B37" w14:textId="77777777" w:rsidR="00307082" w:rsidRPr="00040AB6" w:rsidRDefault="00307082" w:rsidP="00307082">
      <w:pPr>
        <w:numPr>
          <w:ilvl w:val="0"/>
          <w:numId w:val="5"/>
        </w:numPr>
        <w:ind w:left="1800"/>
        <w:rPr>
          <w:rFonts w:asciiTheme="minorHAnsi" w:hAnsiTheme="minorHAnsi"/>
          <w:szCs w:val="24"/>
        </w:rPr>
      </w:pPr>
      <w:r w:rsidRPr="00040AB6">
        <w:rPr>
          <w:rFonts w:asciiTheme="minorHAnsi" w:hAnsiTheme="minorHAnsi"/>
          <w:szCs w:val="24"/>
        </w:rPr>
        <w:t>Projected homes to be weatherized in the WA-LIEE program</w:t>
      </w:r>
    </w:p>
    <w:p w14:paraId="17F3DAFC" w14:textId="77777777" w:rsidR="00307082" w:rsidRPr="00040AB6" w:rsidRDefault="00307082" w:rsidP="00307082">
      <w:pPr>
        <w:ind w:left="1440"/>
        <w:rPr>
          <w:rFonts w:asciiTheme="minorHAnsi" w:hAnsiTheme="minorHAnsi"/>
          <w:szCs w:val="24"/>
        </w:rPr>
      </w:pPr>
    </w:p>
    <w:p w14:paraId="0124AC66" w14:textId="77777777" w:rsidR="00307082" w:rsidRPr="00040AB6" w:rsidRDefault="00307082" w:rsidP="00307082">
      <w:pPr>
        <w:ind w:left="1440"/>
        <w:rPr>
          <w:rFonts w:asciiTheme="minorHAnsi" w:hAnsiTheme="minorHAnsi"/>
          <w:szCs w:val="24"/>
        </w:rPr>
      </w:pPr>
      <w:r w:rsidRPr="00040AB6">
        <w:rPr>
          <w:rFonts w:asciiTheme="minorHAnsi" w:hAnsiTheme="minorHAnsi"/>
          <w:szCs w:val="24"/>
        </w:rPr>
        <w:t xml:space="preserve">The Company expects that Utility Cost (UC) at the portfolio level </w:t>
      </w:r>
      <w:proofErr w:type="spellStart"/>
      <w:r w:rsidRPr="00040AB6">
        <w:rPr>
          <w:rFonts w:asciiTheme="minorHAnsi" w:hAnsiTheme="minorHAnsi"/>
          <w:szCs w:val="24"/>
        </w:rPr>
        <w:t>shouldbe</w:t>
      </w:r>
      <w:proofErr w:type="spellEnd"/>
      <w:r w:rsidRPr="00040AB6">
        <w:rPr>
          <w:rFonts w:asciiTheme="minorHAnsi" w:hAnsiTheme="minorHAnsi"/>
          <w:szCs w:val="24"/>
        </w:rPr>
        <w:t xml:space="preserve"> greater than 1.0 and will report compliance to this on an annual basis. The Company will also report on the portfolio TRC.</w:t>
      </w:r>
    </w:p>
    <w:p w14:paraId="76F67707" w14:textId="77777777" w:rsidR="00307082" w:rsidRPr="00040AB6" w:rsidRDefault="00307082" w:rsidP="00307082">
      <w:pPr>
        <w:ind w:left="1440"/>
        <w:rPr>
          <w:rFonts w:asciiTheme="minorHAnsi" w:hAnsiTheme="minorHAnsi"/>
          <w:szCs w:val="24"/>
        </w:rPr>
      </w:pPr>
    </w:p>
    <w:p w14:paraId="68414DAA" w14:textId="77777777" w:rsidR="00307082" w:rsidRPr="00040AB6" w:rsidRDefault="00307082" w:rsidP="00307082">
      <w:pPr>
        <w:ind w:left="1440"/>
        <w:rPr>
          <w:rFonts w:asciiTheme="minorHAnsi" w:hAnsiTheme="minorHAnsi"/>
          <w:szCs w:val="24"/>
        </w:rPr>
      </w:pPr>
      <w:r w:rsidRPr="00040AB6">
        <w:rPr>
          <w:rFonts w:asciiTheme="minorHAnsi" w:hAnsiTheme="minorHAnsi"/>
          <w:szCs w:val="24"/>
        </w:rPr>
        <w:t xml:space="preserve">The Company will come to agreement with the EEAG on the next year’s budget and performance metrics before making a tariff filing with the WUTC to modify this plan so that it incorporates the next year’s projected costs and metrics </w:t>
      </w:r>
      <w:r w:rsidRPr="00040AB6">
        <w:rPr>
          <w:rFonts w:asciiTheme="minorHAnsi" w:hAnsiTheme="minorHAnsi"/>
          <w:szCs w:val="24"/>
        </w:rPr>
        <w:lastRenderedPageBreak/>
        <w:t xml:space="preserve">accordingly.  This filing will be made annually not later than December 1 for a January 1 effective date. </w:t>
      </w:r>
    </w:p>
    <w:p w14:paraId="2C4D5D62" w14:textId="77777777" w:rsidR="00307082" w:rsidRPr="00040AB6" w:rsidRDefault="00307082" w:rsidP="00307082">
      <w:pPr>
        <w:pStyle w:val="ListParagraph"/>
        <w:ind w:left="1440"/>
        <w:rPr>
          <w:rFonts w:asciiTheme="minorHAnsi" w:hAnsiTheme="minorHAnsi"/>
          <w:szCs w:val="24"/>
        </w:rPr>
      </w:pPr>
    </w:p>
    <w:p w14:paraId="2F043E49"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Generally, milestones for the program year will be as follows:</w:t>
      </w:r>
    </w:p>
    <w:p w14:paraId="50D64D83" w14:textId="77777777" w:rsidR="00307082" w:rsidRPr="00040AB6" w:rsidRDefault="00307082" w:rsidP="00307082">
      <w:pPr>
        <w:pStyle w:val="ListParagraph"/>
        <w:ind w:left="1440"/>
        <w:rPr>
          <w:rFonts w:asciiTheme="minorHAnsi" w:hAnsiTheme="minorHAnsi"/>
          <w:szCs w:val="24"/>
          <w:u w:val="single"/>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353"/>
      </w:tblGrid>
      <w:tr w:rsidR="00307082" w:rsidRPr="00040AB6" w14:paraId="699DD943" w14:textId="77777777" w:rsidTr="00307082">
        <w:tc>
          <w:tcPr>
            <w:tcW w:w="9198" w:type="dxa"/>
            <w:gridSpan w:val="2"/>
          </w:tcPr>
          <w:p w14:paraId="48687002" w14:textId="77777777" w:rsidR="00307082" w:rsidRPr="00040AB6" w:rsidRDefault="00307082" w:rsidP="00307082">
            <w:pPr>
              <w:tabs>
                <w:tab w:val="left" w:pos="720"/>
              </w:tabs>
              <w:ind w:left="720"/>
              <w:rPr>
                <w:rFonts w:asciiTheme="minorHAnsi" w:hAnsiTheme="minorHAnsi"/>
                <w:szCs w:val="24"/>
              </w:rPr>
            </w:pPr>
            <w:r w:rsidRPr="00040AB6">
              <w:rPr>
                <w:rFonts w:asciiTheme="minorHAnsi" w:hAnsiTheme="minorHAnsi"/>
                <w:szCs w:val="24"/>
              </w:rPr>
              <w:t>Program Year Schedule</w:t>
            </w:r>
          </w:p>
        </w:tc>
      </w:tr>
      <w:tr w:rsidR="00307082" w:rsidRPr="00040AB6" w14:paraId="5221FBBB" w14:textId="77777777" w:rsidTr="00307082">
        <w:tc>
          <w:tcPr>
            <w:tcW w:w="2845" w:type="dxa"/>
          </w:tcPr>
          <w:p w14:paraId="67A4C5B1"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January 1</w:t>
            </w:r>
          </w:p>
        </w:tc>
        <w:tc>
          <w:tcPr>
            <w:tcW w:w="6353" w:type="dxa"/>
          </w:tcPr>
          <w:p w14:paraId="3740F5C9"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Start of program year</w:t>
            </w:r>
          </w:p>
        </w:tc>
      </w:tr>
      <w:tr w:rsidR="00307082" w:rsidRPr="00040AB6" w14:paraId="48CDD788" w14:textId="77777777" w:rsidTr="00307082">
        <w:tc>
          <w:tcPr>
            <w:tcW w:w="2845" w:type="dxa"/>
          </w:tcPr>
          <w:p w14:paraId="7CC31B5B"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April 25</w:t>
            </w:r>
          </w:p>
        </w:tc>
        <w:tc>
          <w:tcPr>
            <w:tcW w:w="6353" w:type="dxa"/>
          </w:tcPr>
          <w:p w14:paraId="63FD7DDF" w14:textId="77777777" w:rsidR="00307082" w:rsidRPr="00040AB6" w:rsidRDefault="00307082" w:rsidP="00307082">
            <w:pPr>
              <w:tabs>
                <w:tab w:val="left" w:pos="492"/>
              </w:tabs>
              <w:ind w:left="12"/>
              <w:rPr>
                <w:rFonts w:asciiTheme="minorHAnsi" w:hAnsiTheme="minorHAnsi"/>
                <w:szCs w:val="24"/>
              </w:rPr>
            </w:pPr>
            <w:r w:rsidRPr="00040AB6">
              <w:rPr>
                <w:rFonts w:asciiTheme="minorHAnsi" w:hAnsiTheme="minorHAnsi"/>
                <w:szCs w:val="24"/>
              </w:rPr>
              <w:t>Annual report for previous program year is filed.</w:t>
            </w:r>
          </w:p>
          <w:p w14:paraId="0ED2D1F8" w14:textId="77777777" w:rsidR="00307082" w:rsidRPr="00040AB6" w:rsidRDefault="00307082" w:rsidP="00307082">
            <w:pPr>
              <w:tabs>
                <w:tab w:val="left" w:pos="492"/>
                <w:tab w:val="left" w:pos="1680"/>
              </w:tabs>
              <w:ind w:left="12"/>
              <w:rPr>
                <w:rFonts w:asciiTheme="minorHAnsi" w:hAnsiTheme="minorHAnsi"/>
                <w:szCs w:val="24"/>
              </w:rPr>
            </w:pPr>
          </w:p>
        </w:tc>
      </w:tr>
      <w:tr w:rsidR="00307082" w:rsidRPr="00040AB6" w14:paraId="115C7389" w14:textId="77777777" w:rsidTr="00307082">
        <w:tc>
          <w:tcPr>
            <w:tcW w:w="2845" w:type="dxa"/>
          </w:tcPr>
          <w:p w14:paraId="1BD25E57"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May 25</w:t>
            </w:r>
          </w:p>
        </w:tc>
        <w:tc>
          <w:tcPr>
            <w:tcW w:w="6353" w:type="dxa"/>
          </w:tcPr>
          <w:p w14:paraId="7079F297"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Q1 report on January 1 through  March 31 of current year</w:t>
            </w:r>
          </w:p>
        </w:tc>
      </w:tr>
      <w:tr w:rsidR="00307082" w:rsidRPr="00040AB6" w14:paraId="2DA8B51E" w14:textId="77777777" w:rsidTr="00307082">
        <w:tc>
          <w:tcPr>
            <w:tcW w:w="2845" w:type="dxa"/>
          </w:tcPr>
          <w:p w14:paraId="22C8F8CE"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August 25</w:t>
            </w:r>
          </w:p>
        </w:tc>
        <w:tc>
          <w:tcPr>
            <w:tcW w:w="6353" w:type="dxa"/>
          </w:tcPr>
          <w:p w14:paraId="12FDCCDB"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Q2 report on April 1 through June 30 and YTD</w:t>
            </w:r>
          </w:p>
        </w:tc>
      </w:tr>
      <w:tr w:rsidR="00307082" w:rsidRPr="00040AB6" w14:paraId="12965F1F" w14:textId="77777777" w:rsidTr="00307082">
        <w:tc>
          <w:tcPr>
            <w:tcW w:w="2845" w:type="dxa"/>
          </w:tcPr>
          <w:p w14:paraId="3C390548"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October 1</w:t>
            </w:r>
          </w:p>
        </w:tc>
        <w:tc>
          <w:tcPr>
            <w:tcW w:w="6353" w:type="dxa"/>
          </w:tcPr>
          <w:p w14:paraId="728C7CA3"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Tariff filing submitted for program cost recovery.</w:t>
            </w:r>
          </w:p>
        </w:tc>
      </w:tr>
      <w:tr w:rsidR="00307082" w:rsidRPr="00040AB6" w14:paraId="53883B85" w14:textId="77777777" w:rsidTr="00307082">
        <w:tc>
          <w:tcPr>
            <w:tcW w:w="2845" w:type="dxa"/>
          </w:tcPr>
          <w:p w14:paraId="2DCBDCF0"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November 1</w:t>
            </w:r>
          </w:p>
        </w:tc>
        <w:tc>
          <w:tcPr>
            <w:tcW w:w="6353" w:type="dxa"/>
          </w:tcPr>
          <w:p w14:paraId="00E7B144" w14:textId="77777777" w:rsidR="00307082" w:rsidRPr="00040AB6" w:rsidDel="00E2128A" w:rsidRDefault="00307082" w:rsidP="00307082">
            <w:pPr>
              <w:tabs>
                <w:tab w:val="left" w:pos="720"/>
              </w:tabs>
              <w:rPr>
                <w:rFonts w:asciiTheme="minorHAnsi" w:hAnsiTheme="minorHAnsi"/>
                <w:szCs w:val="24"/>
              </w:rPr>
            </w:pPr>
            <w:r w:rsidRPr="00040AB6">
              <w:rPr>
                <w:rFonts w:asciiTheme="minorHAnsi" w:hAnsiTheme="minorHAnsi"/>
                <w:szCs w:val="24"/>
              </w:rPr>
              <w:t>Requested effective date of program cost recovery filing.</w:t>
            </w:r>
          </w:p>
        </w:tc>
      </w:tr>
      <w:tr w:rsidR="00307082" w:rsidRPr="00040AB6" w14:paraId="580729B1" w14:textId="77777777" w:rsidTr="00307082">
        <w:tc>
          <w:tcPr>
            <w:tcW w:w="2845" w:type="dxa"/>
          </w:tcPr>
          <w:p w14:paraId="2C60318A"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November 15</w:t>
            </w:r>
          </w:p>
        </w:tc>
        <w:tc>
          <w:tcPr>
            <w:tcW w:w="6353" w:type="dxa"/>
          </w:tcPr>
          <w:p w14:paraId="0159405F"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Share next year’s budget range, funding schedule, and proposed performance metrics with EEAG no later than this date</w:t>
            </w:r>
          </w:p>
        </w:tc>
      </w:tr>
      <w:tr w:rsidR="00307082" w:rsidRPr="00040AB6" w14:paraId="02034EBA" w14:textId="77777777" w:rsidTr="00307082">
        <w:tc>
          <w:tcPr>
            <w:tcW w:w="2845" w:type="dxa"/>
          </w:tcPr>
          <w:p w14:paraId="25D75973"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November 25</w:t>
            </w:r>
          </w:p>
        </w:tc>
        <w:tc>
          <w:tcPr>
            <w:tcW w:w="6353" w:type="dxa"/>
          </w:tcPr>
          <w:p w14:paraId="518F502A"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Q3 report on July 1 through September 30 and YTD</w:t>
            </w:r>
          </w:p>
        </w:tc>
      </w:tr>
      <w:tr w:rsidR="00307082" w:rsidRPr="00040AB6" w14:paraId="39470970" w14:textId="77777777" w:rsidTr="00307082">
        <w:tc>
          <w:tcPr>
            <w:tcW w:w="2845" w:type="dxa"/>
          </w:tcPr>
          <w:p w14:paraId="53EFE586"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December 1</w:t>
            </w:r>
          </w:p>
        </w:tc>
        <w:tc>
          <w:tcPr>
            <w:tcW w:w="6353" w:type="dxa"/>
          </w:tcPr>
          <w:p w14:paraId="3545291D"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Latest date to file EE Plan for next program year</w:t>
            </w:r>
          </w:p>
        </w:tc>
      </w:tr>
      <w:tr w:rsidR="00307082" w:rsidRPr="00040AB6" w14:paraId="5D816AD6" w14:textId="77777777" w:rsidTr="00307082">
        <w:tc>
          <w:tcPr>
            <w:tcW w:w="2845" w:type="dxa"/>
          </w:tcPr>
          <w:p w14:paraId="7541E799"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January 1</w:t>
            </w:r>
          </w:p>
        </w:tc>
        <w:tc>
          <w:tcPr>
            <w:tcW w:w="6353" w:type="dxa"/>
          </w:tcPr>
          <w:p w14:paraId="7C5ED795" w14:textId="77777777" w:rsidR="00307082" w:rsidRPr="00040AB6" w:rsidRDefault="00307082" w:rsidP="00307082">
            <w:pPr>
              <w:tabs>
                <w:tab w:val="left" w:pos="720"/>
              </w:tabs>
              <w:rPr>
                <w:rFonts w:asciiTheme="minorHAnsi" w:hAnsiTheme="minorHAnsi"/>
                <w:szCs w:val="24"/>
              </w:rPr>
            </w:pPr>
            <w:r w:rsidRPr="00040AB6">
              <w:rPr>
                <w:rFonts w:asciiTheme="minorHAnsi" w:hAnsiTheme="minorHAnsi"/>
                <w:szCs w:val="24"/>
              </w:rPr>
              <w:t>Start of next program year; new EE Plan effective</w:t>
            </w:r>
          </w:p>
        </w:tc>
      </w:tr>
    </w:tbl>
    <w:p w14:paraId="48EC6963" w14:textId="77777777" w:rsidR="00307082" w:rsidRPr="00040AB6" w:rsidRDefault="00307082" w:rsidP="00307082">
      <w:pPr>
        <w:pStyle w:val="ListParagraph"/>
        <w:rPr>
          <w:rFonts w:asciiTheme="minorHAnsi" w:hAnsiTheme="minorHAnsi"/>
          <w:sz w:val="32"/>
          <w:szCs w:val="32"/>
        </w:rPr>
      </w:pPr>
    </w:p>
    <w:p w14:paraId="3093C60B"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t>Reporting</w:t>
      </w:r>
    </w:p>
    <w:p w14:paraId="30216DFC"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The Company will file all required reporting with the WUTC in the docket established for the current program year.  </w:t>
      </w:r>
    </w:p>
    <w:p w14:paraId="0D853C29" w14:textId="77777777" w:rsidR="00307082" w:rsidRPr="00040AB6" w:rsidRDefault="00307082" w:rsidP="00307082">
      <w:pPr>
        <w:pStyle w:val="ListParagraph"/>
        <w:rPr>
          <w:rFonts w:asciiTheme="minorHAnsi" w:hAnsiTheme="minorHAnsi"/>
          <w:szCs w:val="24"/>
          <w:u w:val="single"/>
        </w:rPr>
      </w:pPr>
    </w:p>
    <w:p w14:paraId="4B619BAE" w14:textId="77777777" w:rsidR="00307082" w:rsidRPr="00040AB6" w:rsidRDefault="00307082" w:rsidP="00307082">
      <w:pPr>
        <w:pStyle w:val="ListParagraph"/>
        <w:rPr>
          <w:rFonts w:asciiTheme="minorHAnsi" w:hAnsiTheme="minorHAnsi"/>
          <w:szCs w:val="24"/>
          <w:u w:val="single"/>
        </w:rPr>
      </w:pPr>
      <w:r w:rsidRPr="00040AB6">
        <w:rPr>
          <w:rFonts w:asciiTheme="minorHAnsi" w:hAnsiTheme="minorHAnsi"/>
          <w:szCs w:val="24"/>
          <w:u w:val="single"/>
        </w:rPr>
        <w:t>Quarterly</w:t>
      </w:r>
    </w:p>
    <w:p w14:paraId="7A9E312F"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The Company will report on its program on a calendar year basis.  Quarterly reports will be provided to the EEAG and filed with the WUTC on the following schedule:</w:t>
      </w:r>
    </w:p>
    <w:p w14:paraId="21D1C326"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1Q – May 25</w:t>
      </w:r>
    </w:p>
    <w:p w14:paraId="07385203"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2Q – August 25</w:t>
      </w:r>
    </w:p>
    <w:p w14:paraId="16AF0254" w14:textId="77777777" w:rsidR="00307082" w:rsidRPr="00040AB6" w:rsidRDefault="00307082" w:rsidP="00307082">
      <w:pPr>
        <w:pStyle w:val="ListParagraph"/>
        <w:ind w:left="1440"/>
        <w:rPr>
          <w:rFonts w:asciiTheme="minorHAnsi" w:hAnsiTheme="minorHAnsi"/>
          <w:szCs w:val="24"/>
        </w:rPr>
      </w:pPr>
      <w:r w:rsidRPr="00040AB6">
        <w:rPr>
          <w:rFonts w:asciiTheme="minorHAnsi" w:hAnsiTheme="minorHAnsi"/>
          <w:szCs w:val="24"/>
        </w:rPr>
        <w:t>3Q – November 25</w:t>
      </w:r>
    </w:p>
    <w:p w14:paraId="52F8FDB2" w14:textId="77777777" w:rsidR="00307082" w:rsidRPr="00040AB6" w:rsidRDefault="00307082" w:rsidP="00307082">
      <w:pPr>
        <w:pStyle w:val="ListParagraph"/>
        <w:ind w:left="1440"/>
        <w:rPr>
          <w:rFonts w:asciiTheme="minorHAnsi" w:hAnsiTheme="minorHAnsi"/>
          <w:szCs w:val="24"/>
        </w:rPr>
      </w:pPr>
    </w:p>
    <w:p w14:paraId="352983CF" w14:textId="77777777" w:rsidR="00307082" w:rsidRPr="00040AB6" w:rsidRDefault="00307082" w:rsidP="00307082">
      <w:pPr>
        <w:pStyle w:val="ListParagraph"/>
        <w:rPr>
          <w:rFonts w:asciiTheme="minorHAnsi" w:hAnsiTheme="minorHAnsi"/>
          <w:szCs w:val="24"/>
          <w:u w:val="single"/>
        </w:rPr>
      </w:pPr>
      <w:r w:rsidRPr="00040AB6">
        <w:rPr>
          <w:rFonts w:asciiTheme="minorHAnsi" w:hAnsiTheme="minorHAnsi"/>
          <w:szCs w:val="24"/>
          <w:u w:val="single"/>
        </w:rPr>
        <w:t>Annual</w:t>
      </w:r>
    </w:p>
    <w:p w14:paraId="14B2767E"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An annual report will be due annually for the previous year by April 25</w:t>
      </w:r>
      <w:r w:rsidRPr="00040AB6">
        <w:rPr>
          <w:rFonts w:asciiTheme="minorHAnsi" w:hAnsiTheme="minorHAnsi"/>
          <w:szCs w:val="24"/>
          <w:vertAlign w:val="superscript"/>
        </w:rPr>
        <w:t>th</w:t>
      </w:r>
      <w:r w:rsidRPr="00040AB6">
        <w:rPr>
          <w:rFonts w:asciiTheme="minorHAnsi" w:hAnsiTheme="minorHAnsi"/>
          <w:szCs w:val="24"/>
        </w:rPr>
        <w:t xml:space="preserve">. </w:t>
      </w:r>
    </w:p>
    <w:p w14:paraId="1D786E88" w14:textId="77777777" w:rsidR="00307082" w:rsidRPr="00040AB6" w:rsidRDefault="00307082" w:rsidP="00307082">
      <w:pPr>
        <w:rPr>
          <w:rFonts w:asciiTheme="minorHAnsi" w:hAnsiTheme="minorHAnsi"/>
          <w:szCs w:val="24"/>
          <w:u w:val="single"/>
        </w:rPr>
      </w:pPr>
      <w:r w:rsidRPr="00040AB6">
        <w:rPr>
          <w:rFonts w:asciiTheme="minorHAnsi" w:hAnsiTheme="minorHAnsi"/>
          <w:szCs w:val="24"/>
          <w:u w:val="single"/>
        </w:rPr>
        <w:t>EEAG Review</w:t>
      </w:r>
    </w:p>
    <w:p w14:paraId="30351812" w14:textId="77777777" w:rsidR="00307082" w:rsidRPr="00040AB6" w:rsidRDefault="00307082" w:rsidP="00307082">
      <w:pPr>
        <w:rPr>
          <w:rFonts w:asciiTheme="minorHAnsi" w:hAnsiTheme="minorHAnsi"/>
          <w:szCs w:val="24"/>
        </w:rPr>
      </w:pPr>
      <w:r w:rsidRPr="00040AB6">
        <w:rPr>
          <w:rFonts w:asciiTheme="minorHAnsi" w:hAnsiTheme="minorHAnsi"/>
          <w:szCs w:val="24"/>
        </w:rPr>
        <w:t>The EEAG will meet either in person or by teleconference to review the annual report and on an as requested basis.</w:t>
      </w:r>
    </w:p>
    <w:p w14:paraId="7FE93B02" w14:textId="77777777" w:rsidR="00307082" w:rsidRPr="00040AB6" w:rsidRDefault="00307082" w:rsidP="00307082">
      <w:pPr>
        <w:pStyle w:val="ListParagraph"/>
        <w:rPr>
          <w:rFonts w:asciiTheme="minorHAnsi" w:hAnsiTheme="minorHAnsi"/>
          <w:szCs w:val="24"/>
        </w:rPr>
      </w:pPr>
    </w:p>
    <w:p w14:paraId="3189BF14" w14:textId="77777777" w:rsidR="00307082" w:rsidRPr="00040AB6" w:rsidRDefault="00307082" w:rsidP="00307082">
      <w:pPr>
        <w:pStyle w:val="ListParagraph"/>
        <w:rPr>
          <w:rFonts w:asciiTheme="minorHAnsi" w:hAnsiTheme="minorHAnsi"/>
          <w:szCs w:val="24"/>
          <w:u w:val="single"/>
        </w:rPr>
      </w:pPr>
      <w:r w:rsidRPr="00040AB6">
        <w:rPr>
          <w:rFonts w:asciiTheme="minorHAnsi" w:hAnsiTheme="minorHAnsi"/>
          <w:szCs w:val="24"/>
          <w:u w:val="single"/>
        </w:rPr>
        <w:t>Content of Reports</w:t>
      </w:r>
    </w:p>
    <w:p w14:paraId="0C7425C8"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The quarterly reports will include</w:t>
      </w:r>
    </w:p>
    <w:p w14:paraId="5EDA1005"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Quarterly progress toward annual program metrics</w:t>
      </w:r>
    </w:p>
    <w:p w14:paraId="6EA569A7"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A breakdown of costs by program and customer sector</w:t>
      </w:r>
    </w:p>
    <w:p w14:paraId="5AD323B4"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A reporting on percentage of program costs spent on customer incentives</w:t>
      </w:r>
    </w:p>
    <w:p w14:paraId="710D89C7"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lastRenderedPageBreak/>
        <w:t>The funding received to date</w:t>
      </w:r>
    </w:p>
    <w:p w14:paraId="2F6B8BE2"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Energy payback estimator site traffic statistics</w:t>
      </w:r>
      <w:r w:rsidRPr="00040AB6">
        <w:rPr>
          <w:rFonts w:asciiTheme="minorHAnsi" w:hAnsiTheme="minorHAnsi" w:cstheme="minorHAnsi"/>
          <w:szCs w:val="24"/>
        </w:rPr>
        <w:t xml:space="preserve"> both in aggregate and by geography, detailing the volume of visits to the URL</w:t>
      </w:r>
    </w:p>
    <w:p w14:paraId="4BE228DB"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A status report on NEEA, market transformation efforts, spending, and activity</w:t>
      </w:r>
    </w:p>
    <w:p w14:paraId="3E462589"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The 2Q report will include a report on the Company’s mid-year transactional review of the Energy Trust’s expenses</w:t>
      </w:r>
    </w:p>
    <w:p w14:paraId="241AD9A7"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 xml:space="preserve">The 2Q report will include a 6 month check in on WA-LIEE </w:t>
      </w:r>
    </w:p>
    <w:p w14:paraId="351CB030" w14:textId="77777777" w:rsidR="00307082" w:rsidRPr="00040AB6" w:rsidRDefault="00307082" w:rsidP="00307082">
      <w:pPr>
        <w:pStyle w:val="ListParagraph"/>
        <w:numPr>
          <w:ilvl w:val="4"/>
          <w:numId w:val="6"/>
        </w:numPr>
        <w:ind w:left="1800"/>
        <w:rPr>
          <w:rFonts w:asciiTheme="minorHAnsi" w:hAnsiTheme="minorHAnsi"/>
          <w:szCs w:val="24"/>
        </w:rPr>
      </w:pPr>
      <w:r w:rsidRPr="00040AB6">
        <w:rPr>
          <w:rFonts w:asciiTheme="minorHAnsi" w:hAnsiTheme="minorHAnsi"/>
          <w:szCs w:val="24"/>
        </w:rPr>
        <w:t xml:space="preserve">program year costs, </w:t>
      </w:r>
    </w:p>
    <w:p w14:paraId="289FF715" w14:textId="77777777" w:rsidR="00307082" w:rsidRPr="00040AB6" w:rsidRDefault="00307082" w:rsidP="00307082">
      <w:pPr>
        <w:pStyle w:val="ListParagraph"/>
        <w:numPr>
          <w:ilvl w:val="4"/>
          <w:numId w:val="6"/>
        </w:numPr>
        <w:ind w:left="1800"/>
        <w:rPr>
          <w:rFonts w:asciiTheme="minorHAnsi" w:hAnsiTheme="minorHAnsi"/>
          <w:szCs w:val="24"/>
        </w:rPr>
      </w:pPr>
      <w:r w:rsidRPr="00040AB6">
        <w:rPr>
          <w:rFonts w:asciiTheme="minorHAnsi" w:hAnsiTheme="minorHAnsi"/>
          <w:szCs w:val="24"/>
        </w:rPr>
        <w:t xml:space="preserve">homes served, </w:t>
      </w:r>
    </w:p>
    <w:p w14:paraId="1BD6ABB6" w14:textId="77777777" w:rsidR="00307082" w:rsidRPr="00040AB6" w:rsidRDefault="00307082" w:rsidP="00307082">
      <w:pPr>
        <w:pStyle w:val="ListParagraph"/>
        <w:numPr>
          <w:ilvl w:val="2"/>
          <w:numId w:val="6"/>
        </w:numPr>
        <w:spacing w:after="200" w:line="276" w:lineRule="auto"/>
        <w:ind w:left="1800"/>
        <w:rPr>
          <w:rFonts w:asciiTheme="minorHAnsi" w:hAnsiTheme="minorHAnsi"/>
          <w:szCs w:val="24"/>
          <w:u w:val="single"/>
        </w:rPr>
      </w:pPr>
      <w:r w:rsidRPr="00040AB6">
        <w:rPr>
          <w:rFonts w:asciiTheme="minorHAnsi" w:hAnsiTheme="minorHAnsi"/>
          <w:szCs w:val="24"/>
        </w:rPr>
        <w:t xml:space="preserve">estimated total therms saved per home, and </w:t>
      </w:r>
    </w:p>
    <w:p w14:paraId="158618BF" w14:textId="77777777" w:rsidR="00307082" w:rsidRPr="00040AB6" w:rsidRDefault="00307082" w:rsidP="00307082">
      <w:pPr>
        <w:pStyle w:val="ListParagraph"/>
        <w:numPr>
          <w:ilvl w:val="0"/>
          <w:numId w:val="6"/>
        </w:numPr>
        <w:ind w:left="1440"/>
        <w:rPr>
          <w:rFonts w:asciiTheme="minorHAnsi" w:hAnsiTheme="minorHAnsi"/>
          <w:szCs w:val="24"/>
        </w:rPr>
      </w:pPr>
      <w:r w:rsidRPr="00040AB6">
        <w:rPr>
          <w:rFonts w:asciiTheme="minorHAnsi" w:hAnsiTheme="minorHAnsi"/>
          <w:szCs w:val="24"/>
        </w:rPr>
        <w:t>total therm savings to-date</w:t>
      </w:r>
      <w:r>
        <w:rPr>
          <w:rFonts w:asciiTheme="minorHAnsi" w:hAnsiTheme="minorHAnsi"/>
          <w:szCs w:val="24"/>
        </w:rPr>
        <w:t>, the</w:t>
      </w:r>
      <w:r w:rsidRPr="00040AB6">
        <w:rPr>
          <w:rFonts w:asciiTheme="minorHAnsi" w:hAnsiTheme="minorHAnsi"/>
          <w:szCs w:val="24"/>
        </w:rPr>
        <w:t xml:space="preserve"> quarterly report following the annual release of the impact and process report will include a link to that report and a short summary of the findings</w:t>
      </w:r>
    </w:p>
    <w:p w14:paraId="547010A2" w14:textId="77777777" w:rsidR="00307082" w:rsidRPr="00040AB6" w:rsidRDefault="00307082" w:rsidP="00307082">
      <w:pPr>
        <w:pStyle w:val="ListParagraph"/>
        <w:rPr>
          <w:rFonts w:asciiTheme="minorHAnsi" w:hAnsiTheme="minorHAnsi"/>
          <w:szCs w:val="24"/>
        </w:rPr>
      </w:pPr>
    </w:p>
    <w:p w14:paraId="6A3AE7FF"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The annual report will include the following:</w:t>
      </w:r>
    </w:p>
    <w:p w14:paraId="70E316F9"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Budget compared to actual results by program</w:t>
      </w:r>
    </w:p>
    <w:p w14:paraId="52F53987"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 xml:space="preserve">Cost-effectiveness calculations on a program by program and total portfolio basis. Total Portfolio means all residential and commercial programs. </w:t>
      </w:r>
    </w:p>
    <w:p w14:paraId="24ACDF9D"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Cost-effectiveness calculations of the total portfolio plus NEEA expenses</w:t>
      </w:r>
    </w:p>
    <w:p w14:paraId="170B4F46"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 xml:space="preserve">Measure level participation (units installed and savings) under each program </w:t>
      </w:r>
    </w:p>
    <w:p w14:paraId="27ECDD9D"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 xml:space="preserve">Reporting on achievement of metrics </w:t>
      </w:r>
    </w:p>
    <w:p w14:paraId="44FE97D1"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Energy payback estimator site traffic statistics</w:t>
      </w:r>
      <w:r w:rsidRPr="00040AB6">
        <w:rPr>
          <w:rFonts w:asciiTheme="minorHAnsi" w:hAnsiTheme="minorHAnsi" w:cstheme="minorHAnsi"/>
          <w:szCs w:val="24"/>
        </w:rPr>
        <w:t xml:space="preserve"> both in aggregate and by geography, detailing the volume of visits to the URL</w:t>
      </w:r>
    </w:p>
    <w:p w14:paraId="76130736" w14:textId="77777777" w:rsidR="00307082" w:rsidRPr="00040AB6" w:rsidRDefault="00307082" w:rsidP="00307082">
      <w:pPr>
        <w:pStyle w:val="ListParagraph"/>
        <w:numPr>
          <w:ilvl w:val="3"/>
          <w:numId w:val="6"/>
        </w:numPr>
        <w:ind w:left="1440"/>
        <w:rPr>
          <w:rFonts w:asciiTheme="minorHAnsi" w:hAnsiTheme="minorHAnsi"/>
          <w:szCs w:val="24"/>
        </w:rPr>
      </w:pPr>
      <w:r w:rsidRPr="00040AB6">
        <w:rPr>
          <w:rFonts w:asciiTheme="minorHAnsi" w:hAnsiTheme="minorHAnsi"/>
          <w:szCs w:val="24"/>
        </w:rPr>
        <w:t>A status report on NEEA, market transformation efforts, spending, and activity</w:t>
      </w:r>
    </w:p>
    <w:p w14:paraId="53089E19"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An overview of the Company’s year-end review of Energy Trust transactions.</w:t>
      </w:r>
    </w:p>
    <w:p w14:paraId="0CA60C1D" w14:textId="77777777" w:rsidR="00307082" w:rsidRPr="00040AB6" w:rsidRDefault="00307082" w:rsidP="00307082">
      <w:pPr>
        <w:pStyle w:val="ListParagraph"/>
        <w:numPr>
          <w:ilvl w:val="0"/>
          <w:numId w:val="6"/>
        </w:numPr>
        <w:ind w:left="1406" w:hanging="361"/>
        <w:rPr>
          <w:rFonts w:asciiTheme="minorHAnsi" w:hAnsiTheme="minorHAnsi"/>
          <w:szCs w:val="24"/>
          <w:u w:val="single"/>
        </w:rPr>
      </w:pPr>
      <w:r w:rsidRPr="00040AB6">
        <w:rPr>
          <w:rFonts w:asciiTheme="minorHAnsi" w:hAnsiTheme="minorHAnsi"/>
          <w:szCs w:val="24"/>
        </w:rPr>
        <w:t>Evaluation results (if performed)</w:t>
      </w:r>
    </w:p>
    <w:p w14:paraId="592B5EA5" w14:textId="77777777" w:rsidR="00307082" w:rsidRPr="00040AB6" w:rsidRDefault="00307082" w:rsidP="00307082">
      <w:pPr>
        <w:pStyle w:val="ListParagraph"/>
        <w:numPr>
          <w:ilvl w:val="0"/>
          <w:numId w:val="6"/>
        </w:numPr>
        <w:ind w:leftChars="475" w:left="1534" w:hangingChars="164" w:hanging="394"/>
        <w:rPr>
          <w:rFonts w:asciiTheme="minorHAnsi" w:hAnsiTheme="minorHAnsi"/>
          <w:szCs w:val="24"/>
          <w:u w:val="single"/>
        </w:rPr>
      </w:pPr>
      <w:r w:rsidRPr="00040AB6">
        <w:rPr>
          <w:rFonts w:asciiTheme="minorHAnsi" w:hAnsiTheme="minorHAnsi"/>
          <w:szCs w:val="24"/>
        </w:rPr>
        <w:t>WA-LIEE program results including:</w:t>
      </w:r>
    </w:p>
    <w:p w14:paraId="6FDABCED" w14:textId="77777777" w:rsidR="00307082" w:rsidRPr="00040AB6" w:rsidRDefault="00307082" w:rsidP="00307082">
      <w:pPr>
        <w:pStyle w:val="ListParagraph"/>
        <w:numPr>
          <w:ilvl w:val="2"/>
          <w:numId w:val="6"/>
        </w:numPr>
        <w:ind w:leftChars="654" w:left="1930" w:hangingChars="150"/>
        <w:rPr>
          <w:rFonts w:asciiTheme="minorHAnsi" w:hAnsiTheme="minorHAnsi"/>
          <w:szCs w:val="24"/>
          <w:u w:val="single"/>
        </w:rPr>
      </w:pPr>
      <w:r w:rsidRPr="00040AB6">
        <w:rPr>
          <w:rFonts w:asciiTheme="minorHAnsi" w:hAnsiTheme="minorHAnsi"/>
          <w:szCs w:val="24"/>
        </w:rPr>
        <w:t>total program year costs</w:t>
      </w:r>
    </w:p>
    <w:p w14:paraId="358EB9E6" w14:textId="77777777" w:rsidR="00307082" w:rsidRPr="00040AB6" w:rsidRDefault="00307082" w:rsidP="00307082">
      <w:pPr>
        <w:pStyle w:val="ListParagraph"/>
        <w:numPr>
          <w:ilvl w:val="2"/>
          <w:numId w:val="6"/>
        </w:numPr>
        <w:ind w:leftChars="654" w:left="1930" w:hangingChars="150"/>
        <w:rPr>
          <w:rFonts w:asciiTheme="minorHAnsi" w:hAnsiTheme="minorHAnsi"/>
          <w:szCs w:val="24"/>
          <w:u w:val="single"/>
        </w:rPr>
      </w:pPr>
      <w:r w:rsidRPr="00040AB6">
        <w:rPr>
          <w:rFonts w:asciiTheme="minorHAnsi" w:hAnsiTheme="minorHAnsi"/>
          <w:szCs w:val="24"/>
        </w:rPr>
        <w:t>homes served</w:t>
      </w:r>
    </w:p>
    <w:p w14:paraId="3F7E7250" w14:textId="77777777" w:rsidR="00307082" w:rsidRPr="00040AB6" w:rsidRDefault="00307082" w:rsidP="00307082">
      <w:pPr>
        <w:pStyle w:val="ListParagraph"/>
        <w:numPr>
          <w:ilvl w:val="2"/>
          <w:numId w:val="6"/>
        </w:numPr>
        <w:ind w:leftChars="654" w:left="1930" w:hangingChars="150"/>
        <w:rPr>
          <w:rFonts w:asciiTheme="minorHAnsi" w:hAnsiTheme="minorHAnsi"/>
          <w:szCs w:val="24"/>
          <w:u w:val="single"/>
        </w:rPr>
      </w:pPr>
      <w:r w:rsidRPr="00040AB6">
        <w:rPr>
          <w:rFonts w:asciiTheme="minorHAnsi" w:hAnsiTheme="minorHAnsi"/>
          <w:szCs w:val="24"/>
        </w:rPr>
        <w:t xml:space="preserve">estimated total therm savings, and </w:t>
      </w:r>
    </w:p>
    <w:p w14:paraId="70F44505" w14:textId="77777777" w:rsidR="00307082" w:rsidRPr="00040AB6" w:rsidRDefault="00307082" w:rsidP="00307082">
      <w:pPr>
        <w:pStyle w:val="ListParagraph"/>
        <w:numPr>
          <w:ilvl w:val="2"/>
          <w:numId w:val="6"/>
        </w:numPr>
        <w:spacing w:after="200" w:line="276" w:lineRule="auto"/>
        <w:ind w:leftChars="654" w:left="1930" w:hangingChars="150"/>
        <w:rPr>
          <w:rFonts w:asciiTheme="minorHAnsi" w:hAnsiTheme="minorHAnsi"/>
          <w:szCs w:val="24"/>
          <w:u w:val="single"/>
        </w:rPr>
      </w:pPr>
      <w:r w:rsidRPr="00040AB6">
        <w:rPr>
          <w:rFonts w:asciiTheme="minorHAnsi" w:hAnsiTheme="minorHAnsi"/>
          <w:szCs w:val="24"/>
        </w:rPr>
        <w:t xml:space="preserve">average therms saved per home. </w:t>
      </w:r>
    </w:p>
    <w:p w14:paraId="6608C87A" w14:textId="77777777" w:rsidR="00307082" w:rsidRPr="00040AB6" w:rsidRDefault="00307082" w:rsidP="00307082">
      <w:pPr>
        <w:pStyle w:val="ListParagraph"/>
        <w:ind w:left="1800"/>
        <w:rPr>
          <w:rFonts w:asciiTheme="minorHAnsi" w:hAnsiTheme="minorHAnsi"/>
          <w:szCs w:val="24"/>
          <w:u w:val="single"/>
        </w:rPr>
      </w:pPr>
    </w:p>
    <w:p w14:paraId="79FFCD4E"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t>Annual Program Budget</w:t>
      </w:r>
    </w:p>
    <w:p w14:paraId="65741322" w14:textId="77777777" w:rsidR="00307082" w:rsidRPr="00040AB6" w:rsidRDefault="00307082" w:rsidP="00307082">
      <w:pPr>
        <w:ind w:left="720"/>
        <w:rPr>
          <w:rFonts w:asciiTheme="minorHAnsi" w:hAnsiTheme="minorHAnsi"/>
          <w:szCs w:val="24"/>
          <w:u w:val="single"/>
        </w:rPr>
      </w:pPr>
      <w:r w:rsidRPr="00040AB6">
        <w:rPr>
          <w:rFonts w:asciiTheme="minorHAnsi" w:hAnsiTheme="minorHAnsi"/>
          <w:szCs w:val="24"/>
          <w:u w:val="single"/>
        </w:rPr>
        <w:t>Budgets</w:t>
      </w:r>
    </w:p>
    <w:p w14:paraId="310EEB79"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Forecasted program costs for the next calendar year will be reviewed annually in November when metrics are also proposed for the following program year.  </w:t>
      </w:r>
    </w:p>
    <w:p w14:paraId="246C5EEB" w14:textId="77777777" w:rsidR="00307082" w:rsidRPr="00040AB6" w:rsidRDefault="00307082">
      <w:pPr>
        <w:rPr>
          <w:rFonts w:asciiTheme="minorHAnsi" w:hAnsiTheme="minorHAnsi"/>
          <w:szCs w:val="24"/>
        </w:rPr>
      </w:pPr>
      <w:r w:rsidRPr="00040AB6">
        <w:rPr>
          <w:rFonts w:asciiTheme="minorHAnsi" w:hAnsiTheme="minorHAnsi"/>
          <w:szCs w:val="24"/>
        </w:rPr>
        <w:br w:type="page"/>
      </w:r>
    </w:p>
    <w:p w14:paraId="6C822EAA" w14:textId="77777777" w:rsidR="00307082" w:rsidRPr="00040AB6" w:rsidRDefault="00307082" w:rsidP="00307082">
      <w:pPr>
        <w:ind w:left="720"/>
        <w:rPr>
          <w:rFonts w:asciiTheme="minorHAnsi" w:hAnsiTheme="minorHAnsi"/>
          <w:szCs w:val="24"/>
          <w:u w:val="single"/>
        </w:rPr>
      </w:pPr>
      <w:r w:rsidRPr="00040AB6">
        <w:rPr>
          <w:rFonts w:asciiTheme="minorHAnsi" w:hAnsiTheme="minorHAnsi"/>
          <w:szCs w:val="24"/>
          <w:u w:val="single"/>
        </w:rPr>
        <w:lastRenderedPageBreak/>
        <w:t>Actual Costs</w:t>
      </w:r>
    </w:p>
    <w:p w14:paraId="59453308" w14:textId="77777777" w:rsidR="00307082" w:rsidRPr="00040AB6" w:rsidRDefault="00307082" w:rsidP="00307082">
      <w:pPr>
        <w:ind w:left="720"/>
        <w:rPr>
          <w:rFonts w:asciiTheme="minorHAnsi" w:hAnsiTheme="minorHAnsi"/>
          <w:szCs w:val="24"/>
        </w:rPr>
      </w:pPr>
      <w:r w:rsidRPr="00040AB6">
        <w:rPr>
          <w:rFonts w:asciiTheme="minorHAnsi" w:hAnsiTheme="minorHAnsi"/>
          <w:szCs w:val="24"/>
        </w:rPr>
        <w:t xml:space="preserve">Each year, the Company will file its annual report by April 25 which will detail costs and acquisitions for the previous program year.  This filing will trigger the EEAG’s review of general energy efficiency and WA-LIEE program costs.  </w:t>
      </w:r>
    </w:p>
    <w:p w14:paraId="4EC39CBC" w14:textId="77777777" w:rsidR="00307082" w:rsidRPr="00040AB6" w:rsidRDefault="00307082" w:rsidP="00307082">
      <w:pPr>
        <w:ind w:left="720"/>
        <w:rPr>
          <w:rFonts w:asciiTheme="minorHAnsi" w:hAnsiTheme="minorHAnsi"/>
          <w:szCs w:val="24"/>
        </w:rPr>
      </w:pPr>
    </w:p>
    <w:p w14:paraId="4160C88A" w14:textId="77777777" w:rsidR="00307082" w:rsidRPr="00040AB6" w:rsidRDefault="00307082" w:rsidP="00307082">
      <w:pPr>
        <w:pStyle w:val="ListParagraph"/>
        <w:numPr>
          <w:ilvl w:val="0"/>
          <w:numId w:val="10"/>
        </w:numPr>
        <w:tabs>
          <w:tab w:val="left" w:pos="720"/>
        </w:tabs>
        <w:ind w:hanging="1080"/>
        <w:rPr>
          <w:rFonts w:asciiTheme="minorHAnsi" w:hAnsiTheme="minorHAnsi"/>
          <w:sz w:val="32"/>
          <w:szCs w:val="32"/>
        </w:rPr>
      </w:pPr>
      <w:r w:rsidRPr="00040AB6">
        <w:rPr>
          <w:rFonts w:asciiTheme="minorHAnsi" w:hAnsiTheme="minorHAnsi"/>
          <w:sz w:val="32"/>
          <w:szCs w:val="32"/>
        </w:rPr>
        <w:t>Cost Recovery</w:t>
      </w:r>
    </w:p>
    <w:p w14:paraId="38FA33B8"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Energy Efficiency and WA-LIEE program costs are deferred and later amortized for recovery from applicable customers on an equal cents per margin basis as established annually in the temporary rate adjustments, Schedules 215 and 230, respectively.  Beginning in 2012, the Company will annually submit a stand-alone filing concurrently with its PGA filing, for cost recovery of its energy efficiency program expenses for the prior calendar year.  That annual filing will include the following information:</w:t>
      </w:r>
    </w:p>
    <w:p w14:paraId="719EEEA9" w14:textId="77777777" w:rsidR="00307082" w:rsidRPr="00040AB6" w:rsidRDefault="00307082" w:rsidP="00307082">
      <w:pPr>
        <w:pStyle w:val="ListParagraph"/>
        <w:rPr>
          <w:rFonts w:asciiTheme="minorHAnsi" w:hAnsiTheme="minorHAnsi"/>
          <w:szCs w:val="24"/>
        </w:rPr>
      </w:pPr>
    </w:p>
    <w:p w14:paraId="7936BAE8" w14:textId="77777777" w:rsidR="00307082" w:rsidRPr="00040AB6" w:rsidRDefault="00307082" w:rsidP="00307082">
      <w:pPr>
        <w:pStyle w:val="ListParagraph"/>
        <w:numPr>
          <w:ilvl w:val="0"/>
          <w:numId w:val="9"/>
        </w:numPr>
        <w:ind w:left="1440"/>
        <w:contextualSpacing w:val="0"/>
        <w:rPr>
          <w:rFonts w:asciiTheme="minorHAnsi" w:hAnsiTheme="minorHAnsi"/>
          <w:szCs w:val="24"/>
        </w:rPr>
      </w:pPr>
      <w:r w:rsidRPr="00040AB6">
        <w:rPr>
          <w:rFonts w:asciiTheme="minorHAnsi" w:hAnsiTheme="minorHAnsi"/>
          <w:szCs w:val="24"/>
        </w:rPr>
        <w:t>Background on the Company’s energy efficiency programs and cost recovery</w:t>
      </w:r>
    </w:p>
    <w:p w14:paraId="43AD5DAD" w14:textId="77777777" w:rsidR="00307082" w:rsidRPr="00040AB6" w:rsidRDefault="00307082" w:rsidP="00307082">
      <w:pPr>
        <w:pStyle w:val="ListParagraph"/>
        <w:numPr>
          <w:ilvl w:val="0"/>
          <w:numId w:val="9"/>
        </w:numPr>
        <w:ind w:left="1440"/>
        <w:contextualSpacing w:val="0"/>
        <w:rPr>
          <w:rFonts w:asciiTheme="minorHAnsi" w:hAnsiTheme="minorHAnsi"/>
          <w:szCs w:val="24"/>
        </w:rPr>
      </w:pPr>
      <w:r w:rsidRPr="00040AB6">
        <w:rPr>
          <w:rFonts w:asciiTheme="minorHAnsi" w:hAnsiTheme="minorHAnsi"/>
          <w:szCs w:val="24"/>
        </w:rPr>
        <w:t>A copy of the prior program year’s Annual Report which will include detail on the achievement of performance metrics; the forecasted budget for that year and actual expenditures</w:t>
      </w:r>
    </w:p>
    <w:p w14:paraId="6CEF9860" w14:textId="77777777" w:rsidR="00307082" w:rsidRPr="00040AB6" w:rsidRDefault="00307082" w:rsidP="00307082">
      <w:pPr>
        <w:pStyle w:val="ListParagraph"/>
        <w:numPr>
          <w:ilvl w:val="0"/>
          <w:numId w:val="9"/>
        </w:numPr>
        <w:ind w:left="1440"/>
        <w:contextualSpacing w:val="0"/>
        <w:rPr>
          <w:rFonts w:asciiTheme="minorHAnsi" w:hAnsiTheme="minorHAnsi"/>
          <w:szCs w:val="24"/>
        </w:rPr>
      </w:pPr>
      <w:r w:rsidRPr="00040AB6">
        <w:rPr>
          <w:rFonts w:asciiTheme="minorHAnsi" w:hAnsiTheme="minorHAnsi"/>
          <w:szCs w:val="24"/>
        </w:rPr>
        <w:t>The total dollar amount the Company is seeking to recover</w:t>
      </w:r>
    </w:p>
    <w:p w14:paraId="3EB5959C" w14:textId="77777777" w:rsidR="00307082" w:rsidRPr="00040AB6" w:rsidRDefault="00307082" w:rsidP="00307082">
      <w:pPr>
        <w:pStyle w:val="NormalWeb"/>
        <w:numPr>
          <w:ilvl w:val="0"/>
          <w:numId w:val="9"/>
        </w:numPr>
        <w:ind w:left="1440"/>
        <w:rPr>
          <w:rFonts w:asciiTheme="minorHAnsi" w:hAnsiTheme="minorHAnsi" w:cs="Calibri"/>
        </w:rPr>
      </w:pPr>
      <w:r w:rsidRPr="00040AB6">
        <w:rPr>
          <w:rFonts w:asciiTheme="minorHAnsi" w:hAnsiTheme="minorHAnsi" w:cs="Calibri"/>
        </w:rPr>
        <w:t>The total incremental dollar impact that the proposed rate change will have on average residential and commercial customer monthly bills.</w:t>
      </w:r>
      <w:r w:rsidRPr="00040AB6">
        <w:rPr>
          <w:rFonts w:asciiTheme="minorHAnsi" w:hAnsiTheme="minorHAnsi"/>
        </w:rPr>
        <w:t xml:space="preserve"> </w:t>
      </w:r>
    </w:p>
    <w:p w14:paraId="57394961" w14:textId="77777777" w:rsidR="00307082" w:rsidRPr="00040AB6" w:rsidRDefault="00307082" w:rsidP="00307082">
      <w:pPr>
        <w:pStyle w:val="ListParagraph"/>
        <w:numPr>
          <w:ilvl w:val="0"/>
          <w:numId w:val="9"/>
        </w:numPr>
        <w:ind w:left="1440"/>
        <w:contextualSpacing w:val="0"/>
        <w:rPr>
          <w:rFonts w:asciiTheme="minorHAnsi" w:hAnsiTheme="minorHAnsi"/>
          <w:szCs w:val="24"/>
        </w:rPr>
      </w:pPr>
      <w:r w:rsidRPr="00040AB6">
        <w:rPr>
          <w:rFonts w:asciiTheme="minorHAnsi" w:hAnsiTheme="minorHAnsi"/>
          <w:szCs w:val="24"/>
        </w:rPr>
        <w:t>Total average monthly bill of proposed rate for applicable customers.</w:t>
      </w:r>
    </w:p>
    <w:p w14:paraId="4BC0E18F" w14:textId="77777777" w:rsidR="00307082" w:rsidRPr="00040AB6" w:rsidRDefault="00307082" w:rsidP="00307082">
      <w:pPr>
        <w:pStyle w:val="ListParagraph"/>
        <w:numPr>
          <w:ilvl w:val="0"/>
          <w:numId w:val="9"/>
        </w:numPr>
        <w:ind w:left="1440"/>
        <w:contextualSpacing w:val="0"/>
        <w:rPr>
          <w:rFonts w:asciiTheme="minorHAnsi" w:hAnsiTheme="minorHAnsi"/>
          <w:szCs w:val="24"/>
        </w:rPr>
      </w:pPr>
      <w:r w:rsidRPr="00040AB6">
        <w:rPr>
          <w:rFonts w:asciiTheme="minorHAnsi" w:hAnsiTheme="minorHAnsi"/>
          <w:szCs w:val="24"/>
        </w:rPr>
        <w:t xml:space="preserve">Work papers demonstrating the analysis behind the collection rate. </w:t>
      </w:r>
    </w:p>
    <w:p w14:paraId="419A0430" w14:textId="77777777" w:rsidR="00307082" w:rsidRPr="00040AB6" w:rsidRDefault="00307082" w:rsidP="00307082">
      <w:pPr>
        <w:ind w:left="720"/>
        <w:rPr>
          <w:rFonts w:asciiTheme="minorHAnsi" w:hAnsiTheme="minorHAnsi"/>
          <w:szCs w:val="24"/>
        </w:rPr>
      </w:pPr>
    </w:p>
    <w:p w14:paraId="4C9F8C17" w14:textId="77777777" w:rsidR="00307082" w:rsidRPr="00040AB6" w:rsidRDefault="00307082" w:rsidP="00307082">
      <w:pPr>
        <w:ind w:left="720"/>
        <w:rPr>
          <w:rFonts w:asciiTheme="minorHAnsi" w:hAnsiTheme="minorHAnsi"/>
        </w:rPr>
      </w:pPr>
      <w:r w:rsidRPr="00040AB6">
        <w:rPr>
          <w:rFonts w:asciiTheme="minorHAnsi" w:hAnsiTheme="minorHAnsi"/>
          <w:szCs w:val="24"/>
        </w:rPr>
        <w:t xml:space="preserve">The Company also includes a message on applicable Customers’ monthly bills stating how much of their current monthly bill represents costs collected to pay for the residential and commercial energy efficiency programs.  </w:t>
      </w:r>
    </w:p>
    <w:p w14:paraId="1FCE225A" w14:textId="77777777" w:rsidR="00307082" w:rsidRPr="00040AB6" w:rsidRDefault="00307082" w:rsidP="00307082">
      <w:pPr>
        <w:ind w:left="720"/>
        <w:rPr>
          <w:rFonts w:asciiTheme="minorHAnsi" w:hAnsiTheme="minorHAnsi"/>
          <w:szCs w:val="24"/>
        </w:rPr>
      </w:pPr>
    </w:p>
    <w:p w14:paraId="4208A1EC"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t>2015 Performance Metrics</w:t>
      </w:r>
    </w:p>
    <w:p w14:paraId="6038C2A9" w14:textId="77777777" w:rsidR="00307082" w:rsidRPr="00040AB6" w:rsidRDefault="00307082" w:rsidP="00307082">
      <w:pPr>
        <w:ind w:left="720"/>
        <w:rPr>
          <w:rFonts w:asciiTheme="minorHAnsi" w:hAnsiTheme="minorHAnsi" w:cs="Calibri"/>
          <w:szCs w:val="24"/>
        </w:rPr>
      </w:pPr>
      <w:r w:rsidRPr="00040AB6">
        <w:rPr>
          <w:rFonts w:asciiTheme="minorHAnsi" w:hAnsiTheme="minorHAnsi" w:cs="Calibri"/>
          <w:szCs w:val="24"/>
        </w:rPr>
        <w:t>Below are the 2015 program metrics.  Each metric is followed by a statement explaining how it was determined.</w:t>
      </w:r>
    </w:p>
    <w:p w14:paraId="7C90A4C2" w14:textId="77777777" w:rsidR="00307082" w:rsidRPr="00040AB6" w:rsidRDefault="00307082" w:rsidP="00307082">
      <w:pPr>
        <w:numPr>
          <w:ilvl w:val="0"/>
          <w:numId w:val="5"/>
        </w:numPr>
        <w:rPr>
          <w:rFonts w:asciiTheme="minorHAnsi" w:hAnsiTheme="minorHAnsi" w:cs="Calibri"/>
          <w:szCs w:val="24"/>
        </w:rPr>
      </w:pPr>
      <w:bookmarkStart w:id="4" w:name="OLE_LINK37"/>
      <w:bookmarkStart w:id="5" w:name="OLE_LINK38"/>
      <w:r w:rsidRPr="00040AB6">
        <w:rPr>
          <w:rFonts w:asciiTheme="minorHAnsi" w:hAnsiTheme="minorHAnsi" w:cs="Calibri"/>
          <w:szCs w:val="24"/>
        </w:rPr>
        <w:t xml:space="preserve">Total residential and commercial program costs, including NEEA gas efficiency market transformation, will be between $1,342,559 and $1,570,292  </w:t>
      </w:r>
    </w:p>
    <w:p w14:paraId="540D9EBC" w14:textId="77777777" w:rsidR="00307082" w:rsidRPr="00040AB6" w:rsidRDefault="00307082" w:rsidP="00307082">
      <w:pPr>
        <w:ind w:left="1440"/>
        <w:rPr>
          <w:rFonts w:asciiTheme="minorHAnsi" w:hAnsiTheme="minorHAnsi" w:cs="Calibri"/>
          <w:szCs w:val="24"/>
        </w:rPr>
      </w:pPr>
    </w:p>
    <w:p w14:paraId="298F80AB" w14:textId="77777777" w:rsidR="00307082" w:rsidRPr="00040AB6" w:rsidRDefault="00307082" w:rsidP="00307082">
      <w:pPr>
        <w:ind w:left="720"/>
        <w:rPr>
          <w:rFonts w:asciiTheme="minorHAnsi" w:hAnsiTheme="minorHAnsi" w:cs="Calibri"/>
          <w:i/>
          <w:szCs w:val="24"/>
        </w:rPr>
      </w:pPr>
      <w:r w:rsidRPr="00040AB6">
        <w:rPr>
          <w:rFonts w:asciiTheme="minorHAnsi" w:hAnsiTheme="minorHAnsi" w:cs="Calibri"/>
          <w:i/>
          <w:szCs w:val="24"/>
        </w:rPr>
        <w:t>The total costs for this metric correlate to the range of costs estimated to achieve all cost effective therms for the programs being offered as determined in the Company’s 2014 Integrated Resource Plan (“IRP”).</w:t>
      </w:r>
    </w:p>
    <w:p w14:paraId="0147E8F5" w14:textId="77777777" w:rsidR="00307082" w:rsidRPr="00040AB6" w:rsidRDefault="00307082" w:rsidP="00307082">
      <w:pPr>
        <w:rPr>
          <w:rFonts w:asciiTheme="minorHAnsi" w:hAnsiTheme="minorHAnsi" w:cs="Calibri"/>
          <w:szCs w:val="24"/>
        </w:rPr>
      </w:pPr>
    </w:p>
    <w:p w14:paraId="3EC0A165" w14:textId="5C56B7AB" w:rsidR="007D1BDD" w:rsidRDefault="00307082" w:rsidP="00307082">
      <w:pPr>
        <w:numPr>
          <w:ilvl w:val="0"/>
          <w:numId w:val="5"/>
        </w:numPr>
        <w:rPr>
          <w:rFonts w:asciiTheme="minorHAnsi" w:hAnsiTheme="minorHAnsi" w:cs="Calibri"/>
          <w:szCs w:val="24"/>
        </w:rPr>
      </w:pPr>
      <w:r w:rsidRPr="00040AB6">
        <w:rPr>
          <w:rFonts w:asciiTheme="minorHAnsi" w:hAnsiTheme="minorHAnsi" w:cs="Calibri"/>
          <w:szCs w:val="24"/>
        </w:rPr>
        <w:t>Therms saved for the residential and commercial program will be between 220,991 and 259,895. Including WALIEE, therm savings targets for the total portfolio will be between 223,021 and 262,427.</w:t>
      </w:r>
    </w:p>
    <w:p w14:paraId="05D0F69D" w14:textId="77777777" w:rsidR="007D1BDD" w:rsidRDefault="007D1BDD">
      <w:pPr>
        <w:rPr>
          <w:rFonts w:asciiTheme="minorHAnsi" w:hAnsiTheme="minorHAnsi" w:cs="Calibri"/>
          <w:szCs w:val="24"/>
        </w:rPr>
      </w:pPr>
      <w:r>
        <w:rPr>
          <w:rFonts w:asciiTheme="minorHAnsi" w:hAnsiTheme="minorHAnsi" w:cs="Calibri"/>
          <w:szCs w:val="24"/>
        </w:rPr>
        <w:br w:type="page"/>
      </w:r>
    </w:p>
    <w:p w14:paraId="38F43AD7" w14:textId="77777777" w:rsidR="00307082" w:rsidRPr="00040AB6" w:rsidRDefault="00307082" w:rsidP="00307082">
      <w:pPr>
        <w:ind w:left="720"/>
        <w:rPr>
          <w:rFonts w:asciiTheme="minorHAnsi" w:hAnsiTheme="minorHAnsi" w:cs="Calibri"/>
          <w:i/>
          <w:szCs w:val="24"/>
        </w:rPr>
      </w:pPr>
      <w:r w:rsidRPr="00040AB6">
        <w:rPr>
          <w:rFonts w:asciiTheme="minorHAnsi" w:hAnsiTheme="minorHAnsi" w:cs="Calibri"/>
          <w:i/>
          <w:szCs w:val="24"/>
        </w:rPr>
        <w:lastRenderedPageBreak/>
        <w:t xml:space="preserve">The program’s primary goal is to meet system demand with the least cost conservation as required per WAC 480-90-238(1).  The therm savings target is aligned with the demand-side management targets for the programs offered as identified in the Company’s 2014 Modified IRP.  </w:t>
      </w:r>
    </w:p>
    <w:p w14:paraId="0C822DFD" w14:textId="77777777" w:rsidR="00307082" w:rsidRPr="00040AB6" w:rsidRDefault="00307082" w:rsidP="00307082">
      <w:pPr>
        <w:rPr>
          <w:rFonts w:asciiTheme="minorHAnsi" w:hAnsiTheme="minorHAnsi" w:cs="Calibri"/>
          <w:szCs w:val="24"/>
        </w:rPr>
      </w:pPr>
    </w:p>
    <w:p w14:paraId="792AFB41" w14:textId="77777777" w:rsidR="00307082" w:rsidRPr="00040AB6" w:rsidRDefault="00307082" w:rsidP="00307082">
      <w:pPr>
        <w:numPr>
          <w:ilvl w:val="0"/>
          <w:numId w:val="5"/>
        </w:numPr>
        <w:ind w:left="1440"/>
        <w:rPr>
          <w:rFonts w:asciiTheme="minorHAnsi" w:hAnsiTheme="minorHAnsi" w:cs="Calibri"/>
          <w:szCs w:val="24"/>
        </w:rPr>
      </w:pPr>
      <w:r w:rsidRPr="00040AB6">
        <w:rPr>
          <w:rFonts w:asciiTheme="minorHAnsi" w:hAnsiTheme="minorHAnsi" w:cs="Calibri"/>
          <w:szCs w:val="24"/>
        </w:rPr>
        <w:t>Average levelized cost for the portfolio of measures will not exceed $0.65 per therm</w:t>
      </w:r>
    </w:p>
    <w:p w14:paraId="00F5DD3C" w14:textId="77777777" w:rsidR="00307082" w:rsidRPr="00040AB6" w:rsidRDefault="00307082" w:rsidP="00307082">
      <w:pPr>
        <w:ind w:left="1440"/>
        <w:rPr>
          <w:rFonts w:asciiTheme="minorHAnsi" w:hAnsiTheme="minorHAnsi" w:cs="Calibri"/>
          <w:szCs w:val="24"/>
        </w:rPr>
      </w:pPr>
    </w:p>
    <w:p w14:paraId="7334FA92" w14:textId="77777777" w:rsidR="00307082" w:rsidRPr="00040AB6" w:rsidRDefault="00307082" w:rsidP="00307082">
      <w:pPr>
        <w:ind w:left="720"/>
        <w:rPr>
          <w:rFonts w:asciiTheme="minorHAnsi" w:hAnsiTheme="minorHAnsi" w:cs="Calibri"/>
          <w:i/>
          <w:szCs w:val="24"/>
        </w:rPr>
      </w:pPr>
      <w:r w:rsidRPr="00040AB6">
        <w:rPr>
          <w:rFonts w:asciiTheme="minorHAnsi" w:hAnsiTheme="minorHAnsi" w:cs="Calibri"/>
          <w:i/>
          <w:szCs w:val="24"/>
        </w:rPr>
        <w:t xml:space="preserve">This metric is unchanged from last year.  The profile of NW Natural Washington service territory makes it harder to reduce the averaged levelized cost per therm than it would be in an area with more industrial customers since therm savings are acquired more cost effectively for bigger customers than for residential customers.  </w:t>
      </w:r>
    </w:p>
    <w:p w14:paraId="527DA096" w14:textId="77777777" w:rsidR="00307082" w:rsidRPr="00040AB6" w:rsidRDefault="00307082" w:rsidP="00307082">
      <w:pPr>
        <w:rPr>
          <w:rFonts w:asciiTheme="minorHAnsi" w:hAnsiTheme="minorHAnsi" w:cs="Calibri"/>
          <w:szCs w:val="24"/>
        </w:rPr>
      </w:pPr>
    </w:p>
    <w:p w14:paraId="38866EF0" w14:textId="77777777" w:rsidR="00307082" w:rsidRPr="00040AB6" w:rsidRDefault="00307082" w:rsidP="00307082">
      <w:pPr>
        <w:numPr>
          <w:ilvl w:val="0"/>
          <w:numId w:val="5"/>
        </w:numPr>
        <w:ind w:left="1440"/>
        <w:rPr>
          <w:rFonts w:asciiTheme="minorHAnsi" w:hAnsiTheme="minorHAnsi" w:cs="Calibri"/>
          <w:szCs w:val="24"/>
        </w:rPr>
      </w:pPr>
      <w:r w:rsidRPr="00040AB6">
        <w:rPr>
          <w:rFonts w:asciiTheme="minorHAnsi" w:hAnsiTheme="minorHAnsi" w:cs="Calibri"/>
          <w:szCs w:val="24"/>
        </w:rPr>
        <w:t xml:space="preserve">First-year therms will cost less than $6.50 per therm </w:t>
      </w:r>
    </w:p>
    <w:p w14:paraId="185ABBDD" w14:textId="77777777" w:rsidR="00307082" w:rsidRPr="00040AB6" w:rsidRDefault="00307082" w:rsidP="00307082">
      <w:pPr>
        <w:ind w:left="1440"/>
        <w:rPr>
          <w:rFonts w:asciiTheme="minorHAnsi" w:hAnsiTheme="minorHAnsi" w:cs="Calibri"/>
          <w:szCs w:val="24"/>
        </w:rPr>
      </w:pPr>
    </w:p>
    <w:p w14:paraId="6BE5DC7B" w14:textId="77777777" w:rsidR="00307082" w:rsidRPr="00040AB6" w:rsidRDefault="00307082" w:rsidP="00307082">
      <w:pPr>
        <w:tabs>
          <w:tab w:val="left" w:pos="720"/>
        </w:tabs>
        <w:ind w:left="720"/>
        <w:rPr>
          <w:rFonts w:asciiTheme="minorHAnsi" w:hAnsiTheme="minorHAnsi" w:cs="Calibri"/>
          <w:szCs w:val="24"/>
        </w:rPr>
      </w:pPr>
      <w:r w:rsidRPr="00040AB6">
        <w:rPr>
          <w:rFonts w:asciiTheme="minorHAnsi" w:hAnsiTheme="minorHAnsi" w:cs="Calibri"/>
          <w:i/>
          <w:szCs w:val="24"/>
        </w:rPr>
        <w:t>This metric remains unchanged from 2013and 2014.</w:t>
      </w:r>
      <w:r w:rsidRPr="00040AB6">
        <w:rPr>
          <w:rFonts w:asciiTheme="minorHAnsi" w:hAnsiTheme="minorHAnsi" w:cs="Calibri"/>
          <w:szCs w:val="24"/>
        </w:rPr>
        <w:t xml:space="preserve">  </w:t>
      </w:r>
    </w:p>
    <w:p w14:paraId="6C485AA9" w14:textId="77777777" w:rsidR="00307082" w:rsidRPr="00040AB6" w:rsidRDefault="00307082" w:rsidP="00307082">
      <w:pPr>
        <w:rPr>
          <w:rFonts w:asciiTheme="minorHAnsi" w:hAnsiTheme="minorHAnsi" w:cs="Calibri"/>
          <w:szCs w:val="24"/>
        </w:rPr>
      </w:pPr>
    </w:p>
    <w:p w14:paraId="2ECAE887" w14:textId="77777777" w:rsidR="00307082" w:rsidRPr="00040AB6" w:rsidRDefault="00307082" w:rsidP="00307082">
      <w:pPr>
        <w:numPr>
          <w:ilvl w:val="0"/>
          <w:numId w:val="5"/>
        </w:numPr>
        <w:ind w:left="1440"/>
        <w:rPr>
          <w:rFonts w:asciiTheme="minorHAnsi" w:hAnsiTheme="minorHAnsi" w:cs="Calibri"/>
          <w:szCs w:val="24"/>
        </w:rPr>
      </w:pPr>
      <w:r w:rsidRPr="00040AB6">
        <w:rPr>
          <w:rFonts w:asciiTheme="minorHAnsi" w:hAnsiTheme="minorHAnsi" w:cs="Calibri"/>
          <w:szCs w:val="24"/>
        </w:rPr>
        <w:t>The UCT at the portfolio level is greater than 1.0</w:t>
      </w:r>
    </w:p>
    <w:p w14:paraId="39474282" w14:textId="77777777" w:rsidR="00307082" w:rsidRPr="00040AB6" w:rsidRDefault="00307082" w:rsidP="00307082">
      <w:pPr>
        <w:ind w:left="1440"/>
        <w:rPr>
          <w:rFonts w:asciiTheme="minorHAnsi" w:hAnsiTheme="minorHAnsi" w:cs="Calibri"/>
          <w:szCs w:val="24"/>
        </w:rPr>
      </w:pPr>
    </w:p>
    <w:bookmarkEnd w:id="4"/>
    <w:bookmarkEnd w:id="5"/>
    <w:p w14:paraId="7DCF494B" w14:textId="77777777" w:rsidR="00307082" w:rsidRDefault="00307082" w:rsidP="00307082">
      <w:pPr>
        <w:ind w:left="720"/>
        <w:rPr>
          <w:rFonts w:asciiTheme="minorHAnsi" w:hAnsiTheme="minorHAnsi" w:cs="Calibri"/>
          <w:i/>
          <w:szCs w:val="24"/>
        </w:rPr>
      </w:pPr>
      <w:r w:rsidRPr="00040AB6">
        <w:rPr>
          <w:rFonts w:asciiTheme="minorHAnsi" w:hAnsiTheme="minorHAnsi" w:cs="Calibri"/>
          <w:i/>
          <w:szCs w:val="24"/>
        </w:rPr>
        <w:t xml:space="preserve">The UCT shall be calculated as prescribed in Schedule G.  A value greater than 1.0 demonstrates that the benefits received are greater than the costs.  This test is applied at the portfolio level.  </w:t>
      </w:r>
    </w:p>
    <w:p w14:paraId="24050BE5" w14:textId="77777777" w:rsidR="007D1BDD" w:rsidRPr="00040AB6" w:rsidRDefault="007D1BDD" w:rsidP="00307082">
      <w:pPr>
        <w:ind w:left="720"/>
        <w:rPr>
          <w:rFonts w:asciiTheme="minorHAnsi" w:hAnsiTheme="minorHAnsi" w:cs="Calibri"/>
          <w:i/>
          <w:szCs w:val="24"/>
        </w:rPr>
      </w:pPr>
    </w:p>
    <w:p w14:paraId="143BBACF" w14:textId="77777777" w:rsidR="00307082" w:rsidRDefault="00307082" w:rsidP="00307082">
      <w:pPr>
        <w:ind w:left="720"/>
        <w:rPr>
          <w:rFonts w:asciiTheme="minorHAnsi" w:hAnsiTheme="minorHAnsi" w:cs="Calibri"/>
          <w:szCs w:val="24"/>
          <w:u w:val="single"/>
        </w:rPr>
      </w:pPr>
      <w:bookmarkStart w:id="6" w:name="OLE_LINK19"/>
      <w:bookmarkStart w:id="7" w:name="OLE_LINK20"/>
      <w:r w:rsidRPr="00040AB6">
        <w:rPr>
          <w:rFonts w:asciiTheme="minorHAnsi" w:hAnsiTheme="minorHAnsi" w:cs="Calibri"/>
          <w:szCs w:val="24"/>
          <w:u w:val="single"/>
        </w:rPr>
        <w:t>Schedule I, Washington Low Income Energy Efficiency (WA-LIEE) 2015 Performance Targets</w:t>
      </w:r>
    </w:p>
    <w:p w14:paraId="70A622AF" w14:textId="77777777" w:rsidR="007D1BDD" w:rsidRPr="00040AB6" w:rsidRDefault="007D1BDD" w:rsidP="00307082">
      <w:pPr>
        <w:ind w:left="720"/>
        <w:rPr>
          <w:rFonts w:asciiTheme="minorHAnsi" w:hAnsiTheme="minorHAnsi" w:cs="Calibri"/>
          <w:szCs w:val="24"/>
          <w:u w:val="single"/>
        </w:rPr>
      </w:pPr>
    </w:p>
    <w:p w14:paraId="527A54B7" w14:textId="77777777" w:rsidR="00307082" w:rsidRDefault="00307082" w:rsidP="00307082">
      <w:pPr>
        <w:ind w:left="720"/>
        <w:rPr>
          <w:rFonts w:asciiTheme="minorHAnsi" w:hAnsiTheme="minorHAnsi" w:cs="Calibri"/>
          <w:i/>
          <w:szCs w:val="24"/>
        </w:rPr>
      </w:pPr>
      <w:r w:rsidRPr="00040AB6">
        <w:rPr>
          <w:rFonts w:asciiTheme="minorHAnsi" w:hAnsiTheme="minorHAnsi" w:cs="Calibri"/>
          <w:i/>
          <w:szCs w:val="24"/>
        </w:rPr>
        <w:t xml:space="preserve">In 2015, the WA-LIEE program will strive to weatherize 10-12 homes for a cost of $89,300 to $111,625. Assumptions are as provided below in Table II. </w:t>
      </w:r>
    </w:p>
    <w:p w14:paraId="308D9341" w14:textId="77777777" w:rsidR="007D1BDD" w:rsidRPr="00040AB6" w:rsidRDefault="007D1BDD" w:rsidP="00307082">
      <w:pPr>
        <w:ind w:left="720"/>
        <w:rPr>
          <w:rFonts w:asciiTheme="minorHAnsi" w:hAnsiTheme="minorHAnsi" w:cs="Calibri"/>
          <w:i/>
          <w:szCs w:val="24"/>
        </w:rPr>
      </w:pPr>
    </w:p>
    <w:p w14:paraId="3A10CF31" w14:textId="77777777" w:rsidR="00307082" w:rsidRPr="00040AB6" w:rsidRDefault="00307082" w:rsidP="00307082">
      <w:pPr>
        <w:rPr>
          <w:rFonts w:asciiTheme="minorHAnsi" w:hAnsiTheme="minorHAnsi" w:cs="Calibri"/>
          <w:b/>
        </w:rPr>
      </w:pPr>
      <w:r w:rsidRPr="00040AB6">
        <w:rPr>
          <w:rFonts w:asciiTheme="minorHAnsi" w:hAnsiTheme="minorHAnsi" w:cs="Calibri"/>
          <w:b/>
        </w:rPr>
        <w:t>Table II – WA-LIEE 2015 Performance Targets</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0"/>
        <w:gridCol w:w="2082"/>
      </w:tblGrid>
      <w:tr w:rsidR="00307082" w:rsidRPr="00040AB6" w14:paraId="06879C63" w14:textId="77777777" w:rsidTr="00307082">
        <w:trPr>
          <w:trHeight w:val="400"/>
        </w:trPr>
        <w:tc>
          <w:tcPr>
            <w:tcW w:w="4530" w:type="dxa"/>
            <w:vAlign w:val="center"/>
          </w:tcPr>
          <w:p w14:paraId="31E9550E" w14:textId="77777777" w:rsidR="00307082" w:rsidRPr="00040AB6" w:rsidRDefault="00307082" w:rsidP="00307082">
            <w:pPr>
              <w:rPr>
                <w:rFonts w:asciiTheme="minorHAnsi" w:hAnsiTheme="minorHAnsi" w:cs="Calibri"/>
              </w:rPr>
            </w:pPr>
            <w:r w:rsidRPr="00040AB6">
              <w:rPr>
                <w:rFonts w:asciiTheme="minorHAnsi" w:hAnsiTheme="minorHAnsi" w:cs="Calibri"/>
              </w:rPr>
              <w:t>Estimated homes served</w:t>
            </w:r>
          </w:p>
        </w:tc>
        <w:tc>
          <w:tcPr>
            <w:tcW w:w="2082" w:type="dxa"/>
            <w:vAlign w:val="center"/>
          </w:tcPr>
          <w:p w14:paraId="5F70D426" w14:textId="77777777" w:rsidR="00307082" w:rsidRPr="00040AB6" w:rsidRDefault="00307082" w:rsidP="00307082">
            <w:pPr>
              <w:jc w:val="center"/>
              <w:rPr>
                <w:rFonts w:asciiTheme="minorHAnsi" w:hAnsiTheme="minorHAnsi" w:cs="Calibri"/>
              </w:rPr>
            </w:pPr>
            <w:r w:rsidRPr="00040AB6">
              <w:rPr>
                <w:rFonts w:asciiTheme="minorHAnsi" w:hAnsiTheme="minorHAnsi" w:cs="Calibri"/>
              </w:rPr>
              <w:t>10-12</w:t>
            </w:r>
          </w:p>
        </w:tc>
      </w:tr>
      <w:tr w:rsidR="00307082" w:rsidRPr="00040AB6" w14:paraId="30B8344B" w14:textId="77777777" w:rsidTr="00307082">
        <w:trPr>
          <w:trHeight w:val="400"/>
        </w:trPr>
        <w:tc>
          <w:tcPr>
            <w:tcW w:w="4530" w:type="dxa"/>
            <w:vAlign w:val="center"/>
          </w:tcPr>
          <w:p w14:paraId="1B8728A1" w14:textId="77777777" w:rsidR="00307082" w:rsidRPr="00040AB6" w:rsidRDefault="00307082" w:rsidP="00307082">
            <w:pPr>
              <w:rPr>
                <w:rFonts w:asciiTheme="minorHAnsi" w:hAnsiTheme="minorHAnsi" w:cs="Calibri"/>
              </w:rPr>
            </w:pPr>
            <w:r w:rsidRPr="00040AB6">
              <w:rPr>
                <w:rFonts w:asciiTheme="minorHAnsi" w:hAnsiTheme="minorHAnsi" w:cs="Calibri"/>
              </w:rPr>
              <w:t>Estimated Average Cost of Incentives per home</w:t>
            </w:r>
          </w:p>
        </w:tc>
        <w:tc>
          <w:tcPr>
            <w:tcW w:w="2082" w:type="dxa"/>
            <w:vAlign w:val="center"/>
          </w:tcPr>
          <w:p w14:paraId="2B2E77D7" w14:textId="77777777" w:rsidR="00307082" w:rsidRPr="00040AB6" w:rsidRDefault="00307082" w:rsidP="00307082">
            <w:pPr>
              <w:jc w:val="center"/>
              <w:rPr>
                <w:rFonts w:asciiTheme="minorHAnsi" w:hAnsiTheme="minorHAnsi" w:cs="Calibri"/>
              </w:rPr>
            </w:pPr>
            <w:r w:rsidRPr="00040AB6">
              <w:rPr>
                <w:rFonts w:asciiTheme="minorHAnsi" w:hAnsiTheme="minorHAnsi" w:cs="Calibri"/>
              </w:rPr>
              <w:t>$3,500</w:t>
            </w:r>
          </w:p>
        </w:tc>
      </w:tr>
      <w:tr w:rsidR="00307082" w:rsidRPr="00040AB6" w14:paraId="4C46B99E" w14:textId="77777777" w:rsidTr="00307082">
        <w:trPr>
          <w:trHeight w:val="400"/>
        </w:trPr>
        <w:tc>
          <w:tcPr>
            <w:tcW w:w="4530" w:type="dxa"/>
            <w:vAlign w:val="center"/>
          </w:tcPr>
          <w:p w14:paraId="25BAFC23" w14:textId="77777777" w:rsidR="00307082" w:rsidRPr="00040AB6" w:rsidRDefault="00307082" w:rsidP="00307082">
            <w:pPr>
              <w:rPr>
                <w:rFonts w:asciiTheme="minorHAnsi" w:hAnsiTheme="minorHAnsi" w:cs="Calibri"/>
              </w:rPr>
            </w:pPr>
            <w:r w:rsidRPr="00040AB6">
              <w:rPr>
                <w:rFonts w:asciiTheme="minorHAnsi" w:hAnsiTheme="minorHAnsi" w:cs="Calibri"/>
              </w:rPr>
              <w:t>Maximum Cost per home ($3,500 incentives + $440 health, safety and repairs and $525 administration costs)</w:t>
            </w:r>
          </w:p>
        </w:tc>
        <w:tc>
          <w:tcPr>
            <w:tcW w:w="2082" w:type="dxa"/>
            <w:vAlign w:val="center"/>
          </w:tcPr>
          <w:p w14:paraId="11678ADB" w14:textId="77777777" w:rsidR="00307082" w:rsidRPr="00040AB6" w:rsidRDefault="00307082" w:rsidP="00307082">
            <w:pPr>
              <w:jc w:val="center"/>
              <w:rPr>
                <w:rFonts w:asciiTheme="minorHAnsi" w:hAnsiTheme="minorHAnsi" w:cs="Calibri"/>
              </w:rPr>
            </w:pPr>
            <w:r w:rsidRPr="00040AB6">
              <w:rPr>
                <w:rFonts w:asciiTheme="minorHAnsi" w:hAnsiTheme="minorHAnsi" w:cs="Calibri"/>
              </w:rPr>
              <w:t>$4,465</w:t>
            </w:r>
          </w:p>
        </w:tc>
      </w:tr>
      <w:tr w:rsidR="00307082" w:rsidRPr="00040AB6" w14:paraId="7CA7EF8E" w14:textId="77777777" w:rsidTr="00307082">
        <w:trPr>
          <w:trHeight w:val="400"/>
        </w:trPr>
        <w:tc>
          <w:tcPr>
            <w:tcW w:w="4530" w:type="dxa"/>
            <w:vAlign w:val="center"/>
          </w:tcPr>
          <w:p w14:paraId="504BB5DE" w14:textId="77777777" w:rsidR="00307082" w:rsidRPr="00040AB6" w:rsidRDefault="00307082" w:rsidP="00307082">
            <w:pPr>
              <w:rPr>
                <w:rFonts w:asciiTheme="minorHAnsi" w:hAnsiTheme="minorHAnsi" w:cs="Calibri"/>
              </w:rPr>
            </w:pPr>
            <w:r w:rsidRPr="00040AB6">
              <w:rPr>
                <w:rFonts w:asciiTheme="minorHAnsi" w:hAnsiTheme="minorHAnsi" w:cs="Calibri"/>
              </w:rPr>
              <w:t>Maximum cost based on estimated homes served</w:t>
            </w:r>
          </w:p>
        </w:tc>
        <w:tc>
          <w:tcPr>
            <w:tcW w:w="2082" w:type="dxa"/>
            <w:vAlign w:val="center"/>
          </w:tcPr>
          <w:p w14:paraId="038CECD4" w14:textId="77777777" w:rsidR="00307082" w:rsidRPr="00040AB6" w:rsidRDefault="00307082" w:rsidP="00307082">
            <w:pPr>
              <w:jc w:val="center"/>
              <w:rPr>
                <w:rFonts w:asciiTheme="minorHAnsi" w:hAnsiTheme="minorHAnsi"/>
                <w:color w:val="000000"/>
              </w:rPr>
            </w:pPr>
            <w:r w:rsidRPr="00040AB6">
              <w:rPr>
                <w:rFonts w:asciiTheme="minorHAnsi" w:hAnsiTheme="minorHAnsi" w:cs="Calibri"/>
              </w:rPr>
              <w:t>$44,650 to $53,580</w:t>
            </w:r>
          </w:p>
          <w:p w14:paraId="50663910" w14:textId="77777777" w:rsidR="00307082" w:rsidRPr="00040AB6" w:rsidRDefault="00307082" w:rsidP="00307082">
            <w:pPr>
              <w:jc w:val="center"/>
              <w:rPr>
                <w:rFonts w:asciiTheme="minorHAnsi" w:hAnsiTheme="minorHAnsi" w:cs="Calibri"/>
              </w:rPr>
            </w:pPr>
          </w:p>
        </w:tc>
      </w:tr>
      <w:tr w:rsidR="00307082" w:rsidRPr="00040AB6" w14:paraId="15F72D14" w14:textId="77777777" w:rsidTr="00307082">
        <w:trPr>
          <w:trHeight w:val="400"/>
        </w:trPr>
        <w:tc>
          <w:tcPr>
            <w:tcW w:w="4530" w:type="dxa"/>
            <w:vAlign w:val="center"/>
          </w:tcPr>
          <w:p w14:paraId="519E0522" w14:textId="77777777" w:rsidR="00307082" w:rsidRPr="00040AB6" w:rsidRDefault="00307082" w:rsidP="00307082">
            <w:pPr>
              <w:rPr>
                <w:rFonts w:asciiTheme="minorHAnsi" w:hAnsiTheme="minorHAnsi" w:cs="Calibri"/>
              </w:rPr>
            </w:pPr>
            <w:r w:rsidRPr="00040AB6">
              <w:rPr>
                <w:rFonts w:asciiTheme="minorHAnsi" w:hAnsiTheme="minorHAnsi" w:cs="Calibri"/>
              </w:rPr>
              <w:t>Estimated therms saved per home</w:t>
            </w:r>
          </w:p>
        </w:tc>
        <w:tc>
          <w:tcPr>
            <w:tcW w:w="2082" w:type="dxa"/>
            <w:vAlign w:val="center"/>
          </w:tcPr>
          <w:p w14:paraId="3637CE6E" w14:textId="77777777" w:rsidR="00307082" w:rsidRPr="00040AB6" w:rsidRDefault="00307082" w:rsidP="00307082">
            <w:pPr>
              <w:jc w:val="center"/>
              <w:rPr>
                <w:rFonts w:asciiTheme="minorHAnsi" w:hAnsiTheme="minorHAnsi" w:cs="Calibri"/>
              </w:rPr>
            </w:pPr>
            <w:r w:rsidRPr="00040AB6">
              <w:rPr>
                <w:rFonts w:asciiTheme="minorHAnsi" w:hAnsiTheme="minorHAnsi" w:cs="Calibri"/>
              </w:rPr>
              <w:t>211</w:t>
            </w:r>
          </w:p>
        </w:tc>
      </w:tr>
      <w:tr w:rsidR="00307082" w:rsidRPr="00040AB6" w14:paraId="4C41920D" w14:textId="77777777" w:rsidTr="00307082">
        <w:trPr>
          <w:trHeight w:val="400"/>
        </w:trPr>
        <w:tc>
          <w:tcPr>
            <w:tcW w:w="4530" w:type="dxa"/>
            <w:vAlign w:val="center"/>
          </w:tcPr>
          <w:p w14:paraId="468906F2" w14:textId="77777777" w:rsidR="00307082" w:rsidRPr="00040AB6" w:rsidRDefault="00307082" w:rsidP="00307082">
            <w:pPr>
              <w:rPr>
                <w:rFonts w:asciiTheme="minorHAnsi" w:hAnsiTheme="minorHAnsi" w:cs="Calibri"/>
              </w:rPr>
            </w:pPr>
            <w:r w:rsidRPr="00040AB6">
              <w:rPr>
                <w:rFonts w:asciiTheme="minorHAnsi" w:hAnsiTheme="minorHAnsi" w:cs="Calibri"/>
              </w:rPr>
              <w:t>Total estimated therms saved</w:t>
            </w:r>
          </w:p>
        </w:tc>
        <w:tc>
          <w:tcPr>
            <w:tcW w:w="2082" w:type="dxa"/>
            <w:vAlign w:val="center"/>
          </w:tcPr>
          <w:p w14:paraId="11DC51FA" w14:textId="77777777" w:rsidR="00307082" w:rsidRPr="00040AB6" w:rsidRDefault="00307082" w:rsidP="00307082">
            <w:pPr>
              <w:jc w:val="center"/>
              <w:rPr>
                <w:rFonts w:asciiTheme="minorHAnsi" w:hAnsiTheme="minorHAnsi" w:cs="Calibri"/>
              </w:rPr>
            </w:pPr>
            <w:r w:rsidRPr="00040AB6">
              <w:rPr>
                <w:rFonts w:asciiTheme="minorHAnsi" w:hAnsiTheme="minorHAnsi" w:cs="Calibri"/>
              </w:rPr>
              <w:t>2110 to 2532</w:t>
            </w:r>
          </w:p>
        </w:tc>
      </w:tr>
    </w:tbl>
    <w:p w14:paraId="0A8CD956" w14:textId="69F318DD" w:rsidR="007D1BDD" w:rsidRDefault="007D1BDD" w:rsidP="00307082">
      <w:pPr>
        <w:rPr>
          <w:rFonts w:asciiTheme="minorHAnsi" w:hAnsiTheme="minorHAnsi" w:cs="Arial"/>
          <w:szCs w:val="24"/>
        </w:rPr>
      </w:pPr>
    </w:p>
    <w:bookmarkEnd w:id="6"/>
    <w:bookmarkEnd w:id="7"/>
    <w:p w14:paraId="587A7F33"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lastRenderedPageBreak/>
        <w:t>2015 Budget and Funding Schedule</w:t>
      </w:r>
    </w:p>
    <w:p w14:paraId="6E6EA1E3"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Below is the 2015 budget for the residential and commercial energy efficiency programs, NEEA gas market transformation, and the WA-LIEE program.  </w:t>
      </w:r>
    </w:p>
    <w:p w14:paraId="254583EB" w14:textId="77777777" w:rsidR="00307082" w:rsidRPr="00040AB6" w:rsidRDefault="00307082" w:rsidP="00307082">
      <w:pPr>
        <w:pStyle w:val="ListParagraph"/>
        <w:rPr>
          <w:rFonts w:asciiTheme="minorHAnsi" w:hAnsiTheme="minorHAnsi"/>
          <w:szCs w:val="24"/>
        </w:rPr>
      </w:pPr>
    </w:p>
    <w:p w14:paraId="76E28AFC" w14:textId="77777777" w:rsidR="00307082" w:rsidRPr="00040AB6" w:rsidRDefault="00307082" w:rsidP="00307082">
      <w:pPr>
        <w:pStyle w:val="ListParagraph"/>
        <w:rPr>
          <w:rFonts w:asciiTheme="minorHAnsi" w:hAnsiTheme="minorHAnsi"/>
          <w:szCs w:val="24"/>
        </w:rPr>
      </w:pPr>
    </w:p>
    <w:tbl>
      <w:tblPr>
        <w:tblW w:w="5760" w:type="dxa"/>
        <w:tblInd w:w="828" w:type="dxa"/>
        <w:tblLook w:val="04A0" w:firstRow="1" w:lastRow="0" w:firstColumn="1" w:lastColumn="0" w:noHBand="0" w:noVBand="1"/>
      </w:tblPr>
      <w:tblGrid>
        <w:gridCol w:w="1960"/>
        <w:gridCol w:w="1420"/>
        <w:gridCol w:w="2380"/>
      </w:tblGrid>
      <w:tr w:rsidR="00307082" w:rsidRPr="00040AB6" w14:paraId="79C822BE" w14:textId="77777777" w:rsidTr="00307082">
        <w:trPr>
          <w:trHeight w:val="300"/>
        </w:trPr>
        <w:tc>
          <w:tcPr>
            <w:tcW w:w="1960" w:type="dxa"/>
            <w:tcBorders>
              <w:top w:val="single" w:sz="4" w:space="0" w:color="auto"/>
              <w:left w:val="single" w:sz="4" w:space="0" w:color="auto"/>
              <w:bottom w:val="nil"/>
              <w:right w:val="single" w:sz="4" w:space="0" w:color="auto"/>
            </w:tcBorders>
            <w:shd w:val="clear" w:color="auto" w:fill="auto"/>
            <w:vAlign w:val="bottom"/>
            <w:hideMark/>
          </w:tcPr>
          <w:p w14:paraId="6BFAE3B9"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Range</w:t>
            </w:r>
          </w:p>
        </w:tc>
        <w:tc>
          <w:tcPr>
            <w:tcW w:w="1420" w:type="dxa"/>
            <w:tcBorders>
              <w:top w:val="single" w:sz="4" w:space="0" w:color="auto"/>
              <w:left w:val="nil"/>
              <w:bottom w:val="nil"/>
              <w:right w:val="single" w:sz="4" w:space="0" w:color="auto"/>
            </w:tcBorders>
            <w:shd w:val="clear" w:color="auto" w:fill="auto"/>
            <w:vAlign w:val="bottom"/>
            <w:hideMark/>
          </w:tcPr>
          <w:p w14:paraId="12FF2BEB"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Low</w:t>
            </w:r>
          </w:p>
        </w:tc>
        <w:tc>
          <w:tcPr>
            <w:tcW w:w="2380" w:type="dxa"/>
            <w:tcBorders>
              <w:top w:val="single" w:sz="4" w:space="0" w:color="auto"/>
              <w:left w:val="nil"/>
              <w:bottom w:val="nil"/>
              <w:right w:val="single" w:sz="4" w:space="0" w:color="auto"/>
            </w:tcBorders>
            <w:shd w:val="clear" w:color="auto" w:fill="auto"/>
            <w:vAlign w:val="bottom"/>
            <w:hideMark/>
          </w:tcPr>
          <w:p w14:paraId="624485A6"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High</w:t>
            </w:r>
          </w:p>
        </w:tc>
      </w:tr>
      <w:tr w:rsidR="00307082" w:rsidRPr="00040AB6" w14:paraId="0E70B608" w14:textId="77777777" w:rsidTr="00307082">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0DE9D361"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Commercial</w:t>
            </w:r>
          </w:p>
        </w:tc>
        <w:tc>
          <w:tcPr>
            <w:tcW w:w="1420" w:type="dxa"/>
            <w:tcBorders>
              <w:top w:val="single" w:sz="4" w:space="0" w:color="auto"/>
              <w:left w:val="nil"/>
              <w:bottom w:val="single" w:sz="4" w:space="0" w:color="auto"/>
              <w:right w:val="nil"/>
            </w:tcBorders>
            <w:shd w:val="clear" w:color="auto" w:fill="auto"/>
            <w:vAlign w:val="bottom"/>
            <w:hideMark/>
          </w:tcPr>
          <w:p w14:paraId="5E5EE98F"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A32EB10"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r>
      <w:tr w:rsidR="00307082" w:rsidRPr="00040AB6" w14:paraId="21CDD15F" w14:textId="77777777" w:rsidTr="00307082">
        <w:trPr>
          <w:trHeight w:val="300"/>
        </w:trPr>
        <w:tc>
          <w:tcPr>
            <w:tcW w:w="1960" w:type="dxa"/>
            <w:tcBorders>
              <w:top w:val="nil"/>
              <w:left w:val="single" w:sz="4" w:space="0" w:color="auto"/>
              <w:bottom w:val="nil"/>
              <w:right w:val="single" w:sz="4" w:space="0" w:color="auto"/>
            </w:tcBorders>
            <w:shd w:val="clear" w:color="auto" w:fill="auto"/>
            <w:vAlign w:val="bottom"/>
            <w:hideMark/>
          </w:tcPr>
          <w:p w14:paraId="15041611"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nil"/>
              <w:right w:val="single" w:sz="4" w:space="0" w:color="auto"/>
            </w:tcBorders>
            <w:shd w:val="clear" w:color="auto" w:fill="auto"/>
            <w:vAlign w:val="bottom"/>
            <w:hideMark/>
          </w:tcPr>
          <w:p w14:paraId="58CF56C0"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$587,753</w:t>
            </w:r>
          </w:p>
        </w:tc>
        <w:tc>
          <w:tcPr>
            <w:tcW w:w="2380" w:type="dxa"/>
            <w:tcBorders>
              <w:top w:val="nil"/>
              <w:left w:val="nil"/>
              <w:bottom w:val="nil"/>
              <w:right w:val="single" w:sz="4" w:space="0" w:color="auto"/>
            </w:tcBorders>
            <w:shd w:val="clear" w:color="auto" w:fill="auto"/>
            <w:vAlign w:val="bottom"/>
            <w:hideMark/>
          </w:tcPr>
          <w:p w14:paraId="253FF605"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$691,474</w:t>
            </w:r>
          </w:p>
        </w:tc>
      </w:tr>
      <w:tr w:rsidR="00307082" w:rsidRPr="00040AB6" w14:paraId="6612314C" w14:textId="77777777" w:rsidTr="00307082">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6FE5DBC9"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Residential</w:t>
            </w:r>
          </w:p>
        </w:tc>
        <w:tc>
          <w:tcPr>
            <w:tcW w:w="1420" w:type="dxa"/>
            <w:tcBorders>
              <w:top w:val="single" w:sz="4" w:space="0" w:color="auto"/>
              <w:left w:val="nil"/>
              <w:bottom w:val="single" w:sz="4" w:space="0" w:color="auto"/>
              <w:right w:val="nil"/>
            </w:tcBorders>
            <w:shd w:val="clear" w:color="auto" w:fill="auto"/>
            <w:vAlign w:val="bottom"/>
            <w:hideMark/>
          </w:tcPr>
          <w:p w14:paraId="602DA9A6"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52D23A44"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r>
      <w:tr w:rsidR="00307082" w:rsidRPr="00040AB6" w14:paraId="49829264" w14:textId="77777777" w:rsidTr="00307082">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62FA0E58"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single" w:sz="4" w:space="0" w:color="auto"/>
              <w:right w:val="single" w:sz="4" w:space="0" w:color="auto"/>
            </w:tcBorders>
            <w:shd w:val="clear" w:color="auto" w:fill="auto"/>
            <w:vAlign w:val="bottom"/>
            <w:hideMark/>
          </w:tcPr>
          <w:p w14:paraId="2E0528BA"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$402,697</w:t>
            </w:r>
          </w:p>
        </w:tc>
        <w:tc>
          <w:tcPr>
            <w:tcW w:w="2380" w:type="dxa"/>
            <w:tcBorders>
              <w:top w:val="nil"/>
              <w:left w:val="nil"/>
              <w:bottom w:val="single" w:sz="4" w:space="0" w:color="auto"/>
              <w:right w:val="single" w:sz="4" w:space="0" w:color="auto"/>
            </w:tcBorders>
            <w:shd w:val="clear" w:color="auto" w:fill="auto"/>
            <w:vAlign w:val="bottom"/>
            <w:hideMark/>
          </w:tcPr>
          <w:p w14:paraId="16F82A7C"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$473,761</w:t>
            </w:r>
          </w:p>
        </w:tc>
      </w:tr>
      <w:tr w:rsidR="00307082" w:rsidRPr="00040AB6" w14:paraId="055BA5D8" w14:textId="77777777" w:rsidTr="00307082">
        <w:trPr>
          <w:trHeight w:val="300"/>
        </w:trPr>
        <w:tc>
          <w:tcPr>
            <w:tcW w:w="1960" w:type="dxa"/>
            <w:tcBorders>
              <w:top w:val="nil"/>
              <w:left w:val="single" w:sz="4" w:space="0" w:color="auto"/>
              <w:bottom w:val="nil"/>
              <w:right w:val="single" w:sz="4" w:space="0" w:color="auto"/>
            </w:tcBorders>
            <w:shd w:val="clear" w:color="auto" w:fill="auto"/>
            <w:vAlign w:val="bottom"/>
            <w:hideMark/>
          </w:tcPr>
          <w:p w14:paraId="3136DAC6"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New Homes</w:t>
            </w:r>
          </w:p>
        </w:tc>
        <w:tc>
          <w:tcPr>
            <w:tcW w:w="1420" w:type="dxa"/>
            <w:tcBorders>
              <w:top w:val="nil"/>
              <w:left w:val="nil"/>
              <w:bottom w:val="nil"/>
              <w:right w:val="single" w:sz="4" w:space="0" w:color="auto"/>
            </w:tcBorders>
            <w:shd w:val="clear" w:color="auto" w:fill="auto"/>
            <w:vAlign w:val="bottom"/>
            <w:hideMark/>
          </w:tcPr>
          <w:p w14:paraId="2073AC9B"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$300,035</w:t>
            </w:r>
          </w:p>
        </w:tc>
        <w:tc>
          <w:tcPr>
            <w:tcW w:w="2380" w:type="dxa"/>
            <w:tcBorders>
              <w:top w:val="nil"/>
              <w:left w:val="nil"/>
              <w:bottom w:val="nil"/>
              <w:right w:val="single" w:sz="4" w:space="0" w:color="auto"/>
            </w:tcBorders>
            <w:shd w:val="clear" w:color="auto" w:fill="auto"/>
            <w:vAlign w:val="bottom"/>
            <w:hideMark/>
          </w:tcPr>
          <w:p w14:paraId="10B18583"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$352,982</w:t>
            </w:r>
          </w:p>
        </w:tc>
      </w:tr>
      <w:tr w:rsidR="00307082" w:rsidRPr="00040AB6" w14:paraId="2EB53379" w14:textId="77777777" w:rsidTr="00307082">
        <w:trPr>
          <w:trHeight w:val="300"/>
        </w:trPr>
        <w:tc>
          <w:tcPr>
            <w:tcW w:w="1960" w:type="dxa"/>
            <w:tcBorders>
              <w:top w:val="single" w:sz="4" w:space="0" w:color="auto"/>
              <w:left w:val="single" w:sz="4" w:space="0" w:color="auto"/>
              <w:bottom w:val="nil"/>
              <w:right w:val="nil"/>
            </w:tcBorders>
            <w:shd w:val="clear" w:color="auto" w:fill="auto"/>
            <w:vAlign w:val="bottom"/>
            <w:hideMark/>
          </w:tcPr>
          <w:p w14:paraId="27F60C3D"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NEEA</w:t>
            </w:r>
          </w:p>
        </w:tc>
        <w:tc>
          <w:tcPr>
            <w:tcW w:w="1420" w:type="dxa"/>
            <w:tcBorders>
              <w:top w:val="single" w:sz="4" w:space="0" w:color="auto"/>
              <w:left w:val="nil"/>
              <w:bottom w:val="nil"/>
              <w:right w:val="nil"/>
            </w:tcBorders>
            <w:shd w:val="clear" w:color="auto" w:fill="auto"/>
            <w:vAlign w:val="bottom"/>
            <w:hideMark/>
          </w:tcPr>
          <w:p w14:paraId="25403F8D"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nil"/>
              <w:right w:val="single" w:sz="4" w:space="0" w:color="auto"/>
            </w:tcBorders>
            <w:shd w:val="clear" w:color="auto" w:fill="auto"/>
            <w:vAlign w:val="bottom"/>
            <w:hideMark/>
          </w:tcPr>
          <w:p w14:paraId="2CD2D153"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r>
      <w:tr w:rsidR="00307082" w:rsidRPr="00040AB6" w14:paraId="229EDBB9" w14:textId="77777777" w:rsidTr="00307082">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46605"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NEEA*</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0A4ACF72"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$52,075</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3050507"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$52,075</w:t>
            </w:r>
          </w:p>
        </w:tc>
      </w:tr>
      <w:tr w:rsidR="00307082" w:rsidRPr="00040AB6" w14:paraId="7FE552DA" w14:textId="77777777" w:rsidTr="00307082">
        <w:trPr>
          <w:trHeight w:val="330"/>
        </w:trPr>
        <w:tc>
          <w:tcPr>
            <w:tcW w:w="3380" w:type="dxa"/>
            <w:gridSpan w:val="2"/>
            <w:tcBorders>
              <w:top w:val="single" w:sz="4" w:space="0" w:color="auto"/>
              <w:left w:val="single" w:sz="4" w:space="0" w:color="auto"/>
              <w:bottom w:val="single" w:sz="4" w:space="0" w:color="auto"/>
              <w:right w:val="nil"/>
            </w:tcBorders>
            <w:shd w:val="clear" w:color="auto" w:fill="auto"/>
            <w:vAlign w:val="bottom"/>
            <w:hideMark/>
          </w:tcPr>
          <w:p w14:paraId="43601D8D" w14:textId="77777777" w:rsidR="00307082" w:rsidRPr="00040AB6" w:rsidRDefault="00307082" w:rsidP="00307082">
            <w:pPr>
              <w:rPr>
                <w:rFonts w:asciiTheme="minorHAnsi" w:hAnsiTheme="minorHAnsi"/>
                <w:b/>
                <w:bCs/>
                <w:color w:val="000000"/>
              </w:rPr>
            </w:pPr>
            <w:r w:rsidRPr="00040AB6">
              <w:rPr>
                <w:rFonts w:asciiTheme="minorHAnsi" w:hAnsiTheme="minorHAnsi"/>
                <w:b/>
                <w:bCs/>
                <w:color w:val="000000"/>
              </w:rPr>
              <w:t>Total For Schedule G Programs</w:t>
            </w:r>
          </w:p>
        </w:tc>
        <w:tc>
          <w:tcPr>
            <w:tcW w:w="2380" w:type="dxa"/>
            <w:tcBorders>
              <w:top w:val="nil"/>
              <w:left w:val="nil"/>
              <w:bottom w:val="nil"/>
              <w:right w:val="single" w:sz="4" w:space="0" w:color="auto"/>
            </w:tcBorders>
            <w:shd w:val="clear" w:color="auto" w:fill="auto"/>
            <w:vAlign w:val="bottom"/>
            <w:hideMark/>
          </w:tcPr>
          <w:p w14:paraId="595A7FCA"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 </w:t>
            </w:r>
          </w:p>
        </w:tc>
      </w:tr>
      <w:tr w:rsidR="00307082" w:rsidRPr="00040AB6" w14:paraId="433F1226" w14:textId="77777777" w:rsidTr="00307082">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BA879AC"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WALIEE</w:t>
            </w:r>
          </w:p>
        </w:tc>
        <w:tc>
          <w:tcPr>
            <w:tcW w:w="1420" w:type="dxa"/>
            <w:tcBorders>
              <w:top w:val="nil"/>
              <w:left w:val="nil"/>
              <w:bottom w:val="single" w:sz="4" w:space="0" w:color="auto"/>
              <w:right w:val="single" w:sz="4" w:space="0" w:color="auto"/>
            </w:tcBorders>
            <w:shd w:val="clear" w:color="auto" w:fill="auto"/>
            <w:noWrap/>
            <w:vAlign w:val="bottom"/>
            <w:hideMark/>
          </w:tcPr>
          <w:p w14:paraId="2950745B"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$44,650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0E8C9BBB"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$53,580</w:t>
            </w:r>
          </w:p>
        </w:tc>
      </w:tr>
      <w:tr w:rsidR="00307082" w:rsidRPr="00040AB6" w14:paraId="5A79C963" w14:textId="77777777" w:rsidTr="00307082">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65A82501" w14:textId="77777777" w:rsidR="00307082" w:rsidRPr="00040AB6" w:rsidRDefault="00307082" w:rsidP="00307082">
            <w:pPr>
              <w:rPr>
                <w:rFonts w:asciiTheme="minorHAnsi" w:hAnsiTheme="minorHAnsi"/>
                <w:color w:val="000000"/>
              </w:rPr>
            </w:pPr>
            <w:r w:rsidRPr="00040AB6">
              <w:rPr>
                <w:rFonts w:asciiTheme="minorHAnsi" w:hAnsiTheme="minorHAnsi"/>
                <w:color w:val="000000"/>
              </w:rPr>
              <w:t>Total</w:t>
            </w:r>
          </w:p>
        </w:tc>
        <w:tc>
          <w:tcPr>
            <w:tcW w:w="1420" w:type="dxa"/>
            <w:tcBorders>
              <w:top w:val="nil"/>
              <w:left w:val="nil"/>
              <w:bottom w:val="single" w:sz="8" w:space="0" w:color="auto"/>
              <w:right w:val="single" w:sz="4" w:space="0" w:color="auto"/>
            </w:tcBorders>
            <w:shd w:val="clear" w:color="auto" w:fill="auto"/>
            <w:noWrap/>
            <w:vAlign w:val="bottom"/>
            <w:hideMark/>
          </w:tcPr>
          <w:p w14:paraId="7EA07219"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 xml:space="preserve">$1,387,209 </w:t>
            </w:r>
          </w:p>
        </w:tc>
        <w:tc>
          <w:tcPr>
            <w:tcW w:w="2380" w:type="dxa"/>
            <w:tcBorders>
              <w:top w:val="nil"/>
              <w:left w:val="nil"/>
              <w:bottom w:val="single" w:sz="8" w:space="0" w:color="auto"/>
              <w:right w:val="single" w:sz="8" w:space="0" w:color="auto"/>
            </w:tcBorders>
            <w:shd w:val="clear" w:color="auto" w:fill="auto"/>
            <w:noWrap/>
            <w:vAlign w:val="bottom"/>
            <w:hideMark/>
          </w:tcPr>
          <w:p w14:paraId="6C462802" w14:textId="77777777" w:rsidR="00307082" w:rsidRPr="00040AB6" w:rsidRDefault="00307082" w:rsidP="00307082">
            <w:pPr>
              <w:jc w:val="right"/>
              <w:rPr>
                <w:rFonts w:asciiTheme="minorHAnsi" w:hAnsiTheme="minorHAnsi"/>
                <w:color w:val="000000"/>
              </w:rPr>
            </w:pPr>
            <w:r w:rsidRPr="00040AB6">
              <w:rPr>
                <w:rFonts w:asciiTheme="minorHAnsi" w:hAnsiTheme="minorHAnsi"/>
                <w:color w:val="000000"/>
              </w:rPr>
              <w:t xml:space="preserve">$1,623,872 </w:t>
            </w:r>
          </w:p>
        </w:tc>
      </w:tr>
    </w:tbl>
    <w:p w14:paraId="0D2FD421" w14:textId="77777777" w:rsidR="00307082" w:rsidRPr="00040AB6" w:rsidRDefault="00307082" w:rsidP="00307082">
      <w:pPr>
        <w:pStyle w:val="ListParagraph"/>
        <w:rPr>
          <w:rFonts w:asciiTheme="minorHAnsi" w:hAnsiTheme="minorHAnsi"/>
          <w:szCs w:val="24"/>
        </w:rPr>
      </w:pPr>
    </w:p>
    <w:p w14:paraId="7EE99E72" w14:textId="77777777" w:rsidR="00307082" w:rsidRPr="00040AB6" w:rsidRDefault="00307082" w:rsidP="00307082">
      <w:pPr>
        <w:pStyle w:val="ListParagraph"/>
        <w:rPr>
          <w:rFonts w:asciiTheme="minorHAnsi" w:hAnsiTheme="minorHAnsi"/>
          <w:szCs w:val="24"/>
        </w:rPr>
      </w:pPr>
      <w:r w:rsidRPr="00040AB6">
        <w:rPr>
          <w:rFonts w:asciiTheme="minorHAnsi" w:hAnsiTheme="minorHAnsi"/>
          <w:szCs w:val="24"/>
        </w:rPr>
        <w:t xml:space="preserve">Funding Schedule:  As of the November 2015, the Company and Energy Trust have not executed a contract to define the 2015 funding schedule but parties expect the funding schedule will mirror what was done in prior years, which was that 50% of budgeted need was provided to Energy Trust on March 1 and the remaining 50% was provided on October 1.  </w:t>
      </w:r>
    </w:p>
    <w:p w14:paraId="63707EE9" w14:textId="77777777" w:rsidR="00307082" w:rsidRPr="00040AB6" w:rsidRDefault="00307082">
      <w:pPr>
        <w:rPr>
          <w:rFonts w:asciiTheme="minorHAnsi" w:hAnsiTheme="minorHAnsi"/>
          <w:szCs w:val="24"/>
        </w:rPr>
      </w:pPr>
    </w:p>
    <w:p w14:paraId="6DC1A874" w14:textId="77777777" w:rsidR="00307082" w:rsidRPr="00040AB6" w:rsidRDefault="00307082" w:rsidP="00307082">
      <w:pPr>
        <w:pStyle w:val="ListParagraph"/>
        <w:numPr>
          <w:ilvl w:val="0"/>
          <w:numId w:val="10"/>
        </w:numPr>
        <w:ind w:left="720"/>
        <w:rPr>
          <w:rFonts w:asciiTheme="minorHAnsi" w:hAnsiTheme="minorHAnsi"/>
          <w:sz w:val="32"/>
          <w:szCs w:val="32"/>
        </w:rPr>
      </w:pPr>
      <w:r w:rsidRPr="00040AB6">
        <w:rPr>
          <w:rFonts w:asciiTheme="minorHAnsi" w:hAnsiTheme="minorHAnsi"/>
          <w:sz w:val="32"/>
          <w:szCs w:val="32"/>
        </w:rPr>
        <w:t>Gas Market Transformation, First Year Pilot</w:t>
      </w:r>
    </w:p>
    <w:p w14:paraId="396854FD" w14:textId="77777777" w:rsidR="00307082" w:rsidRPr="00040AB6" w:rsidRDefault="00307082" w:rsidP="00307082">
      <w:pPr>
        <w:rPr>
          <w:rFonts w:asciiTheme="minorHAnsi" w:hAnsiTheme="minorHAnsi"/>
        </w:rPr>
      </w:pPr>
      <w:r w:rsidRPr="00040AB6">
        <w:rPr>
          <w:rFonts w:asciiTheme="minorHAnsi" w:hAnsiTheme="minorHAnsi"/>
        </w:rPr>
        <w:t>NW Natural will participate in a regional gas market transformation initiative lead by the Northwest Energy Efficiency Alliance (NEEA). The Company views such activities as a necessary investment in the future of gas demand side management (DSM) as an enduring component of regional power planning.  NEEA’s primary work on behalf of the Pacific Northwest is focused on two strategic goals; 1) bring energy efficient emerging gas technologies to market, and 2) create the market conditions that will accelerate and sustain the market adoption of energy efficient gas emerging technologies. NEEA uses a stage-gate approach to managing its work. Below are the six phases that a technology would go through to fully achieve the two goals, and result in a sustained market change that provides gas savings.</w:t>
      </w:r>
    </w:p>
    <w:p w14:paraId="7291487F" w14:textId="77777777" w:rsidR="00307082" w:rsidRPr="00040AB6" w:rsidRDefault="00307082" w:rsidP="00307082">
      <w:pPr>
        <w:rPr>
          <w:rFonts w:asciiTheme="minorHAnsi" w:hAnsiTheme="minorHAnsi"/>
          <w:szCs w:val="24"/>
        </w:rPr>
      </w:pPr>
    </w:p>
    <w:p w14:paraId="4A972121" w14:textId="77777777" w:rsidR="00307082" w:rsidRPr="00040AB6" w:rsidRDefault="00307082">
      <w:pPr>
        <w:rPr>
          <w:rFonts w:asciiTheme="minorHAnsi" w:hAnsiTheme="minorHAnsi"/>
          <w:sz w:val="32"/>
          <w:szCs w:val="32"/>
        </w:rPr>
      </w:pPr>
      <w:r w:rsidRPr="00040AB6">
        <w:rPr>
          <w:rFonts w:asciiTheme="minorHAnsi" w:hAnsiTheme="minorHAnsi"/>
          <w:noProof/>
        </w:rPr>
        <w:drawing>
          <wp:inline distT="0" distB="0" distL="0" distR="0" wp14:anchorId="25D2DA76" wp14:editId="2513A6B4">
            <wp:extent cx="5943600" cy="1086234"/>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86234"/>
                    </a:xfrm>
                    <a:prstGeom prst="rect">
                      <a:avLst/>
                    </a:prstGeom>
                    <a:noFill/>
                    <a:ln w="6350">
                      <a:solidFill>
                        <a:schemeClr val="tx1"/>
                      </a:solidFill>
                    </a:ln>
                  </pic:spPr>
                </pic:pic>
              </a:graphicData>
            </a:graphic>
          </wp:inline>
        </w:drawing>
      </w:r>
    </w:p>
    <w:p w14:paraId="22DEC588" w14:textId="77777777" w:rsidR="00307082" w:rsidRPr="00040AB6" w:rsidRDefault="00307082" w:rsidP="00307082">
      <w:pPr>
        <w:rPr>
          <w:rFonts w:asciiTheme="minorHAnsi" w:hAnsiTheme="minorHAnsi"/>
        </w:rPr>
      </w:pPr>
    </w:p>
    <w:p w14:paraId="6E536511" w14:textId="77777777" w:rsidR="007D1BDD" w:rsidRDefault="007D1BDD">
      <w:pPr>
        <w:rPr>
          <w:rFonts w:asciiTheme="minorHAnsi" w:hAnsiTheme="minorHAnsi"/>
        </w:rPr>
      </w:pPr>
      <w:r>
        <w:rPr>
          <w:rFonts w:asciiTheme="minorHAnsi" w:hAnsiTheme="minorHAnsi"/>
        </w:rPr>
        <w:br w:type="page"/>
      </w:r>
    </w:p>
    <w:p w14:paraId="574CC460" w14:textId="1BA399E3" w:rsidR="00307082" w:rsidRDefault="00307082" w:rsidP="00307082">
      <w:pPr>
        <w:rPr>
          <w:rFonts w:asciiTheme="minorHAnsi" w:hAnsiTheme="minorHAnsi"/>
        </w:rPr>
      </w:pPr>
      <w:r w:rsidRPr="00040AB6">
        <w:rPr>
          <w:rFonts w:asciiTheme="minorHAnsi" w:hAnsiTheme="minorHAnsi"/>
        </w:rPr>
        <w:lastRenderedPageBreak/>
        <w:t xml:space="preserve">Prior to the market development phase, NEEA works on </w:t>
      </w:r>
    </w:p>
    <w:p w14:paraId="10592195" w14:textId="77777777" w:rsidR="007D1BDD" w:rsidRPr="00040AB6" w:rsidRDefault="007D1BDD" w:rsidP="00307082">
      <w:pPr>
        <w:rPr>
          <w:rFonts w:asciiTheme="minorHAnsi" w:hAnsiTheme="minorHAnsi"/>
        </w:rPr>
      </w:pPr>
    </w:p>
    <w:p w14:paraId="37168C23" w14:textId="77777777" w:rsidR="00307082" w:rsidRPr="00040AB6" w:rsidRDefault="00307082" w:rsidP="007D1BDD">
      <w:pPr>
        <w:pStyle w:val="ListParagraph"/>
        <w:numPr>
          <w:ilvl w:val="0"/>
          <w:numId w:val="14"/>
        </w:numPr>
        <w:spacing w:after="200" w:line="276" w:lineRule="auto"/>
        <w:ind w:right="-360"/>
        <w:rPr>
          <w:rFonts w:asciiTheme="minorHAnsi" w:hAnsiTheme="minorHAnsi"/>
          <w:b/>
          <w:i/>
        </w:rPr>
      </w:pPr>
      <w:r w:rsidRPr="00040AB6">
        <w:rPr>
          <w:rFonts w:asciiTheme="minorHAnsi" w:hAnsiTheme="minorHAnsi"/>
        </w:rPr>
        <w:t xml:space="preserve">Scanning for new technologies (shown in the graphic above as “scanning and concept identifications”), </w:t>
      </w:r>
    </w:p>
    <w:p w14:paraId="770AFED1" w14:textId="3A695411" w:rsidR="00307082" w:rsidRPr="00040AB6" w:rsidRDefault="00307082" w:rsidP="007D1BDD">
      <w:pPr>
        <w:pStyle w:val="ListParagraph"/>
        <w:numPr>
          <w:ilvl w:val="0"/>
          <w:numId w:val="14"/>
        </w:numPr>
        <w:spacing w:after="200" w:line="276" w:lineRule="auto"/>
        <w:ind w:right="-360"/>
        <w:rPr>
          <w:rFonts w:asciiTheme="minorHAnsi" w:hAnsiTheme="minorHAnsi"/>
          <w:b/>
          <w:i/>
        </w:rPr>
      </w:pPr>
      <w:r w:rsidRPr="00040AB6">
        <w:rPr>
          <w:rFonts w:asciiTheme="minorHAnsi" w:hAnsiTheme="minorHAnsi"/>
        </w:rPr>
        <w:t>Researching and assessing both the market and tech</w:t>
      </w:r>
      <w:r w:rsidR="007D1BDD">
        <w:rPr>
          <w:rFonts w:asciiTheme="minorHAnsi" w:hAnsiTheme="minorHAnsi"/>
        </w:rPr>
        <w:t xml:space="preserve">nology conditions and potential </w:t>
      </w:r>
      <w:r w:rsidRPr="00040AB6">
        <w:rPr>
          <w:rFonts w:asciiTheme="minorHAnsi" w:hAnsiTheme="minorHAnsi"/>
        </w:rPr>
        <w:t xml:space="preserve">(through the concept opportunity assessment and market and product assessment stages), </w:t>
      </w:r>
    </w:p>
    <w:p w14:paraId="7BDE8B89" w14:textId="77777777" w:rsidR="00307082" w:rsidRPr="00040AB6" w:rsidRDefault="00307082" w:rsidP="00307082">
      <w:pPr>
        <w:pStyle w:val="ListParagraph"/>
        <w:numPr>
          <w:ilvl w:val="0"/>
          <w:numId w:val="14"/>
        </w:numPr>
        <w:spacing w:after="200" w:line="276" w:lineRule="auto"/>
        <w:rPr>
          <w:rFonts w:asciiTheme="minorHAnsi" w:hAnsiTheme="minorHAnsi"/>
          <w:b/>
          <w:i/>
        </w:rPr>
      </w:pPr>
      <w:r w:rsidRPr="00040AB6">
        <w:rPr>
          <w:rFonts w:asciiTheme="minorHAnsi" w:hAnsiTheme="minorHAnsi"/>
        </w:rPr>
        <w:t xml:space="preserve">Developing and testing the market intervention strategy for the technology and developing cost effectiveness models which produce long term cost effectiveness metrics and energy savings forecasts (both part of strategy testing and finalization). </w:t>
      </w:r>
    </w:p>
    <w:p w14:paraId="239C1177" w14:textId="77777777" w:rsidR="00307082" w:rsidRPr="00040AB6" w:rsidRDefault="00307082" w:rsidP="007D1BDD">
      <w:pPr>
        <w:ind w:right="-720"/>
        <w:rPr>
          <w:rFonts w:asciiTheme="minorHAnsi" w:hAnsiTheme="minorHAnsi"/>
        </w:rPr>
      </w:pPr>
      <w:r w:rsidRPr="00040AB6">
        <w:rPr>
          <w:rFonts w:asciiTheme="minorHAnsi" w:hAnsiTheme="minorHAnsi"/>
        </w:rPr>
        <w:t>The purpose of these phases is not near-term savings, but to develop additional efficiency measures and strategies available to programs—cost-effective, reliable, and having a viable delivery strategy and channel to acquire savings at scale.  At each stage, the assessment of the potential for long-term cost-effective savings is refined</w:t>
      </w:r>
      <w:r w:rsidRPr="00040AB6">
        <w:rPr>
          <w:rFonts w:asciiTheme="minorHAnsi" w:hAnsiTheme="minorHAnsi"/>
          <w:b/>
        </w:rPr>
        <w:t xml:space="preserve">. </w:t>
      </w:r>
      <w:r w:rsidRPr="00040AB6">
        <w:rPr>
          <w:rFonts w:asciiTheme="minorHAnsi" w:hAnsiTheme="minorHAnsi"/>
        </w:rPr>
        <w:t xml:space="preserve">NEEA does not typically forecast savings associated with these earlier phases. These first four phases are where most of the activity will be in the early years of the NEEA gas collaborative.  Significant savings begin at the market development stage, stage five.  </w:t>
      </w:r>
    </w:p>
    <w:p w14:paraId="3556BE19" w14:textId="77777777" w:rsidR="00307082" w:rsidRPr="00040AB6" w:rsidRDefault="00307082" w:rsidP="007D1BDD">
      <w:pPr>
        <w:ind w:right="-720"/>
        <w:rPr>
          <w:rFonts w:asciiTheme="minorHAnsi" w:hAnsiTheme="minorHAnsi"/>
        </w:rPr>
      </w:pPr>
      <w:r w:rsidRPr="00040AB6">
        <w:rPr>
          <w:rFonts w:asciiTheme="minorHAnsi" w:hAnsiTheme="minorHAnsi"/>
        </w:rPr>
        <w:t xml:space="preserve">The Company is not including the costs invested in gas market transformation in the analysis it performs when reporting on its 2015 and 2016 cost effective performance metrics.  For 2017, the Company will discuss with the EEAG whether or not keeping these costs out of its cost effectiveness analysis continues to be appropriate. The Company acknowledges that this practice of excluding market transformation costs from its cost effectiveness analysis for at least a two-year period of time is in no way precedent setting, and should the Company make any future requests for the unique treatment of costs, such requests will be evaluated by the EEAG on a case-by-case basis.   </w:t>
      </w:r>
    </w:p>
    <w:p w14:paraId="466A13E4" w14:textId="77777777" w:rsidR="007D1BDD" w:rsidRDefault="007D1BDD">
      <w:pPr>
        <w:rPr>
          <w:rFonts w:asciiTheme="minorHAnsi" w:hAnsiTheme="minorHAnsi" w:cs="Arial"/>
          <w:b/>
          <w:bCs/>
          <w:sz w:val="32"/>
          <w:szCs w:val="32"/>
        </w:rPr>
      </w:pPr>
    </w:p>
    <w:p w14:paraId="5BC7A3F1" w14:textId="77777777" w:rsidR="00307082" w:rsidRPr="00040AB6" w:rsidRDefault="00307082">
      <w:pPr>
        <w:rPr>
          <w:rFonts w:asciiTheme="minorHAnsi" w:hAnsiTheme="minorHAnsi" w:cs="Arial"/>
          <w:b/>
          <w:bCs/>
          <w:szCs w:val="24"/>
        </w:rPr>
      </w:pPr>
      <w:r w:rsidRPr="00040AB6">
        <w:rPr>
          <w:rFonts w:asciiTheme="minorHAnsi" w:hAnsiTheme="minorHAnsi" w:cs="Arial"/>
          <w:b/>
          <w:bCs/>
          <w:sz w:val="32"/>
          <w:szCs w:val="32"/>
        </w:rPr>
        <w:t>X</w:t>
      </w:r>
      <w:r w:rsidRPr="00040AB6">
        <w:rPr>
          <w:rFonts w:asciiTheme="minorHAnsi" w:hAnsiTheme="minorHAnsi" w:cs="Arial"/>
          <w:bCs/>
          <w:sz w:val="32"/>
          <w:szCs w:val="32"/>
        </w:rPr>
        <w:t>.</w:t>
      </w:r>
      <w:r w:rsidRPr="00040AB6">
        <w:rPr>
          <w:rFonts w:asciiTheme="minorHAnsi" w:hAnsiTheme="minorHAnsi" w:cs="Arial"/>
          <w:bCs/>
          <w:szCs w:val="24"/>
        </w:rPr>
        <w:t xml:space="preserve"> </w:t>
      </w:r>
      <w:r w:rsidRPr="00040AB6">
        <w:rPr>
          <w:rFonts w:asciiTheme="minorHAnsi" w:hAnsiTheme="minorHAnsi" w:cs="Arial"/>
          <w:bCs/>
          <w:szCs w:val="24"/>
        </w:rPr>
        <w:tab/>
      </w:r>
      <w:r w:rsidRPr="00040AB6">
        <w:rPr>
          <w:rFonts w:asciiTheme="minorHAnsi" w:hAnsiTheme="minorHAnsi" w:cs="Arial"/>
          <w:b/>
          <w:bCs/>
          <w:sz w:val="32"/>
          <w:szCs w:val="32"/>
        </w:rPr>
        <w:t>RESIDENTIAL LOAN ON THE BILL REPAYMENT SERVICES</w:t>
      </w:r>
    </w:p>
    <w:p w14:paraId="14E92CBF" w14:textId="77777777" w:rsidR="00307082" w:rsidRPr="00040AB6" w:rsidRDefault="00307082">
      <w:pPr>
        <w:rPr>
          <w:rFonts w:asciiTheme="minorHAnsi" w:hAnsiTheme="minorHAnsi" w:cs="Arial"/>
          <w:b/>
          <w:bCs/>
          <w:szCs w:val="24"/>
          <w:u w:val="single"/>
        </w:rPr>
      </w:pPr>
    </w:p>
    <w:p w14:paraId="506646D8" w14:textId="77777777" w:rsidR="00307082" w:rsidRPr="00040AB6" w:rsidRDefault="00307082">
      <w:pPr>
        <w:rPr>
          <w:rFonts w:asciiTheme="minorHAnsi" w:hAnsiTheme="minorHAnsi" w:cs="Arial"/>
          <w:b/>
          <w:bCs/>
          <w:u w:val="single"/>
        </w:rPr>
      </w:pPr>
      <w:r w:rsidRPr="00040AB6">
        <w:rPr>
          <w:rFonts w:asciiTheme="minorHAnsi" w:hAnsiTheme="minorHAnsi" w:cs="Arial"/>
          <w:b/>
          <w:bCs/>
          <w:u w:val="single"/>
        </w:rPr>
        <w:t>Description of On the Bill Repayment Services</w:t>
      </w:r>
    </w:p>
    <w:p w14:paraId="7EB8B3CB" w14:textId="77777777" w:rsidR="00307082" w:rsidRPr="00040AB6" w:rsidRDefault="00307082">
      <w:pPr>
        <w:rPr>
          <w:rFonts w:asciiTheme="minorHAnsi" w:hAnsiTheme="minorHAnsi"/>
        </w:rPr>
      </w:pPr>
      <w:r w:rsidRPr="00040AB6">
        <w:rPr>
          <w:rFonts w:asciiTheme="minorHAnsi" w:hAnsiTheme="minorHAnsi"/>
        </w:rPr>
        <w:t xml:space="preserve">NW Natural will assist in marketing a low-interest, unsecured financing offer to residential homeowners who heat their homes with gas heat.  The program lender will originate loans granted for the purposes of installing energy efficiency measures incented by the existing homes program, and the Company will provide billing and remittance services to the program lender by placing the loan repayment fee on the customers’ monthly gas bill.  Customers who obtain a loan with on the bill repayment services will receive a loan repayment charge as a separately itemized as “Energy Upgrade Loan” on their monthly bill for natural gas service for the term of the loan or until the loan has been paid off, transferred or otherwise discharged or removed from the bill in accordance terms and conditions of the Company’s service agreement with Energy Trust, who will manage the coordination of activities between the program lender, the program management contractor, and the company.   </w:t>
      </w:r>
    </w:p>
    <w:p w14:paraId="0ED65F19" w14:textId="77777777" w:rsidR="00307082" w:rsidRPr="00040AB6" w:rsidRDefault="00307082">
      <w:pPr>
        <w:rPr>
          <w:rFonts w:asciiTheme="minorHAnsi" w:hAnsiTheme="minorHAnsi"/>
        </w:rPr>
      </w:pPr>
    </w:p>
    <w:p w14:paraId="510AE838" w14:textId="77777777" w:rsidR="00307082" w:rsidRPr="00040AB6" w:rsidRDefault="00307082">
      <w:pPr>
        <w:rPr>
          <w:rFonts w:asciiTheme="minorHAnsi" w:hAnsiTheme="minorHAnsi"/>
          <w:b/>
          <w:u w:val="single"/>
        </w:rPr>
      </w:pPr>
      <w:r w:rsidRPr="00040AB6">
        <w:rPr>
          <w:rFonts w:asciiTheme="minorHAnsi" w:hAnsiTheme="minorHAnsi"/>
          <w:b/>
          <w:u w:val="single"/>
        </w:rPr>
        <w:t>Program Lender</w:t>
      </w:r>
    </w:p>
    <w:p w14:paraId="2A7B97A5" w14:textId="77777777" w:rsidR="00307082" w:rsidRPr="00040AB6" w:rsidRDefault="00307082">
      <w:pPr>
        <w:rPr>
          <w:rFonts w:asciiTheme="minorHAnsi" w:hAnsiTheme="minorHAnsi"/>
        </w:rPr>
      </w:pPr>
      <w:r w:rsidRPr="00040AB6">
        <w:rPr>
          <w:rFonts w:asciiTheme="minorHAnsi" w:hAnsiTheme="minorHAnsi"/>
        </w:rPr>
        <w:t xml:space="preserve">Craft3, a non-profit community development financial institution (CDFI) lender, will act as the program lender, under the terms and conditions of a service agreement with Energy Trust. Craft </w:t>
      </w:r>
      <w:r w:rsidRPr="00040AB6">
        <w:rPr>
          <w:rFonts w:asciiTheme="minorHAnsi" w:hAnsiTheme="minorHAnsi"/>
        </w:rPr>
        <w:lastRenderedPageBreak/>
        <w:t>3 received a grant from the State Of Washington’s Clean Energy Revolving Loan Fund</w:t>
      </w:r>
      <w:r w:rsidRPr="00040AB6">
        <w:rPr>
          <w:rStyle w:val="FootnoteReference"/>
          <w:rFonts w:asciiTheme="minorHAnsi" w:hAnsiTheme="minorHAnsi"/>
        </w:rPr>
        <w:footnoteReference w:id="3"/>
      </w:r>
      <w:r w:rsidRPr="00040AB6">
        <w:rPr>
          <w:rFonts w:asciiTheme="minorHAnsi" w:hAnsiTheme="minorHAnsi"/>
        </w:rPr>
        <w:t xml:space="preserve"> for the purpose of providing financing to Washington residents for the purpose of installing energy efficiency measures. The intent of this offering is to facilitate the acquisition of cost-effective natural gas savings while extending the benefit of the State Of Washington’s Clean Energy Revolving Loan Fund to natural gas ratepayers in Southwest Washington. </w:t>
      </w:r>
    </w:p>
    <w:p w14:paraId="62754C9D" w14:textId="77777777" w:rsidR="00307082" w:rsidRPr="00040AB6" w:rsidRDefault="00307082">
      <w:pPr>
        <w:rPr>
          <w:rFonts w:asciiTheme="minorHAnsi" w:hAnsiTheme="minorHAnsi"/>
        </w:rPr>
      </w:pPr>
    </w:p>
    <w:p w14:paraId="4908FB4D" w14:textId="77777777" w:rsidR="00307082" w:rsidRPr="00040AB6" w:rsidRDefault="00307082">
      <w:pPr>
        <w:rPr>
          <w:rFonts w:asciiTheme="minorHAnsi" w:hAnsiTheme="minorHAnsi" w:cs="Arial"/>
          <w:b/>
          <w:bCs/>
          <w:u w:val="single"/>
        </w:rPr>
      </w:pPr>
      <w:r w:rsidRPr="00040AB6">
        <w:rPr>
          <w:rFonts w:asciiTheme="minorHAnsi" w:hAnsiTheme="minorHAnsi" w:cs="Arial"/>
          <w:b/>
          <w:bCs/>
          <w:u w:val="single"/>
        </w:rPr>
        <w:t>Loan</w:t>
      </w:r>
    </w:p>
    <w:p w14:paraId="789D91C2" w14:textId="77777777" w:rsidR="00307082" w:rsidRPr="00040AB6" w:rsidRDefault="00307082">
      <w:pPr>
        <w:rPr>
          <w:rFonts w:asciiTheme="minorHAnsi" w:hAnsiTheme="minorHAnsi"/>
        </w:rPr>
      </w:pPr>
      <w:r w:rsidRPr="00040AB6">
        <w:rPr>
          <w:rFonts w:asciiTheme="minorHAnsi" w:hAnsiTheme="minorHAnsi"/>
        </w:rPr>
        <w:t xml:space="preserve">The loan offerings through Craft3 that will qualify for on-the-bill repayment services must fit the following parameters: </w:t>
      </w:r>
    </w:p>
    <w:p w14:paraId="4FEDC90B"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 xml:space="preserve">Loans must be granted to residential homeowners who use natural gas as their primary heating fuel. </w:t>
      </w:r>
    </w:p>
    <w:p w14:paraId="704697B7"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Loan amounts must be used to install energy efficient measures incented under NW Natural’s existing homes program.</w:t>
      </w:r>
    </w:p>
    <w:p w14:paraId="5F3736D3"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Term of loan:</w:t>
      </w:r>
    </w:p>
    <w:p w14:paraId="643F1358" w14:textId="77777777" w:rsidR="00307082" w:rsidRPr="00040AB6" w:rsidRDefault="00307082" w:rsidP="00307082">
      <w:pPr>
        <w:pStyle w:val="ListParagraph"/>
        <w:numPr>
          <w:ilvl w:val="1"/>
          <w:numId w:val="4"/>
        </w:numPr>
        <w:spacing w:after="200" w:line="276" w:lineRule="auto"/>
        <w:rPr>
          <w:rFonts w:asciiTheme="minorHAnsi" w:hAnsiTheme="minorHAnsi"/>
        </w:rPr>
      </w:pPr>
      <w:r w:rsidRPr="00040AB6">
        <w:rPr>
          <w:rFonts w:asciiTheme="minorHAnsi" w:hAnsiTheme="minorHAnsi"/>
        </w:rPr>
        <w:t xml:space="preserve">Loans up to $7500 to have a max term of 7 years, </w:t>
      </w:r>
    </w:p>
    <w:p w14:paraId="62D5F6E0" w14:textId="77777777" w:rsidR="00307082" w:rsidRPr="00040AB6" w:rsidRDefault="00307082" w:rsidP="00307082">
      <w:pPr>
        <w:pStyle w:val="ListParagraph"/>
        <w:numPr>
          <w:ilvl w:val="1"/>
          <w:numId w:val="4"/>
        </w:numPr>
        <w:spacing w:after="200" w:line="276" w:lineRule="auto"/>
        <w:rPr>
          <w:rFonts w:asciiTheme="minorHAnsi" w:hAnsiTheme="minorHAnsi"/>
        </w:rPr>
      </w:pPr>
      <w:r w:rsidRPr="00040AB6">
        <w:rPr>
          <w:rFonts w:asciiTheme="minorHAnsi" w:hAnsiTheme="minorHAnsi"/>
        </w:rPr>
        <w:t xml:space="preserve">Loans </w:t>
      </w:r>
      <w:proofErr w:type="gramStart"/>
      <w:r w:rsidRPr="00040AB6">
        <w:rPr>
          <w:rFonts w:asciiTheme="minorHAnsi" w:hAnsiTheme="minorHAnsi"/>
        </w:rPr>
        <w:t>between $7500-$15,000 up to 15 years</w:t>
      </w:r>
      <w:proofErr w:type="gramEnd"/>
      <w:r w:rsidRPr="00040AB6">
        <w:rPr>
          <w:rFonts w:asciiTheme="minorHAnsi" w:hAnsiTheme="minorHAnsi"/>
        </w:rPr>
        <w:t xml:space="preserve">. </w:t>
      </w:r>
    </w:p>
    <w:p w14:paraId="456CDC65"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 xml:space="preserve">The program will launch with a fixed interest rate at 4.49%. Contingent on market conditions, Craft 3 may at a later date revise the offer for future customers, not to exceed 5.49%. Under all circumstances rates will be </w:t>
      </w:r>
      <w:proofErr w:type="gramStart"/>
      <w:r w:rsidRPr="00040AB6">
        <w:rPr>
          <w:rFonts w:asciiTheme="minorHAnsi" w:hAnsiTheme="minorHAnsi"/>
        </w:rPr>
        <w:t>fixed,</w:t>
      </w:r>
      <w:proofErr w:type="gramEnd"/>
      <w:r w:rsidRPr="00040AB6">
        <w:rPr>
          <w:rFonts w:asciiTheme="minorHAnsi" w:hAnsiTheme="minorHAnsi"/>
        </w:rPr>
        <w:t xml:space="preserve"> and consistent for any qualifying customer.</w:t>
      </w:r>
    </w:p>
    <w:p w14:paraId="7C4FF38B"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 xml:space="preserve">Loans will be unsecured. </w:t>
      </w:r>
    </w:p>
    <w:p w14:paraId="223F0812"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 xml:space="preserve">No penalty for early repayment. </w:t>
      </w:r>
    </w:p>
    <w:p w14:paraId="672555A8"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Craft 3 may assess a financing fee of $100 for loans between $2500-$7500, $200 for loans between $7500-$15,000</w:t>
      </w:r>
    </w:p>
    <w:p w14:paraId="1E53F3F0" w14:textId="77777777" w:rsidR="00307082" w:rsidRPr="00040AB6" w:rsidRDefault="00307082" w:rsidP="00307082">
      <w:pPr>
        <w:pStyle w:val="ListParagraph"/>
        <w:numPr>
          <w:ilvl w:val="1"/>
          <w:numId w:val="4"/>
        </w:numPr>
        <w:spacing w:after="200" w:line="276" w:lineRule="auto"/>
        <w:ind w:left="1440"/>
        <w:rPr>
          <w:rFonts w:asciiTheme="minorHAnsi" w:hAnsiTheme="minorHAnsi"/>
        </w:rPr>
      </w:pPr>
      <w:r w:rsidRPr="00040AB6">
        <w:rPr>
          <w:rFonts w:asciiTheme="minorHAnsi" w:hAnsiTheme="minorHAnsi"/>
        </w:rPr>
        <w:t>Fees may be financed as an additional to the loan balance</w:t>
      </w:r>
    </w:p>
    <w:p w14:paraId="15C1F2DD" w14:textId="77777777" w:rsidR="00307082" w:rsidRPr="00040AB6" w:rsidRDefault="00307082" w:rsidP="00307082">
      <w:pPr>
        <w:pStyle w:val="ListParagraph"/>
        <w:numPr>
          <w:ilvl w:val="0"/>
          <w:numId w:val="4"/>
        </w:numPr>
        <w:spacing w:after="200" w:line="276" w:lineRule="auto"/>
        <w:rPr>
          <w:rFonts w:asciiTheme="minorHAnsi" w:hAnsiTheme="minorHAnsi"/>
        </w:rPr>
      </w:pPr>
      <w:r w:rsidRPr="00040AB6">
        <w:rPr>
          <w:rFonts w:asciiTheme="minorHAnsi" w:hAnsiTheme="minorHAnsi"/>
        </w:rPr>
        <w:t xml:space="preserve">No more than 25% of loaned dollars may be used for non-energy related measures.  Expenditure that </w:t>
      </w:r>
      <w:proofErr w:type="gramStart"/>
      <w:r w:rsidRPr="00040AB6">
        <w:rPr>
          <w:rFonts w:asciiTheme="minorHAnsi" w:hAnsiTheme="minorHAnsi"/>
        </w:rPr>
        <w:t>are</w:t>
      </w:r>
      <w:proofErr w:type="gramEnd"/>
      <w:r w:rsidRPr="00040AB6">
        <w:rPr>
          <w:rFonts w:asciiTheme="minorHAnsi" w:hAnsiTheme="minorHAnsi"/>
        </w:rPr>
        <w:t xml:space="preserve"> non-energy related will be restricted to costs incurred by the commissioning of EE measures (for example, removal of knob and tube wiring). </w:t>
      </w:r>
    </w:p>
    <w:p w14:paraId="4C8ED65C" w14:textId="77777777" w:rsidR="00307082" w:rsidRPr="00040AB6" w:rsidRDefault="00307082" w:rsidP="00307082">
      <w:pPr>
        <w:tabs>
          <w:tab w:val="left" w:pos="360"/>
        </w:tabs>
        <w:ind w:left="360" w:hanging="360"/>
        <w:rPr>
          <w:rFonts w:asciiTheme="minorHAnsi" w:hAnsiTheme="minorHAnsi" w:cs="Arial"/>
          <w:b/>
          <w:bCs/>
          <w:u w:val="single"/>
        </w:rPr>
      </w:pPr>
      <w:r w:rsidRPr="00040AB6">
        <w:rPr>
          <w:rFonts w:asciiTheme="minorHAnsi" w:hAnsiTheme="minorHAnsi" w:cs="Arial"/>
          <w:b/>
          <w:bCs/>
          <w:u w:val="single"/>
        </w:rPr>
        <w:t>Terms and Conditions</w:t>
      </w:r>
    </w:p>
    <w:p w14:paraId="1EC26B9A" w14:textId="77777777" w:rsidR="00307082" w:rsidRPr="00040AB6" w:rsidRDefault="00307082" w:rsidP="00307082">
      <w:pPr>
        <w:tabs>
          <w:tab w:val="left" w:pos="360"/>
        </w:tabs>
        <w:ind w:left="360" w:hanging="360"/>
        <w:rPr>
          <w:rFonts w:asciiTheme="minorHAnsi" w:hAnsiTheme="minorHAnsi"/>
        </w:rPr>
      </w:pPr>
      <w:r w:rsidRPr="00040AB6">
        <w:rPr>
          <w:rFonts w:asciiTheme="minorHAnsi" w:hAnsiTheme="minorHAnsi"/>
        </w:rPr>
        <w:t xml:space="preserve">1.  </w:t>
      </w:r>
      <w:r w:rsidRPr="00040AB6">
        <w:rPr>
          <w:rFonts w:asciiTheme="minorHAnsi" w:hAnsiTheme="minorHAnsi"/>
        </w:rPr>
        <w:tab/>
        <w:t xml:space="preserve">The Company will directly bill Energy Trust or Craft3 for ongoing administrative costs, including costs associated with loan setup, loan termination and other incremental activities related to accounting and processing of bill payments.  </w:t>
      </w:r>
    </w:p>
    <w:p w14:paraId="23A6C72B" w14:textId="77777777" w:rsidR="00307082" w:rsidRPr="00040AB6" w:rsidRDefault="00307082" w:rsidP="00307082">
      <w:pPr>
        <w:tabs>
          <w:tab w:val="left" w:pos="360"/>
        </w:tabs>
        <w:ind w:left="360" w:hanging="360"/>
        <w:rPr>
          <w:rFonts w:asciiTheme="minorHAnsi" w:hAnsiTheme="minorHAnsi"/>
        </w:rPr>
      </w:pPr>
    </w:p>
    <w:p w14:paraId="50337664" w14:textId="77777777" w:rsidR="00307082" w:rsidRPr="00040AB6" w:rsidRDefault="00307082" w:rsidP="00307082">
      <w:pPr>
        <w:pStyle w:val="ListParagraph"/>
        <w:numPr>
          <w:ilvl w:val="0"/>
          <w:numId w:val="13"/>
        </w:numPr>
        <w:tabs>
          <w:tab w:val="left" w:pos="360"/>
        </w:tabs>
        <w:ind w:left="360"/>
        <w:rPr>
          <w:rFonts w:asciiTheme="minorHAnsi" w:hAnsiTheme="minorHAnsi"/>
        </w:rPr>
      </w:pPr>
      <w:r w:rsidRPr="00040AB6">
        <w:rPr>
          <w:rFonts w:asciiTheme="minorHAnsi" w:hAnsiTheme="minorHAnsi"/>
        </w:rPr>
        <w:t xml:space="preserve">The business relationship and the services exchanged between Energy Trust and the Company shall be in accordance with an executed Service Agreement.  The Energy Trust will act as the program manager of this offering. </w:t>
      </w:r>
    </w:p>
    <w:p w14:paraId="6151B5E4" w14:textId="77777777" w:rsidR="00307082" w:rsidRPr="00040AB6" w:rsidRDefault="00307082" w:rsidP="00307082">
      <w:pPr>
        <w:pStyle w:val="ListParagraph"/>
        <w:tabs>
          <w:tab w:val="left" w:pos="360"/>
        </w:tabs>
        <w:ind w:left="1080"/>
        <w:rPr>
          <w:rFonts w:asciiTheme="minorHAnsi" w:hAnsiTheme="minorHAnsi"/>
        </w:rPr>
      </w:pPr>
    </w:p>
    <w:p w14:paraId="16BBC452" w14:textId="77777777" w:rsidR="00307082" w:rsidRPr="00040AB6" w:rsidRDefault="00307082" w:rsidP="00307082">
      <w:pPr>
        <w:pStyle w:val="ListParagraph"/>
        <w:numPr>
          <w:ilvl w:val="0"/>
          <w:numId w:val="13"/>
        </w:numPr>
        <w:tabs>
          <w:tab w:val="left" w:pos="360"/>
        </w:tabs>
        <w:ind w:left="360"/>
        <w:rPr>
          <w:rFonts w:asciiTheme="minorHAnsi" w:hAnsiTheme="minorHAnsi"/>
        </w:rPr>
      </w:pPr>
      <w:r w:rsidRPr="00040AB6">
        <w:rPr>
          <w:rFonts w:asciiTheme="minorHAnsi" w:hAnsiTheme="minorHAnsi"/>
        </w:rPr>
        <w:lastRenderedPageBreak/>
        <w:t>The provision of On-the-Bill Repayment Services will in no way conflict with the Company’s compliance to WAC 480-90, Washington Administrative Code (WAC).</w:t>
      </w:r>
    </w:p>
    <w:p w14:paraId="3C67451F" w14:textId="77777777" w:rsidR="00307082" w:rsidRPr="00040AB6" w:rsidRDefault="00307082" w:rsidP="00307082">
      <w:pPr>
        <w:tabs>
          <w:tab w:val="left" w:pos="360"/>
        </w:tabs>
        <w:rPr>
          <w:rFonts w:asciiTheme="minorHAnsi" w:hAnsiTheme="minorHAnsi"/>
        </w:rPr>
      </w:pPr>
    </w:p>
    <w:p w14:paraId="60D38D1A" w14:textId="77777777" w:rsidR="00307082" w:rsidRPr="00040AB6" w:rsidRDefault="00307082" w:rsidP="00307082">
      <w:pPr>
        <w:pStyle w:val="ListParagraph"/>
        <w:numPr>
          <w:ilvl w:val="0"/>
          <w:numId w:val="11"/>
        </w:numPr>
        <w:tabs>
          <w:tab w:val="left" w:pos="360"/>
        </w:tabs>
        <w:rPr>
          <w:rFonts w:asciiTheme="minorHAnsi" w:hAnsiTheme="minorHAnsi"/>
        </w:rPr>
      </w:pPr>
      <w:r w:rsidRPr="00040AB6">
        <w:rPr>
          <w:rFonts w:asciiTheme="minorHAnsi" w:hAnsiTheme="minorHAnsi"/>
        </w:rPr>
        <w:t xml:space="preserve">A Customer’s decision to enter into a loan agreement with Craft3 will not affect his/her ability to establish credit with the Company; it will have no impact on the amount that a Customer may be required to pay on deposit for Natural Gas utility service; and it will have no effect on a Customer’s ability to receive reliable natural gas service.  The Company will communicate this in writing to customers who participate in this loan program. </w:t>
      </w:r>
    </w:p>
    <w:p w14:paraId="2ED90C4B" w14:textId="77777777" w:rsidR="00307082" w:rsidRPr="00040AB6" w:rsidRDefault="00307082" w:rsidP="00307082">
      <w:pPr>
        <w:pStyle w:val="ListParagraph"/>
        <w:tabs>
          <w:tab w:val="left" w:pos="360"/>
        </w:tabs>
        <w:ind w:left="360"/>
        <w:rPr>
          <w:rFonts w:asciiTheme="minorHAnsi" w:hAnsiTheme="minorHAnsi"/>
        </w:rPr>
      </w:pPr>
    </w:p>
    <w:p w14:paraId="57B957A9"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 xml:space="preserve">By entering into a loan agreement with Craft3, the customer will be responsible to remit the monthly loan repayment amount to NW Natural with his/her monthly bill payment for natural gas services.  </w:t>
      </w:r>
    </w:p>
    <w:p w14:paraId="7C64D3FE" w14:textId="77777777" w:rsidR="00307082" w:rsidRPr="00040AB6" w:rsidRDefault="00307082" w:rsidP="00307082">
      <w:pPr>
        <w:ind w:left="360"/>
        <w:rPr>
          <w:rFonts w:asciiTheme="minorHAnsi" w:hAnsiTheme="minorHAnsi" w:cs="Arial"/>
        </w:rPr>
      </w:pPr>
    </w:p>
    <w:p w14:paraId="4325C32A"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NW Natural is not a party to the loan agreements and has no financial interest in these loans.</w:t>
      </w:r>
    </w:p>
    <w:p w14:paraId="1ABD00E5" w14:textId="77777777" w:rsidR="00307082" w:rsidRPr="00040AB6" w:rsidRDefault="00307082" w:rsidP="00307082">
      <w:pPr>
        <w:tabs>
          <w:tab w:val="left" w:pos="360"/>
        </w:tabs>
        <w:ind w:left="360"/>
        <w:rPr>
          <w:rFonts w:asciiTheme="minorHAnsi" w:hAnsiTheme="minorHAnsi" w:cs="Arial"/>
        </w:rPr>
      </w:pPr>
    </w:p>
    <w:p w14:paraId="5FD8147A"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 xml:space="preserve">Monthly payments received from customers participating in this program will be allocated to the customers’ account in accordance with Rule 4 of this the Company’s Tariff.  </w:t>
      </w:r>
    </w:p>
    <w:p w14:paraId="7F966A80" w14:textId="77777777" w:rsidR="00307082" w:rsidRPr="00040AB6" w:rsidRDefault="00307082" w:rsidP="00307082">
      <w:pPr>
        <w:rPr>
          <w:rFonts w:asciiTheme="minorHAnsi" w:hAnsiTheme="minorHAnsi" w:cs="Arial"/>
        </w:rPr>
      </w:pPr>
    </w:p>
    <w:p w14:paraId="4880BD11"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 xml:space="preserve">The Company will not disconnect gas service to a customer for non-payment of loan repayment charges.  </w:t>
      </w:r>
    </w:p>
    <w:p w14:paraId="0DE205BA" w14:textId="77777777" w:rsidR="00307082" w:rsidRPr="00040AB6" w:rsidRDefault="00307082" w:rsidP="00307082">
      <w:pPr>
        <w:rPr>
          <w:rFonts w:asciiTheme="minorHAnsi" w:hAnsiTheme="minorHAnsi" w:cs="Arial"/>
        </w:rPr>
      </w:pPr>
    </w:p>
    <w:p w14:paraId="33026E2A"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NW Natural is solely a billing agent for Craft3.  Participating Customers must acknowledge that the Company shall be held harmless for any liability resulting from contractors’ actions with regard to installation of energy efficiency measures resulting from this program.</w:t>
      </w:r>
    </w:p>
    <w:p w14:paraId="7F490092" w14:textId="77777777" w:rsidR="00307082" w:rsidRPr="00040AB6" w:rsidRDefault="00307082" w:rsidP="00307082">
      <w:pPr>
        <w:rPr>
          <w:rFonts w:asciiTheme="minorHAnsi" w:hAnsiTheme="minorHAnsi" w:cs="Arial"/>
        </w:rPr>
      </w:pPr>
    </w:p>
    <w:p w14:paraId="2EA7CD89"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 xml:space="preserve">NW Natural has no responsibility to collect charges, penalties, or fees beyond the remitting to Craft3 the loan repayment collections the Company receives from Customers in accordance with the services described herein. </w:t>
      </w:r>
    </w:p>
    <w:p w14:paraId="7684DB34" w14:textId="77777777" w:rsidR="00307082" w:rsidRPr="00040AB6" w:rsidRDefault="00307082" w:rsidP="00307082">
      <w:pPr>
        <w:rPr>
          <w:rFonts w:asciiTheme="minorHAnsi" w:hAnsiTheme="minorHAnsi" w:cs="Arial"/>
        </w:rPr>
      </w:pPr>
    </w:p>
    <w:p w14:paraId="61DA634F"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Craft3 is responsible to tell the Company how much to bill per month for each loan and how many months each customer should be billed.  The Company is not responsible for any information provided by Craft3.</w:t>
      </w:r>
    </w:p>
    <w:p w14:paraId="1220AC7D" w14:textId="77777777" w:rsidR="00307082" w:rsidRPr="00040AB6" w:rsidRDefault="00307082" w:rsidP="00307082">
      <w:pPr>
        <w:rPr>
          <w:rFonts w:asciiTheme="minorHAnsi" w:hAnsiTheme="minorHAnsi" w:cs="Arial"/>
        </w:rPr>
      </w:pPr>
    </w:p>
    <w:p w14:paraId="0A85E246"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The Company will not a) accept loan pay-offs, b) issue refunds on loan payments, c) offer payment arrangements on loan amounts due, or d) allow energy assistance to be applied to loan balances.</w:t>
      </w:r>
    </w:p>
    <w:p w14:paraId="4D464702" w14:textId="77777777" w:rsidR="00307082" w:rsidRPr="00040AB6" w:rsidRDefault="00307082" w:rsidP="00307082">
      <w:pPr>
        <w:rPr>
          <w:rFonts w:asciiTheme="minorHAnsi" w:hAnsiTheme="minorHAnsi" w:cs="Arial"/>
        </w:rPr>
      </w:pPr>
    </w:p>
    <w:p w14:paraId="1C1EFEAE"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t xml:space="preserve">Craft3 must obtain a signed consent form from participating Customers that states that the Customer agrees to allow the Company to provide Craft3 with Customer-specific bill payment information. </w:t>
      </w:r>
    </w:p>
    <w:p w14:paraId="6C1D22B7" w14:textId="77777777" w:rsidR="00307082" w:rsidRPr="00040AB6" w:rsidRDefault="00307082" w:rsidP="00307082">
      <w:pPr>
        <w:rPr>
          <w:rFonts w:asciiTheme="minorHAnsi" w:hAnsiTheme="minorHAnsi" w:cs="Arial"/>
        </w:rPr>
      </w:pPr>
    </w:p>
    <w:p w14:paraId="34C9A797" w14:textId="77777777" w:rsidR="00307082" w:rsidRPr="00040AB6" w:rsidRDefault="00307082" w:rsidP="00307082">
      <w:pPr>
        <w:numPr>
          <w:ilvl w:val="0"/>
          <w:numId w:val="11"/>
        </w:numPr>
        <w:tabs>
          <w:tab w:val="left" w:pos="360"/>
        </w:tabs>
        <w:rPr>
          <w:rFonts w:asciiTheme="minorHAnsi" w:hAnsiTheme="minorHAnsi" w:cs="Arial"/>
        </w:rPr>
      </w:pPr>
      <w:r w:rsidRPr="00040AB6">
        <w:rPr>
          <w:rFonts w:asciiTheme="minorHAnsi" w:hAnsiTheme="minorHAnsi" w:cs="Arial"/>
        </w:rPr>
        <w:lastRenderedPageBreak/>
        <w:t xml:space="preserve">Craft3 must obtain signed documentation from the Customer that certifies that the Customer has been made aware of the Company’s limited role in the loan repayment process. </w:t>
      </w:r>
    </w:p>
    <w:p w14:paraId="372F0EEB" w14:textId="77777777" w:rsidR="00307082" w:rsidRPr="00040AB6" w:rsidRDefault="00307082" w:rsidP="00307082">
      <w:pPr>
        <w:rPr>
          <w:rFonts w:asciiTheme="minorHAnsi" w:hAnsiTheme="minorHAnsi" w:cs="Arial"/>
        </w:rPr>
      </w:pPr>
    </w:p>
    <w:p w14:paraId="235C16A7" w14:textId="77777777" w:rsidR="00307082" w:rsidRPr="00040AB6" w:rsidRDefault="00307082" w:rsidP="00307082">
      <w:pPr>
        <w:tabs>
          <w:tab w:val="left" w:pos="360"/>
        </w:tabs>
        <w:ind w:left="360" w:hanging="360"/>
        <w:rPr>
          <w:rFonts w:asciiTheme="minorHAnsi" w:hAnsiTheme="minorHAnsi"/>
        </w:rPr>
      </w:pPr>
      <w:r w:rsidRPr="00040AB6">
        <w:rPr>
          <w:rFonts w:asciiTheme="minorHAnsi" w:hAnsiTheme="minorHAnsi"/>
        </w:rPr>
        <w:t xml:space="preserve">15. </w:t>
      </w:r>
      <w:r w:rsidRPr="00040AB6">
        <w:rPr>
          <w:rFonts w:asciiTheme="minorHAnsi" w:hAnsiTheme="minorHAnsi"/>
        </w:rPr>
        <w:tab/>
        <w:t xml:space="preserve">Craft3 must provide the Company with a toll-free customer service phone number to which the Company will refer Customers who have questions or concerns about their loan.  The Company is not responsible for Customer questions and disputes related to the loan or the Customer’s perceived or real experience related to any portion of the loan or energy efficiency measures.  </w:t>
      </w:r>
    </w:p>
    <w:p w14:paraId="1EDDD0DF" w14:textId="77777777" w:rsidR="00307082" w:rsidRPr="00040AB6" w:rsidRDefault="00307082" w:rsidP="00307082">
      <w:pPr>
        <w:rPr>
          <w:rFonts w:asciiTheme="minorHAnsi" w:hAnsiTheme="minorHAnsi"/>
        </w:rPr>
      </w:pPr>
    </w:p>
    <w:p w14:paraId="3EA2CA70" w14:textId="77777777" w:rsidR="00307082" w:rsidRDefault="00307082" w:rsidP="00307082">
      <w:pPr>
        <w:tabs>
          <w:tab w:val="left" w:pos="360"/>
        </w:tabs>
        <w:ind w:left="360" w:hanging="360"/>
        <w:rPr>
          <w:rFonts w:asciiTheme="minorHAnsi" w:hAnsiTheme="minorHAnsi"/>
        </w:rPr>
      </w:pPr>
      <w:r w:rsidRPr="00040AB6">
        <w:rPr>
          <w:rFonts w:asciiTheme="minorHAnsi" w:hAnsiTheme="minorHAnsi"/>
        </w:rPr>
        <w:t>16.</w:t>
      </w:r>
      <w:r w:rsidRPr="00040AB6">
        <w:rPr>
          <w:rFonts w:asciiTheme="minorHAnsi" w:hAnsiTheme="minorHAnsi"/>
        </w:rPr>
        <w:tab/>
        <w:t xml:space="preserve">The Company will provide Customers with an overview of the loan product.  Specific terms and conditions of the loan will be provided by Craft3. </w:t>
      </w:r>
    </w:p>
    <w:p w14:paraId="75CAED62" w14:textId="77777777" w:rsidR="007D1BDD" w:rsidRPr="00040AB6" w:rsidRDefault="007D1BDD" w:rsidP="00307082">
      <w:pPr>
        <w:tabs>
          <w:tab w:val="left" w:pos="360"/>
        </w:tabs>
        <w:ind w:left="360" w:hanging="360"/>
        <w:rPr>
          <w:rFonts w:asciiTheme="minorHAnsi" w:hAnsiTheme="minorHAnsi"/>
        </w:rPr>
      </w:pPr>
    </w:p>
    <w:p w14:paraId="063CF2D9" w14:textId="77777777" w:rsidR="00307082" w:rsidRDefault="00307082" w:rsidP="00307082">
      <w:pPr>
        <w:tabs>
          <w:tab w:val="left" w:pos="360"/>
        </w:tabs>
        <w:ind w:left="360" w:hanging="360"/>
        <w:rPr>
          <w:rFonts w:asciiTheme="minorHAnsi" w:hAnsiTheme="minorHAnsi"/>
        </w:rPr>
      </w:pPr>
      <w:r w:rsidRPr="00040AB6">
        <w:rPr>
          <w:rFonts w:asciiTheme="minorHAnsi" w:hAnsiTheme="minorHAnsi"/>
        </w:rPr>
        <w:t>17.</w:t>
      </w:r>
      <w:r w:rsidRPr="00040AB6">
        <w:rPr>
          <w:rFonts w:asciiTheme="minorHAnsi" w:hAnsiTheme="minorHAnsi"/>
        </w:rPr>
        <w:tab/>
        <w:t xml:space="preserve">A Customer with a loan open at the time he/she sells his/her home may either pay the loan off at the time of the sale; or if the new homeowner is willing to assume the loan and is able to pass the Craft3’s credit requirements, the new homeowner may assume the remaining balance of the loan.  </w:t>
      </w:r>
    </w:p>
    <w:p w14:paraId="0501C74F" w14:textId="77777777" w:rsidR="007D1BDD" w:rsidRPr="00040AB6" w:rsidRDefault="007D1BDD" w:rsidP="00307082">
      <w:pPr>
        <w:tabs>
          <w:tab w:val="left" w:pos="360"/>
        </w:tabs>
        <w:ind w:left="360" w:hanging="360"/>
        <w:rPr>
          <w:rFonts w:asciiTheme="minorHAnsi" w:hAnsiTheme="minorHAnsi"/>
        </w:rPr>
      </w:pPr>
    </w:p>
    <w:p w14:paraId="6B3D1F3C" w14:textId="77777777" w:rsidR="00307082" w:rsidRPr="00040AB6" w:rsidRDefault="00307082" w:rsidP="00307082">
      <w:pPr>
        <w:tabs>
          <w:tab w:val="left" w:pos="360"/>
        </w:tabs>
        <w:ind w:left="360" w:hanging="360"/>
        <w:rPr>
          <w:rFonts w:asciiTheme="minorHAnsi" w:hAnsiTheme="minorHAnsi"/>
        </w:rPr>
      </w:pPr>
      <w:r w:rsidRPr="00040AB6">
        <w:rPr>
          <w:rFonts w:asciiTheme="minorHAnsi" w:hAnsiTheme="minorHAnsi"/>
        </w:rPr>
        <w:t xml:space="preserve">18.  If a Customer with a loan refinances his/her mortgage, Craft3 will work with the Customer.  A fee may be assessed if Craft3 subordinates its lien to the new mortgage lender.  </w:t>
      </w:r>
    </w:p>
    <w:p w14:paraId="22E427AD" w14:textId="77777777" w:rsidR="00307082" w:rsidRPr="00040AB6" w:rsidRDefault="00307082" w:rsidP="00307082">
      <w:pPr>
        <w:rPr>
          <w:rFonts w:asciiTheme="minorHAnsi" w:hAnsiTheme="minorHAnsi"/>
        </w:rPr>
      </w:pPr>
    </w:p>
    <w:p w14:paraId="7C1DCC75" w14:textId="77777777" w:rsidR="000E0395" w:rsidRDefault="000E0395" w:rsidP="00982953">
      <w:pPr>
        <w:rPr>
          <w:rFonts w:asciiTheme="minorHAnsi" w:hAnsiTheme="minorHAnsi" w:cstheme="minorHAnsi"/>
          <w:sz w:val="22"/>
          <w:szCs w:val="22"/>
        </w:rPr>
        <w:sectPr w:rsidR="000E0395" w:rsidSect="007D1BDD">
          <w:headerReference w:type="default" r:id="rId22"/>
          <w:footerReference w:type="default" r:id="rId23"/>
          <w:pgSz w:w="12240" w:h="15840" w:code="1"/>
          <w:pgMar w:top="1440" w:right="1440" w:bottom="1440" w:left="1440" w:header="720" w:footer="720" w:gutter="0"/>
          <w:paperSrc w:first="15" w:other="15"/>
          <w:pgNumType w:start="1"/>
          <w:cols w:space="720"/>
          <w:titlePg/>
          <w:docGrid w:linePitch="360"/>
        </w:sectPr>
      </w:pPr>
    </w:p>
    <w:p w14:paraId="01DD3A63" w14:textId="77777777" w:rsidR="000E0395" w:rsidRPr="000E0395" w:rsidRDefault="000E0395" w:rsidP="000E0395">
      <w:pPr>
        <w:tabs>
          <w:tab w:val="left" w:pos="8564"/>
        </w:tabs>
        <w:rPr>
          <w:rFonts w:ascii="Tahoma" w:eastAsia="Calibri" w:hAnsi="Tahoma" w:cs="Tahoma"/>
          <w:sz w:val="20"/>
        </w:rPr>
      </w:pPr>
      <w:r w:rsidRPr="000E0395">
        <w:rPr>
          <w:rFonts w:ascii="Tahoma" w:eastAsia="Calibri" w:hAnsi="Tahoma" w:cs="Tahoma"/>
          <w:sz w:val="20"/>
        </w:rPr>
        <w:lastRenderedPageBreak/>
        <w:tab/>
      </w:r>
    </w:p>
    <w:p w14:paraId="1F159706" w14:textId="77777777" w:rsidR="000E0395" w:rsidRPr="000E0395" w:rsidRDefault="000E0395" w:rsidP="000E0395">
      <w:pPr>
        <w:rPr>
          <w:rFonts w:ascii="Tahoma" w:eastAsia="Calibri" w:hAnsi="Tahoma" w:cs="Tahoma"/>
          <w:sz w:val="20"/>
        </w:rPr>
      </w:pPr>
    </w:p>
    <w:p w14:paraId="1A4F775C" w14:textId="77777777" w:rsidR="000E0395" w:rsidRPr="000E0395" w:rsidRDefault="000E0395" w:rsidP="000E0395">
      <w:pPr>
        <w:rPr>
          <w:rFonts w:ascii="Tahoma" w:eastAsia="Calibri" w:hAnsi="Tahoma" w:cs="Tahoma"/>
          <w:sz w:val="20"/>
        </w:rPr>
      </w:pPr>
    </w:p>
    <w:p w14:paraId="75A2B50C" w14:textId="77777777" w:rsidR="000E0395" w:rsidRPr="000E0395" w:rsidRDefault="000E0395" w:rsidP="000E0395">
      <w:pPr>
        <w:keepNext/>
        <w:keepLines/>
        <w:spacing w:before="240" w:line="259" w:lineRule="auto"/>
        <w:outlineLvl w:val="0"/>
        <w:rPr>
          <w:rFonts w:ascii="Calibri Light" w:hAnsi="Calibri Light"/>
          <w:b/>
          <w:color w:val="2E74B5"/>
          <w:sz w:val="32"/>
          <w:szCs w:val="32"/>
          <w:u w:val="single"/>
        </w:rPr>
      </w:pPr>
      <w:r w:rsidRPr="000E0395">
        <w:rPr>
          <w:rFonts w:ascii="Calibri Light" w:hAnsi="Calibri Light"/>
          <w:b/>
          <w:color w:val="2E74B5"/>
          <w:sz w:val="32"/>
          <w:szCs w:val="32"/>
          <w:u w:val="single"/>
        </w:rPr>
        <w:t>Blessing Memos</w:t>
      </w:r>
    </w:p>
    <w:p w14:paraId="7E088923" w14:textId="77777777" w:rsidR="000E0395" w:rsidRPr="000E0395" w:rsidRDefault="000E0395" w:rsidP="000E0395">
      <w:pPr>
        <w:spacing w:after="160" w:line="259" w:lineRule="auto"/>
        <w:rPr>
          <w:rFonts w:ascii="Calibri" w:eastAsia="Calibri" w:hAnsi="Calibri"/>
          <w:sz w:val="22"/>
          <w:szCs w:val="22"/>
        </w:rPr>
      </w:pPr>
    </w:p>
    <w:p w14:paraId="2882069E" w14:textId="77777777" w:rsidR="000E0395" w:rsidRPr="000E0395" w:rsidRDefault="000E0395" w:rsidP="000E0395">
      <w:pPr>
        <w:keepNext/>
        <w:keepLines/>
        <w:spacing w:before="240" w:line="259" w:lineRule="auto"/>
        <w:outlineLvl w:val="0"/>
        <w:rPr>
          <w:rFonts w:ascii="Calibri Light" w:hAnsi="Calibri Light"/>
          <w:b/>
          <w:color w:val="2E74B5"/>
          <w:sz w:val="32"/>
          <w:szCs w:val="32"/>
        </w:rPr>
      </w:pPr>
      <w:r w:rsidRPr="000E0395">
        <w:rPr>
          <w:rFonts w:ascii="Calibri Light" w:hAnsi="Calibri Light"/>
          <w:b/>
          <w:color w:val="2E74B5"/>
          <w:sz w:val="32"/>
          <w:szCs w:val="32"/>
        </w:rPr>
        <w:t>RESIDENTIAL PROGRAMS</w:t>
      </w:r>
    </w:p>
    <w:p w14:paraId="1F449B77"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260CE352" w14:textId="77777777" w:rsidR="000E0395" w:rsidRPr="000E0395" w:rsidRDefault="000E0395" w:rsidP="000E0395">
      <w:pPr>
        <w:keepNext/>
        <w:keepLines/>
        <w:spacing w:before="40" w:line="259" w:lineRule="auto"/>
        <w:outlineLvl w:val="1"/>
        <w:rPr>
          <w:rFonts w:ascii="Calibri Light" w:hAnsi="Calibri Light"/>
          <w:color w:val="2E74B5"/>
          <w:sz w:val="20"/>
          <w:szCs w:val="26"/>
        </w:rPr>
      </w:pPr>
      <w:r w:rsidRPr="000E0395">
        <w:rPr>
          <w:rFonts w:ascii="Calibri Light" w:hAnsi="Calibri Light"/>
          <w:color w:val="1F4D78"/>
          <w:szCs w:val="24"/>
        </w:rPr>
        <w:t>Existing Homes</w:t>
      </w:r>
      <w:r w:rsidRPr="000E0395">
        <w:rPr>
          <w:rFonts w:ascii="Calibri Light" w:hAnsi="Calibri Light"/>
          <w:color w:val="1F4D78"/>
          <w:szCs w:val="24"/>
        </w:rPr>
        <w:tab/>
        <w:t>1.0gpm Bath Aerator</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"Build Your Own" Kit, 65% installation rate</w:t>
      </w:r>
    </w:p>
    <w:p w14:paraId="57799861" w14:textId="77777777" w:rsidR="000E0395" w:rsidRPr="000E0395" w:rsidRDefault="000E0395" w:rsidP="000E0395">
      <w:pPr>
        <w:keepNext/>
        <w:keepLines/>
        <w:spacing w:before="40" w:line="259" w:lineRule="auto"/>
        <w:outlineLvl w:val="1"/>
        <w:rPr>
          <w:rFonts w:ascii="Calibri Light" w:hAnsi="Calibri Light"/>
          <w:color w:val="2E74B5"/>
          <w:sz w:val="20"/>
          <w:szCs w:val="26"/>
        </w:rPr>
      </w:pPr>
      <w:r w:rsidRPr="000E0395">
        <w:rPr>
          <w:rFonts w:ascii="Calibri Light" w:hAnsi="Calibri Light"/>
          <w:color w:val="1F4D78"/>
          <w:szCs w:val="24"/>
        </w:rPr>
        <w:t>Existing Homes</w:t>
      </w:r>
      <w:r w:rsidRPr="000E0395">
        <w:rPr>
          <w:rFonts w:ascii="Calibri Light" w:hAnsi="Calibri Light"/>
          <w:color w:val="1F4D78"/>
          <w:szCs w:val="24"/>
        </w:rPr>
        <w:tab/>
        <w:t>1.5gpm Kitchen Aerator</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"Build Your Own" Kit, 65% installation rate</w:t>
      </w:r>
    </w:p>
    <w:p w14:paraId="6ED7A80A" w14:textId="77777777" w:rsidR="000E0395" w:rsidRPr="000E0395" w:rsidRDefault="000E0395" w:rsidP="000E0395">
      <w:pPr>
        <w:keepNext/>
        <w:keepLines/>
        <w:spacing w:before="40" w:line="259" w:lineRule="auto"/>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1.75gpm Showerhead Gas 2014</w:t>
      </w:r>
      <w:r w:rsidRPr="000E0395">
        <w:rPr>
          <w:rFonts w:ascii="Calibri Light" w:hAnsi="Calibri Light"/>
          <w:color w:val="2E74B5"/>
          <w:sz w:val="26"/>
          <w:szCs w:val="26"/>
        </w:rPr>
        <w:tab/>
      </w:r>
      <w:r w:rsidRPr="000E0395">
        <w:rPr>
          <w:rFonts w:ascii="Calibri Light" w:hAnsi="Calibri Light"/>
          <w:color w:val="2E74B5"/>
          <w:sz w:val="20"/>
          <w:szCs w:val="26"/>
        </w:rPr>
        <w:t>"Build Your Own" Kit, 75% installation rate</w:t>
      </w:r>
    </w:p>
    <w:p w14:paraId="62566990" w14:textId="77777777" w:rsidR="000E0395" w:rsidRPr="000E0395" w:rsidRDefault="000E0395" w:rsidP="000E0395">
      <w:pPr>
        <w:ind w:left="720"/>
        <w:rPr>
          <w:rFonts w:ascii="Tahoma" w:eastAsia="Calibri" w:hAnsi="Tahoma" w:cs="Tahoma"/>
          <w:b/>
          <w:sz w:val="20"/>
        </w:rPr>
      </w:pPr>
    </w:p>
    <w:p w14:paraId="281CA2BD" w14:textId="77777777" w:rsidR="000E0395" w:rsidRPr="000E0395" w:rsidRDefault="000E0395" w:rsidP="000E0395">
      <w:pPr>
        <w:ind w:left="720"/>
        <w:rPr>
          <w:rFonts w:ascii="Tahoma" w:eastAsia="Calibri" w:hAnsi="Tahoma" w:cs="Tahoma"/>
          <w:b/>
          <w:sz w:val="20"/>
        </w:rPr>
      </w:pPr>
      <w:r w:rsidRPr="000E0395">
        <w:rPr>
          <w:rFonts w:ascii="Tahoma" w:eastAsia="Calibri" w:hAnsi="Tahoma" w:cs="Tahoma"/>
          <w:b/>
          <w:sz w:val="20"/>
        </w:rPr>
        <w:t>March 20, 2014</w:t>
      </w:r>
    </w:p>
    <w:p w14:paraId="6D9BF5F0" w14:textId="77777777" w:rsidR="000E0395" w:rsidRPr="000E0395" w:rsidRDefault="000E0395" w:rsidP="000E0395">
      <w:pPr>
        <w:ind w:left="720"/>
        <w:rPr>
          <w:rFonts w:ascii="Tahoma" w:eastAsia="Calibri" w:hAnsi="Tahoma" w:cs="Tahoma"/>
          <w:sz w:val="20"/>
        </w:rPr>
      </w:pPr>
    </w:p>
    <w:p w14:paraId="1336EAC2" w14:textId="77777777" w:rsidR="000E0395" w:rsidRPr="000E0395" w:rsidRDefault="000E0395" w:rsidP="000E0395">
      <w:pPr>
        <w:ind w:left="720"/>
        <w:rPr>
          <w:rFonts w:ascii="Tahoma" w:eastAsia="Calibri" w:hAnsi="Tahoma" w:cs="Tahoma"/>
          <w:sz w:val="20"/>
        </w:rPr>
      </w:pPr>
      <w:r w:rsidRPr="000E0395">
        <w:rPr>
          <w:rFonts w:ascii="Tahoma" w:eastAsia="Calibri" w:hAnsi="Tahoma" w:cs="Tahoma"/>
          <w:sz w:val="20"/>
        </w:rPr>
        <w:t xml:space="preserve">Blessing Memo for Leave </w:t>
      </w:r>
      <w:proofErr w:type="gramStart"/>
      <w:r w:rsidRPr="000E0395">
        <w:rPr>
          <w:rFonts w:ascii="Tahoma" w:eastAsia="Calibri" w:hAnsi="Tahoma" w:cs="Tahoma"/>
          <w:sz w:val="20"/>
        </w:rPr>
        <w:t>Behind</w:t>
      </w:r>
      <w:proofErr w:type="gramEnd"/>
      <w:r w:rsidRPr="000E0395">
        <w:rPr>
          <w:rFonts w:ascii="Tahoma" w:eastAsia="Calibri" w:hAnsi="Tahoma" w:cs="Tahoma"/>
          <w:sz w:val="20"/>
        </w:rPr>
        <w:t xml:space="preserve"> Showerheads, </w:t>
      </w:r>
      <w:proofErr w:type="spellStart"/>
      <w:r w:rsidRPr="000E0395">
        <w:rPr>
          <w:rFonts w:ascii="Tahoma" w:eastAsia="Calibri" w:hAnsi="Tahoma" w:cs="Tahoma"/>
          <w:sz w:val="20"/>
        </w:rPr>
        <w:t>Showerwands</w:t>
      </w:r>
      <w:proofErr w:type="spellEnd"/>
      <w:r w:rsidRPr="000E0395">
        <w:rPr>
          <w:rFonts w:ascii="Tahoma" w:eastAsia="Calibri" w:hAnsi="Tahoma" w:cs="Tahoma"/>
          <w:sz w:val="20"/>
        </w:rPr>
        <w:t>, and Aerators in Washington</w:t>
      </w:r>
    </w:p>
    <w:p w14:paraId="3CD8BD9D" w14:textId="77777777" w:rsidR="000E0395" w:rsidRPr="000E0395" w:rsidRDefault="000E0395" w:rsidP="000E0395">
      <w:pPr>
        <w:ind w:left="720"/>
        <w:rPr>
          <w:rFonts w:ascii="Calibri" w:eastAsia="Calibri" w:hAnsi="Calibri" w:cs="Calibri"/>
          <w:sz w:val="22"/>
          <w:szCs w:val="22"/>
        </w:rPr>
      </w:pPr>
    </w:p>
    <w:p w14:paraId="61EEFF28" w14:textId="77777777" w:rsidR="000E0395" w:rsidRPr="000E0395" w:rsidRDefault="000E0395" w:rsidP="000E0395">
      <w:pPr>
        <w:ind w:left="720"/>
        <w:rPr>
          <w:rFonts w:ascii="Calibri" w:eastAsia="Calibri" w:hAnsi="Calibri"/>
          <w:b/>
          <w:bCs/>
          <w:sz w:val="22"/>
          <w:szCs w:val="22"/>
        </w:rPr>
      </w:pPr>
      <w:r w:rsidRPr="000E0395">
        <w:rPr>
          <w:rFonts w:ascii="Calibri" w:eastAsia="Calibri" w:hAnsi="Calibri"/>
          <w:b/>
          <w:bCs/>
          <w:sz w:val="22"/>
          <w:szCs w:val="22"/>
        </w:rPr>
        <w:t xml:space="preserve">T Blessing Memo for Leave </w:t>
      </w:r>
      <w:proofErr w:type="gramStart"/>
      <w:r w:rsidRPr="000E0395">
        <w:rPr>
          <w:rFonts w:ascii="Calibri" w:eastAsia="Calibri" w:hAnsi="Calibri"/>
          <w:b/>
          <w:bCs/>
          <w:sz w:val="22"/>
          <w:szCs w:val="22"/>
        </w:rPr>
        <w:t>Behind</w:t>
      </w:r>
      <w:proofErr w:type="gramEnd"/>
      <w:r w:rsidRPr="000E0395">
        <w:rPr>
          <w:rFonts w:ascii="Calibri" w:eastAsia="Calibri" w:hAnsi="Calibri"/>
          <w:b/>
          <w:bCs/>
          <w:sz w:val="22"/>
          <w:szCs w:val="22"/>
        </w:rPr>
        <w:t xml:space="preserve"> Showerheads, </w:t>
      </w:r>
      <w:proofErr w:type="spellStart"/>
      <w:r w:rsidRPr="000E0395">
        <w:rPr>
          <w:rFonts w:ascii="Calibri" w:eastAsia="Calibri" w:hAnsi="Calibri"/>
          <w:b/>
          <w:bCs/>
          <w:sz w:val="22"/>
          <w:szCs w:val="22"/>
        </w:rPr>
        <w:t>Showerwands</w:t>
      </w:r>
      <w:proofErr w:type="spellEnd"/>
      <w:r w:rsidRPr="000E0395">
        <w:rPr>
          <w:rFonts w:ascii="Calibri" w:eastAsia="Calibri" w:hAnsi="Calibri"/>
          <w:b/>
          <w:bCs/>
          <w:sz w:val="22"/>
          <w:szCs w:val="22"/>
        </w:rPr>
        <w:t>, and Aerators in Washington</w:t>
      </w:r>
    </w:p>
    <w:p w14:paraId="28BF9A8B" w14:textId="77777777" w:rsidR="000E0395" w:rsidRPr="000E0395" w:rsidRDefault="000E0395" w:rsidP="000E0395">
      <w:pPr>
        <w:ind w:left="720"/>
        <w:rPr>
          <w:rFonts w:ascii="Calibri" w:eastAsia="Calibri" w:hAnsi="Calibri"/>
          <w:b/>
          <w:bCs/>
          <w:sz w:val="22"/>
          <w:szCs w:val="22"/>
        </w:rPr>
      </w:pPr>
    </w:p>
    <w:p w14:paraId="59988762" w14:textId="77777777" w:rsidR="000E0395" w:rsidRPr="000E0395" w:rsidRDefault="000E0395" w:rsidP="000E0395">
      <w:pPr>
        <w:ind w:left="720"/>
        <w:rPr>
          <w:rFonts w:ascii="Calibri" w:eastAsia="Calibri" w:hAnsi="Calibri"/>
          <w:b/>
          <w:bCs/>
          <w:sz w:val="22"/>
          <w:szCs w:val="22"/>
        </w:rPr>
      </w:pPr>
      <w:r w:rsidRPr="000E0395">
        <w:rPr>
          <w:rFonts w:ascii="Calibri" w:eastAsia="Calibri" w:hAnsi="Calibri"/>
          <w:b/>
          <w:bCs/>
          <w:sz w:val="22"/>
          <w:szCs w:val="22"/>
        </w:rPr>
        <w:t>End Use</w:t>
      </w:r>
    </w:p>
    <w:p w14:paraId="4B8E9FFB"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 xml:space="preserve">Showerheads, </w:t>
      </w:r>
      <w:proofErr w:type="spellStart"/>
      <w:r w:rsidRPr="000E0395">
        <w:rPr>
          <w:rFonts w:ascii="Calibri" w:eastAsia="Calibri" w:hAnsi="Calibri"/>
          <w:sz w:val="22"/>
          <w:szCs w:val="22"/>
        </w:rPr>
        <w:t>showerwands</w:t>
      </w:r>
      <w:proofErr w:type="spellEnd"/>
      <w:r w:rsidRPr="000E0395">
        <w:rPr>
          <w:rFonts w:ascii="Calibri" w:eastAsia="Calibri" w:hAnsi="Calibri"/>
          <w:sz w:val="22"/>
          <w:szCs w:val="22"/>
        </w:rPr>
        <w:t xml:space="preserve">, and aerators in NW Natural Washington service territory </w:t>
      </w:r>
    </w:p>
    <w:p w14:paraId="399C30CF" w14:textId="77777777" w:rsidR="000E0395" w:rsidRPr="000E0395" w:rsidRDefault="000E0395" w:rsidP="000E0395">
      <w:pPr>
        <w:ind w:left="720"/>
        <w:rPr>
          <w:rFonts w:ascii="Calibri" w:eastAsia="Calibri" w:hAnsi="Calibri"/>
          <w:b/>
          <w:bCs/>
          <w:sz w:val="22"/>
          <w:szCs w:val="22"/>
        </w:rPr>
      </w:pPr>
    </w:p>
    <w:p w14:paraId="380939C2" w14:textId="77777777" w:rsidR="000E0395" w:rsidRPr="000E0395" w:rsidRDefault="000E0395" w:rsidP="000E0395">
      <w:pPr>
        <w:ind w:left="720"/>
        <w:rPr>
          <w:rFonts w:ascii="Calibri" w:eastAsia="Calibri" w:hAnsi="Calibri"/>
          <w:b/>
          <w:bCs/>
          <w:sz w:val="22"/>
          <w:szCs w:val="22"/>
        </w:rPr>
      </w:pPr>
      <w:r w:rsidRPr="000E0395">
        <w:rPr>
          <w:rFonts w:ascii="Calibri" w:eastAsia="Calibri" w:hAnsi="Calibri"/>
          <w:b/>
          <w:bCs/>
          <w:sz w:val="22"/>
          <w:szCs w:val="22"/>
        </w:rPr>
        <w:t>Scope</w:t>
      </w:r>
    </w:p>
    <w:p w14:paraId="54F9A908"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 xml:space="preserve">1.75 or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showerhead,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w:t>
      </w:r>
      <w:proofErr w:type="spellStart"/>
      <w:r w:rsidRPr="000E0395">
        <w:rPr>
          <w:rFonts w:ascii="Calibri" w:eastAsia="Calibri" w:hAnsi="Calibri"/>
          <w:sz w:val="22"/>
          <w:szCs w:val="22"/>
        </w:rPr>
        <w:t>showerwand</w:t>
      </w:r>
      <w:proofErr w:type="spellEnd"/>
      <w:r w:rsidRPr="000E0395">
        <w:rPr>
          <w:rFonts w:ascii="Calibri" w:eastAsia="Calibri" w:hAnsi="Calibri"/>
          <w:sz w:val="22"/>
          <w:szCs w:val="22"/>
        </w:rPr>
        <w:t xml:space="preserve">, 2.0 or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kitchen faucet aerator, and 1.5 or 1.0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bathroom faucet aerator</w:t>
      </w:r>
    </w:p>
    <w:p w14:paraId="08D684C8" w14:textId="77777777" w:rsidR="000E0395" w:rsidRPr="000E0395" w:rsidRDefault="000E0395" w:rsidP="000E0395">
      <w:pPr>
        <w:ind w:left="720"/>
        <w:rPr>
          <w:rFonts w:ascii="Calibri" w:eastAsia="Calibri" w:hAnsi="Calibri"/>
          <w:b/>
          <w:bCs/>
          <w:sz w:val="22"/>
          <w:szCs w:val="22"/>
        </w:rPr>
      </w:pPr>
    </w:p>
    <w:p w14:paraId="28B09D36" w14:textId="77777777" w:rsidR="000E0395" w:rsidRPr="000E0395" w:rsidRDefault="000E0395" w:rsidP="000E0395">
      <w:pPr>
        <w:ind w:left="720"/>
        <w:rPr>
          <w:rFonts w:ascii="Calibri" w:eastAsia="Calibri" w:hAnsi="Calibri"/>
          <w:b/>
          <w:bCs/>
          <w:sz w:val="22"/>
          <w:szCs w:val="22"/>
        </w:rPr>
      </w:pPr>
      <w:r w:rsidRPr="000E0395">
        <w:rPr>
          <w:rFonts w:ascii="Calibri" w:eastAsia="Calibri" w:hAnsi="Calibri"/>
          <w:b/>
          <w:bCs/>
          <w:sz w:val="22"/>
          <w:szCs w:val="22"/>
        </w:rPr>
        <w:t>Program</w:t>
      </w:r>
    </w:p>
    <w:p w14:paraId="1A8BEF12"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Based on the referenced analysis and associated cost-effectiveness screening, the measure described below is “blessed” on a prospective basis for inclusion in the Home Energy Savings in NW Natural Washington service territory.</w:t>
      </w:r>
    </w:p>
    <w:p w14:paraId="055F3FD6" w14:textId="77777777" w:rsidR="000E0395" w:rsidRPr="000E0395" w:rsidRDefault="000E0395" w:rsidP="000E0395">
      <w:pPr>
        <w:ind w:left="720"/>
        <w:rPr>
          <w:rFonts w:ascii="Calibri" w:eastAsia="Calibri" w:hAnsi="Calibri"/>
          <w:b/>
          <w:bCs/>
          <w:sz w:val="22"/>
          <w:szCs w:val="22"/>
        </w:rPr>
      </w:pPr>
    </w:p>
    <w:p w14:paraId="3220B45C" w14:textId="77777777" w:rsidR="000E0395" w:rsidRPr="000E0395" w:rsidRDefault="000E0395" w:rsidP="000E0395">
      <w:pPr>
        <w:ind w:left="720"/>
        <w:rPr>
          <w:rFonts w:ascii="Calibri" w:eastAsia="Calibri" w:hAnsi="Calibri"/>
          <w:sz w:val="22"/>
          <w:szCs w:val="22"/>
        </w:rPr>
      </w:pPr>
      <w:r w:rsidRPr="000E0395">
        <w:rPr>
          <w:rFonts w:ascii="Calibri" w:eastAsia="Calibri" w:hAnsi="Calibri"/>
          <w:b/>
          <w:bCs/>
          <w:sz w:val="22"/>
          <w:szCs w:val="22"/>
        </w:rPr>
        <w:t xml:space="preserve">Description of the Measure </w:t>
      </w:r>
    </w:p>
    <w:p w14:paraId="2BB3E911"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 xml:space="preserve">Showerheads, </w:t>
      </w:r>
      <w:proofErr w:type="spellStart"/>
      <w:r w:rsidRPr="000E0395">
        <w:rPr>
          <w:rFonts w:ascii="Calibri" w:eastAsia="Calibri" w:hAnsi="Calibri"/>
          <w:sz w:val="22"/>
          <w:szCs w:val="22"/>
        </w:rPr>
        <w:t>showerwands</w:t>
      </w:r>
      <w:proofErr w:type="spellEnd"/>
      <w:r w:rsidRPr="000E0395">
        <w:rPr>
          <w:rFonts w:ascii="Calibri" w:eastAsia="Calibri" w:hAnsi="Calibri"/>
          <w:sz w:val="22"/>
          <w:szCs w:val="22"/>
        </w:rPr>
        <w:t>, and aerators reduce the amount of water heating energy by restricting the flow rate of water.</w:t>
      </w:r>
    </w:p>
    <w:p w14:paraId="3000FB22" w14:textId="77777777" w:rsidR="000E0395" w:rsidRPr="000E0395" w:rsidRDefault="000E0395" w:rsidP="000E0395">
      <w:pPr>
        <w:ind w:left="720"/>
        <w:rPr>
          <w:rFonts w:ascii="Calibri" w:eastAsia="Calibri" w:hAnsi="Calibri"/>
          <w:b/>
          <w:bCs/>
          <w:sz w:val="22"/>
          <w:szCs w:val="22"/>
        </w:rPr>
      </w:pPr>
    </w:p>
    <w:p w14:paraId="30AF058B" w14:textId="77777777" w:rsidR="000E0395" w:rsidRPr="000E0395" w:rsidRDefault="000E0395" w:rsidP="000E0395">
      <w:pPr>
        <w:ind w:left="720"/>
        <w:rPr>
          <w:rFonts w:ascii="Calibri" w:eastAsia="Calibri" w:hAnsi="Calibri"/>
          <w:sz w:val="22"/>
          <w:szCs w:val="22"/>
        </w:rPr>
      </w:pPr>
      <w:r w:rsidRPr="000E0395">
        <w:rPr>
          <w:rFonts w:ascii="Calibri" w:eastAsia="Calibri" w:hAnsi="Calibri"/>
          <w:b/>
          <w:bCs/>
          <w:sz w:val="22"/>
          <w:szCs w:val="22"/>
        </w:rPr>
        <w:t xml:space="preserve">Purpose of Evaluating Measure </w:t>
      </w:r>
    </w:p>
    <w:p w14:paraId="45747632"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 xml:space="preserve">This memo updates savings and incentives for showerheads, </w:t>
      </w:r>
      <w:proofErr w:type="spellStart"/>
      <w:r w:rsidRPr="000E0395">
        <w:rPr>
          <w:rFonts w:ascii="Calibri" w:eastAsia="Calibri" w:hAnsi="Calibri"/>
          <w:sz w:val="22"/>
          <w:szCs w:val="22"/>
        </w:rPr>
        <w:t>showerwands</w:t>
      </w:r>
      <w:proofErr w:type="spellEnd"/>
      <w:r w:rsidRPr="000E0395">
        <w:rPr>
          <w:rFonts w:ascii="Calibri" w:eastAsia="Calibri" w:hAnsi="Calibri"/>
          <w:sz w:val="22"/>
          <w:szCs w:val="22"/>
        </w:rPr>
        <w:t>, and aerators installed by the homeowner.  Homeowner installs are also called leave behinds.</w:t>
      </w:r>
    </w:p>
    <w:p w14:paraId="1FE727B2" w14:textId="77777777" w:rsidR="000E0395" w:rsidRPr="000E0395" w:rsidRDefault="000E0395" w:rsidP="000E0395">
      <w:pPr>
        <w:ind w:left="720"/>
        <w:rPr>
          <w:rFonts w:ascii="Calibri" w:eastAsia="Calibri" w:hAnsi="Calibri"/>
          <w:b/>
          <w:bCs/>
          <w:sz w:val="22"/>
          <w:szCs w:val="22"/>
        </w:rPr>
      </w:pPr>
    </w:p>
    <w:p w14:paraId="01EA8EBE" w14:textId="77777777" w:rsidR="000E0395" w:rsidRPr="000E0395" w:rsidRDefault="000E0395" w:rsidP="000E0395">
      <w:pPr>
        <w:ind w:left="720"/>
        <w:rPr>
          <w:rFonts w:ascii="Calibri" w:eastAsia="Calibri" w:hAnsi="Calibri"/>
          <w:b/>
          <w:bCs/>
          <w:sz w:val="22"/>
          <w:szCs w:val="22"/>
        </w:rPr>
      </w:pPr>
      <w:r w:rsidRPr="000E0395">
        <w:rPr>
          <w:rFonts w:ascii="Calibri" w:eastAsia="Calibri" w:hAnsi="Calibri"/>
          <w:b/>
          <w:bCs/>
          <w:sz w:val="22"/>
          <w:szCs w:val="22"/>
        </w:rPr>
        <w:t>Program Requirements</w:t>
      </w:r>
    </w:p>
    <w:p w14:paraId="1E72AF8B" w14:textId="77777777" w:rsidR="000E0395" w:rsidRPr="000E0395" w:rsidRDefault="000E0395" w:rsidP="000E0395">
      <w:pPr>
        <w:ind w:left="720"/>
        <w:rPr>
          <w:rFonts w:ascii="Calibri" w:eastAsia="Calibri" w:hAnsi="Calibri"/>
          <w:sz w:val="22"/>
          <w:szCs w:val="22"/>
        </w:rPr>
      </w:pPr>
      <w:proofErr w:type="gramStart"/>
      <w:r w:rsidRPr="000E0395">
        <w:rPr>
          <w:rFonts w:ascii="Calibri" w:eastAsia="Calibri" w:hAnsi="Calibri"/>
          <w:sz w:val="22"/>
          <w:szCs w:val="22"/>
        </w:rPr>
        <w:t>A maximum of 2 showerheads per household.</w:t>
      </w:r>
      <w:proofErr w:type="gramEnd"/>
      <w:r w:rsidRPr="000E0395">
        <w:rPr>
          <w:rFonts w:ascii="Calibri" w:eastAsia="Calibri" w:hAnsi="Calibri"/>
          <w:sz w:val="22"/>
          <w:szCs w:val="22"/>
        </w:rPr>
        <w:t xml:space="preserve">  1 </w:t>
      </w:r>
      <w:proofErr w:type="spellStart"/>
      <w:r w:rsidRPr="000E0395">
        <w:rPr>
          <w:rFonts w:ascii="Calibri" w:eastAsia="Calibri" w:hAnsi="Calibri"/>
          <w:sz w:val="22"/>
          <w:szCs w:val="22"/>
        </w:rPr>
        <w:t>showerwand</w:t>
      </w:r>
      <w:proofErr w:type="spellEnd"/>
      <w:r w:rsidRPr="000E0395">
        <w:rPr>
          <w:rFonts w:ascii="Calibri" w:eastAsia="Calibri" w:hAnsi="Calibri"/>
          <w:sz w:val="22"/>
          <w:szCs w:val="22"/>
        </w:rPr>
        <w:t xml:space="preserve"> may be substituted for a showerhead.  1 kitchen aerator per household and up to two bathroom faucet aerators</w:t>
      </w:r>
    </w:p>
    <w:p w14:paraId="30C53AE5" w14:textId="77777777" w:rsidR="000E0395" w:rsidRPr="000E0395" w:rsidRDefault="000E0395" w:rsidP="000E0395">
      <w:pPr>
        <w:ind w:left="720"/>
        <w:rPr>
          <w:rFonts w:ascii="Calibri" w:eastAsia="Calibri" w:hAnsi="Calibri"/>
          <w:sz w:val="22"/>
          <w:szCs w:val="22"/>
        </w:rPr>
      </w:pPr>
    </w:p>
    <w:p w14:paraId="1971340B" w14:textId="77777777" w:rsidR="000E0395" w:rsidRPr="000E0395" w:rsidRDefault="000E0395" w:rsidP="000E0395">
      <w:pPr>
        <w:spacing w:after="160" w:line="259" w:lineRule="auto"/>
        <w:rPr>
          <w:rFonts w:ascii="Calibri" w:eastAsia="Calibri" w:hAnsi="Calibri"/>
          <w:b/>
          <w:bCs/>
          <w:sz w:val="22"/>
          <w:szCs w:val="22"/>
        </w:rPr>
      </w:pPr>
      <w:r w:rsidRPr="000E0395">
        <w:rPr>
          <w:rFonts w:ascii="Calibri" w:eastAsia="Calibri" w:hAnsi="Calibri"/>
          <w:b/>
          <w:bCs/>
          <w:sz w:val="22"/>
          <w:szCs w:val="22"/>
        </w:rPr>
        <w:br w:type="page"/>
      </w:r>
    </w:p>
    <w:p w14:paraId="26E63D19" w14:textId="77777777" w:rsidR="000E0395" w:rsidRPr="000E0395" w:rsidRDefault="000E0395" w:rsidP="000E0395">
      <w:pPr>
        <w:ind w:left="720"/>
        <w:rPr>
          <w:rFonts w:ascii="Calibri" w:eastAsia="Calibri" w:hAnsi="Calibri"/>
          <w:b/>
          <w:bCs/>
          <w:sz w:val="22"/>
          <w:szCs w:val="22"/>
        </w:rPr>
      </w:pPr>
    </w:p>
    <w:tbl>
      <w:tblPr>
        <w:tblW w:w="9375" w:type="dxa"/>
        <w:tblInd w:w="720" w:type="dxa"/>
        <w:tblCellMar>
          <w:left w:w="0" w:type="dxa"/>
          <w:right w:w="0" w:type="dxa"/>
        </w:tblCellMar>
        <w:tblLook w:val="04A0" w:firstRow="1" w:lastRow="0" w:firstColumn="1" w:lastColumn="0" w:noHBand="0" w:noVBand="1"/>
      </w:tblPr>
      <w:tblGrid>
        <w:gridCol w:w="46"/>
        <w:gridCol w:w="1237"/>
        <w:gridCol w:w="45"/>
        <w:gridCol w:w="774"/>
        <w:gridCol w:w="60"/>
        <w:gridCol w:w="1242"/>
        <w:gridCol w:w="45"/>
        <w:gridCol w:w="825"/>
        <w:gridCol w:w="51"/>
        <w:gridCol w:w="750"/>
        <w:gridCol w:w="45"/>
        <w:gridCol w:w="535"/>
        <w:gridCol w:w="45"/>
        <w:gridCol w:w="905"/>
        <w:gridCol w:w="45"/>
        <w:gridCol w:w="745"/>
        <w:gridCol w:w="51"/>
        <w:gridCol w:w="889"/>
        <w:gridCol w:w="51"/>
        <w:gridCol w:w="889"/>
        <w:gridCol w:w="100"/>
      </w:tblGrid>
      <w:tr w:rsidR="000E0395" w:rsidRPr="000E0395" w14:paraId="09B25297" w14:textId="77777777" w:rsidTr="000E0395">
        <w:trPr>
          <w:trHeight w:val="934"/>
        </w:trPr>
        <w:tc>
          <w:tcPr>
            <w:tcW w:w="1283" w:type="dxa"/>
            <w:gridSpan w:val="2"/>
            <w:tcBorders>
              <w:top w:val="single" w:sz="12" w:space="0" w:color="auto"/>
              <w:left w:val="single" w:sz="12" w:space="0" w:color="auto"/>
              <w:bottom w:val="nil"/>
              <w:right w:val="single" w:sz="8" w:space="0" w:color="auto"/>
            </w:tcBorders>
            <w:shd w:val="clear" w:color="auto" w:fill="CCFFFF"/>
            <w:tcMar>
              <w:top w:w="0" w:type="dxa"/>
              <w:left w:w="30" w:type="dxa"/>
              <w:bottom w:w="0" w:type="dxa"/>
              <w:right w:w="30" w:type="dxa"/>
            </w:tcMar>
            <w:hideMark/>
          </w:tcPr>
          <w:p w14:paraId="69C2BD46"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 xml:space="preserve">Project </w:t>
            </w:r>
          </w:p>
        </w:tc>
        <w:tc>
          <w:tcPr>
            <w:tcW w:w="819"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6EE4146C"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Measure</w:t>
            </w:r>
          </w:p>
        </w:tc>
        <w:tc>
          <w:tcPr>
            <w:tcW w:w="1302"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3EF065F3"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 xml:space="preserve">Measure Lifetime (Maximum   70 </w:t>
            </w:r>
            <w:proofErr w:type="spellStart"/>
            <w:r w:rsidRPr="000E0395">
              <w:rPr>
                <w:rFonts w:eastAsia="Calibri" w:cs="Arial"/>
                <w:b/>
                <w:bCs/>
                <w:color w:val="000000"/>
                <w:sz w:val="18"/>
                <w:szCs w:val="18"/>
              </w:rPr>
              <w:t>yrs</w:t>
            </w:r>
            <w:proofErr w:type="spellEnd"/>
            <w:r w:rsidRPr="000E0395">
              <w:rPr>
                <w:rFonts w:eastAsia="Calibri" w:cs="Arial"/>
                <w:b/>
                <w:bCs/>
                <w:color w:val="000000"/>
                <w:sz w:val="18"/>
                <w:szCs w:val="18"/>
              </w:rPr>
              <w:t>)</w:t>
            </w:r>
          </w:p>
        </w:tc>
        <w:tc>
          <w:tcPr>
            <w:tcW w:w="870"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2783F8B7"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 xml:space="preserve">Annual </w:t>
            </w:r>
            <w:proofErr w:type="spellStart"/>
            <w:r w:rsidRPr="000E0395">
              <w:rPr>
                <w:rFonts w:eastAsia="Calibri" w:cs="Arial"/>
                <w:b/>
                <w:bCs/>
                <w:color w:val="000000"/>
                <w:sz w:val="18"/>
                <w:szCs w:val="18"/>
              </w:rPr>
              <w:t>Electricty</w:t>
            </w:r>
            <w:proofErr w:type="spellEnd"/>
            <w:r w:rsidRPr="000E0395">
              <w:rPr>
                <w:rFonts w:eastAsia="Calibri" w:cs="Arial"/>
                <w:b/>
                <w:bCs/>
                <w:color w:val="000000"/>
                <w:sz w:val="18"/>
                <w:szCs w:val="18"/>
              </w:rPr>
              <w:t xml:space="preserve"> Savings, kWh</w:t>
            </w:r>
          </w:p>
        </w:tc>
        <w:tc>
          <w:tcPr>
            <w:tcW w:w="801"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0CE94B5E"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Annual Gas Savings, therm</w:t>
            </w:r>
          </w:p>
        </w:tc>
        <w:tc>
          <w:tcPr>
            <w:tcW w:w="580"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6CFD022E"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Total Cost</w:t>
            </w:r>
          </w:p>
        </w:tc>
        <w:tc>
          <w:tcPr>
            <w:tcW w:w="950" w:type="dxa"/>
            <w:gridSpan w:val="2"/>
            <w:tcBorders>
              <w:top w:val="single" w:sz="12" w:space="0" w:color="auto"/>
              <w:left w:val="nil"/>
              <w:bottom w:val="nil"/>
              <w:right w:val="single" w:sz="8" w:space="0" w:color="auto"/>
            </w:tcBorders>
            <w:shd w:val="clear" w:color="auto" w:fill="CCFFFF"/>
            <w:tcMar>
              <w:top w:w="0" w:type="dxa"/>
              <w:left w:w="30" w:type="dxa"/>
              <w:bottom w:w="0" w:type="dxa"/>
              <w:right w:w="30" w:type="dxa"/>
            </w:tcMar>
            <w:hideMark/>
          </w:tcPr>
          <w:p w14:paraId="41497EEB"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ETO Incentives</w:t>
            </w:r>
          </w:p>
        </w:tc>
        <w:tc>
          <w:tcPr>
            <w:tcW w:w="790" w:type="dxa"/>
            <w:gridSpan w:val="2"/>
            <w:tcBorders>
              <w:top w:val="double" w:sz="6" w:space="0" w:color="auto"/>
              <w:left w:val="nil"/>
              <w:bottom w:val="nil"/>
              <w:right w:val="double" w:sz="6" w:space="0" w:color="auto"/>
            </w:tcBorders>
            <w:shd w:val="clear" w:color="auto" w:fill="CCFFFF"/>
            <w:tcMar>
              <w:top w:w="0" w:type="dxa"/>
              <w:left w:w="30" w:type="dxa"/>
              <w:bottom w:w="0" w:type="dxa"/>
              <w:right w:w="30" w:type="dxa"/>
            </w:tcMar>
            <w:hideMark/>
          </w:tcPr>
          <w:p w14:paraId="3B96DFE7"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Non Energy Benefits (if any)</w:t>
            </w:r>
          </w:p>
        </w:tc>
        <w:tc>
          <w:tcPr>
            <w:tcW w:w="940" w:type="dxa"/>
            <w:gridSpan w:val="2"/>
            <w:tcBorders>
              <w:top w:val="double" w:sz="6" w:space="0" w:color="auto"/>
              <w:left w:val="nil"/>
              <w:bottom w:val="nil"/>
              <w:right w:val="nil"/>
            </w:tcBorders>
            <w:shd w:val="clear" w:color="auto" w:fill="FF99CC"/>
            <w:tcMar>
              <w:top w:w="0" w:type="dxa"/>
              <w:left w:w="30" w:type="dxa"/>
              <w:bottom w:w="0" w:type="dxa"/>
              <w:right w:w="30" w:type="dxa"/>
            </w:tcMar>
            <w:hideMark/>
          </w:tcPr>
          <w:p w14:paraId="2618754A"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Combined Utility System BCR</w:t>
            </w:r>
          </w:p>
        </w:tc>
        <w:tc>
          <w:tcPr>
            <w:tcW w:w="940" w:type="dxa"/>
            <w:gridSpan w:val="2"/>
            <w:tcBorders>
              <w:top w:val="double" w:sz="6" w:space="0" w:color="auto"/>
              <w:left w:val="single" w:sz="12" w:space="0" w:color="auto"/>
              <w:bottom w:val="nil"/>
              <w:right w:val="double" w:sz="6" w:space="0" w:color="auto"/>
            </w:tcBorders>
            <w:shd w:val="clear" w:color="auto" w:fill="FF99CC"/>
            <w:tcMar>
              <w:top w:w="0" w:type="dxa"/>
              <w:left w:w="30" w:type="dxa"/>
              <w:bottom w:w="0" w:type="dxa"/>
              <w:right w:w="30" w:type="dxa"/>
            </w:tcMar>
            <w:hideMark/>
          </w:tcPr>
          <w:p w14:paraId="13585F98"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Combined Societal BCR</w:t>
            </w:r>
          </w:p>
        </w:tc>
        <w:tc>
          <w:tcPr>
            <w:tcW w:w="100" w:type="dxa"/>
            <w:vAlign w:val="center"/>
            <w:hideMark/>
          </w:tcPr>
          <w:p w14:paraId="4057F72D"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624745E3" w14:textId="77777777" w:rsidTr="000E0395">
        <w:trPr>
          <w:trHeight w:val="260"/>
        </w:trPr>
        <w:tc>
          <w:tcPr>
            <w:tcW w:w="1283" w:type="dxa"/>
            <w:gridSpan w:val="2"/>
            <w:tcBorders>
              <w:top w:val="single" w:sz="12" w:space="0" w:color="auto"/>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19172B26"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Homeowner installed showerhead</w:t>
            </w:r>
          </w:p>
        </w:tc>
        <w:tc>
          <w:tcPr>
            <w:tcW w:w="819"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28DEFE70"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1.75 GPM</w:t>
            </w:r>
          </w:p>
        </w:tc>
        <w:tc>
          <w:tcPr>
            <w:tcW w:w="1302"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0DD3D9EB"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35BCDF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3F82131"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14.4</w:t>
            </w:r>
          </w:p>
        </w:tc>
        <w:tc>
          <w:tcPr>
            <w:tcW w:w="580"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211E26B3"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$3.60</w:t>
            </w:r>
          </w:p>
        </w:tc>
        <w:tc>
          <w:tcPr>
            <w:tcW w:w="950" w:type="dxa"/>
            <w:gridSpan w:val="2"/>
            <w:tcBorders>
              <w:top w:val="single" w:sz="12" w:space="0" w:color="auto"/>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CBF68F6"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$3.60</w:t>
            </w:r>
          </w:p>
        </w:tc>
        <w:tc>
          <w:tcPr>
            <w:tcW w:w="790" w:type="dxa"/>
            <w:gridSpan w:val="2"/>
            <w:tcBorders>
              <w:top w:val="single" w:sz="12" w:space="0" w:color="auto"/>
              <w:left w:val="nil"/>
              <w:bottom w:val="single" w:sz="8" w:space="0" w:color="auto"/>
              <w:right w:val="nil"/>
            </w:tcBorders>
            <w:shd w:val="clear" w:color="auto" w:fill="FFFFCC"/>
            <w:tcMar>
              <w:top w:w="0" w:type="dxa"/>
              <w:left w:w="30" w:type="dxa"/>
              <w:bottom w:w="0" w:type="dxa"/>
              <w:right w:w="30" w:type="dxa"/>
            </w:tcMar>
            <w:vAlign w:val="center"/>
            <w:hideMark/>
          </w:tcPr>
          <w:p w14:paraId="762A673A"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$212</w:t>
            </w:r>
          </w:p>
        </w:tc>
        <w:tc>
          <w:tcPr>
            <w:tcW w:w="940" w:type="dxa"/>
            <w:gridSpan w:val="2"/>
            <w:tcBorders>
              <w:top w:val="single" w:sz="12" w:space="0" w:color="auto"/>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53C70F4F"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35.83</w:t>
            </w:r>
          </w:p>
        </w:tc>
        <w:tc>
          <w:tcPr>
            <w:tcW w:w="940" w:type="dxa"/>
            <w:gridSpan w:val="2"/>
            <w:tcBorders>
              <w:top w:val="single" w:sz="12" w:space="0" w:color="auto"/>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16A3317A"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94.72</w:t>
            </w:r>
          </w:p>
        </w:tc>
        <w:tc>
          <w:tcPr>
            <w:tcW w:w="100" w:type="dxa"/>
            <w:vAlign w:val="center"/>
            <w:hideMark/>
          </w:tcPr>
          <w:p w14:paraId="0DADDEC1"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77E74B10" w14:textId="77777777" w:rsidTr="000E0395">
        <w:trPr>
          <w:trHeight w:val="260"/>
        </w:trPr>
        <w:tc>
          <w:tcPr>
            <w:tcW w:w="1283" w:type="dxa"/>
            <w:gridSpan w:val="2"/>
            <w:tcBorders>
              <w:top w:val="nil"/>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63510302"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Homeowner installed showerhead</w:t>
            </w:r>
          </w:p>
        </w:tc>
        <w:tc>
          <w:tcPr>
            <w:tcW w:w="819"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35ED52FF"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1.5 GPM</w:t>
            </w:r>
          </w:p>
        </w:tc>
        <w:tc>
          <w:tcPr>
            <w:tcW w:w="1302"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6C95D05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A673D73"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5AD517F"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17.9</w:t>
            </w:r>
          </w:p>
        </w:tc>
        <w:tc>
          <w:tcPr>
            <w:tcW w:w="58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51C647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$3.60</w:t>
            </w:r>
          </w:p>
        </w:tc>
        <w:tc>
          <w:tcPr>
            <w:tcW w:w="95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D47995F"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$3.60</w:t>
            </w:r>
          </w:p>
        </w:tc>
        <w:tc>
          <w:tcPr>
            <w:tcW w:w="790" w:type="dxa"/>
            <w:gridSpan w:val="2"/>
            <w:tcBorders>
              <w:top w:val="nil"/>
              <w:left w:val="nil"/>
              <w:bottom w:val="single" w:sz="8" w:space="0" w:color="auto"/>
              <w:right w:val="nil"/>
            </w:tcBorders>
            <w:shd w:val="clear" w:color="auto" w:fill="FFFFCC"/>
            <w:tcMar>
              <w:top w:w="0" w:type="dxa"/>
              <w:left w:w="30" w:type="dxa"/>
              <w:bottom w:w="0" w:type="dxa"/>
              <w:right w:w="30" w:type="dxa"/>
            </w:tcMar>
            <w:vAlign w:val="center"/>
            <w:hideMark/>
          </w:tcPr>
          <w:p w14:paraId="3ED3D7C9"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$263</w:t>
            </w:r>
          </w:p>
        </w:tc>
        <w:tc>
          <w:tcPr>
            <w:tcW w:w="940" w:type="dxa"/>
            <w:gridSpan w:val="2"/>
            <w:tcBorders>
              <w:top w:val="nil"/>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600A00AD"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44.44</w:t>
            </w:r>
          </w:p>
        </w:tc>
        <w:tc>
          <w:tcPr>
            <w:tcW w:w="940" w:type="dxa"/>
            <w:gridSpan w:val="2"/>
            <w:tcBorders>
              <w:top w:val="nil"/>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7AC8D1B3"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117.50</w:t>
            </w:r>
          </w:p>
        </w:tc>
        <w:tc>
          <w:tcPr>
            <w:tcW w:w="100" w:type="dxa"/>
            <w:vAlign w:val="center"/>
            <w:hideMark/>
          </w:tcPr>
          <w:p w14:paraId="0521AC9A"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2CAF5767" w14:textId="77777777" w:rsidTr="000E0395">
        <w:trPr>
          <w:trHeight w:val="260"/>
        </w:trPr>
        <w:tc>
          <w:tcPr>
            <w:tcW w:w="1283" w:type="dxa"/>
            <w:gridSpan w:val="2"/>
            <w:tcBorders>
              <w:top w:val="nil"/>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7F378AB6"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 xml:space="preserve">Homeowner installed </w:t>
            </w:r>
            <w:proofErr w:type="spellStart"/>
            <w:r w:rsidRPr="000E0395">
              <w:rPr>
                <w:rFonts w:eastAsia="Calibri" w:cs="Arial"/>
                <w:b/>
                <w:bCs/>
                <w:color w:val="000000"/>
                <w:sz w:val="18"/>
                <w:szCs w:val="18"/>
              </w:rPr>
              <w:t>showerwand</w:t>
            </w:r>
            <w:proofErr w:type="spellEnd"/>
          </w:p>
        </w:tc>
        <w:tc>
          <w:tcPr>
            <w:tcW w:w="819"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0D16986"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1.5 GPM</w:t>
            </w:r>
          </w:p>
        </w:tc>
        <w:tc>
          <w:tcPr>
            <w:tcW w:w="1302"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CC9E177"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7DB7D6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3A65C256"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13.3</w:t>
            </w:r>
          </w:p>
        </w:tc>
        <w:tc>
          <w:tcPr>
            <w:tcW w:w="58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6CDD3DD3"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$7.21</w:t>
            </w:r>
          </w:p>
        </w:tc>
        <w:tc>
          <w:tcPr>
            <w:tcW w:w="95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E99A6A8"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$7.21</w:t>
            </w:r>
          </w:p>
        </w:tc>
        <w:tc>
          <w:tcPr>
            <w:tcW w:w="790" w:type="dxa"/>
            <w:gridSpan w:val="2"/>
            <w:tcBorders>
              <w:top w:val="nil"/>
              <w:left w:val="nil"/>
              <w:bottom w:val="single" w:sz="8" w:space="0" w:color="auto"/>
              <w:right w:val="nil"/>
            </w:tcBorders>
            <w:shd w:val="clear" w:color="auto" w:fill="FFFFCC"/>
            <w:tcMar>
              <w:top w:w="0" w:type="dxa"/>
              <w:left w:w="30" w:type="dxa"/>
              <w:bottom w:w="0" w:type="dxa"/>
              <w:right w:w="30" w:type="dxa"/>
            </w:tcMar>
            <w:vAlign w:val="center"/>
            <w:hideMark/>
          </w:tcPr>
          <w:p w14:paraId="679B8785"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$197</w:t>
            </w:r>
          </w:p>
        </w:tc>
        <w:tc>
          <w:tcPr>
            <w:tcW w:w="940" w:type="dxa"/>
            <w:gridSpan w:val="2"/>
            <w:tcBorders>
              <w:top w:val="nil"/>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54AAE955"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16.5</w:t>
            </w:r>
          </w:p>
        </w:tc>
        <w:tc>
          <w:tcPr>
            <w:tcW w:w="940" w:type="dxa"/>
            <w:gridSpan w:val="2"/>
            <w:tcBorders>
              <w:top w:val="nil"/>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3BC650EC"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43.83</w:t>
            </w:r>
          </w:p>
        </w:tc>
        <w:tc>
          <w:tcPr>
            <w:tcW w:w="100" w:type="dxa"/>
            <w:vAlign w:val="center"/>
            <w:hideMark/>
          </w:tcPr>
          <w:p w14:paraId="421B4EEB"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18E3EB54" w14:textId="77777777" w:rsidTr="000E0395">
        <w:trPr>
          <w:trHeight w:val="260"/>
        </w:trPr>
        <w:tc>
          <w:tcPr>
            <w:tcW w:w="1283" w:type="dxa"/>
            <w:gridSpan w:val="2"/>
            <w:tcBorders>
              <w:top w:val="nil"/>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5DB8CF93"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Homeowner installed kitchen aerator</w:t>
            </w:r>
          </w:p>
        </w:tc>
        <w:tc>
          <w:tcPr>
            <w:tcW w:w="819"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6002D58"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2.0 GPM</w:t>
            </w:r>
          </w:p>
        </w:tc>
        <w:tc>
          <w:tcPr>
            <w:tcW w:w="1302"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FD854E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93CC8ED"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3BF504BD"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3.8</w:t>
            </w:r>
          </w:p>
        </w:tc>
        <w:tc>
          <w:tcPr>
            <w:tcW w:w="58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1C39BEE"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$2.07</w:t>
            </w:r>
          </w:p>
        </w:tc>
        <w:tc>
          <w:tcPr>
            <w:tcW w:w="95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0841C81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$2.07</w:t>
            </w:r>
          </w:p>
        </w:tc>
        <w:tc>
          <w:tcPr>
            <w:tcW w:w="790" w:type="dxa"/>
            <w:gridSpan w:val="2"/>
            <w:tcBorders>
              <w:top w:val="nil"/>
              <w:left w:val="nil"/>
              <w:bottom w:val="single" w:sz="8" w:space="0" w:color="auto"/>
              <w:right w:val="nil"/>
            </w:tcBorders>
            <w:shd w:val="clear" w:color="auto" w:fill="FFFFCC"/>
            <w:tcMar>
              <w:top w:w="0" w:type="dxa"/>
              <w:left w:w="30" w:type="dxa"/>
              <w:bottom w:w="0" w:type="dxa"/>
              <w:right w:w="30" w:type="dxa"/>
            </w:tcMar>
            <w:vAlign w:val="center"/>
            <w:hideMark/>
          </w:tcPr>
          <w:p w14:paraId="5EA4D60B"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$56</w:t>
            </w:r>
          </w:p>
        </w:tc>
        <w:tc>
          <w:tcPr>
            <w:tcW w:w="940" w:type="dxa"/>
            <w:gridSpan w:val="2"/>
            <w:tcBorders>
              <w:top w:val="nil"/>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74B441BA"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16.43</w:t>
            </w:r>
          </w:p>
        </w:tc>
        <w:tc>
          <w:tcPr>
            <w:tcW w:w="940" w:type="dxa"/>
            <w:gridSpan w:val="2"/>
            <w:tcBorders>
              <w:top w:val="nil"/>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424A85B0"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43.48</w:t>
            </w:r>
          </w:p>
        </w:tc>
        <w:tc>
          <w:tcPr>
            <w:tcW w:w="100" w:type="dxa"/>
            <w:vAlign w:val="center"/>
            <w:hideMark/>
          </w:tcPr>
          <w:p w14:paraId="3FF79A36"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29FD6B94" w14:textId="77777777" w:rsidTr="000E0395">
        <w:trPr>
          <w:trHeight w:val="236"/>
        </w:trPr>
        <w:tc>
          <w:tcPr>
            <w:tcW w:w="1283" w:type="dxa"/>
            <w:gridSpan w:val="2"/>
            <w:tcBorders>
              <w:top w:val="nil"/>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7AC7A398"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Homeowner installed kitchen aerator</w:t>
            </w:r>
          </w:p>
        </w:tc>
        <w:tc>
          <w:tcPr>
            <w:tcW w:w="819"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57DBF341"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1.5 GPM</w:t>
            </w:r>
          </w:p>
        </w:tc>
        <w:tc>
          <w:tcPr>
            <w:tcW w:w="1302"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2C0FFA2D"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BFD69F5"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43D6E57F"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6.4</w:t>
            </w:r>
          </w:p>
        </w:tc>
        <w:tc>
          <w:tcPr>
            <w:tcW w:w="58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262F1EF7"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$2.07</w:t>
            </w:r>
          </w:p>
        </w:tc>
        <w:tc>
          <w:tcPr>
            <w:tcW w:w="95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8C3BDC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$2.07</w:t>
            </w:r>
          </w:p>
        </w:tc>
        <w:tc>
          <w:tcPr>
            <w:tcW w:w="790" w:type="dxa"/>
            <w:gridSpan w:val="2"/>
            <w:tcBorders>
              <w:top w:val="nil"/>
              <w:left w:val="nil"/>
              <w:bottom w:val="single" w:sz="8" w:space="0" w:color="auto"/>
              <w:right w:val="nil"/>
            </w:tcBorders>
            <w:shd w:val="clear" w:color="auto" w:fill="FFFFCC"/>
            <w:tcMar>
              <w:top w:w="0" w:type="dxa"/>
              <w:left w:w="30" w:type="dxa"/>
              <w:bottom w:w="0" w:type="dxa"/>
              <w:right w:w="30" w:type="dxa"/>
            </w:tcMar>
            <w:vAlign w:val="center"/>
            <w:hideMark/>
          </w:tcPr>
          <w:p w14:paraId="085533A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$94</w:t>
            </w:r>
          </w:p>
        </w:tc>
        <w:tc>
          <w:tcPr>
            <w:tcW w:w="940" w:type="dxa"/>
            <w:gridSpan w:val="2"/>
            <w:tcBorders>
              <w:top w:val="nil"/>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47AC0B0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27.54</w:t>
            </w:r>
          </w:p>
        </w:tc>
        <w:tc>
          <w:tcPr>
            <w:tcW w:w="940" w:type="dxa"/>
            <w:gridSpan w:val="2"/>
            <w:tcBorders>
              <w:top w:val="nil"/>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2E2EDDB6"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72.95</w:t>
            </w:r>
          </w:p>
        </w:tc>
        <w:tc>
          <w:tcPr>
            <w:tcW w:w="100" w:type="dxa"/>
            <w:vAlign w:val="center"/>
            <w:hideMark/>
          </w:tcPr>
          <w:p w14:paraId="56FC595F"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5AF0DCC2" w14:textId="77777777" w:rsidTr="000E0395">
        <w:trPr>
          <w:trHeight w:val="236"/>
        </w:trPr>
        <w:tc>
          <w:tcPr>
            <w:tcW w:w="1283" w:type="dxa"/>
            <w:gridSpan w:val="2"/>
            <w:tcBorders>
              <w:top w:val="nil"/>
              <w:left w:val="single" w:sz="12" w:space="0" w:color="auto"/>
              <w:bottom w:val="single" w:sz="8" w:space="0" w:color="auto"/>
              <w:right w:val="single" w:sz="8" w:space="0" w:color="auto"/>
            </w:tcBorders>
            <w:shd w:val="clear" w:color="auto" w:fill="FFFFCC"/>
            <w:tcMar>
              <w:top w:w="0" w:type="dxa"/>
              <w:left w:w="30" w:type="dxa"/>
              <w:bottom w:w="0" w:type="dxa"/>
              <w:right w:w="30" w:type="dxa"/>
            </w:tcMar>
            <w:hideMark/>
          </w:tcPr>
          <w:p w14:paraId="7A14CCFA" w14:textId="77777777" w:rsidR="000E0395" w:rsidRPr="000E0395" w:rsidRDefault="000E0395" w:rsidP="000E0395">
            <w:pPr>
              <w:rPr>
                <w:rFonts w:eastAsia="Gulim" w:cs="Arial"/>
                <w:b/>
                <w:bCs/>
                <w:color w:val="000000"/>
                <w:sz w:val="18"/>
                <w:szCs w:val="18"/>
                <w:lang w:eastAsia="ko-KR"/>
              </w:rPr>
            </w:pPr>
            <w:r w:rsidRPr="000E0395">
              <w:rPr>
                <w:rFonts w:eastAsia="Calibri" w:cs="Arial"/>
                <w:b/>
                <w:bCs/>
                <w:color w:val="000000"/>
                <w:sz w:val="18"/>
                <w:szCs w:val="18"/>
              </w:rPr>
              <w:t>Homeowner installed bath aerator</w:t>
            </w:r>
          </w:p>
        </w:tc>
        <w:tc>
          <w:tcPr>
            <w:tcW w:w="819"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0B088637"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1.5 GPM</w:t>
            </w:r>
          </w:p>
        </w:tc>
        <w:tc>
          <w:tcPr>
            <w:tcW w:w="1302"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611194F7"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A8CAF47"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022D380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5.0</w:t>
            </w:r>
          </w:p>
        </w:tc>
        <w:tc>
          <w:tcPr>
            <w:tcW w:w="58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1BCBE493"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$1.57</w:t>
            </w:r>
          </w:p>
        </w:tc>
        <w:tc>
          <w:tcPr>
            <w:tcW w:w="950" w:type="dxa"/>
            <w:gridSpan w:val="2"/>
            <w:tcBorders>
              <w:top w:val="nil"/>
              <w:left w:val="nil"/>
              <w:bottom w:val="single" w:sz="8" w:space="0" w:color="auto"/>
              <w:right w:val="single" w:sz="8" w:space="0" w:color="auto"/>
            </w:tcBorders>
            <w:shd w:val="clear" w:color="auto" w:fill="FFFFCC"/>
            <w:tcMar>
              <w:top w:w="0" w:type="dxa"/>
              <w:left w:w="30" w:type="dxa"/>
              <w:bottom w:w="0" w:type="dxa"/>
              <w:right w:w="30" w:type="dxa"/>
            </w:tcMar>
            <w:vAlign w:val="center"/>
            <w:hideMark/>
          </w:tcPr>
          <w:p w14:paraId="780CA86E"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$1.57</w:t>
            </w:r>
          </w:p>
        </w:tc>
        <w:tc>
          <w:tcPr>
            <w:tcW w:w="790" w:type="dxa"/>
            <w:gridSpan w:val="2"/>
            <w:tcBorders>
              <w:top w:val="nil"/>
              <w:left w:val="nil"/>
              <w:bottom w:val="single" w:sz="8" w:space="0" w:color="auto"/>
              <w:right w:val="nil"/>
            </w:tcBorders>
            <w:shd w:val="clear" w:color="auto" w:fill="FFFFCC"/>
            <w:tcMar>
              <w:top w:w="0" w:type="dxa"/>
              <w:left w:w="30" w:type="dxa"/>
              <w:bottom w:w="0" w:type="dxa"/>
              <w:right w:w="30" w:type="dxa"/>
            </w:tcMar>
            <w:vAlign w:val="center"/>
            <w:hideMark/>
          </w:tcPr>
          <w:p w14:paraId="18A66A51"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$74</w:t>
            </w:r>
          </w:p>
        </w:tc>
        <w:tc>
          <w:tcPr>
            <w:tcW w:w="940" w:type="dxa"/>
            <w:gridSpan w:val="2"/>
            <w:tcBorders>
              <w:top w:val="nil"/>
              <w:left w:val="single" w:sz="8" w:space="0" w:color="auto"/>
              <w:bottom w:val="single" w:sz="8" w:space="0" w:color="auto"/>
              <w:right w:val="single" w:sz="8" w:space="0" w:color="auto"/>
            </w:tcBorders>
            <w:shd w:val="clear" w:color="auto" w:fill="FF99CC"/>
            <w:tcMar>
              <w:top w:w="0" w:type="dxa"/>
              <w:left w:w="30" w:type="dxa"/>
              <w:bottom w:w="0" w:type="dxa"/>
              <w:right w:w="30" w:type="dxa"/>
            </w:tcMar>
            <w:vAlign w:val="center"/>
            <w:hideMark/>
          </w:tcPr>
          <w:p w14:paraId="43495D8C"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28.66</w:t>
            </w:r>
          </w:p>
        </w:tc>
        <w:tc>
          <w:tcPr>
            <w:tcW w:w="940" w:type="dxa"/>
            <w:gridSpan w:val="2"/>
            <w:tcBorders>
              <w:top w:val="nil"/>
              <w:left w:val="nil"/>
              <w:bottom w:val="single" w:sz="8" w:space="0" w:color="auto"/>
              <w:right w:val="single" w:sz="12" w:space="0" w:color="auto"/>
            </w:tcBorders>
            <w:shd w:val="clear" w:color="auto" w:fill="FF99CC"/>
            <w:tcMar>
              <w:top w:w="0" w:type="dxa"/>
              <w:left w:w="30" w:type="dxa"/>
              <w:bottom w:w="0" w:type="dxa"/>
              <w:right w:w="30" w:type="dxa"/>
            </w:tcMar>
            <w:vAlign w:val="center"/>
            <w:hideMark/>
          </w:tcPr>
          <w:p w14:paraId="70969F92"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75.80</w:t>
            </w:r>
          </w:p>
        </w:tc>
        <w:tc>
          <w:tcPr>
            <w:tcW w:w="100" w:type="dxa"/>
            <w:vAlign w:val="center"/>
            <w:hideMark/>
          </w:tcPr>
          <w:p w14:paraId="5D748A77"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6DC07A0B" w14:textId="77777777" w:rsidTr="000E0395">
        <w:trPr>
          <w:trHeight w:val="236"/>
        </w:trPr>
        <w:tc>
          <w:tcPr>
            <w:tcW w:w="1283" w:type="dxa"/>
            <w:gridSpan w:val="2"/>
            <w:tcBorders>
              <w:top w:val="nil"/>
              <w:left w:val="single" w:sz="12" w:space="0" w:color="auto"/>
              <w:bottom w:val="single" w:sz="12" w:space="0" w:color="auto"/>
              <w:right w:val="single" w:sz="8" w:space="0" w:color="auto"/>
            </w:tcBorders>
            <w:shd w:val="clear" w:color="auto" w:fill="FFFFCC"/>
            <w:tcMar>
              <w:top w:w="0" w:type="dxa"/>
              <w:left w:w="30" w:type="dxa"/>
              <w:bottom w:w="0" w:type="dxa"/>
              <w:right w:w="30" w:type="dxa"/>
            </w:tcMar>
            <w:hideMark/>
          </w:tcPr>
          <w:p w14:paraId="6551DD09" w14:textId="77777777" w:rsidR="000E0395" w:rsidRPr="000E0395" w:rsidRDefault="000E0395" w:rsidP="000E0395">
            <w:pPr>
              <w:rPr>
                <w:rFonts w:eastAsia="Gulim" w:cs="Arial"/>
                <w:b/>
                <w:bCs/>
                <w:color w:val="000000"/>
                <w:sz w:val="18"/>
                <w:szCs w:val="18"/>
                <w:lang w:eastAsia="ko-KR"/>
              </w:rPr>
            </w:pPr>
            <w:proofErr w:type="spellStart"/>
            <w:r w:rsidRPr="000E0395">
              <w:rPr>
                <w:rFonts w:eastAsia="Calibri" w:cs="Arial"/>
                <w:b/>
                <w:bCs/>
                <w:color w:val="000000"/>
                <w:sz w:val="18"/>
                <w:szCs w:val="18"/>
              </w:rPr>
              <w:t>Homeonwer</w:t>
            </w:r>
            <w:proofErr w:type="spellEnd"/>
            <w:r w:rsidRPr="000E0395">
              <w:rPr>
                <w:rFonts w:eastAsia="Calibri" w:cs="Arial"/>
                <w:b/>
                <w:bCs/>
                <w:color w:val="000000"/>
                <w:sz w:val="18"/>
                <w:szCs w:val="18"/>
              </w:rPr>
              <w:t xml:space="preserve"> installed bath aerator</w:t>
            </w:r>
          </w:p>
        </w:tc>
        <w:tc>
          <w:tcPr>
            <w:tcW w:w="819"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109984F4" w14:textId="77777777" w:rsidR="000E0395" w:rsidRPr="000E0395" w:rsidRDefault="000E0395" w:rsidP="000E0395">
            <w:pPr>
              <w:jc w:val="center"/>
              <w:rPr>
                <w:rFonts w:eastAsia="Gulim" w:cs="Arial"/>
                <w:b/>
                <w:bCs/>
                <w:color w:val="000000"/>
                <w:sz w:val="18"/>
                <w:szCs w:val="18"/>
                <w:lang w:eastAsia="ko-KR"/>
              </w:rPr>
            </w:pPr>
            <w:r w:rsidRPr="000E0395">
              <w:rPr>
                <w:rFonts w:eastAsia="Calibri" w:cs="Arial"/>
                <w:b/>
                <w:bCs/>
                <w:color w:val="000000"/>
                <w:sz w:val="18"/>
                <w:szCs w:val="18"/>
              </w:rPr>
              <w:t>1.0 GPM</w:t>
            </w:r>
          </w:p>
        </w:tc>
        <w:tc>
          <w:tcPr>
            <w:tcW w:w="1302"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6C8E4095"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w:t>
            </w:r>
          </w:p>
        </w:tc>
        <w:tc>
          <w:tcPr>
            <w:tcW w:w="870"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285079F5"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0</w:t>
            </w:r>
          </w:p>
        </w:tc>
        <w:tc>
          <w:tcPr>
            <w:tcW w:w="801"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32638026"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7.6</w:t>
            </w:r>
          </w:p>
        </w:tc>
        <w:tc>
          <w:tcPr>
            <w:tcW w:w="580"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2E380AF9"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$1.57</w:t>
            </w:r>
          </w:p>
        </w:tc>
        <w:tc>
          <w:tcPr>
            <w:tcW w:w="950" w:type="dxa"/>
            <w:gridSpan w:val="2"/>
            <w:tcBorders>
              <w:top w:val="nil"/>
              <w:left w:val="nil"/>
              <w:bottom w:val="single" w:sz="12" w:space="0" w:color="auto"/>
              <w:right w:val="single" w:sz="8" w:space="0" w:color="auto"/>
            </w:tcBorders>
            <w:shd w:val="clear" w:color="auto" w:fill="FFFFCC"/>
            <w:tcMar>
              <w:top w:w="0" w:type="dxa"/>
              <w:left w:w="30" w:type="dxa"/>
              <w:bottom w:w="0" w:type="dxa"/>
              <w:right w:w="30" w:type="dxa"/>
            </w:tcMar>
            <w:vAlign w:val="center"/>
            <w:hideMark/>
          </w:tcPr>
          <w:p w14:paraId="3709ABC7"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$1.57</w:t>
            </w:r>
          </w:p>
        </w:tc>
        <w:tc>
          <w:tcPr>
            <w:tcW w:w="790" w:type="dxa"/>
            <w:gridSpan w:val="2"/>
            <w:tcBorders>
              <w:top w:val="nil"/>
              <w:left w:val="nil"/>
              <w:bottom w:val="single" w:sz="12" w:space="0" w:color="auto"/>
              <w:right w:val="nil"/>
            </w:tcBorders>
            <w:shd w:val="clear" w:color="auto" w:fill="FFFFCC"/>
            <w:tcMar>
              <w:top w:w="0" w:type="dxa"/>
              <w:left w:w="30" w:type="dxa"/>
              <w:bottom w:w="0" w:type="dxa"/>
              <w:right w:w="30" w:type="dxa"/>
            </w:tcMar>
            <w:vAlign w:val="center"/>
            <w:hideMark/>
          </w:tcPr>
          <w:p w14:paraId="090FC96A"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$112</w:t>
            </w:r>
          </w:p>
        </w:tc>
        <w:tc>
          <w:tcPr>
            <w:tcW w:w="940" w:type="dxa"/>
            <w:gridSpan w:val="2"/>
            <w:tcBorders>
              <w:top w:val="nil"/>
              <w:left w:val="single" w:sz="8" w:space="0" w:color="auto"/>
              <w:bottom w:val="single" w:sz="12" w:space="0" w:color="auto"/>
              <w:right w:val="single" w:sz="8" w:space="0" w:color="auto"/>
            </w:tcBorders>
            <w:shd w:val="clear" w:color="auto" w:fill="FF99CC"/>
            <w:tcMar>
              <w:top w:w="0" w:type="dxa"/>
              <w:left w:w="30" w:type="dxa"/>
              <w:bottom w:w="0" w:type="dxa"/>
              <w:right w:w="30" w:type="dxa"/>
            </w:tcMar>
            <w:vAlign w:val="center"/>
            <w:hideMark/>
          </w:tcPr>
          <w:p w14:paraId="3DAE8C00" w14:textId="77777777" w:rsidR="000E0395" w:rsidRPr="000E0395" w:rsidRDefault="000E0395" w:rsidP="000E0395">
            <w:pPr>
              <w:spacing w:after="200" w:line="276" w:lineRule="auto"/>
              <w:jc w:val="center"/>
              <w:rPr>
                <w:rFonts w:eastAsia="Gulim" w:cs="Arial"/>
                <w:b/>
                <w:bCs/>
                <w:color w:val="000000"/>
                <w:sz w:val="18"/>
                <w:szCs w:val="18"/>
                <w:lang w:eastAsia="ko-KR"/>
              </w:rPr>
            </w:pPr>
            <w:r w:rsidRPr="000E0395">
              <w:rPr>
                <w:rFonts w:eastAsia="Calibri" w:cs="Arial"/>
                <w:b/>
                <w:bCs/>
                <w:color w:val="000000"/>
                <w:sz w:val="18"/>
                <w:szCs w:val="18"/>
              </w:rPr>
              <w:t>43.31</w:t>
            </w:r>
          </w:p>
        </w:tc>
        <w:tc>
          <w:tcPr>
            <w:tcW w:w="940" w:type="dxa"/>
            <w:gridSpan w:val="2"/>
            <w:tcBorders>
              <w:top w:val="nil"/>
              <w:left w:val="nil"/>
              <w:bottom w:val="single" w:sz="12" w:space="0" w:color="auto"/>
              <w:right w:val="single" w:sz="12" w:space="0" w:color="auto"/>
            </w:tcBorders>
            <w:shd w:val="clear" w:color="auto" w:fill="FF99CC"/>
            <w:tcMar>
              <w:top w:w="0" w:type="dxa"/>
              <w:left w:w="30" w:type="dxa"/>
              <w:bottom w:w="0" w:type="dxa"/>
              <w:right w:w="30" w:type="dxa"/>
            </w:tcMar>
            <w:vAlign w:val="center"/>
            <w:hideMark/>
          </w:tcPr>
          <w:p w14:paraId="6C3DA115" w14:textId="77777777" w:rsidR="000E0395" w:rsidRPr="000E0395" w:rsidRDefault="000E0395" w:rsidP="000E0395">
            <w:pPr>
              <w:jc w:val="center"/>
              <w:rPr>
                <w:rFonts w:eastAsia="Gulim" w:cs="Arial"/>
                <w:b/>
                <w:bCs/>
                <w:sz w:val="18"/>
                <w:szCs w:val="18"/>
                <w:lang w:eastAsia="ko-KR"/>
              </w:rPr>
            </w:pPr>
            <w:r w:rsidRPr="000E0395">
              <w:rPr>
                <w:rFonts w:eastAsia="Calibri" w:cs="Arial"/>
                <w:b/>
                <w:bCs/>
                <w:sz w:val="18"/>
                <w:szCs w:val="18"/>
              </w:rPr>
              <w:t>114.65</w:t>
            </w:r>
          </w:p>
        </w:tc>
        <w:tc>
          <w:tcPr>
            <w:tcW w:w="100" w:type="dxa"/>
            <w:vAlign w:val="center"/>
            <w:hideMark/>
          </w:tcPr>
          <w:p w14:paraId="13598E9B" w14:textId="77777777" w:rsidR="000E0395" w:rsidRPr="000E0395" w:rsidRDefault="000E0395" w:rsidP="000E0395">
            <w:pPr>
              <w:rPr>
                <w:rFonts w:ascii="Calibri" w:eastAsia="Gulim" w:hAnsi="Calibri" w:cs="Calibri"/>
                <w:sz w:val="22"/>
                <w:szCs w:val="22"/>
                <w:lang w:eastAsia="ko-KR"/>
              </w:rPr>
            </w:pPr>
            <w:r w:rsidRPr="000E0395">
              <w:rPr>
                <w:rFonts w:ascii="Calibri" w:eastAsia="Calibri" w:hAnsi="Calibri"/>
                <w:sz w:val="22"/>
                <w:szCs w:val="22"/>
              </w:rPr>
              <w:t> </w:t>
            </w:r>
          </w:p>
        </w:tc>
      </w:tr>
      <w:tr w:rsidR="000E0395" w:rsidRPr="000E0395" w14:paraId="26912C44" w14:textId="77777777" w:rsidTr="000E0395">
        <w:tc>
          <w:tcPr>
            <w:tcW w:w="46" w:type="dxa"/>
            <w:vAlign w:val="center"/>
            <w:hideMark/>
          </w:tcPr>
          <w:p w14:paraId="0C16D882" w14:textId="77777777" w:rsidR="000E0395" w:rsidRPr="000E0395" w:rsidRDefault="000E0395" w:rsidP="000E0395">
            <w:pPr>
              <w:rPr>
                <w:rFonts w:ascii="Calibri" w:eastAsia="Gulim" w:hAnsi="Calibri" w:cs="Calibri"/>
                <w:sz w:val="22"/>
                <w:szCs w:val="22"/>
                <w:lang w:eastAsia="ko-KR"/>
              </w:rPr>
            </w:pPr>
          </w:p>
        </w:tc>
        <w:tc>
          <w:tcPr>
            <w:tcW w:w="1237" w:type="dxa"/>
            <w:vAlign w:val="center"/>
            <w:hideMark/>
          </w:tcPr>
          <w:p w14:paraId="637CA4E7" w14:textId="77777777" w:rsidR="000E0395" w:rsidRPr="000E0395" w:rsidRDefault="000E0395" w:rsidP="000E0395">
            <w:pPr>
              <w:rPr>
                <w:rFonts w:ascii="Times New Roman" w:hAnsi="Times New Roman"/>
                <w:sz w:val="20"/>
              </w:rPr>
            </w:pPr>
          </w:p>
        </w:tc>
        <w:tc>
          <w:tcPr>
            <w:tcW w:w="45" w:type="dxa"/>
            <w:vAlign w:val="center"/>
            <w:hideMark/>
          </w:tcPr>
          <w:p w14:paraId="3FCF1C2B" w14:textId="77777777" w:rsidR="000E0395" w:rsidRPr="000E0395" w:rsidRDefault="000E0395" w:rsidP="000E0395">
            <w:pPr>
              <w:rPr>
                <w:rFonts w:ascii="Times New Roman" w:hAnsi="Times New Roman"/>
                <w:sz w:val="20"/>
              </w:rPr>
            </w:pPr>
          </w:p>
        </w:tc>
        <w:tc>
          <w:tcPr>
            <w:tcW w:w="774" w:type="dxa"/>
            <w:vAlign w:val="center"/>
            <w:hideMark/>
          </w:tcPr>
          <w:p w14:paraId="077866D4" w14:textId="77777777" w:rsidR="000E0395" w:rsidRPr="000E0395" w:rsidRDefault="000E0395" w:rsidP="000E0395">
            <w:pPr>
              <w:rPr>
                <w:rFonts w:ascii="Times New Roman" w:hAnsi="Times New Roman"/>
                <w:sz w:val="20"/>
              </w:rPr>
            </w:pPr>
          </w:p>
        </w:tc>
        <w:tc>
          <w:tcPr>
            <w:tcW w:w="60" w:type="dxa"/>
            <w:vAlign w:val="center"/>
            <w:hideMark/>
          </w:tcPr>
          <w:p w14:paraId="310D9840" w14:textId="77777777" w:rsidR="000E0395" w:rsidRPr="000E0395" w:rsidRDefault="000E0395" w:rsidP="000E0395">
            <w:pPr>
              <w:rPr>
                <w:rFonts w:ascii="Times New Roman" w:hAnsi="Times New Roman"/>
                <w:sz w:val="20"/>
              </w:rPr>
            </w:pPr>
          </w:p>
        </w:tc>
        <w:tc>
          <w:tcPr>
            <w:tcW w:w="1242" w:type="dxa"/>
            <w:vAlign w:val="center"/>
            <w:hideMark/>
          </w:tcPr>
          <w:p w14:paraId="7196A2CB" w14:textId="77777777" w:rsidR="000E0395" w:rsidRPr="000E0395" w:rsidRDefault="000E0395" w:rsidP="000E0395">
            <w:pPr>
              <w:rPr>
                <w:rFonts w:ascii="Times New Roman" w:hAnsi="Times New Roman"/>
                <w:sz w:val="20"/>
              </w:rPr>
            </w:pPr>
          </w:p>
        </w:tc>
        <w:tc>
          <w:tcPr>
            <w:tcW w:w="45" w:type="dxa"/>
            <w:vAlign w:val="center"/>
            <w:hideMark/>
          </w:tcPr>
          <w:p w14:paraId="3AF033E4" w14:textId="77777777" w:rsidR="000E0395" w:rsidRPr="000E0395" w:rsidRDefault="000E0395" w:rsidP="000E0395">
            <w:pPr>
              <w:rPr>
                <w:rFonts w:ascii="Times New Roman" w:hAnsi="Times New Roman"/>
                <w:sz w:val="20"/>
              </w:rPr>
            </w:pPr>
          </w:p>
        </w:tc>
        <w:tc>
          <w:tcPr>
            <w:tcW w:w="825" w:type="dxa"/>
            <w:vAlign w:val="center"/>
            <w:hideMark/>
          </w:tcPr>
          <w:p w14:paraId="2C038C1E" w14:textId="77777777" w:rsidR="000E0395" w:rsidRPr="000E0395" w:rsidRDefault="000E0395" w:rsidP="000E0395">
            <w:pPr>
              <w:rPr>
                <w:rFonts w:ascii="Times New Roman" w:hAnsi="Times New Roman"/>
                <w:sz w:val="20"/>
              </w:rPr>
            </w:pPr>
          </w:p>
        </w:tc>
        <w:tc>
          <w:tcPr>
            <w:tcW w:w="51" w:type="dxa"/>
            <w:vAlign w:val="center"/>
            <w:hideMark/>
          </w:tcPr>
          <w:p w14:paraId="1F233005" w14:textId="77777777" w:rsidR="000E0395" w:rsidRPr="000E0395" w:rsidRDefault="000E0395" w:rsidP="000E0395">
            <w:pPr>
              <w:rPr>
                <w:rFonts w:ascii="Times New Roman" w:hAnsi="Times New Roman"/>
                <w:sz w:val="20"/>
              </w:rPr>
            </w:pPr>
          </w:p>
        </w:tc>
        <w:tc>
          <w:tcPr>
            <w:tcW w:w="750" w:type="dxa"/>
            <w:vAlign w:val="center"/>
            <w:hideMark/>
          </w:tcPr>
          <w:p w14:paraId="23F5F07B" w14:textId="77777777" w:rsidR="000E0395" w:rsidRPr="000E0395" w:rsidRDefault="000E0395" w:rsidP="000E0395">
            <w:pPr>
              <w:rPr>
                <w:rFonts w:ascii="Times New Roman" w:hAnsi="Times New Roman"/>
                <w:sz w:val="20"/>
              </w:rPr>
            </w:pPr>
          </w:p>
        </w:tc>
        <w:tc>
          <w:tcPr>
            <w:tcW w:w="45" w:type="dxa"/>
            <w:vAlign w:val="center"/>
            <w:hideMark/>
          </w:tcPr>
          <w:p w14:paraId="2D176F28" w14:textId="77777777" w:rsidR="000E0395" w:rsidRPr="000E0395" w:rsidRDefault="000E0395" w:rsidP="000E0395">
            <w:pPr>
              <w:rPr>
                <w:rFonts w:ascii="Times New Roman" w:hAnsi="Times New Roman"/>
                <w:sz w:val="20"/>
              </w:rPr>
            </w:pPr>
          </w:p>
        </w:tc>
        <w:tc>
          <w:tcPr>
            <w:tcW w:w="535" w:type="dxa"/>
            <w:vAlign w:val="center"/>
            <w:hideMark/>
          </w:tcPr>
          <w:p w14:paraId="77102E84" w14:textId="77777777" w:rsidR="000E0395" w:rsidRPr="000E0395" w:rsidRDefault="000E0395" w:rsidP="000E0395">
            <w:pPr>
              <w:rPr>
                <w:rFonts w:ascii="Times New Roman" w:hAnsi="Times New Roman"/>
                <w:sz w:val="20"/>
              </w:rPr>
            </w:pPr>
          </w:p>
        </w:tc>
        <w:tc>
          <w:tcPr>
            <w:tcW w:w="45" w:type="dxa"/>
            <w:vAlign w:val="center"/>
            <w:hideMark/>
          </w:tcPr>
          <w:p w14:paraId="42D567C1" w14:textId="77777777" w:rsidR="000E0395" w:rsidRPr="000E0395" w:rsidRDefault="000E0395" w:rsidP="000E0395">
            <w:pPr>
              <w:rPr>
                <w:rFonts w:ascii="Times New Roman" w:hAnsi="Times New Roman"/>
                <w:sz w:val="20"/>
              </w:rPr>
            </w:pPr>
          </w:p>
        </w:tc>
        <w:tc>
          <w:tcPr>
            <w:tcW w:w="905" w:type="dxa"/>
            <w:vAlign w:val="center"/>
            <w:hideMark/>
          </w:tcPr>
          <w:p w14:paraId="0FFA1CE0" w14:textId="77777777" w:rsidR="000E0395" w:rsidRPr="000E0395" w:rsidRDefault="000E0395" w:rsidP="000E0395">
            <w:pPr>
              <w:rPr>
                <w:rFonts w:ascii="Times New Roman" w:hAnsi="Times New Roman"/>
                <w:sz w:val="20"/>
              </w:rPr>
            </w:pPr>
          </w:p>
        </w:tc>
        <w:tc>
          <w:tcPr>
            <w:tcW w:w="45" w:type="dxa"/>
            <w:vAlign w:val="center"/>
            <w:hideMark/>
          </w:tcPr>
          <w:p w14:paraId="093274FA" w14:textId="77777777" w:rsidR="000E0395" w:rsidRPr="000E0395" w:rsidRDefault="000E0395" w:rsidP="000E0395">
            <w:pPr>
              <w:rPr>
                <w:rFonts w:ascii="Times New Roman" w:hAnsi="Times New Roman"/>
                <w:sz w:val="20"/>
              </w:rPr>
            </w:pPr>
          </w:p>
        </w:tc>
        <w:tc>
          <w:tcPr>
            <w:tcW w:w="745" w:type="dxa"/>
            <w:vAlign w:val="center"/>
            <w:hideMark/>
          </w:tcPr>
          <w:p w14:paraId="6FBE45C0" w14:textId="77777777" w:rsidR="000E0395" w:rsidRPr="000E0395" w:rsidRDefault="000E0395" w:rsidP="000E0395">
            <w:pPr>
              <w:rPr>
                <w:rFonts w:ascii="Times New Roman" w:hAnsi="Times New Roman"/>
                <w:sz w:val="20"/>
              </w:rPr>
            </w:pPr>
          </w:p>
        </w:tc>
        <w:tc>
          <w:tcPr>
            <w:tcW w:w="51" w:type="dxa"/>
            <w:vAlign w:val="center"/>
            <w:hideMark/>
          </w:tcPr>
          <w:p w14:paraId="7186DA06" w14:textId="77777777" w:rsidR="000E0395" w:rsidRPr="000E0395" w:rsidRDefault="000E0395" w:rsidP="000E0395">
            <w:pPr>
              <w:rPr>
                <w:rFonts w:ascii="Times New Roman" w:hAnsi="Times New Roman"/>
                <w:sz w:val="20"/>
              </w:rPr>
            </w:pPr>
          </w:p>
        </w:tc>
        <w:tc>
          <w:tcPr>
            <w:tcW w:w="889" w:type="dxa"/>
            <w:vAlign w:val="center"/>
            <w:hideMark/>
          </w:tcPr>
          <w:p w14:paraId="5D66FB02" w14:textId="77777777" w:rsidR="000E0395" w:rsidRPr="000E0395" w:rsidRDefault="000E0395" w:rsidP="000E0395">
            <w:pPr>
              <w:rPr>
                <w:rFonts w:ascii="Times New Roman" w:hAnsi="Times New Roman"/>
                <w:sz w:val="20"/>
              </w:rPr>
            </w:pPr>
          </w:p>
        </w:tc>
        <w:tc>
          <w:tcPr>
            <w:tcW w:w="51" w:type="dxa"/>
            <w:vAlign w:val="center"/>
            <w:hideMark/>
          </w:tcPr>
          <w:p w14:paraId="52B86C0B" w14:textId="77777777" w:rsidR="000E0395" w:rsidRPr="000E0395" w:rsidRDefault="000E0395" w:rsidP="000E0395">
            <w:pPr>
              <w:rPr>
                <w:rFonts w:ascii="Times New Roman" w:hAnsi="Times New Roman"/>
                <w:sz w:val="20"/>
              </w:rPr>
            </w:pPr>
          </w:p>
        </w:tc>
        <w:tc>
          <w:tcPr>
            <w:tcW w:w="889" w:type="dxa"/>
            <w:vAlign w:val="center"/>
            <w:hideMark/>
          </w:tcPr>
          <w:p w14:paraId="0815C68E" w14:textId="77777777" w:rsidR="000E0395" w:rsidRPr="000E0395" w:rsidRDefault="000E0395" w:rsidP="000E0395">
            <w:pPr>
              <w:rPr>
                <w:rFonts w:ascii="Times New Roman" w:hAnsi="Times New Roman"/>
                <w:sz w:val="20"/>
              </w:rPr>
            </w:pPr>
          </w:p>
        </w:tc>
        <w:tc>
          <w:tcPr>
            <w:tcW w:w="100" w:type="dxa"/>
            <w:vAlign w:val="center"/>
            <w:hideMark/>
          </w:tcPr>
          <w:p w14:paraId="466EDFEC" w14:textId="77777777" w:rsidR="000E0395" w:rsidRPr="000E0395" w:rsidRDefault="000E0395" w:rsidP="000E0395">
            <w:pPr>
              <w:rPr>
                <w:rFonts w:ascii="Times New Roman" w:hAnsi="Times New Roman"/>
                <w:sz w:val="20"/>
              </w:rPr>
            </w:pPr>
          </w:p>
        </w:tc>
      </w:tr>
      <w:tr w:rsidR="000E0395" w:rsidRPr="000E0395" w14:paraId="3202F982" w14:textId="77777777" w:rsidTr="000E0395">
        <w:tc>
          <w:tcPr>
            <w:tcW w:w="46" w:type="dxa"/>
            <w:vAlign w:val="center"/>
            <w:hideMark/>
          </w:tcPr>
          <w:p w14:paraId="2A5BE3C7" w14:textId="77777777" w:rsidR="000E0395" w:rsidRPr="000E0395" w:rsidRDefault="000E0395" w:rsidP="000E0395">
            <w:pPr>
              <w:rPr>
                <w:rFonts w:ascii="Times New Roman" w:hAnsi="Times New Roman"/>
                <w:sz w:val="20"/>
              </w:rPr>
            </w:pPr>
          </w:p>
        </w:tc>
        <w:tc>
          <w:tcPr>
            <w:tcW w:w="1237" w:type="dxa"/>
            <w:vAlign w:val="center"/>
            <w:hideMark/>
          </w:tcPr>
          <w:p w14:paraId="223E102D" w14:textId="77777777" w:rsidR="000E0395" w:rsidRPr="000E0395" w:rsidRDefault="000E0395" w:rsidP="000E0395">
            <w:pPr>
              <w:rPr>
                <w:rFonts w:ascii="Times New Roman" w:hAnsi="Times New Roman"/>
                <w:sz w:val="20"/>
              </w:rPr>
            </w:pPr>
          </w:p>
        </w:tc>
        <w:tc>
          <w:tcPr>
            <w:tcW w:w="45" w:type="dxa"/>
            <w:vAlign w:val="center"/>
            <w:hideMark/>
          </w:tcPr>
          <w:p w14:paraId="41FF61BE" w14:textId="77777777" w:rsidR="000E0395" w:rsidRPr="000E0395" w:rsidRDefault="000E0395" w:rsidP="000E0395">
            <w:pPr>
              <w:rPr>
                <w:rFonts w:ascii="Times New Roman" w:hAnsi="Times New Roman"/>
                <w:sz w:val="20"/>
              </w:rPr>
            </w:pPr>
          </w:p>
        </w:tc>
        <w:tc>
          <w:tcPr>
            <w:tcW w:w="774" w:type="dxa"/>
            <w:vAlign w:val="center"/>
            <w:hideMark/>
          </w:tcPr>
          <w:p w14:paraId="7D55963A" w14:textId="77777777" w:rsidR="000E0395" w:rsidRPr="000E0395" w:rsidRDefault="000E0395" w:rsidP="000E0395">
            <w:pPr>
              <w:rPr>
                <w:rFonts w:ascii="Times New Roman" w:hAnsi="Times New Roman"/>
                <w:sz w:val="20"/>
              </w:rPr>
            </w:pPr>
          </w:p>
        </w:tc>
        <w:tc>
          <w:tcPr>
            <w:tcW w:w="60" w:type="dxa"/>
            <w:vAlign w:val="center"/>
            <w:hideMark/>
          </w:tcPr>
          <w:p w14:paraId="577137F7" w14:textId="77777777" w:rsidR="000E0395" w:rsidRPr="000E0395" w:rsidRDefault="000E0395" w:rsidP="000E0395">
            <w:pPr>
              <w:rPr>
                <w:rFonts w:ascii="Times New Roman" w:hAnsi="Times New Roman"/>
                <w:sz w:val="20"/>
              </w:rPr>
            </w:pPr>
          </w:p>
        </w:tc>
        <w:tc>
          <w:tcPr>
            <w:tcW w:w="1242" w:type="dxa"/>
            <w:vAlign w:val="center"/>
            <w:hideMark/>
          </w:tcPr>
          <w:p w14:paraId="2D7CD32D" w14:textId="77777777" w:rsidR="000E0395" w:rsidRPr="000E0395" w:rsidRDefault="000E0395" w:rsidP="000E0395">
            <w:pPr>
              <w:rPr>
                <w:rFonts w:ascii="Times New Roman" w:hAnsi="Times New Roman"/>
                <w:sz w:val="20"/>
              </w:rPr>
            </w:pPr>
          </w:p>
        </w:tc>
        <w:tc>
          <w:tcPr>
            <w:tcW w:w="45" w:type="dxa"/>
            <w:vAlign w:val="center"/>
            <w:hideMark/>
          </w:tcPr>
          <w:p w14:paraId="28BE3406" w14:textId="77777777" w:rsidR="000E0395" w:rsidRPr="000E0395" w:rsidRDefault="000E0395" w:rsidP="000E0395">
            <w:pPr>
              <w:rPr>
                <w:rFonts w:ascii="Times New Roman" w:hAnsi="Times New Roman"/>
                <w:sz w:val="20"/>
              </w:rPr>
            </w:pPr>
          </w:p>
        </w:tc>
        <w:tc>
          <w:tcPr>
            <w:tcW w:w="825" w:type="dxa"/>
            <w:vAlign w:val="center"/>
            <w:hideMark/>
          </w:tcPr>
          <w:p w14:paraId="23DE9962" w14:textId="77777777" w:rsidR="000E0395" w:rsidRPr="000E0395" w:rsidRDefault="000E0395" w:rsidP="000E0395">
            <w:pPr>
              <w:rPr>
                <w:rFonts w:ascii="Times New Roman" w:hAnsi="Times New Roman"/>
                <w:sz w:val="20"/>
              </w:rPr>
            </w:pPr>
          </w:p>
        </w:tc>
        <w:tc>
          <w:tcPr>
            <w:tcW w:w="51" w:type="dxa"/>
            <w:vAlign w:val="center"/>
            <w:hideMark/>
          </w:tcPr>
          <w:p w14:paraId="2DAEF7DB" w14:textId="77777777" w:rsidR="000E0395" w:rsidRPr="000E0395" w:rsidRDefault="000E0395" w:rsidP="000E0395">
            <w:pPr>
              <w:rPr>
                <w:rFonts w:ascii="Times New Roman" w:hAnsi="Times New Roman"/>
                <w:sz w:val="20"/>
              </w:rPr>
            </w:pPr>
          </w:p>
        </w:tc>
        <w:tc>
          <w:tcPr>
            <w:tcW w:w="750" w:type="dxa"/>
            <w:vAlign w:val="center"/>
            <w:hideMark/>
          </w:tcPr>
          <w:p w14:paraId="2C674954" w14:textId="77777777" w:rsidR="000E0395" w:rsidRPr="000E0395" w:rsidRDefault="000E0395" w:rsidP="000E0395">
            <w:pPr>
              <w:rPr>
                <w:rFonts w:ascii="Times New Roman" w:hAnsi="Times New Roman"/>
                <w:sz w:val="20"/>
              </w:rPr>
            </w:pPr>
          </w:p>
        </w:tc>
        <w:tc>
          <w:tcPr>
            <w:tcW w:w="45" w:type="dxa"/>
            <w:vAlign w:val="center"/>
            <w:hideMark/>
          </w:tcPr>
          <w:p w14:paraId="1174DAE8" w14:textId="77777777" w:rsidR="000E0395" w:rsidRPr="000E0395" w:rsidRDefault="000E0395" w:rsidP="000E0395">
            <w:pPr>
              <w:rPr>
                <w:rFonts w:ascii="Times New Roman" w:hAnsi="Times New Roman"/>
                <w:sz w:val="20"/>
              </w:rPr>
            </w:pPr>
          </w:p>
        </w:tc>
        <w:tc>
          <w:tcPr>
            <w:tcW w:w="535" w:type="dxa"/>
            <w:vAlign w:val="center"/>
            <w:hideMark/>
          </w:tcPr>
          <w:p w14:paraId="4AFEC362" w14:textId="77777777" w:rsidR="000E0395" w:rsidRPr="000E0395" w:rsidRDefault="000E0395" w:rsidP="000E0395">
            <w:pPr>
              <w:rPr>
                <w:rFonts w:ascii="Times New Roman" w:hAnsi="Times New Roman"/>
                <w:sz w:val="20"/>
              </w:rPr>
            </w:pPr>
          </w:p>
        </w:tc>
        <w:tc>
          <w:tcPr>
            <w:tcW w:w="45" w:type="dxa"/>
            <w:vAlign w:val="center"/>
            <w:hideMark/>
          </w:tcPr>
          <w:p w14:paraId="2A9A5CEC" w14:textId="77777777" w:rsidR="000E0395" w:rsidRPr="000E0395" w:rsidRDefault="000E0395" w:rsidP="000E0395">
            <w:pPr>
              <w:rPr>
                <w:rFonts w:ascii="Times New Roman" w:hAnsi="Times New Roman"/>
                <w:sz w:val="20"/>
              </w:rPr>
            </w:pPr>
          </w:p>
        </w:tc>
        <w:tc>
          <w:tcPr>
            <w:tcW w:w="905" w:type="dxa"/>
            <w:vAlign w:val="center"/>
            <w:hideMark/>
          </w:tcPr>
          <w:p w14:paraId="7EEB86CC" w14:textId="77777777" w:rsidR="000E0395" w:rsidRPr="000E0395" w:rsidRDefault="000E0395" w:rsidP="000E0395">
            <w:pPr>
              <w:rPr>
                <w:rFonts w:ascii="Times New Roman" w:hAnsi="Times New Roman"/>
                <w:sz w:val="20"/>
              </w:rPr>
            </w:pPr>
          </w:p>
        </w:tc>
        <w:tc>
          <w:tcPr>
            <w:tcW w:w="45" w:type="dxa"/>
            <w:vAlign w:val="center"/>
            <w:hideMark/>
          </w:tcPr>
          <w:p w14:paraId="2C9F41BD" w14:textId="77777777" w:rsidR="000E0395" w:rsidRPr="000E0395" w:rsidRDefault="000E0395" w:rsidP="000E0395">
            <w:pPr>
              <w:rPr>
                <w:rFonts w:ascii="Times New Roman" w:hAnsi="Times New Roman"/>
                <w:sz w:val="20"/>
              </w:rPr>
            </w:pPr>
          </w:p>
        </w:tc>
        <w:tc>
          <w:tcPr>
            <w:tcW w:w="745" w:type="dxa"/>
            <w:vAlign w:val="center"/>
            <w:hideMark/>
          </w:tcPr>
          <w:p w14:paraId="74A9AC46" w14:textId="77777777" w:rsidR="000E0395" w:rsidRPr="000E0395" w:rsidRDefault="000E0395" w:rsidP="000E0395">
            <w:pPr>
              <w:rPr>
                <w:rFonts w:ascii="Times New Roman" w:hAnsi="Times New Roman"/>
                <w:sz w:val="20"/>
              </w:rPr>
            </w:pPr>
          </w:p>
        </w:tc>
        <w:tc>
          <w:tcPr>
            <w:tcW w:w="51" w:type="dxa"/>
            <w:vAlign w:val="center"/>
            <w:hideMark/>
          </w:tcPr>
          <w:p w14:paraId="2C42F79C" w14:textId="77777777" w:rsidR="000E0395" w:rsidRPr="000E0395" w:rsidRDefault="000E0395" w:rsidP="000E0395">
            <w:pPr>
              <w:rPr>
                <w:rFonts w:ascii="Times New Roman" w:hAnsi="Times New Roman"/>
                <w:sz w:val="20"/>
              </w:rPr>
            </w:pPr>
          </w:p>
        </w:tc>
        <w:tc>
          <w:tcPr>
            <w:tcW w:w="889" w:type="dxa"/>
            <w:vAlign w:val="center"/>
            <w:hideMark/>
          </w:tcPr>
          <w:p w14:paraId="2021F104" w14:textId="77777777" w:rsidR="000E0395" w:rsidRPr="000E0395" w:rsidRDefault="000E0395" w:rsidP="000E0395">
            <w:pPr>
              <w:rPr>
                <w:rFonts w:ascii="Times New Roman" w:hAnsi="Times New Roman"/>
                <w:sz w:val="20"/>
              </w:rPr>
            </w:pPr>
          </w:p>
        </w:tc>
        <w:tc>
          <w:tcPr>
            <w:tcW w:w="51" w:type="dxa"/>
            <w:vAlign w:val="center"/>
            <w:hideMark/>
          </w:tcPr>
          <w:p w14:paraId="5127FC05" w14:textId="77777777" w:rsidR="000E0395" w:rsidRPr="000E0395" w:rsidRDefault="000E0395" w:rsidP="000E0395">
            <w:pPr>
              <w:rPr>
                <w:rFonts w:ascii="Times New Roman" w:hAnsi="Times New Roman"/>
                <w:sz w:val="20"/>
              </w:rPr>
            </w:pPr>
          </w:p>
        </w:tc>
        <w:tc>
          <w:tcPr>
            <w:tcW w:w="889" w:type="dxa"/>
            <w:vAlign w:val="center"/>
            <w:hideMark/>
          </w:tcPr>
          <w:p w14:paraId="05FC364B" w14:textId="77777777" w:rsidR="000E0395" w:rsidRPr="000E0395" w:rsidRDefault="000E0395" w:rsidP="000E0395">
            <w:pPr>
              <w:rPr>
                <w:rFonts w:ascii="Times New Roman" w:hAnsi="Times New Roman"/>
                <w:sz w:val="20"/>
              </w:rPr>
            </w:pPr>
          </w:p>
        </w:tc>
        <w:tc>
          <w:tcPr>
            <w:tcW w:w="100" w:type="dxa"/>
            <w:vAlign w:val="center"/>
            <w:hideMark/>
          </w:tcPr>
          <w:p w14:paraId="37BB92FE" w14:textId="77777777" w:rsidR="000E0395" w:rsidRPr="000E0395" w:rsidRDefault="000E0395" w:rsidP="000E0395">
            <w:pPr>
              <w:rPr>
                <w:rFonts w:ascii="Times New Roman" w:hAnsi="Times New Roman"/>
                <w:sz w:val="20"/>
              </w:rPr>
            </w:pPr>
          </w:p>
        </w:tc>
      </w:tr>
    </w:tbl>
    <w:p w14:paraId="372AC4E5" w14:textId="77777777" w:rsidR="000E0395" w:rsidRPr="000E0395" w:rsidRDefault="000E0395" w:rsidP="000E0395">
      <w:pPr>
        <w:ind w:left="720"/>
        <w:rPr>
          <w:rFonts w:ascii="Calibri" w:eastAsia="Calibri" w:hAnsi="Calibri"/>
          <w:color w:val="1F497D"/>
          <w:sz w:val="22"/>
          <w:szCs w:val="22"/>
        </w:rPr>
      </w:pPr>
      <w:r w:rsidRPr="000E0395">
        <w:rPr>
          <w:rFonts w:ascii="Calibri" w:eastAsia="Calibri" w:hAnsi="Calibri"/>
          <w:b/>
          <w:bCs/>
          <w:sz w:val="22"/>
          <w:szCs w:val="22"/>
        </w:rPr>
        <w:t xml:space="preserve">Measure Analysis: </w:t>
      </w:r>
    </w:p>
    <w:p w14:paraId="7ED068C5"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Assumptions which have been copied exactly from the HER direct install measure are listed below:</w:t>
      </w:r>
    </w:p>
    <w:p w14:paraId="1C5036C5"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Baseline 2.51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w:t>
      </w:r>
    </w:p>
    <w:p w14:paraId="4C51D7F1"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75 degree Fahrenheit temperature rise </w:t>
      </w:r>
    </w:p>
    <w:p w14:paraId="7AD6111D"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68% of water is hot, which results in a delivery of approximately 106 degrees Fahrenheit </w:t>
      </w:r>
    </w:p>
    <w:p w14:paraId="015B7A34"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0.46 showers per person per day </w:t>
      </w:r>
    </w:p>
    <w:p w14:paraId="2D6BC953"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7.84 minutes per shower </w:t>
      </w:r>
    </w:p>
    <w:p w14:paraId="1B1743FB" w14:textId="77777777" w:rsidR="000E0395" w:rsidRPr="000E0395" w:rsidRDefault="000E0395" w:rsidP="000E0395">
      <w:pPr>
        <w:numPr>
          <w:ilvl w:val="0"/>
          <w:numId w:val="15"/>
        </w:numPr>
        <w:spacing w:after="160" w:line="259" w:lineRule="auto"/>
        <w:rPr>
          <w:rFonts w:ascii="Calibri" w:eastAsia="Calibri" w:hAnsi="Calibri"/>
          <w:sz w:val="22"/>
          <w:szCs w:val="22"/>
        </w:rPr>
      </w:pPr>
      <w:r w:rsidRPr="000E0395">
        <w:rPr>
          <w:rFonts w:ascii="Calibri" w:eastAsia="Calibri" w:hAnsi="Calibri"/>
          <w:sz w:val="22"/>
          <w:szCs w:val="22"/>
        </w:rPr>
        <w:t xml:space="preserve">Measured flow rate is 90% of rated flow rate, as rated flow is tested at 80 psi, which is higher than the water pressure in most locations. </w:t>
      </w:r>
    </w:p>
    <w:p w14:paraId="6697B675" w14:textId="77777777" w:rsidR="000E0395" w:rsidRPr="000E0395" w:rsidRDefault="000E0395" w:rsidP="000E0395">
      <w:pPr>
        <w:ind w:left="720"/>
        <w:rPr>
          <w:rFonts w:ascii="Calibri" w:eastAsia="Calibri" w:hAnsi="Calibri"/>
          <w:color w:val="0070C0"/>
          <w:sz w:val="22"/>
          <w:szCs w:val="22"/>
        </w:rPr>
      </w:pPr>
    </w:p>
    <w:p w14:paraId="653F8686"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 xml:space="preserve">Homeowner installed measures incorporate a combined discount for equipment which is never installed and equipment which is removed.  The rates for homeowner installs are taken from the Energy Saver Kit analysis.  Showerheads and </w:t>
      </w:r>
      <w:proofErr w:type="spellStart"/>
      <w:r w:rsidRPr="000E0395">
        <w:rPr>
          <w:rFonts w:ascii="Calibri" w:eastAsia="Calibri" w:hAnsi="Calibri"/>
          <w:sz w:val="22"/>
          <w:szCs w:val="22"/>
        </w:rPr>
        <w:t>showerwands</w:t>
      </w:r>
      <w:proofErr w:type="spellEnd"/>
      <w:r w:rsidRPr="000E0395">
        <w:rPr>
          <w:rFonts w:ascii="Calibri" w:eastAsia="Calibri" w:hAnsi="Calibri"/>
          <w:sz w:val="22"/>
          <w:szCs w:val="22"/>
        </w:rPr>
        <w:t xml:space="preserve"> are installed and remain in place 75% of the time and aerators are installed and remain in place 65% of the time. </w:t>
      </w:r>
    </w:p>
    <w:p w14:paraId="5118A702" w14:textId="77777777" w:rsidR="000E0395" w:rsidRPr="000E0395" w:rsidRDefault="000E0395" w:rsidP="00455031">
      <w:pPr>
        <w:ind w:left="360"/>
        <w:rPr>
          <w:rFonts w:ascii="Calibri" w:eastAsia="Calibri" w:hAnsi="Calibri"/>
          <w:sz w:val="22"/>
          <w:szCs w:val="22"/>
        </w:rPr>
      </w:pPr>
    </w:p>
    <w:p w14:paraId="39CBD9E2"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Household occupancy in Clark County, Washington is 2.76 people, according to the 2010 U.S. Census.</w:t>
      </w:r>
    </w:p>
    <w:p w14:paraId="5C728AFE" w14:textId="77777777" w:rsidR="000E0395" w:rsidRPr="000E0395" w:rsidRDefault="000E0395" w:rsidP="00455031">
      <w:pPr>
        <w:ind w:left="360"/>
        <w:rPr>
          <w:rFonts w:ascii="Calibri" w:eastAsia="Calibri" w:hAnsi="Calibri"/>
          <w:sz w:val="22"/>
          <w:szCs w:val="22"/>
        </w:rPr>
      </w:pPr>
    </w:p>
    <w:p w14:paraId="314B0E96"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 xml:space="preserve">For a homeowner installed 1.75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showerhead, energy savings are 14.4 annual therms.  For a showerhead with a flow rate of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energy savings are 17.9 annual therms.  For a homeowner installed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w:t>
      </w:r>
      <w:proofErr w:type="spellStart"/>
      <w:r w:rsidRPr="000E0395">
        <w:rPr>
          <w:rFonts w:ascii="Calibri" w:eastAsia="Calibri" w:hAnsi="Calibri"/>
          <w:sz w:val="22"/>
          <w:szCs w:val="22"/>
        </w:rPr>
        <w:t>showerwand</w:t>
      </w:r>
      <w:proofErr w:type="spellEnd"/>
      <w:r w:rsidRPr="000E0395">
        <w:rPr>
          <w:rFonts w:ascii="Calibri" w:eastAsia="Calibri" w:hAnsi="Calibri"/>
          <w:sz w:val="22"/>
          <w:szCs w:val="22"/>
        </w:rPr>
        <w:t>, energy savings are 13.3 annual therms.</w:t>
      </w:r>
    </w:p>
    <w:p w14:paraId="277B61F1" w14:textId="77777777" w:rsidR="000E0395" w:rsidRPr="000E0395" w:rsidRDefault="000E0395" w:rsidP="000E0395">
      <w:pPr>
        <w:ind w:left="720"/>
        <w:rPr>
          <w:rFonts w:ascii="Calibri" w:eastAsia="Calibri" w:hAnsi="Calibri"/>
          <w:sz w:val="22"/>
          <w:szCs w:val="22"/>
        </w:rPr>
      </w:pPr>
    </w:p>
    <w:p w14:paraId="43691F09" w14:textId="77777777" w:rsidR="000E0395" w:rsidRPr="000E0395" w:rsidRDefault="000E0395" w:rsidP="000E0395">
      <w:pPr>
        <w:ind w:left="720"/>
        <w:rPr>
          <w:rFonts w:ascii="Calibri" w:eastAsia="Calibri" w:hAnsi="Calibri"/>
          <w:sz w:val="22"/>
          <w:szCs w:val="22"/>
        </w:rPr>
      </w:pPr>
      <w:r w:rsidRPr="000E0395">
        <w:rPr>
          <w:rFonts w:ascii="Calibri" w:eastAsia="Calibri" w:hAnsi="Calibri"/>
          <w:sz w:val="22"/>
          <w:szCs w:val="22"/>
        </w:rPr>
        <w:t xml:space="preserve">Assumptions necessary to calculate the aerator savings are taken from analysis completed by David Robison of Stellar Processes in 2005, and are as follows: </w:t>
      </w:r>
    </w:p>
    <w:p w14:paraId="32D876DC"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Baseline 2.74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for kitchen faucets and 2.48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for bathroom faucets. </w:t>
      </w:r>
    </w:p>
    <w:p w14:paraId="3554A08D"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50% percentage of max flow, </w:t>
      </w:r>
    </w:p>
    <w:p w14:paraId="0AA017C5"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2.5 minutes of faucet use per person  per day </w:t>
      </w:r>
    </w:p>
    <w:p w14:paraId="3ABC8C2D"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365 days per year </w:t>
      </w:r>
    </w:p>
    <w:p w14:paraId="6E5A693F"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52˚F at the cold water inlet </w:t>
      </w:r>
    </w:p>
    <w:p w14:paraId="1D8479FE" w14:textId="77777777" w:rsidR="000E0395" w:rsidRPr="000E0395" w:rsidRDefault="000E0395" w:rsidP="000E0395">
      <w:pPr>
        <w:numPr>
          <w:ilvl w:val="0"/>
          <w:numId w:val="16"/>
        </w:numPr>
        <w:spacing w:after="160" w:line="259" w:lineRule="auto"/>
        <w:rPr>
          <w:rFonts w:ascii="Calibri" w:eastAsia="Calibri" w:hAnsi="Calibri"/>
          <w:sz w:val="22"/>
          <w:szCs w:val="22"/>
        </w:rPr>
      </w:pPr>
      <w:r w:rsidRPr="000E0395">
        <w:rPr>
          <w:rFonts w:ascii="Calibri" w:eastAsia="Calibri" w:hAnsi="Calibri"/>
          <w:sz w:val="22"/>
          <w:szCs w:val="22"/>
        </w:rPr>
        <w:t xml:space="preserve">104˚F delivery temperature. </w:t>
      </w:r>
    </w:p>
    <w:p w14:paraId="7E48D285" w14:textId="77777777" w:rsidR="000E0395" w:rsidRPr="000E0395" w:rsidRDefault="000E0395" w:rsidP="000E0395">
      <w:pPr>
        <w:ind w:left="720"/>
        <w:rPr>
          <w:rFonts w:ascii="Calibri" w:eastAsia="Calibri" w:hAnsi="Calibri"/>
          <w:color w:val="000000"/>
          <w:sz w:val="22"/>
          <w:szCs w:val="22"/>
        </w:rPr>
      </w:pPr>
    </w:p>
    <w:p w14:paraId="4AC142EF"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 xml:space="preserve">For a homeowner installed 2.0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kitchen aerator, energy savings are 3.8 annual therms.  For a kitchen aerator with a flow rate of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the energy savings are 6.4 annual therms.  For a homeowner installed 1.5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xml:space="preserve"> bathroom faucet aerator, energy savings are 5.0 annual therms.  For a bathroom faucet aerator with a flow rate of 1.0 </w:t>
      </w:r>
      <w:proofErr w:type="spellStart"/>
      <w:r w:rsidRPr="000E0395">
        <w:rPr>
          <w:rFonts w:ascii="Calibri" w:eastAsia="Calibri" w:hAnsi="Calibri"/>
          <w:sz w:val="22"/>
          <w:szCs w:val="22"/>
        </w:rPr>
        <w:t>gpm</w:t>
      </w:r>
      <w:proofErr w:type="spellEnd"/>
      <w:r w:rsidRPr="000E0395">
        <w:rPr>
          <w:rFonts w:ascii="Calibri" w:eastAsia="Calibri" w:hAnsi="Calibri"/>
          <w:sz w:val="22"/>
          <w:szCs w:val="22"/>
        </w:rPr>
        <w:t>, the energy savings are 7.6 annual therms.</w:t>
      </w:r>
    </w:p>
    <w:p w14:paraId="7331A602" w14:textId="77777777" w:rsidR="000E0395" w:rsidRPr="000E0395" w:rsidRDefault="000E0395" w:rsidP="00455031">
      <w:pPr>
        <w:ind w:left="360"/>
        <w:rPr>
          <w:rFonts w:ascii="Calibri" w:eastAsia="Calibri" w:hAnsi="Calibri"/>
          <w:b/>
          <w:bCs/>
          <w:sz w:val="22"/>
          <w:szCs w:val="22"/>
        </w:rPr>
      </w:pPr>
    </w:p>
    <w:p w14:paraId="52BA9D1A" w14:textId="77777777" w:rsidR="000E0395" w:rsidRPr="000E0395" w:rsidRDefault="000E0395" w:rsidP="00455031">
      <w:pPr>
        <w:ind w:left="360"/>
        <w:rPr>
          <w:rFonts w:ascii="Calibri" w:eastAsia="Calibri" w:hAnsi="Calibri"/>
          <w:sz w:val="22"/>
          <w:szCs w:val="22"/>
        </w:rPr>
      </w:pPr>
      <w:r w:rsidRPr="000E0395">
        <w:rPr>
          <w:rFonts w:ascii="Calibri" w:eastAsia="Calibri" w:hAnsi="Calibri"/>
          <w:b/>
          <w:bCs/>
          <w:sz w:val="22"/>
          <w:szCs w:val="22"/>
        </w:rPr>
        <w:t xml:space="preserve">Savings, Economics and Incentives </w:t>
      </w:r>
    </w:p>
    <w:p w14:paraId="5C29CA62" w14:textId="77777777" w:rsidR="000E0395" w:rsidRPr="000E0395" w:rsidRDefault="000E0395" w:rsidP="00455031">
      <w:pPr>
        <w:ind w:left="360"/>
        <w:rPr>
          <w:rFonts w:ascii="Calibri" w:eastAsia="Calibri" w:hAnsi="Calibri"/>
          <w:color w:val="0070C0"/>
          <w:sz w:val="22"/>
          <w:szCs w:val="22"/>
        </w:rPr>
      </w:pPr>
      <w:r w:rsidRPr="000E0395">
        <w:rPr>
          <w:rFonts w:ascii="Calibri" w:eastAsia="Calibri" w:hAnsi="Calibri"/>
          <w:sz w:val="22"/>
          <w:szCs w:val="22"/>
        </w:rPr>
        <w:t xml:space="preserve">When left for the homeowner to install, the showerhead incentive is $3.60.  The </w:t>
      </w:r>
      <w:proofErr w:type="spellStart"/>
      <w:r w:rsidRPr="000E0395">
        <w:rPr>
          <w:rFonts w:ascii="Calibri" w:eastAsia="Calibri" w:hAnsi="Calibri"/>
          <w:sz w:val="22"/>
          <w:szCs w:val="22"/>
        </w:rPr>
        <w:t>showerwand</w:t>
      </w:r>
      <w:proofErr w:type="spellEnd"/>
      <w:r w:rsidRPr="000E0395">
        <w:rPr>
          <w:rFonts w:ascii="Calibri" w:eastAsia="Calibri" w:hAnsi="Calibri"/>
          <w:sz w:val="22"/>
          <w:szCs w:val="22"/>
        </w:rPr>
        <w:t xml:space="preserve"> incentive is $7.21.  Bath aerators are $1.57, and kitchen aerators are $2.07.</w:t>
      </w:r>
      <w:r w:rsidRPr="000E0395">
        <w:rPr>
          <w:rFonts w:ascii="Calibri" w:eastAsia="Calibri" w:hAnsi="Calibri"/>
          <w:color w:val="0070C0"/>
          <w:sz w:val="22"/>
          <w:szCs w:val="22"/>
        </w:rPr>
        <w:t xml:space="preserve">           </w:t>
      </w:r>
    </w:p>
    <w:p w14:paraId="4A45E692" w14:textId="77777777" w:rsidR="000E0395" w:rsidRPr="000E0395" w:rsidRDefault="000E0395" w:rsidP="00455031">
      <w:pPr>
        <w:ind w:left="360"/>
        <w:rPr>
          <w:rFonts w:ascii="Calibri" w:eastAsia="Calibri" w:hAnsi="Calibri"/>
          <w:sz w:val="22"/>
          <w:szCs w:val="22"/>
        </w:rPr>
      </w:pPr>
    </w:p>
    <w:p w14:paraId="76AB4820"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ETO uses the water and sewer rates of the City of Vancouver to calculate the non-energy benefit of reducing water consumption in Washington.  The combined rate is $8.14 per 1000 gallons.  The change in water volume annually includes both cold and hot water.</w:t>
      </w:r>
    </w:p>
    <w:p w14:paraId="23FAF2B5" w14:textId="77777777" w:rsidR="000E0395" w:rsidRPr="000E0395" w:rsidRDefault="000E0395" w:rsidP="00455031">
      <w:pPr>
        <w:ind w:left="360"/>
        <w:rPr>
          <w:rFonts w:ascii="Calibri" w:eastAsia="Calibri" w:hAnsi="Calibri"/>
          <w:sz w:val="22"/>
          <w:szCs w:val="22"/>
        </w:rPr>
      </w:pPr>
    </w:p>
    <w:p w14:paraId="6D3DBFA0" w14:textId="77777777" w:rsidR="000E0395" w:rsidRPr="000E0395" w:rsidRDefault="000E0395" w:rsidP="00455031">
      <w:pPr>
        <w:ind w:left="360"/>
        <w:rPr>
          <w:rFonts w:ascii="Calibri" w:eastAsia="Calibri" w:hAnsi="Calibri"/>
          <w:sz w:val="22"/>
          <w:szCs w:val="22"/>
        </w:rPr>
      </w:pPr>
      <w:r w:rsidRPr="000E0395">
        <w:rPr>
          <w:rFonts w:ascii="Calibri" w:eastAsia="Calibri" w:hAnsi="Calibri"/>
          <w:sz w:val="22"/>
          <w:szCs w:val="22"/>
        </w:rPr>
        <w:t>Net to Gross ratio of 1 is applied to all measures in Washington.</w:t>
      </w:r>
    </w:p>
    <w:p w14:paraId="74ED4DF7" w14:textId="77777777" w:rsidR="000E0395" w:rsidRPr="000E0395" w:rsidRDefault="000E0395" w:rsidP="000E0395">
      <w:pPr>
        <w:rPr>
          <w:rFonts w:eastAsia="Calibri" w:cs="Arial"/>
          <w:sz w:val="18"/>
          <w:szCs w:val="18"/>
        </w:rPr>
      </w:pPr>
    </w:p>
    <w:p w14:paraId="4ED4EBB3" w14:textId="77777777" w:rsidR="000E0395" w:rsidRPr="000E0395" w:rsidRDefault="000E0395" w:rsidP="000E0395">
      <w:pPr>
        <w:spacing w:after="160" w:line="259" w:lineRule="auto"/>
        <w:rPr>
          <w:rFonts w:ascii="Calibri Light" w:hAnsi="Calibri Light"/>
          <w:color w:val="2E74B5"/>
          <w:sz w:val="26"/>
          <w:szCs w:val="26"/>
        </w:rPr>
      </w:pPr>
      <w:r w:rsidRPr="000E0395">
        <w:rPr>
          <w:rFonts w:ascii="Calibri" w:eastAsia="Calibri" w:hAnsi="Calibri"/>
          <w:sz w:val="22"/>
          <w:szCs w:val="22"/>
        </w:rPr>
        <w:br w:type="page"/>
      </w:r>
    </w:p>
    <w:p w14:paraId="59630C51" w14:textId="77777777" w:rsidR="000E0395" w:rsidRPr="000E0395" w:rsidRDefault="000E0395" w:rsidP="000E0395">
      <w:pPr>
        <w:keepNext/>
        <w:keepLines/>
        <w:spacing w:before="40" w:line="259" w:lineRule="auto"/>
        <w:outlineLvl w:val="1"/>
        <w:rPr>
          <w:rFonts w:ascii="Calibri Light" w:hAnsi="Calibri Light"/>
          <w:color w:val="2E74B5"/>
          <w:sz w:val="26"/>
          <w:szCs w:val="26"/>
        </w:rPr>
      </w:pPr>
    </w:p>
    <w:p w14:paraId="47DC548B" w14:textId="24088CDB" w:rsidR="000E0395" w:rsidRPr="000E0395" w:rsidRDefault="000E0395" w:rsidP="00455031">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6AA43F85" w14:textId="77777777" w:rsidR="000E0395" w:rsidRPr="000E0395" w:rsidRDefault="000E0395" w:rsidP="00455031">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Existing Homes</w:t>
      </w:r>
      <w:r w:rsidRPr="000E0395">
        <w:rPr>
          <w:rFonts w:ascii="Calibri Light" w:hAnsi="Calibri Light"/>
          <w:color w:val="1F4D78"/>
          <w:szCs w:val="24"/>
        </w:rPr>
        <w:tab/>
        <w:t>Ceiling/Attic Insulation per SQFT</w:t>
      </w:r>
      <w:r w:rsidRPr="000E0395">
        <w:rPr>
          <w:rFonts w:ascii="Calibri Light" w:hAnsi="Calibri Light"/>
          <w:color w:val="2E74B5"/>
          <w:sz w:val="26"/>
          <w:szCs w:val="26"/>
        </w:rPr>
        <w:tab/>
      </w:r>
      <w:r w:rsidRPr="000E0395">
        <w:rPr>
          <w:rFonts w:ascii="Calibri Light" w:hAnsi="Calibri Light"/>
          <w:color w:val="2E74B5"/>
          <w:sz w:val="20"/>
          <w:szCs w:val="26"/>
        </w:rPr>
        <w:t>Updated maximum pre-treatment R value of R19, treat to R38</w:t>
      </w:r>
    </w:p>
    <w:p w14:paraId="3A25C827" w14:textId="77777777" w:rsidR="000E0395" w:rsidRPr="000E0395" w:rsidRDefault="000E0395" w:rsidP="000E0395">
      <w:pPr>
        <w:rPr>
          <w:rFonts w:ascii="Calibri" w:eastAsia="Calibri" w:hAnsi="Calibri"/>
          <w:sz w:val="22"/>
          <w:szCs w:val="22"/>
        </w:rPr>
      </w:pPr>
    </w:p>
    <w:p w14:paraId="567C5D27" w14:textId="77777777" w:rsidR="000E0395" w:rsidRPr="000E0395" w:rsidRDefault="000E0395" w:rsidP="00455031">
      <w:pPr>
        <w:spacing w:after="160" w:line="259" w:lineRule="auto"/>
        <w:rPr>
          <w:rFonts w:ascii="Calibri" w:eastAsia="Calibri" w:hAnsi="Calibri"/>
          <w:b/>
          <w:bCs/>
          <w:sz w:val="22"/>
          <w:szCs w:val="22"/>
        </w:rPr>
      </w:pPr>
      <w:r w:rsidRPr="000E0395">
        <w:rPr>
          <w:rFonts w:ascii="Calibri" w:eastAsia="Calibri" w:hAnsi="Calibri"/>
          <w:b/>
          <w:bCs/>
          <w:sz w:val="22"/>
          <w:szCs w:val="22"/>
        </w:rPr>
        <w:t>September 9, 2014</w:t>
      </w:r>
    </w:p>
    <w:p w14:paraId="7C0E8AF7"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b/>
          <w:bCs/>
          <w:sz w:val="22"/>
          <w:szCs w:val="22"/>
        </w:rPr>
        <w:t>Subject:</w:t>
      </w:r>
      <w:r w:rsidRPr="000E0395">
        <w:rPr>
          <w:rFonts w:ascii="Calibri" w:eastAsia="Calibri" w:hAnsi="Calibri"/>
          <w:sz w:val="22"/>
          <w:szCs w:val="22"/>
        </w:rPr>
        <w:t xml:space="preserve"> REVISED Blessing memo for single family insulation retrofit</w:t>
      </w:r>
    </w:p>
    <w:p w14:paraId="54F611DA" w14:textId="77777777" w:rsidR="000E0395" w:rsidRPr="000E0395" w:rsidRDefault="000E0395" w:rsidP="00455031">
      <w:pPr>
        <w:spacing w:after="160" w:line="259" w:lineRule="auto"/>
        <w:rPr>
          <w:rFonts w:ascii="Calibri" w:eastAsia="Calibri" w:hAnsi="Calibri"/>
          <w:sz w:val="22"/>
          <w:szCs w:val="22"/>
        </w:rPr>
      </w:pPr>
      <w:proofErr w:type="gramStart"/>
      <w:r w:rsidRPr="000E0395">
        <w:rPr>
          <w:rFonts w:ascii="Calibri" w:eastAsia="Calibri" w:hAnsi="Calibri"/>
          <w:sz w:val="22"/>
          <w:szCs w:val="22"/>
        </w:rPr>
        <w:t xml:space="preserve">Allows for different starting condition requirements for attic insulation in Washington, shown in </w:t>
      </w:r>
      <w:r w:rsidRPr="000E0395">
        <w:rPr>
          <w:rFonts w:ascii="Calibri" w:eastAsia="Calibri" w:hAnsi="Calibri"/>
          <w:color w:val="2E75B6"/>
          <w:sz w:val="22"/>
          <w:szCs w:val="22"/>
        </w:rPr>
        <w:t>blue</w:t>
      </w:r>
      <w:r w:rsidRPr="000E0395">
        <w:rPr>
          <w:rFonts w:ascii="Calibri" w:eastAsia="Calibri" w:hAnsi="Calibri"/>
          <w:sz w:val="22"/>
          <w:szCs w:val="22"/>
        </w:rPr>
        <w:t>.</w:t>
      </w:r>
      <w:proofErr w:type="gramEnd"/>
    </w:p>
    <w:p w14:paraId="7F17B63A" w14:textId="77777777" w:rsidR="000E0395" w:rsidRPr="000E0395" w:rsidRDefault="000E0395" w:rsidP="00455031">
      <w:pPr>
        <w:spacing w:after="160" w:line="259" w:lineRule="auto"/>
        <w:rPr>
          <w:rFonts w:ascii="Calibri" w:eastAsia="Calibri" w:hAnsi="Calibri"/>
          <w:b/>
          <w:bCs/>
          <w:sz w:val="22"/>
          <w:szCs w:val="22"/>
        </w:rPr>
      </w:pPr>
      <w:r w:rsidRPr="000E0395">
        <w:rPr>
          <w:rFonts w:ascii="Calibri" w:eastAsia="Calibri" w:hAnsi="Calibri"/>
          <w:b/>
          <w:bCs/>
          <w:sz w:val="22"/>
          <w:szCs w:val="22"/>
        </w:rPr>
        <w:t>REVISED Blessing memo for single family insulation retrofit</w:t>
      </w:r>
    </w:p>
    <w:p w14:paraId="4BB6CDB3" w14:textId="77777777" w:rsidR="000E0395" w:rsidRPr="000E0395" w:rsidRDefault="000E0395" w:rsidP="00455031">
      <w:pPr>
        <w:spacing w:after="160" w:line="259" w:lineRule="auto"/>
        <w:rPr>
          <w:rFonts w:ascii="Calibri" w:eastAsia="Calibri" w:hAnsi="Calibri"/>
          <w:b/>
          <w:bCs/>
          <w:sz w:val="22"/>
          <w:szCs w:val="22"/>
        </w:rPr>
      </w:pPr>
      <w:r w:rsidRPr="000E0395">
        <w:rPr>
          <w:rFonts w:ascii="Calibri" w:eastAsia="Calibri" w:hAnsi="Calibri"/>
          <w:b/>
          <w:bCs/>
          <w:sz w:val="22"/>
          <w:szCs w:val="22"/>
        </w:rPr>
        <w:t>End Use</w:t>
      </w:r>
    </w:p>
    <w:p w14:paraId="3EFE24D1" w14:textId="77777777" w:rsidR="000E0395" w:rsidRPr="000E0395" w:rsidRDefault="000E0395" w:rsidP="00455031">
      <w:pPr>
        <w:spacing w:after="160" w:line="259" w:lineRule="auto"/>
        <w:rPr>
          <w:rFonts w:ascii="Calibri" w:eastAsia="Calibri" w:hAnsi="Calibri"/>
          <w:sz w:val="20"/>
        </w:rPr>
      </w:pPr>
      <w:r w:rsidRPr="000E0395">
        <w:rPr>
          <w:rFonts w:ascii="Calibri" w:eastAsia="Calibri" w:hAnsi="Calibri"/>
          <w:sz w:val="22"/>
          <w:szCs w:val="22"/>
        </w:rPr>
        <w:t>Reduced space heat use</w:t>
      </w:r>
    </w:p>
    <w:p w14:paraId="36D74922" w14:textId="77777777" w:rsidR="000E0395" w:rsidRPr="000E0395" w:rsidRDefault="000E0395" w:rsidP="00455031">
      <w:pPr>
        <w:spacing w:after="160" w:line="259" w:lineRule="auto"/>
        <w:rPr>
          <w:rFonts w:ascii="Calibri" w:eastAsia="Calibri" w:hAnsi="Calibri"/>
          <w:b/>
          <w:bCs/>
          <w:sz w:val="22"/>
          <w:szCs w:val="22"/>
        </w:rPr>
      </w:pPr>
      <w:r w:rsidRPr="000E0395">
        <w:rPr>
          <w:rFonts w:ascii="Calibri" w:eastAsia="Calibri" w:hAnsi="Calibri"/>
          <w:b/>
          <w:bCs/>
          <w:sz w:val="22"/>
          <w:szCs w:val="22"/>
        </w:rPr>
        <w:t>Scope</w:t>
      </w:r>
    </w:p>
    <w:p w14:paraId="7C1D63B5"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sz w:val="22"/>
          <w:szCs w:val="22"/>
        </w:rPr>
        <w:t xml:space="preserve">Attic, wall, and floor, insulation </w:t>
      </w:r>
    </w:p>
    <w:p w14:paraId="0E87061A" w14:textId="77777777" w:rsidR="000E0395" w:rsidRPr="000E0395" w:rsidRDefault="000E0395" w:rsidP="00455031">
      <w:pPr>
        <w:spacing w:after="160" w:line="259" w:lineRule="auto"/>
        <w:rPr>
          <w:rFonts w:ascii="Calibri" w:eastAsia="Calibri" w:hAnsi="Calibri"/>
          <w:b/>
          <w:bCs/>
          <w:sz w:val="22"/>
          <w:szCs w:val="22"/>
        </w:rPr>
      </w:pPr>
    </w:p>
    <w:p w14:paraId="6D01C3C6" w14:textId="77777777" w:rsidR="000E0395" w:rsidRPr="000E0395" w:rsidRDefault="000E0395" w:rsidP="00455031">
      <w:pPr>
        <w:spacing w:after="160" w:line="259" w:lineRule="auto"/>
        <w:rPr>
          <w:rFonts w:ascii="Calibri" w:eastAsia="Calibri" w:hAnsi="Calibri"/>
          <w:b/>
          <w:bCs/>
          <w:sz w:val="22"/>
          <w:szCs w:val="22"/>
        </w:rPr>
      </w:pPr>
      <w:r w:rsidRPr="000E0395">
        <w:rPr>
          <w:rFonts w:ascii="Calibri" w:eastAsia="Calibri" w:hAnsi="Calibri"/>
          <w:b/>
          <w:bCs/>
          <w:sz w:val="22"/>
          <w:szCs w:val="22"/>
        </w:rPr>
        <w:t>Program</w:t>
      </w:r>
    </w:p>
    <w:p w14:paraId="77C062D6"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sz w:val="22"/>
          <w:szCs w:val="22"/>
        </w:rPr>
        <w:t>Based on the following analysis, the measures described below are blessed for inclusion in the Existing Homes and Home Performance w/ ENERGY STAR programs</w:t>
      </w:r>
    </w:p>
    <w:p w14:paraId="2A9C98C4"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b/>
          <w:bCs/>
          <w:sz w:val="22"/>
          <w:szCs w:val="22"/>
        </w:rPr>
        <w:t xml:space="preserve">Description of the Measure </w:t>
      </w:r>
    </w:p>
    <w:p w14:paraId="549D55C4"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Insulation provides a thermal barrier and reduces heat loss.</w:t>
      </w:r>
    </w:p>
    <w:p w14:paraId="32F033BE" w14:textId="77777777" w:rsidR="000E0395" w:rsidRPr="000E0395" w:rsidRDefault="000E0395" w:rsidP="00455031">
      <w:pPr>
        <w:autoSpaceDE w:val="0"/>
        <w:autoSpaceDN w:val="0"/>
        <w:rPr>
          <w:rFonts w:ascii="Calibri" w:eastAsia="Calibri" w:hAnsi="Calibri"/>
          <w:sz w:val="22"/>
          <w:szCs w:val="22"/>
        </w:rPr>
      </w:pPr>
    </w:p>
    <w:p w14:paraId="43FDDD4F" w14:textId="77777777" w:rsidR="000E0395" w:rsidRPr="000E0395" w:rsidRDefault="000E0395" w:rsidP="00455031">
      <w:pPr>
        <w:autoSpaceDE w:val="0"/>
        <w:autoSpaceDN w:val="0"/>
        <w:rPr>
          <w:rFonts w:ascii="Calibri" w:eastAsia="Calibri" w:hAnsi="Calibri"/>
          <w:b/>
          <w:bCs/>
          <w:sz w:val="22"/>
          <w:szCs w:val="22"/>
        </w:rPr>
      </w:pPr>
      <w:r w:rsidRPr="000E0395">
        <w:rPr>
          <w:rFonts w:ascii="Calibri" w:eastAsia="Calibri" w:hAnsi="Calibri"/>
          <w:b/>
          <w:bCs/>
          <w:sz w:val="22"/>
          <w:szCs w:val="22"/>
        </w:rPr>
        <w:t xml:space="preserve">Purpose of Evaluating Measure </w:t>
      </w:r>
    </w:p>
    <w:p w14:paraId="7D1FFF01" w14:textId="77777777" w:rsidR="000E0395" w:rsidRPr="000E0395" w:rsidRDefault="000E0395" w:rsidP="00455031">
      <w:pPr>
        <w:autoSpaceDE w:val="0"/>
        <w:autoSpaceDN w:val="0"/>
        <w:rPr>
          <w:rFonts w:ascii="Calibri" w:eastAsia="Calibri" w:hAnsi="Calibri"/>
          <w:color w:val="44546A"/>
          <w:sz w:val="22"/>
          <w:szCs w:val="22"/>
        </w:rPr>
      </w:pPr>
    </w:p>
    <w:p w14:paraId="4F86CB5D"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For attic insulation in Oregon, the maximum R value allowed in the existing condition was decreased to focus the program on homes that have the greatest energy saving opportunity.</w:t>
      </w:r>
      <w:r w:rsidRPr="000E0395">
        <w:rPr>
          <w:rFonts w:ascii="Calibri" w:eastAsia="Calibri" w:hAnsi="Calibri"/>
          <w:color w:val="2E74B5"/>
          <w:sz w:val="22"/>
          <w:szCs w:val="22"/>
        </w:rPr>
        <w:t>  Attic insulation in Washington may still continue to replace existing insulation up to R19.</w:t>
      </w:r>
      <w:r w:rsidRPr="000E0395">
        <w:rPr>
          <w:rFonts w:ascii="Calibri" w:eastAsia="Calibri" w:hAnsi="Calibri"/>
          <w:sz w:val="22"/>
          <w:szCs w:val="22"/>
        </w:rPr>
        <w:t>  Wall and floor insulation are also documented here, in order to update savings based in impact evaluations and to discuss challenges to the societal BCR.   This analysis provides expected cost-effectiveness based on the most recent gas avoided cost forecasts and measure specifications, consistent with evaluation findings.</w:t>
      </w:r>
    </w:p>
    <w:p w14:paraId="01348E53" w14:textId="77777777" w:rsidR="000E0395" w:rsidRPr="000E0395" w:rsidRDefault="000E0395" w:rsidP="00455031">
      <w:pPr>
        <w:autoSpaceDE w:val="0"/>
        <w:autoSpaceDN w:val="0"/>
        <w:rPr>
          <w:rFonts w:eastAsia="Calibri" w:cs="Arial"/>
          <w:b/>
          <w:bCs/>
          <w:sz w:val="18"/>
          <w:szCs w:val="18"/>
        </w:rPr>
      </w:pPr>
    </w:p>
    <w:p w14:paraId="5844A9F8" w14:textId="77777777" w:rsidR="000E0395" w:rsidRPr="000E0395" w:rsidRDefault="000E0395" w:rsidP="00455031">
      <w:pPr>
        <w:autoSpaceDE w:val="0"/>
        <w:autoSpaceDN w:val="0"/>
        <w:rPr>
          <w:rFonts w:eastAsia="Calibri" w:cs="Arial"/>
          <w:b/>
          <w:bCs/>
          <w:sz w:val="18"/>
          <w:szCs w:val="18"/>
        </w:rPr>
      </w:pPr>
      <w:r w:rsidRPr="000E0395">
        <w:rPr>
          <w:rFonts w:eastAsia="Calibri" w:cs="Arial"/>
          <w:b/>
          <w:bCs/>
          <w:sz w:val="18"/>
          <w:szCs w:val="18"/>
        </w:rPr>
        <w:t xml:space="preserve">Table 1: Cost effectiveness calculator </w:t>
      </w:r>
      <w:r w:rsidRPr="000E0395">
        <w:rPr>
          <w:rFonts w:eastAsia="Calibri" w:cs="Arial"/>
          <w:b/>
          <w:bCs/>
          <w:sz w:val="18"/>
          <w:szCs w:val="18"/>
          <w:highlight w:val="yellow"/>
        </w:rPr>
        <w:t>Active WA Measures Highlighted</w:t>
      </w:r>
      <w:r w:rsidRPr="000E0395">
        <w:rPr>
          <w:rFonts w:eastAsia="Calibri" w:cs="Arial"/>
          <w:b/>
          <w:bCs/>
          <w:sz w:val="18"/>
          <w:szCs w:val="18"/>
        </w:rPr>
        <w:t xml:space="preserve"> </w:t>
      </w:r>
    </w:p>
    <w:tbl>
      <w:tblPr>
        <w:tblW w:w="10335" w:type="dxa"/>
        <w:tblInd w:w="108" w:type="dxa"/>
        <w:tblCellMar>
          <w:left w:w="0" w:type="dxa"/>
          <w:right w:w="0" w:type="dxa"/>
        </w:tblCellMar>
        <w:tblLook w:val="04A0" w:firstRow="1" w:lastRow="0" w:firstColumn="1" w:lastColumn="0" w:noHBand="0" w:noVBand="1"/>
      </w:tblPr>
      <w:tblGrid>
        <w:gridCol w:w="1764"/>
        <w:gridCol w:w="1101"/>
        <w:gridCol w:w="1457"/>
        <w:gridCol w:w="1077"/>
        <w:gridCol w:w="957"/>
        <w:gridCol w:w="690"/>
        <w:gridCol w:w="1097"/>
        <w:gridCol w:w="1096"/>
        <w:gridCol w:w="1096"/>
      </w:tblGrid>
      <w:tr w:rsidR="000E0395" w:rsidRPr="000E0395" w14:paraId="2D853DDC" w14:textId="77777777" w:rsidTr="00455031">
        <w:trPr>
          <w:trHeight w:val="1060"/>
        </w:trPr>
        <w:tc>
          <w:tcPr>
            <w:tcW w:w="1764"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bottom"/>
            <w:hideMark/>
          </w:tcPr>
          <w:p w14:paraId="5D396230" w14:textId="77777777" w:rsidR="000E0395" w:rsidRPr="000E0395" w:rsidRDefault="000E0395" w:rsidP="00455031">
            <w:pPr>
              <w:spacing w:after="160" w:line="252" w:lineRule="auto"/>
              <w:ind w:left="-710"/>
              <w:jc w:val="center"/>
              <w:rPr>
                <w:rFonts w:eastAsia="Calibri" w:cs="Arial"/>
                <w:b/>
                <w:bCs/>
                <w:sz w:val="18"/>
                <w:szCs w:val="18"/>
              </w:rPr>
            </w:pPr>
            <w:r w:rsidRPr="000E0395">
              <w:rPr>
                <w:rFonts w:eastAsia="Calibri" w:cs="Arial"/>
                <w:b/>
                <w:bCs/>
                <w:sz w:val="18"/>
                <w:szCs w:val="18"/>
              </w:rPr>
              <w:t xml:space="preserve">Project </w:t>
            </w:r>
          </w:p>
        </w:tc>
        <w:tc>
          <w:tcPr>
            <w:tcW w:w="110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7D78C199"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Measure</w:t>
            </w:r>
          </w:p>
        </w:tc>
        <w:tc>
          <w:tcPr>
            <w:tcW w:w="145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1CA7F595"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 xml:space="preserve">Measure Lifetime (Maximum   70 </w:t>
            </w:r>
            <w:proofErr w:type="spellStart"/>
            <w:r w:rsidRPr="000E0395">
              <w:rPr>
                <w:rFonts w:eastAsia="Calibri" w:cs="Arial"/>
                <w:b/>
                <w:bCs/>
                <w:sz w:val="18"/>
                <w:szCs w:val="18"/>
              </w:rPr>
              <w:t>yrs</w:t>
            </w:r>
            <w:proofErr w:type="spellEnd"/>
            <w:r w:rsidRPr="000E0395">
              <w:rPr>
                <w:rFonts w:eastAsia="Calibri" w:cs="Arial"/>
                <w:b/>
                <w:bCs/>
                <w:sz w:val="18"/>
                <w:szCs w:val="18"/>
              </w:rPr>
              <w:t>)</w:t>
            </w:r>
          </w:p>
        </w:tc>
        <w:tc>
          <w:tcPr>
            <w:tcW w:w="107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7285174A"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Annual Electricity Savings, kWh</w:t>
            </w:r>
          </w:p>
        </w:tc>
        <w:tc>
          <w:tcPr>
            <w:tcW w:w="95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76DB5AA1"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Annual Gas Savings, therm</w:t>
            </w:r>
          </w:p>
        </w:tc>
        <w:tc>
          <w:tcPr>
            <w:tcW w:w="69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5830D024"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Total Cost</w:t>
            </w:r>
          </w:p>
        </w:tc>
        <w:tc>
          <w:tcPr>
            <w:tcW w:w="1097"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bottom"/>
            <w:hideMark/>
          </w:tcPr>
          <w:p w14:paraId="63ADE671"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MAX ETO Incentives</w:t>
            </w:r>
          </w:p>
        </w:tc>
        <w:tc>
          <w:tcPr>
            <w:tcW w:w="1096" w:type="dxa"/>
            <w:tcBorders>
              <w:top w:val="double" w:sz="6" w:space="0" w:color="auto"/>
              <w:left w:val="nil"/>
              <w:bottom w:val="single" w:sz="8" w:space="0" w:color="auto"/>
              <w:right w:val="nil"/>
            </w:tcBorders>
            <w:shd w:val="clear" w:color="auto" w:fill="FF99CC"/>
            <w:tcMar>
              <w:top w:w="0" w:type="dxa"/>
              <w:left w:w="108" w:type="dxa"/>
              <w:bottom w:w="0" w:type="dxa"/>
              <w:right w:w="108" w:type="dxa"/>
            </w:tcMar>
            <w:vAlign w:val="bottom"/>
            <w:hideMark/>
          </w:tcPr>
          <w:p w14:paraId="216E7670"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Combined Utility System BCR</w:t>
            </w:r>
          </w:p>
        </w:tc>
        <w:tc>
          <w:tcPr>
            <w:tcW w:w="1096" w:type="dxa"/>
            <w:tcBorders>
              <w:top w:val="double" w:sz="6" w:space="0" w:color="auto"/>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bottom"/>
            <w:hideMark/>
          </w:tcPr>
          <w:p w14:paraId="25C2640E"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Combined Societal BCR</w:t>
            </w:r>
          </w:p>
        </w:tc>
      </w:tr>
      <w:tr w:rsidR="000E0395" w:rsidRPr="000E0395" w14:paraId="7959B130"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BA2F36A"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attic insulation ELE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561292F"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B75DDB1"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3C6C589"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1.39</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B950ABD"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FC9B2B3"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$0.83</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7D96627"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$2.89</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5A30BA03"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1A5CE8BF"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3.5</w:t>
            </w:r>
          </w:p>
        </w:tc>
      </w:tr>
      <w:tr w:rsidR="000E0395" w:rsidRPr="000E0395" w14:paraId="4C960648"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0EF7B6C"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attic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E5E90CF"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CE64658"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925679F"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B052DCF"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0.060</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0BB1906"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$0.83</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BB9ED9"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$0.55</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CC9AFFE" w14:textId="77777777" w:rsidR="000E0395" w:rsidRPr="000E0395" w:rsidRDefault="000E0395" w:rsidP="00455031">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70717B59" w14:textId="77777777" w:rsidR="000E0395" w:rsidRPr="000E0395" w:rsidRDefault="000E0395" w:rsidP="00455031">
            <w:pPr>
              <w:spacing w:after="160" w:line="252" w:lineRule="auto"/>
              <w:jc w:val="center"/>
              <w:rPr>
                <w:rFonts w:eastAsia="Calibri" w:cs="Arial"/>
                <w:b/>
                <w:bCs/>
                <w:color w:val="FF0000"/>
                <w:sz w:val="18"/>
                <w:szCs w:val="18"/>
              </w:rPr>
            </w:pPr>
            <w:r w:rsidRPr="000E0395">
              <w:rPr>
                <w:rFonts w:eastAsia="Calibri" w:cs="Arial"/>
                <w:b/>
                <w:bCs/>
                <w:color w:val="FF0000"/>
                <w:sz w:val="18"/>
                <w:szCs w:val="18"/>
              </w:rPr>
              <w:t>0.7</w:t>
            </w:r>
          </w:p>
        </w:tc>
      </w:tr>
      <w:tr w:rsidR="000E0395" w:rsidRPr="000E0395" w14:paraId="11A1E1A5"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27BE939"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attic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6AF0D3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49AEB3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63DAC7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70D254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0.066</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E5BA71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$0.83</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D256A0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$0.61</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6F617E7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A3E4320"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0.7</w:t>
            </w:r>
          </w:p>
        </w:tc>
      </w:tr>
      <w:tr w:rsidR="000E0395" w:rsidRPr="000E0395" w14:paraId="00925473"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A5A2134"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lastRenderedPageBreak/>
              <w:t>attic insulation in WA (R0-R19 starting condition)</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EB88C73"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8F0F955"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F9A1EC0"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69A82AB"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0.052</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093A892"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$0.83</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BB6C9B3"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$0.48</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E6497A4"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41A5097" w14:textId="77777777" w:rsidR="000E0395" w:rsidRPr="000E0395" w:rsidRDefault="000E0395" w:rsidP="000E0395">
            <w:pPr>
              <w:spacing w:after="160" w:line="252" w:lineRule="auto"/>
              <w:jc w:val="center"/>
              <w:rPr>
                <w:rFonts w:eastAsia="Calibri" w:cs="Arial"/>
                <w:b/>
                <w:bCs/>
                <w:color w:val="FF0000"/>
                <w:sz w:val="18"/>
                <w:szCs w:val="18"/>
                <w:highlight w:val="yellow"/>
              </w:rPr>
            </w:pPr>
            <w:r w:rsidRPr="000E0395">
              <w:rPr>
                <w:rFonts w:eastAsia="Calibri" w:cs="Arial"/>
                <w:b/>
                <w:bCs/>
                <w:color w:val="FF0000"/>
                <w:sz w:val="18"/>
                <w:szCs w:val="18"/>
                <w:highlight w:val="yellow"/>
              </w:rPr>
              <w:t>0.6</w:t>
            </w:r>
          </w:p>
        </w:tc>
      </w:tr>
      <w:tr w:rsidR="000E0395" w:rsidRPr="000E0395" w14:paraId="7069C331"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8BE7DF9"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wall insulation ELE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EF363C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A4839C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DD4D0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1.21</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7E059B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4DFDAE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$1.39</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ADE92D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$2.52</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37B4D6D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2FA1E20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1.8</w:t>
            </w:r>
          </w:p>
        </w:tc>
      </w:tr>
      <w:tr w:rsidR="000E0395" w:rsidRPr="000E0395" w14:paraId="5527B3E8"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723107"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wall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BCFA78B"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85B5CB4"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4006418"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E0CCC8C"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0.052</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C102346"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$1.39</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2261D68"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$0.48</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2B42E49E"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40493FF7" w14:textId="77777777" w:rsidR="000E0395" w:rsidRPr="000E0395" w:rsidRDefault="000E0395" w:rsidP="000E0395">
            <w:pPr>
              <w:spacing w:after="160" w:line="252" w:lineRule="auto"/>
              <w:jc w:val="center"/>
              <w:rPr>
                <w:rFonts w:eastAsia="Calibri" w:cs="Arial"/>
                <w:b/>
                <w:bCs/>
                <w:color w:val="FF0000"/>
                <w:sz w:val="18"/>
                <w:szCs w:val="18"/>
                <w:highlight w:val="yellow"/>
              </w:rPr>
            </w:pPr>
            <w:r w:rsidRPr="000E0395">
              <w:rPr>
                <w:rFonts w:eastAsia="Calibri" w:cs="Arial"/>
                <w:b/>
                <w:bCs/>
                <w:color w:val="FF0000"/>
                <w:sz w:val="18"/>
                <w:szCs w:val="18"/>
                <w:highlight w:val="yellow"/>
              </w:rPr>
              <w:t>0.3</w:t>
            </w:r>
          </w:p>
        </w:tc>
      </w:tr>
      <w:tr w:rsidR="000E0395" w:rsidRPr="000E0395" w14:paraId="47CC8492"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F2DA89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wall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5A8A1F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15B1C2E"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F55168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E4E48F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0.057</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C529C6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$1.39</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846DF6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$0.53</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11F45C7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668CEF7D"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0.4</w:t>
            </w:r>
          </w:p>
        </w:tc>
      </w:tr>
      <w:tr w:rsidR="000E0395" w:rsidRPr="000E0395" w14:paraId="618C899C"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C06C00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floor insulation ELE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A0201C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A0BB17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DA52C6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0.98</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4A642E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960F0E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$1.60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705CFA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$2.04</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04FC842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6665918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1.3</w:t>
            </w:r>
          </w:p>
        </w:tc>
      </w:tr>
      <w:tr w:rsidR="000E0395" w:rsidRPr="000E0395" w14:paraId="27F63AEC"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7880DE5"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floor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989FD6E"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DCC4CBC"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1A8B817"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0AB247E"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0.042</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0A3E351"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$1.60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A5489B2"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$0.39</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58334163" w14:textId="77777777" w:rsidR="000E0395" w:rsidRPr="000E0395" w:rsidRDefault="000E0395" w:rsidP="000E0395">
            <w:pPr>
              <w:spacing w:after="160" w:line="252" w:lineRule="auto"/>
              <w:jc w:val="center"/>
              <w:rPr>
                <w:rFonts w:eastAsia="Calibri" w:cs="Arial"/>
                <w:b/>
                <w:bCs/>
                <w:sz w:val="18"/>
                <w:szCs w:val="18"/>
                <w:highlight w:val="yellow"/>
              </w:rPr>
            </w:pPr>
            <w:r w:rsidRPr="000E0395">
              <w:rPr>
                <w:rFonts w:eastAsia="Calibri" w:cs="Arial"/>
                <w:b/>
                <w:bCs/>
                <w:sz w:val="18"/>
                <w:szCs w:val="18"/>
                <w:highlight w:val="yellow"/>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416056FF" w14:textId="77777777" w:rsidR="000E0395" w:rsidRPr="000E0395" w:rsidRDefault="000E0395" w:rsidP="000E0395">
            <w:pPr>
              <w:spacing w:after="160" w:line="252" w:lineRule="auto"/>
              <w:jc w:val="center"/>
              <w:rPr>
                <w:rFonts w:eastAsia="Calibri" w:cs="Arial"/>
                <w:b/>
                <w:bCs/>
                <w:color w:val="FF0000"/>
                <w:sz w:val="18"/>
                <w:szCs w:val="18"/>
                <w:highlight w:val="yellow"/>
              </w:rPr>
            </w:pPr>
            <w:r w:rsidRPr="000E0395">
              <w:rPr>
                <w:rFonts w:eastAsia="Calibri" w:cs="Arial"/>
                <w:b/>
                <w:bCs/>
                <w:color w:val="FF0000"/>
                <w:sz w:val="18"/>
                <w:szCs w:val="18"/>
                <w:highlight w:val="yellow"/>
              </w:rPr>
              <w:t>0.4</w:t>
            </w:r>
          </w:p>
        </w:tc>
      </w:tr>
      <w:tr w:rsidR="000E0395" w:rsidRPr="000E0395" w14:paraId="643D8A45"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C3F31B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floor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F64473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HES</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50C4F1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441E2F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EADFD5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0.046</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3DDE9D9"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$1.60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360F67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$0.43</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19DCC5E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45A19E2A"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0.3</w:t>
            </w:r>
          </w:p>
        </w:tc>
      </w:tr>
      <w:tr w:rsidR="000E0395" w:rsidRPr="000E0395" w14:paraId="182EC9D9"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7EE712E"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xml:space="preserve">attic insulation ELE SPHT </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178ABB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D6008D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840AC0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1.39</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1542AF"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EABE82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$1.70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3F6CD7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$2.89</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2E34C37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393A99E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1.7</w:t>
            </w:r>
          </w:p>
        </w:tc>
      </w:tr>
      <w:tr w:rsidR="000E0395" w:rsidRPr="000E0395" w14:paraId="741E31EB"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60253A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attic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24F6AD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BC2465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710829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6DD92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0.060</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309D4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$1.70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80DE2F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$0.55</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7C9E0F9"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26C87ADD"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0.3</w:t>
            </w:r>
          </w:p>
        </w:tc>
      </w:tr>
      <w:tr w:rsidR="000E0395" w:rsidRPr="000E0395" w14:paraId="3783D907"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56E091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attic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95EC56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3C75C9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238608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7DBFA0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0.066</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D14AAD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$1.70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CEB4DC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$0.61</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6A13AA4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F79321A"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0.4</w:t>
            </w:r>
          </w:p>
        </w:tc>
      </w:tr>
      <w:tr w:rsidR="000E0395" w:rsidRPr="000E0395" w14:paraId="4FFFD285"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829A34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wall insulation ELE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068D9E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17CD60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D2B933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1.21</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BBBD2E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F963ED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$2.76</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1F6431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$2.52</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6F78493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749D4227"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0.9</w:t>
            </w:r>
          </w:p>
        </w:tc>
      </w:tr>
      <w:tr w:rsidR="000E0395" w:rsidRPr="000E0395" w14:paraId="44EB3F4A"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3C180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wall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071901E"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FB299C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1C1463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EAED82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0.052</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4A686BE"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$2.76</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38BDA3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$0.48</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373EB2B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7B59F3CF"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0.2</w:t>
            </w:r>
          </w:p>
        </w:tc>
      </w:tr>
      <w:tr w:rsidR="000E0395" w:rsidRPr="000E0395" w14:paraId="335A70E1"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FE7D3B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wall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BB231E1"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E305E22"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097E63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E6797B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0.057</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734D35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$2.76</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09CE53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$0.53</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1E110C7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F1853FB"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0.2</w:t>
            </w:r>
          </w:p>
        </w:tc>
      </w:tr>
      <w:tr w:rsidR="000E0395" w:rsidRPr="000E0395" w14:paraId="52A18EFC" w14:textId="77777777" w:rsidTr="00455031">
        <w:trPr>
          <w:trHeight w:val="448"/>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A93BC6"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floor insulation ELE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A66D67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63E3F8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D18DBC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0.98</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DB4316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4D919D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$1.90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7BFF3BE"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$2.04</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39F675D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3F12E32A"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1.1</w:t>
            </w:r>
          </w:p>
        </w:tc>
      </w:tr>
      <w:tr w:rsidR="000E0395" w:rsidRPr="000E0395" w14:paraId="6209C57A"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AF73363"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floor insulation GAS SPHT</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87B2EA4"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8B8FC9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BBF948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FB21785"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0.042</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E3D3BBB"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$1.90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E295CD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$0.39</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53DC3B5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42DE37A6"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0.2</w:t>
            </w:r>
          </w:p>
        </w:tc>
      </w:tr>
      <w:tr w:rsidR="000E0395" w:rsidRPr="000E0395" w14:paraId="2F8ED1A1" w14:textId="77777777" w:rsidTr="00455031">
        <w:trPr>
          <w:trHeight w:val="507"/>
        </w:trPr>
        <w:tc>
          <w:tcPr>
            <w:tcW w:w="176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BE9C1E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floor insulation GAS SPHT zone 2</w:t>
            </w:r>
          </w:p>
        </w:tc>
        <w:tc>
          <w:tcPr>
            <w:tcW w:w="110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1C1441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HPF</w:t>
            </w:r>
          </w:p>
        </w:tc>
        <w:tc>
          <w:tcPr>
            <w:tcW w:w="14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E5DF987"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45</w:t>
            </w:r>
          </w:p>
        </w:tc>
        <w:tc>
          <w:tcPr>
            <w:tcW w:w="107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63A7B58"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 </w:t>
            </w:r>
          </w:p>
        </w:tc>
        <w:tc>
          <w:tcPr>
            <w:tcW w:w="95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C9ACDDC"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0.046</w:t>
            </w:r>
          </w:p>
        </w:tc>
        <w:tc>
          <w:tcPr>
            <w:tcW w:w="69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9D86A89"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$1.90</w:t>
            </w:r>
          </w:p>
        </w:tc>
        <w:tc>
          <w:tcPr>
            <w:tcW w:w="109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E7BB5C0"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$0.43</w:t>
            </w:r>
          </w:p>
        </w:tc>
        <w:tc>
          <w:tcPr>
            <w:tcW w:w="1096"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7AF8787D" w14:textId="77777777" w:rsidR="000E0395" w:rsidRPr="000E0395" w:rsidRDefault="000E0395" w:rsidP="000E0395">
            <w:pPr>
              <w:spacing w:after="160" w:line="252"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29334946" w14:textId="77777777" w:rsidR="000E0395" w:rsidRPr="000E0395" w:rsidRDefault="000E0395" w:rsidP="000E0395">
            <w:pPr>
              <w:spacing w:after="160" w:line="252" w:lineRule="auto"/>
              <w:jc w:val="center"/>
              <w:rPr>
                <w:rFonts w:eastAsia="Calibri" w:cs="Arial"/>
                <w:b/>
                <w:bCs/>
                <w:color w:val="FF0000"/>
                <w:sz w:val="18"/>
                <w:szCs w:val="18"/>
              </w:rPr>
            </w:pPr>
            <w:r w:rsidRPr="000E0395">
              <w:rPr>
                <w:rFonts w:eastAsia="Calibri" w:cs="Arial"/>
                <w:b/>
                <w:bCs/>
                <w:color w:val="FF0000"/>
                <w:sz w:val="18"/>
                <w:szCs w:val="18"/>
              </w:rPr>
              <w:t>0.2</w:t>
            </w:r>
          </w:p>
        </w:tc>
      </w:tr>
    </w:tbl>
    <w:p w14:paraId="150CE71B" w14:textId="77777777" w:rsidR="000E0395" w:rsidRPr="000E0395" w:rsidRDefault="000E0395" w:rsidP="000E0395">
      <w:pPr>
        <w:autoSpaceDE w:val="0"/>
        <w:autoSpaceDN w:val="0"/>
        <w:ind w:left="720"/>
        <w:rPr>
          <w:rFonts w:ascii="Calibri" w:eastAsia="Calibri" w:hAnsi="Calibri"/>
          <w:b/>
          <w:bCs/>
          <w:sz w:val="22"/>
          <w:szCs w:val="22"/>
        </w:rPr>
      </w:pPr>
    </w:p>
    <w:p w14:paraId="2B0AB394" w14:textId="77777777" w:rsidR="000E0395" w:rsidRPr="000E0395" w:rsidRDefault="000E0395" w:rsidP="00455031">
      <w:pPr>
        <w:autoSpaceDE w:val="0"/>
        <w:autoSpaceDN w:val="0"/>
        <w:rPr>
          <w:rFonts w:ascii="Calibri" w:eastAsia="Calibri" w:hAnsi="Calibri"/>
          <w:b/>
          <w:bCs/>
          <w:sz w:val="22"/>
          <w:szCs w:val="22"/>
        </w:rPr>
      </w:pPr>
      <w:r w:rsidRPr="000E0395">
        <w:rPr>
          <w:rFonts w:ascii="Calibri" w:eastAsia="Calibri" w:hAnsi="Calibri"/>
          <w:b/>
          <w:bCs/>
          <w:sz w:val="22"/>
          <w:szCs w:val="22"/>
        </w:rPr>
        <w:t>Note: this table uses 2015 avoided cost</w:t>
      </w:r>
    </w:p>
    <w:p w14:paraId="5497F427" w14:textId="77777777" w:rsidR="000E0395" w:rsidRPr="000E0395" w:rsidRDefault="000E0395" w:rsidP="00455031">
      <w:pPr>
        <w:autoSpaceDE w:val="0"/>
        <w:autoSpaceDN w:val="0"/>
        <w:rPr>
          <w:rFonts w:ascii="Calibri" w:eastAsia="Calibri" w:hAnsi="Calibri"/>
          <w:b/>
          <w:bCs/>
          <w:sz w:val="22"/>
          <w:szCs w:val="22"/>
        </w:rPr>
      </w:pPr>
    </w:p>
    <w:p w14:paraId="647E6FA1" w14:textId="77777777" w:rsidR="000E0395" w:rsidRPr="000E0395" w:rsidRDefault="000E0395" w:rsidP="00455031">
      <w:pPr>
        <w:autoSpaceDE w:val="0"/>
        <w:autoSpaceDN w:val="0"/>
        <w:rPr>
          <w:rFonts w:ascii="Calibri" w:eastAsia="Calibri" w:hAnsi="Calibri"/>
          <w:b/>
          <w:bCs/>
          <w:sz w:val="22"/>
          <w:szCs w:val="22"/>
        </w:rPr>
      </w:pPr>
      <w:r w:rsidRPr="000E0395">
        <w:rPr>
          <w:rFonts w:ascii="Calibri" w:eastAsia="Calibri" w:hAnsi="Calibri"/>
          <w:b/>
          <w:bCs/>
          <w:sz w:val="22"/>
          <w:szCs w:val="22"/>
        </w:rPr>
        <w:t xml:space="preserve">Attic Insulation Measure Analysis </w:t>
      </w:r>
    </w:p>
    <w:p w14:paraId="618D702B"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Billing analysis from CSG indicates energy savings for attic insulation in gas heated homes ranges from 96 therms to 66 therms, depending on the starting condition, as shown in the table 2 below.</w:t>
      </w:r>
    </w:p>
    <w:p w14:paraId="0A15050E" w14:textId="77777777" w:rsidR="000E0395" w:rsidRPr="000E0395" w:rsidRDefault="000E0395" w:rsidP="00455031">
      <w:pPr>
        <w:spacing w:after="160" w:line="259" w:lineRule="auto"/>
        <w:rPr>
          <w:rFonts w:eastAsia="Calibri" w:cs="Arial"/>
          <w:sz w:val="18"/>
          <w:szCs w:val="18"/>
        </w:rPr>
      </w:pPr>
      <w:r w:rsidRPr="000E0395">
        <w:rPr>
          <w:rFonts w:eastAsia="Calibri" w:cs="Arial"/>
          <w:sz w:val="18"/>
          <w:szCs w:val="18"/>
        </w:rPr>
        <w:br w:type="page"/>
      </w:r>
    </w:p>
    <w:p w14:paraId="636F9EFC" w14:textId="77777777" w:rsidR="000E0395" w:rsidRPr="000E0395" w:rsidRDefault="000E0395" w:rsidP="000E0395">
      <w:pPr>
        <w:autoSpaceDE w:val="0"/>
        <w:autoSpaceDN w:val="0"/>
        <w:ind w:left="720"/>
        <w:rPr>
          <w:rFonts w:eastAsia="Calibri" w:cs="Arial"/>
          <w:sz w:val="18"/>
          <w:szCs w:val="18"/>
        </w:rPr>
      </w:pPr>
    </w:p>
    <w:p w14:paraId="4C330C87" w14:textId="77777777" w:rsidR="000E0395" w:rsidRPr="000E0395" w:rsidRDefault="000E0395" w:rsidP="00455031">
      <w:pPr>
        <w:autoSpaceDE w:val="0"/>
        <w:autoSpaceDN w:val="0"/>
        <w:rPr>
          <w:rFonts w:eastAsia="Calibri" w:cs="Arial"/>
          <w:b/>
          <w:bCs/>
          <w:sz w:val="18"/>
          <w:szCs w:val="18"/>
        </w:rPr>
      </w:pPr>
      <w:r w:rsidRPr="000E0395">
        <w:rPr>
          <w:rFonts w:eastAsia="Calibri" w:cs="Arial"/>
          <w:b/>
          <w:bCs/>
          <w:sz w:val="18"/>
          <w:szCs w:val="18"/>
        </w:rPr>
        <w:t>Table 2: CSG energy savings analysis by starting insulation level</w:t>
      </w:r>
    </w:p>
    <w:p w14:paraId="5D746EDC" w14:textId="77777777" w:rsidR="000E0395" w:rsidRPr="000E0395" w:rsidRDefault="000E0395" w:rsidP="000E0395">
      <w:pPr>
        <w:autoSpaceDE w:val="0"/>
        <w:autoSpaceDN w:val="0"/>
        <w:ind w:left="720"/>
        <w:rPr>
          <w:rFonts w:eastAsia="Calibri" w:cs="Arial"/>
          <w:b/>
          <w:bCs/>
          <w:sz w:val="18"/>
          <w:szCs w:val="18"/>
        </w:rPr>
      </w:pPr>
    </w:p>
    <w:tbl>
      <w:tblPr>
        <w:tblW w:w="9538" w:type="dxa"/>
        <w:tblInd w:w="108" w:type="dxa"/>
        <w:tblCellMar>
          <w:left w:w="0" w:type="dxa"/>
          <w:right w:w="0" w:type="dxa"/>
        </w:tblCellMar>
        <w:tblLook w:val="04A0" w:firstRow="1" w:lastRow="0" w:firstColumn="1" w:lastColumn="0" w:noHBand="0" w:noVBand="1"/>
      </w:tblPr>
      <w:tblGrid>
        <w:gridCol w:w="1275"/>
        <w:gridCol w:w="723"/>
        <w:gridCol w:w="938"/>
        <w:gridCol w:w="860"/>
        <w:gridCol w:w="1284"/>
        <w:gridCol w:w="1029"/>
        <w:gridCol w:w="1114"/>
        <w:gridCol w:w="1101"/>
        <w:gridCol w:w="1214"/>
      </w:tblGrid>
      <w:tr w:rsidR="000E0395" w:rsidRPr="000E0395" w14:paraId="2A51BA71" w14:textId="77777777" w:rsidTr="00455031">
        <w:trPr>
          <w:trHeight w:val="808"/>
        </w:trPr>
        <w:tc>
          <w:tcPr>
            <w:tcW w:w="1275" w:type="dxa"/>
            <w:tcBorders>
              <w:top w:val="single" w:sz="8" w:space="0" w:color="auto"/>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56CDC344"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Pre R-Value</w:t>
            </w:r>
          </w:p>
        </w:tc>
        <w:tc>
          <w:tcPr>
            <w:tcW w:w="723"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2EC8DD46"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N</w:t>
            </w:r>
          </w:p>
        </w:tc>
        <w:tc>
          <w:tcPr>
            <w:tcW w:w="938"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6ADD8A8A"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Net Therm Savings</w:t>
            </w:r>
          </w:p>
        </w:tc>
        <w:tc>
          <w:tcPr>
            <w:tcW w:w="860"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5018AE3E"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95% C.I.</w:t>
            </w:r>
          </w:p>
        </w:tc>
        <w:tc>
          <w:tcPr>
            <w:tcW w:w="1284"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5DE15FC1"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Pre-treatment Therms</w:t>
            </w:r>
          </w:p>
        </w:tc>
        <w:tc>
          <w:tcPr>
            <w:tcW w:w="1029"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2A236A26"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Savings</w:t>
            </w:r>
          </w:p>
        </w:tc>
        <w:tc>
          <w:tcPr>
            <w:tcW w:w="1114"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2BABF106"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xml:space="preserve">Home </w:t>
            </w:r>
            <w:proofErr w:type="spellStart"/>
            <w:r w:rsidRPr="000E0395">
              <w:rPr>
                <w:rFonts w:ascii="Calibri" w:eastAsia="Calibri" w:hAnsi="Calibri"/>
                <w:color w:val="000000"/>
                <w:sz w:val="22"/>
                <w:szCs w:val="22"/>
              </w:rPr>
              <w:t>sqft</w:t>
            </w:r>
            <w:proofErr w:type="spellEnd"/>
          </w:p>
        </w:tc>
        <w:tc>
          <w:tcPr>
            <w:tcW w:w="1101"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7E4A3603"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xml:space="preserve">Insulation </w:t>
            </w:r>
            <w:proofErr w:type="spellStart"/>
            <w:r w:rsidRPr="000E0395">
              <w:rPr>
                <w:rFonts w:ascii="Calibri" w:eastAsia="Calibri" w:hAnsi="Calibri"/>
                <w:color w:val="000000"/>
                <w:sz w:val="22"/>
                <w:szCs w:val="22"/>
              </w:rPr>
              <w:t>sqft</w:t>
            </w:r>
            <w:proofErr w:type="spellEnd"/>
          </w:p>
        </w:tc>
        <w:tc>
          <w:tcPr>
            <w:tcW w:w="1214" w:type="dxa"/>
            <w:tcBorders>
              <w:top w:val="single" w:sz="8" w:space="0" w:color="auto"/>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14:paraId="00071232"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xml:space="preserve">Therms per </w:t>
            </w:r>
            <w:proofErr w:type="spellStart"/>
            <w:r w:rsidRPr="000E0395">
              <w:rPr>
                <w:rFonts w:ascii="Calibri" w:eastAsia="Calibri" w:hAnsi="Calibri"/>
                <w:color w:val="000000"/>
                <w:sz w:val="22"/>
                <w:szCs w:val="22"/>
              </w:rPr>
              <w:t>sqft</w:t>
            </w:r>
            <w:proofErr w:type="spellEnd"/>
          </w:p>
        </w:tc>
      </w:tr>
      <w:tr w:rsidR="000E0395" w:rsidRPr="000E0395" w14:paraId="517BBC35" w14:textId="77777777" w:rsidTr="00455031">
        <w:trPr>
          <w:trHeight w:val="315"/>
        </w:trPr>
        <w:tc>
          <w:tcPr>
            <w:tcW w:w="12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6A5653"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0</w:t>
            </w:r>
          </w:p>
        </w:tc>
        <w:tc>
          <w:tcPr>
            <w:tcW w:w="7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E6407"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119</w:t>
            </w:r>
          </w:p>
        </w:tc>
        <w:tc>
          <w:tcPr>
            <w:tcW w:w="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D02B06"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96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F4DC9"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55</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27F23D"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803</w:t>
            </w:r>
          </w:p>
        </w:tc>
        <w:tc>
          <w:tcPr>
            <w:tcW w:w="10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B5F2"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12.0%</w:t>
            </w:r>
          </w:p>
        </w:tc>
        <w:tc>
          <w:tcPr>
            <w:tcW w:w="11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44F00F"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1,962</w:t>
            </w:r>
          </w:p>
        </w:tc>
        <w:tc>
          <w:tcPr>
            <w:tcW w:w="11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A65EA"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1,126</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47C27"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0.085</w:t>
            </w:r>
          </w:p>
        </w:tc>
      </w:tr>
      <w:tr w:rsidR="000E0395" w:rsidRPr="000E0395" w14:paraId="06CF542E" w14:textId="77777777" w:rsidTr="00455031">
        <w:trPr>
          <w:trHeight w:val="315"/>
        </w:trPr>
        <w:tc>
          <w:tcPr>
            <w:tcW w:w="12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F02781"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2 thru 8</w:t>
            </w:r>
          </w:p>
        </w:tc>
        <w:tc>
          <w:tcPr>
            <w:tcW w:w="7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84912"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204</w:t>
            </w:r>
          </w:p>
        </w:tc>
        <w:tc>
          <w:tcPr>
            <w:tcW w:w="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87FCC5"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74</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90B7A"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16</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A0F2E"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700</w:t>
            </w:r>
          </w:p>
        </w:tc>
        <w:tc>
          <w:tcPr>
            <w:tcW w:w="10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65129A"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10.6%</w:t>
            </w:r>
          </w:p>
        </w:tc>
        <w:tc>
          <w:tcPr>
            <w:tcW w:w="11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7954E"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1,860</w:t>
            </w:r>
          </w:p>
        </w:tc>
        <w:tc>
          <w:tcPr>
            <w:tcW w:w="11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7B8D0"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1,333</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9D78F"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0.056</w:t>
            </w:r>
          </w:p>
        </w:tc>
      </w:tr>
      <w:tr w:rsidR="000E0395" w:rsidRPr="000E0395" w14:paraId="2F636198" w14:textId="77777777" w:rsidTr="00455031">
        <w:trPr>
          <w:trHeight w:val="315"/>
        </w:trPr>
        <w:tc>
          <w:tcPr>
            <w:tcW w:w="12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DD2A46"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9 thru 11</w:t>
            </w:r>
          </w:p>
        </w:tc>
        <w:tc>
          <w:tcPr>
            <w:tcW w:w="7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AB96CB"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215</w:t>
            </w:r>
          </w:p>
        </w:tc>
        <w:tc>
          <w:tcPr>
            <w:tcW w:w="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4E201"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66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F2EBC" w14:textId="77777777" w:rsidR="000E0395" w:rsidRPr="000E0395" w:rsidRDefault="000E0395" w:rsidP="000E0395">
            <w:pPr>
              <w:overflowPunct w:val="0"/>
              <w:autoSpaceDE w:val="0"/>
              <w:autoSpaceDN w:val="0"/>
              <w:spacing w:after="160" w:line="252" w:lineRule="auto"/>
              <w:rPr>
                <w:rFonts w:ascii="Calibri" w:eastAsia="Calibri" w:hAnsi="Calibri"/>
                <w:color w:val="000000"/>
                <w:sz w:val="22"/>
                <w:szCs w:val="22"/>
              </w:rPr>
            </w:pPr>
            <w:r w:rsidRPr="000E0395">
              <w:rPr>
                <w:rFonts w:ascii="Calibri" w:eastAsia="Calibri" w:hAnsi="Calibri"/>
                <w:color w:val="000000"/>
                <w:sz w:val="22"/>
                <w:szCs w:val="22"/>
              </w:rPr>
              <w:t>± 19</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50AB21"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735</w:t>
            </w:r>
          </w:p>
        </w:tc>
        <w:tc>
          <w:tcPr>
            <w:tcW w:w="10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1D9BE"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9.0%</w:t>
            </w:r>
          </w:p>
        </w:tc>
        <w:tc>
          <w:tcPr>
            <w:tcW w:w="11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CB362C"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1,929</w:t>
            </w:r>
          </w:p>
        </w:tc>
        <w:tc>
          <w:tcPr>
            <w:tcW w:w="11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A2241"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1,340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10395"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0.049</w:t>
            </w:r>
          </w:p>
        </w:tc>
      </w:tr>
    </w:tbl>
    <w:p w14:paraId="12A3BE71" w14:textId="77777777" w:rsidR="000E0395" w:rsidRPr="000E0395" w:rsidRDefault="000E0395" w:rsidP="000E0395">
      <w:pPr>
        <w:autoSpaceDE w:val="0"/>
        <w:autoSpaceDN w:val="0"/>
        <w:ind w:left="720"/>
        <w:rPr>
          <w:rFonts w:eastAsia="Calibri" w:cs="Arial"/>
          <w:sz w:val="18"/>
          <w:szCs w:val="18"/>
        </w:rPr>
      </w:pPr>
    </w:p>
    <w:p w14:paraId="2ECDADB3" w14:textId="77777777" w:rsidR="000E0395" w:rsidRPr="000E0395" w:rsidRDefault="000E0395" w:rsidP="00455031">
      <w:pPr>
        <w:autoSpaceDE w:val="0"/>
        <w:autoSpaceDN w:val="0"/>
        <w:rPr>
          <w:rFonts w:eastAsia="Calibri" w:cs="Arial"/>
          <w:sz w:val="18"/>
          <w:szCs w:val="18"/>
        </w:rPr>
      </w:pPr>
      <w:r w:rsidRPr="000E0395">
        <w:rPr>
          <w:rFonts w:eastAsia="Calibri" w:cs="Arial"/>
          <w:sz w:val="18"/>
          <w:szCs w:val="18"/>
        </w:rPr>
        <w:t>Table 2a: Weighted average of CSG energy savings analysis by starting insulation level</w:t>
      </w:r>
    </w:p>
    <w:p w14:paraId="238D6BCB" w14:textId="77777777" w:rsidR="000E0395" w:rsidRPr="000E0395" w:rsidRDefault="000E0395" w:rsidP="000E0395">
      <w:pPr>
        <w:autoSpaceDE w:val="0"/>
        <w:autoSpaceDN w:val="0"/>
        <w:ind w:left="720"/>
        <w:rPr>
          <w:rFonts w:eastAsia="Calibri" w:cs="Arial"/>
          <w:sz w:val="18"/>
          <w:szCs w:val="18"/>
        </w:rPr>
      </w:pPr>
    </w:p>
    <w:tbl>
      <w:tblPr>
        <w:tblW w:w="0" w:type="auto"/>
        <w:tblInd w:w="108" w:type="dxa"/>
        <w:tblCellMar>
          <w:left w:w="0" w:type="dxa"/>
          <w:right w:w="0" w:type="dxa"/>
        </w:tblCellMar>
        <w:tblLook w:val="04A0" w:firstRow="1" w:lastRow="0" w:firstColumn="1" w:lastColumn="0" w:noHBand="0" w:noVBand="1"/>
      </w:tblPr>
      <w:tblGrid>
        <w:gridCol w:w="2036"/>
        <w:gridCol w:w="934"/>
        <w:gridCol w:w="810"/>
        <w:gridCol w:w="1260"/>
        <w:gridCol w:w="1080"/>
        <w:gridCol w:w="1080"/>
        <w:gridCol w:w="1080"/>
        <w:gridCol w:w="1170"/>
      </w:tblGrid>
      <w:tr w:rsidR="000E0395" w:rsidRPr="000E0395" w14:paraId="67F48CA1" w14:textId="77777777" w:rsidTr="00455031">
        <w:trPr>
          <w:trHeight w:val="269"/>
        </w:trPr>
        <w:tc>
          <w:tcPr>
            <w:tcW w:w="2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1454" w14:textId="77777777" w:rsidR="000E0395" w:rsidRPr="000E0395" w:rsidRDefault="000E0395" w:rsidP="000E0395">
            <w:pPr>
              <w:overflowPunct w:val="0"/>
              <w:autoSpaceDE w:val="0"/>
              <w:autoSpaceDN w:val="0"/>
              <w:spacing w:line="252" w:lineRule="auto"/>
              <w:jc w:val="right"/>
              <w:rPr>
                <w:rFonts w:ascii="Calibri" w:eastAsia="Calibri" w:hAnsi="Calibri"/>
                <w:sz w:val="20"/>
              </w:rPr>
            </w:pPr>
            <w:r w:rsidRPr="000E0395">
              <w:rPr>
                <w:rFonts w:ascii="Calibri" w:eastAsia="Calibri" w:hAnsi="Calibri"/>
                <w:sz w:val="20"/>
              </w:rPr>
              <w:t>Starting condition R0 to R11</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B19C3B"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r w:rsidRPr="000E0395">
              <w:rPr>
                <w:rFonts w:ascii="Calibri" w:eastAsia="Calibri" w:hAnsi="Calibri"/>
                <w:sz w:val="22"/>
                <w:szCs w:val="22"/>
              </w:rPr>
              <w:t>75.7</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C3425F"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D62688"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r w:rsidRPr="000E0395">
              <w:rPr>
                <w:rFonts w:ascii="Calibri" w:eastAsia="Calibri" w:hAnsi="Calibri"/>
                <w:sz w:val="22"/>
                <w:szCs w:val="22"/>
              </w:rPr>
              <w:t>737</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90F817"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8A452D"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r w:rsidRPr="000E0395">
              <w:rPr>
                <w:rFonts w:ascii="Calibri" w:eastAsia="Calibri" w:hAnsi="Calibri"/>
                <w:sz w:val="22"/>
                <w:szCs w:val="22"/>
              </w:rPr>
              <w:t>1,910</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8C9960"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r w:rsidRPr="000E0395">
              <w:rPr>
                <w:rFonts w:ascii="Calibri" w:eastAsia="Calibri" w:hAnsi="Calibri"/>
                <w:sz w:val="22"/>
                <w:szCs w:val="22"/>
              </w:rPr>
              <w:t>1,290</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E4E367" w14:textId="77777777" w:rsidR="000E0395" w:rsidRPr="000E0395" w:rsidRDefault="000E0395" w:rsidP="000E0395">
            <w:pPr>
              <w:overflowPunct w:val="0"/>
              <w:autoSpaceDE w:val="0"/>
              <w:autoSpaceDN w:val="0"/>
              <w:spacing w:after="160" w:line="252" w:lineRule="auto"/>
              <w:jc w:val="right"/>
              <w:rPr>
                <w:rFonts w:ascii="Calibri" w:eastAsia="Calibri" w:hAnsi="Calibri"/>
                <w:sz w:val="22"/>
                <w:szCs w:val="22"/>
              </w:rPr>
            </w:pPr>
            <w:r w:rsidRPr="000E0395">
              <w:rPr>
                <w:rFonts w:ascii="Calibri" w:eastAsia="Calibri" w:hAnsi="Calibri"/>
                <w:sz w:val="22"/>
                <w:szCs w:val="22"/>
              </w:rPr>
              <w:t>0.060</w:t>
            </w:r>
          </w:p>
        </w:tc>
      </w:tr>
      <w:tr w:rsidR="000E0395" w:rsidRPr="000E0395" w14:paraId="42EA6A94" w14:textId="77777777" w:rsidTr="00455031">
        <w:trPr>
          <w:trHeight w:val="269"/>
        </w:trPr>
        <w:tc>
          <w:tcPr>
            <w:tcW w:w="2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3EEC2"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0"/>
              </w:rPr>
            </w:pPr>
            <w:r w:rsidRPr="000E0395">
              <w:rPr>
                <w:rFonts w:ascii="Calibri" w:eastAsia="Calibri" w:hAnsi="Calibri"/>
                <w:color w:val="000000"/>
                <w:sz w:val="20"/>
              </w:rPr>
              <w:t>Starting condition R0 to R19</w:t>
            </w:r>
          </w:p>
        </w:tc>
        <w:tc>
          <w:tcPr>
            <w:tcW w:w="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B477E"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66.8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27D65"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769D"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717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04697"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FBBA"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1,954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E57C"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1,313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1BADD" w14:textId="77777777" w:rsidR="000E0395" w:rsidRPr="000E0395" w:rsidRDefault="000E0395" w:rsidP="000E0395">
            <w:pPr>
              <w:overflowPunct w:val="0"/>
              <w:autoSpaceDE w:val="0"/>
              <w:autoSpaceDN w:val="0"/>
              <w:spacing w:after="160" w:line="252" w:lineRule="auto"/>
              <w:jc w:val="right"/>
              <w:rPr>
                <w:rFonts w:ascii="Calibri" w:eastAsia="Calibri" w:hAnsi="Calibri"/>
                <w:color w:val="000000"/>
                <w:sz w:val="22"/>
                <w:szCs w:val="22"/>
              </w:rPr>
            </w:pPr>
            <w:r w:rsidRPr="000E0395">
              <w:rPr>
                <w:rFonts w:ascii="Calibri" w:eastAsia="Calibri" w:hAnsi="Calibri"/>
                <w:color w:val="000000"/>
                <w:sz w:val="22"/>
                <w:szCs w:val="22"/>
              </w:rPr>
              <w:t>0.052</w:t>
            </w:r>
          </w:p>
        </w:tc>
      </w:tr>
    </w:tbl>
    <w:p w14:paraId="360795BE" w14:textId="77777777" w:rsidR="000E0395" w:rsidRPr="000E0395" w:rsidRDefault="000E0395" w:rsidP="000E0395">
      <w:pPr>
        <w:autoSpaceDE w:val="0"/>
        <w:autoSpaceDN w:val="0"/>
        <w:ind w:left="720"/>
        <w:rPr>
          <w:rFonts w:eastAsia="Calibri" w:cs="Arial"/>
          <w:sz w:val="18"/>
          <w:szCs w:val="18"/>
        </w:rPr>
      </w:pPr>
    </w:p>
    <w:p w14:paraId="5C087C07"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The weighted average energy savings per square foot of insulation is 0.052 annual therms, when the starting condition is R19 or less as shown in Table 2a.  By comparison, Energy Trust billing analysis on projects in 2007 and 2008 resulted in the same energy savings to within two significant digits.  Energy Trust billing analysis from 2009 (the most recent available) shows energy savings slightly less than previous years, though the reason for the difference is not known.</w:t>
      </w:r>
    </w:p>
    <w:p w14:paraId="4C8B08DC" w14:textId="77777777" w:rsidR="000E0395" w:rsidRPr="000E0395" w:rsidRDefault="000E0395" w:rsidP="00455031">
      <w:pPr>
        <w:autoSpaceDE w:val="0"/>
        <w:autoSpaceDN w:val="0"/>
        <w:rPr>
          <w:rFonts w:ascii="Calibri" w:eastAsia="Calibri" w:hAnsi="Calibri"/>
          <w:sz w:val="22"/>
          <w:szCs w:val="22"/>
        </w:rPr>
      </w:pPr>
    </w:p>
    <w:p w14:paraId="0CDFC47B" w14:textId="77777777" w:rsidR="000E0395" w:rsidRPr="000E0395" w:rsidRDefault="000E0395" w:rsidP="00455031">
      <w:pPr>
        <w:autoSpaceDE w:val="0"/>
        <w:autoSpaceDN w:val="0"/>
        <w:rPr>
          <w:rFonts w:ascii="Calibri" w:eastAsia="Calibri" w:hAnsi="Calibri"/>
          <w:color w:val="000000"/>
          <w:sz w:val="22"/>
          <w:szCs w:val="22"/>
        </w:rPr>
      </w:pPr>
      <w:r w:rsidRPr="000E0395">
        <w:rPr>
          <w:rFonts w:ascii="Calibri" w:eastAsia="Calibri" w:hAnsi="Calibri"/>
          <w:sz w:val="22"/>
          <w:szCs w:val="22"/>
        </w:rPr>
        <w:t xml:space="preserve">When only those homes that had a starting condition below R12 are included in the weighted average energy savings per square foot of insulation is 0.060 annual therms, as shown in Table 2a.  Energy Trust billing analysis </w:t>
      </w:r>
      <w:r w:rsidRPr="000E0395">
        <w:rPr>
          <w:rFonts w:ascii="Calibri" w:eastAsia="Calibri" w:hAnsi="Calibri"/>
          <w:color w:val="000000"/>
          <w:sz w:val="22"/>
          <w:szCs w:val="22"/>
        </w:rPr>
        <w:t>did not attempt to describe savings variation as a result of starting insulation levels, so this memo relies on CSG’s analysis to do so.</w:t>
      </w:r>
    </w:p>
    <w:p w14:paraId="7F814D04" w14:textId="77777777" w:rsidR="000E0395" w:rsidRPr="000E0395" w:rsidRDefault="000E0395" w:rsidP="00455031">
      <w:pPr>
        <w:autoSpaceDE w:val="0"/>
        <w:autoSpaceDN w:val="0"/>
        <w:rPr>
          <w:rFonts w:ascii="Calibri" w:eastAsia="Calibri" w:hAnsi="Calibri"/>
          <w:sz w:val="22"/>
          <w:szCs w:val="22"/>
        </w:rPr>
      </w:pPr>
    </w:p>
    <w:p w14:paraId="1E748459"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Billing analysis is difficult to obtain for electrically heated homes, as fewer have received weatherization treatments in recent years.  To calculate the energy savings for electrically heated homes in the absence of billing analysis, the geometry and heat transfer characteristics were considered to be the same as the average gas heated home.  The average gas furnace was assumed to be 85% efficient, whereas the average electric heating plant was assumed to be 107%, including zonal heat, forced air furnaces, and heat pumps, proportional to their market share.  These efficiencies are aligned with other Energy Trust measures and (on the electrical side) with RTF analysis.  Therefore, the end use for heating a home with electricity was calculated to be 22% less than for gas heated homes in terms of BTUs, or 1.39 kWh per square foot per year.</w:t>
      </w:r>
    </w:p>
    <w:p w14:paraId="77060167" w14:textId="77777777" w:rsidR="000E0395" w:rsidRPr="000E0395" w:rsidRDefault="000E0395" w:rsidP="00455031">
      <w:pPr>
        <w:autoSpaceDE w:val="0"/>
        <w:autoSpaceDN w:val="0"/>
        <w:rPr>
          <w:rFonts w:ascii="Calibri" w:eastAsia="Calibri" w:hAnsi="Calibri"/>
          <w:sz w:val="22"/>
          <w:szCs w:val="22"/>
        </w:rPr>
      </w:pPr>
    </w:p>
    <w:p w14:paraId="3C70B9AA"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Energy Trust has only one year’s analysis to compare the energy savings between projects in the Existing Homes and Home Performance w/ ENERGY STAR.  That indicated that the savings are roughly equivalent per measure for all measures combined.  Therefore, the energy savings is assumed to be the same.</w:t>
      </w:r>
    </w:p>
    <w:p w14:paraId="4B8F8227" w14:textId="77777777" w:rsidR="000E0395" w:rsidRPr="000E0395" w:rsidRDefault="000E0395" w:rsidP="00455031">
      <w:pPr>
        <w:autoSpaceDE w:val="0"/>
        <w:autoSpaceDN w:val="0"/>
        <w:rPr>
          <w:rFonts w:ascii="Calibri" w:eastAsia="Calibri" w:hAnsi="Calibri"/>
          <w:sz w:val="22"/>
          <w:szCs w:val="22"/>
        </w:rPr>
      </w:pPr>
    </w:p>
    <w:p w14:paraId="5B80F260"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Oregon code has required attic insulation to be R19 or greater since 1973</w:t>
      </w:r>
      <w:r w:rsidRPr="000E0395">
        <w:rPr>
          <w:rFonts w:ascii="Calibri" w:eastAsia="Calibri" w:hAnsi="Calibri"/>
          <w:color w:val="2E74B5"/>
          <w:sz w:val="22"/>
          <w:szCs w:val="22"/>
        </w:rPr>
        <w:t xml:space="preserve"> and Washington code has required it since 1986.</w:t>
      </w:r>
      <w:r w:rsidRPr="000E0395">
        <w:rPr>
          <w:rFonts w:ascii="Calibri" w:eastAsia="Calibri" w:hAnsi="Calibri"/>
          <w:sz w:val="22"/>
          <w:szCs w:val="22"/>
        </w:rPr>
        <w:t>  Although there will be exceptions, the program is most likely to find eligible homes were built before then.</w:t>
      </w:r>
    </w:p>
    <w:p w14:paraId="7CDF2F67" w14:textId="77777777" w:rsidR="000E0395" w:rsidRPr="000E0395" w:rsidRDefault="000E0395" w:rsidP="00455031">
      <w:pPr>
        <w:autoSpaceDE w:val="0"/>
        <w:autoSpaceDN w:val="0"/>
        <w:rPr>
          <w:rFonts w:ascii="Calibri" w:eastAsia="Calibri" w:hAnsi="Calibri"/>
          <w:sz w:val="22"/>
          <w:szCs w:val="22"/>
        </w:rPr>
      </w:pPr>
    </w:p>
    <w:p w14:paraId="192A7D27"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lastRenderedPageBreak/>
        <w:t>Median cost of attic insulation was $0.83 per square foot in the HES program in 2011, and $1.70 in HPF over the same time period.  The maximum cost effective incentive is $0.55 per square foot in Oregon</w:t>
      </w:r>
      <w:r w:rsidRPr="000E0395">
        <w:rPr>
          <w:rFonts w:ascii="Calibri" w:eastAsia="Calibri" w:hAnsi="Calibri"/>
          <w:color w:val="2E74B5"/>
          <w:sz w:val="22"/>
          <w:szCs w:val="22"/>
        </w:rPr>
        <w:t xml:space="preserve"> and $0.48 in Washington</w:t>
      </w:r>
      <w:r w:rsidRPr="000E0395">
        <w:rPr>
          <w:rFonts w:ascii="Calibri" w:eastAsia="Calibri" w:hAnsi="Calibri"/>
          <w:sz w:val="22"/>
          <w:szCs w:val="22"/>
        </w:rPr>
        <w:t>.</w:t>
      </w:r>
    </w:p>
    <w:p w14:paraId="0E1008E1" w14:textId="77777777" w:rsidR="000E0395" w:rsidRPr="000E0395" w:rsidRDefault="000E0395" w:rsidP="00455031">
      <w:pPr>
        <w:autoSpaceDE w:val="0"/>
        <w:autoSpaceDN w:val="0"/>
        <w:rPr>
          <w:rFonts w:ascii="Calibri" w:eastAsia="Calibri" w:hAnsi="Calibri"/>
          <w:sz w:val="22"/>
          <w:szCs w:val="22"/>
        </w:rPr>
      </w:pPr>
    </w:p>
    <w:p w14:paraId="18314CB3" w14:textId="77777777" w:rsidR="000E0395" w:rsidRPr="000E0395" w:rsidRDefault="000E0395" w:rsidP="00455031">
      <w:pPr>
        <w:autoSpaceDE w:val="0"/>
        <w:autoSpaceDN w:val="0"/>
        <w:rPr>
          <w:rFonts w:ascii="Calibri" w:eastAsia="Calibri" w:hAnsi="Calibri"/>
          <w:b/>
          <w:bCs/>
          <w:sz w:val="22"/>
          <w:szCs w:val="22"/>
        </w:rPr>
      </w:pPr>
      <w:r w:rsidRPr="000E0395">
        <w:rPr>
          <w:rFonts w:ascii="Calibri" w:eastAsia="Calibri" w:hAnsi="Calibri"/>
          <w:b/>
          <w:bCs/>
          <w:sz w:val="22"/>
          <w:szCs w:val="22"/>
        </w:rPr>
        <w:t>Wall Insulation Measure Analysis</w:t>
      </w:r>
    </w:p>
    <w:p w14:paraId="365821E8"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Energy Trust billing analysis of wall insulation projects from 2007 to 2009 show varying amounts of energy savings, from 0.038 to 0.062 annual therms per square foot.  As there is a fairly wide range between the results, this analysis uses 0.052 annual therms from the 2007 impact evaluation, which is the median amount.  Not enough electrically heated homes received treatment to produce a statistically significant result, so the gas energy savings were converted to kilowatt hours and multiplied by the efficiency of the typical gas furnace, with the result of 1.21 kWh per year per square foot of insulation.</w:t>
      </w:r>
    </w:p>
    <w:p w14:paraId="6E198191" w14:textId="77777777" w:rsidR="000E0395" w:rsidRPr="000E0395" w:rsidRDefault="000E0395" w:rsidP="00455031">
      <w:pPr>
        <w:autoSpaceDE w:val="0"/>
        <w:autoSpaceDN w:val="0"/>
        <w:rPr>
          <w:rFonts w:ascii="Calibri" w:eastAsia="Calibri" w:hAnsi="Calibri"/>
          <w:sz w:val="22"/>
          <w:szCs w:val="22"/>
        </w:rPr>
      </w:pPr>
    </w:p>
    <w:p w14:paraId="638C9208"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Oregon code has required wall insulation to be R11 or greater since 1973</w:t>
      </w:r>
      <w:r w:rsidRPr="000E0395">
        <w:rPr>
          <w:rFonts w:ascii="Calibri" w:eastAsia="Calibri" w:hAnsi="Calibri"/>
          <w:color w:val="2E74B5"/>
          <w:sz w:val="22"/>
          <w:szCs w:val="22"/>
        </w:rPr>
        <w:t xml:space="preserve"> and Washington code has required it since 1986</w:t>
      </w:r>
      <w:r w:rsidRPr="000E0395">
        <w:rPr>
          <w:rFonts w:ascii="Calibri" w:eastAsia="Calibri" w:hAnsi="Calibri"/>
          <w:sz w:val="22"/>
          <w:szCs w:val="22"/>
        </w:rPr>
        <w:t>, so newer homes are likely to be ineligible.</w:t>
      </w:r>
    </w:p>
    <w:p w14:paraId="22CB2E93" w14:textId="77777777" w:rsidR="000E0395" w:rsidRPr="000E0395" w:rsidRDefault="000E0395" w:rsidP="00455031">
      <w:pPr>
        <w:autoSpaceDE w:val="0"/>
        <w:autoSpaceDN w:val="0"/>
        <w:rPr>
          <w:rFonts w:ascii="Calibri" w:eastAsia="Calibri" w:hAnsi="Calibri"/>
          <w:sz w:val="22"/>
          <w:szCs w:val="22"/>
        </w:rPr>
      </w:pPr>
    </w:p>
    <w:p w14:paraId="67C685EE"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Median cost of wall insulation was $1.39 per square foot in the HES program in 2011.  The maximum cost effective incentive is $0.48 per square foot.</w:t>
      </w:r>
    </w:p>
    <w:p w14:paraId="460CF512" w14:textId="77777777" w:rsidR="000E0395" w:rsidRPr="000E0395" w:rsidRDefault="000E0395" w:rsidP="00455031">
      <w:pPr>
        <w:autoSpaceDE w:val="0"/>
        <w:autoSpaceDN w:val="0"/>
        <w:rPr>
          <w:rFonts w:ascii="Calibri" w:eastAsia="Calibri" w:hAnsi="Calibri"/>
          <w:sz w:val="22"/>
          <w:szCs w:val="22"/>
        </w:rPr>
      </w:pPr>
    </w:p>
    <w:p w14:paraId="7A2285CF" w14:textId="77777777" w:rsidR="000E0395" w:rsidRPr="000E0395" w:rsidRDefault="000E0395" w:rsidP="00455031">
      <w:pPr>
        <w:autoSpaceDE w:val="0"/>
        <w:autoSpaceDN w:val="0"/>
        <w:rPr>
          <w:rFonts w:ascii="Calibri" w:eastAsia="Calibri" w:hAnsi="Calibri"/>
          <w:b/>
          <w:bCs/>
          <w:sz w:val="22"/>
          <w:szCs w:val="22"/>
        </w:rPr>
      </w:pPr>
      <w:r w:rsidRPr="000E0395">
        <w:rPr>
          <w:rFonts w:ascii="Calibri" w:eastAsia="Calibri" w:hAnsi="Calibri"/>
          <w:b/>
          <w:bCs/>
          <w:sz w:val="22"/>
          <w:szCs w:val="22"/>
        </w:rPr>
        <w:t>Floor Insulation Measure Analysis</w:t>
      </w:r>
    </w:p>
    <w:p w14:paraId="197440FA"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Energy Trust billing analysis of floor insulation projects from 2007 to 2009 show varying amounts from 0.035 to 0.051 annual therms per square foot.  As there is a fairly wide range between the results, this analysis uses 0.036 annual therms from the 2009 impact evaluation, which is the median amount.  Not enough electrically heated homes received treatment to produce a statistically significant result, so the gas energy savings were converted to kilowatt hours and multiplied by the efficiency of the typical gas furnace, with the result of 0.98 kWh per year per square foot of insulation.</w:t>
      </w:r>
    </w:p>
    <w:p w14:paraId="1BED6428" w14:textId="77777777" w:rsidR="000E0395" w:rsidRPr="000E0395" w:rsidRDefault="000E0395" w:rsidP="00455031">
      <w:pPr>
        <w:autoSpaceDE w:val="0"/>
        <w:autoSpaceDN w:val="0"/>
        <w:rPr>
          <w:rFonts w:ascii="Calibri" w:eastAsia="Calibri" w:hAnsi="Calibri"/>
          <w:sz w:val="22"/>
          <w:szCs w:val="22"/>
        </w:rPr>
      </w:pPr>
    </w:p>
    <w:p w14:paraId="7D2801E2"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Beginning in 2013, residential programs will only install insulation in floors that have no insulation in them, as the starting condition.  No additional savings are expected, as the large majority of homes in which insulation has been installed in the past met this condition, even though it was not previously required.  Oregon code has required floor insulation to be R19 or greater since 1979</w:t>
      </w:r>
      <w:r w:rsidRPr="000E0395">
        <w:rPr>
          <w:rFonts w:ascii="Calibri" w:eastAsia="Calibri" w:hAnsi="Calibri"/>
          <w:color w:val="2E74B5"/>
          <w:sz w:val="22"/>
          <w:szCs w:val="22"/>
        </w:rPr>
        <w:t xml:space="preserve"> and Washington code has required it since 1986</w:t>
      </w:r>
      <w:r w:rsidRPr="000E0395">
        <w:rPr>
          <w:rFonts w:ascii="Calibri" w:eastAsia="Calibri" w:hAnsi="Calibri"/>
          <w:sz w:val="22"/>
          <w:szCs w:val="22"/>
        </w:rPr>
        <w:t>, so newer homes are likely to be ineligible.</w:t>
      </w:r>
    </w:p>
    <w:p w14:paraId="02DD3384" w14:textId="77777777" w:rsidR="000E0395" w:rsidRPr="000E0395" w:rsidRDefault="000E0395" w:rsidP="00455031">
      <w:pPr>
        <w:autoSpaceDE w:val="0"/>
        <w:autoSpaceDN w:val="0"/>
        <w:rPr>
          <w:rFonts w:ascii="Calibri" w:eastAsia="Calibri" w:hAnsi="Calibri"/>
          <w:sz w:val="22"/>
          <w:szCs w:val="22"/>
        </w:rPr>
      </w:pPr>
    </w:p>
    <w:p w14:paraId="7B0DFE88"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Median cost of floor insulation was $1.60 per square foot in the HES program in 2011, and $1.90 in HPF over the same time period.  The maximum cost effective incentive is $0.39 per square foot.</w:t>
      </w:r>
    </w:p>
    <w:p w14:paraId="62EA8E5C" w14:textId="77777777" w:rsidR="000E0395" w:rsidRPr="000E0395" w:rsidRDefault="000E0395" w:rsidP="00455031">
      <w:pPr>
        <w:autoSpaceDE w:val="0"/>
        <w:autoSpaceDN w:val="0"/>
        <w:rPr>
          <w:rFonts w:ascii="Calibri" w:eastAsia="Calibri" w:hAnsi="Calibri"/>
          <w:sz w:val="22"/>
          <w:szCs w:val="22"/>
        </w:rPr>
      </w:pPr>
    </w:p>
    <w:p w14:paraId="5B643FDA"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b/>
          <w:bCs/>
          <w:sz w:val="22"/>
          <w:szCs w:val="22"/>
        </w:rPr>
        <w:t xml:space="preserve">Savings, Economics and Incentives </w:t>
      </w:r>
    </w:p>
    <w:p w14:paraId="2FF285A2"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Measure lifetime is 45 years, consistent with other Energy Trust shell measures.</w:t>
      </w:r>
    </w:p>
    <w:p w14:paraId="05FD5FDD" w14:textId="77777777" w:rsidR="000E0395" w:rsidRPr="000E0395" w:rsidRDefault="000E0395" w:rsidP="00455031">
      <w:pPr>
        <w:autoSpaceDE w:val="0"/>
        <w:autoSpaceDN w:val="0"/>
        <w:rPr>
          <w:rFonts w:ascii="Calibri" w:eastAsia="Calibri" w:hAnsi="Calibri"/>
          <w:sz w:val="22"/>
          <w:szCs w:val="22"/>
        </w:rPr>
      </w:pPr>
    </w:p>
    <w:p w14:paraId="645343C0" w14:textId="77777777" w:rsidR="000E0395" w:rsidRPr="000E0395" w:rsidRDefault="000E0395" w:rsidP="00455031">
      <w:pPr>
        <w:autoSpaceDE w:val="0"/>
        <w:autoSpaceDN w:val="0"/>
        <w:rPr>
          <w:rFonts w:ascii="Calibri" w:eastAsia="Calibri" w:hAnsi="Calibri"/>
          <w:color w:val="2E74B5"/>
          <w:sz w:val="22"/>
          <w:szCs w:val="22"/>
        </w:rPr>
      </w:pPr>
      <w:r w:rsidRPr="000E0395">
        <w:rPr>
          <w:rFonts w:ascii="Calibri" w:eastAsia="Calibri" w:hAnsi="Calibri"/>
          <w:sz w:val="22"/>
          <w:szCs w:val="22"/>
        </w:rPr>
        <w:t>Attic insulation in homes heated with electricity is cost effective.  Energy Trust has sought and received approval from the OPUC to continue attic insulation in gas heated homes until October, 2014, on the basis of our investigating means of reducing the cost of the measure and limiting the number of participants, and, in the Home Performance w/ ENERGY STAR, on the basis of seeking new cost strategies, including giving payback information to customers</w:t>
      </w:r>
      <w:r w:rsidRPr="000E0395">
        <w:rPr>
          <w:rFonts w:ascii="Calibri" w:eastAsia="Calibri" w:hAnsi="Calibri"/>
          <w:color w:val="2E74B5"/>
          <w:sz w:val="22"/>
          <w:szCs w:val="22"/>
        </w:rPr>
        <w:t>.  In Washington, the WUTC has directed Energy Trust to use the Utility Cost Test as the primary determinant of cost effectiveness, and to monitor the Total Resource Cost.</w:t>
      </w:r>
    </w:p>
    <w:p w14:paraId="695B0BDE" w14:textId="77777777" w:rsidR="000E0395" w:rsidRPr="000E0395" w:rsidRDefault="000E0395" w:rsidP="00455031">
      <w:pPr>
        <w:autoSpaceDE w:val="0"/>
        <w:autoSpaceDN w:val="0"/>
        <w:rPr>
          <w:rFonts w:ascii="Calibri" w:eastAsia="Calibri" w:hAnsi="Calibri"/>
          <w:sz w:val="22"/>
          <w:szCs w:val="22"/>
        </w:rPr>
      </w:pPr>
    </w:p>
    <w:p w14:paraId="64E32BCC" w14:textId="77777777" w:rsidR="000E0395" w:rsidRPr="000E0395" w:rsidRDefault="000E0395" w:rsidP="00455031">
      <w:pPr>
        <w:autoSpaceDE w:val="0"/>
        <w:autoSpaceDN w:val="0"/>
        <w:rPr>
          <w:rFonts w:ascii="Calibri" w:eastAsia="Calibri" w:hAnsi="Calibri"/>
          <w:sz w:val="22"/>
          <w:szCs w:val="22"/>
        </w:rPr>
      </w:pPr>
      <w:r w:rsidRPr="000E0395">
        <w:rPr>
          <w:rFonts w:ascii="Calibri" w:eastAsia="Calibri" w:hAnsi="Calibri"/>
          <w:sz w:val="22"/>
          <w:szCs w:val="22"/>
        </w:rPr>
        <w:t xml:space="preserve">Wall and floor insulation in homes heated with electricity are cost effective in the HES program, but not HPF.  They are not cost effective in either program for gas heated homes.  Energy Trust has sought and received </w:t>
      </w:r>
      <w:r w:rsidRPr="000E0395">
        <w:rPr>
          <w:rFonts w:ascii="Calibri" w:eastAsia="Calibri" w:hAnsi="Calibri"/>
          <w:sz w:val="22"/>
          <w:szCs w:val="22"/>
        </w:rPr>
        <w:lastRenderedPageBreak/>
        <w:t>approval from the OPUC to continue wall and floor insulation on the basis of our investigating means of reducing the cost of the measure.</w:t>
      </w:r>
    </w:p>
    <w:p w14:paraId="7A141D61" w14:textId="77777777" w:rsidR="000E0395" w:rsidRPr="000E0395" w:rsidRDefault="000E0395" w:rsidP="000E0395">
      <w:pPr>
        <w:spacing w:after="160" w:line="259" w:lineRule="auto"/>
        <w:ind w:left="720"/>
        <w:rPr>
          <w:rFonts w:ascii="Calibri" w:eastAsia="Calibri" w:hAnsi="Calibri"/>
          <w:b/>
          <w:bCs/>
          <w:sz w:val="22"/>
          <w:szCs w:val="22"/>
        </w:rPr>
      </w:pPr>
    </w:p>
    <w:p w14:paraId="70B7FE22" w14:textId="77777777" w:rsidR="000E0395" w:rsidRPr="000E0395" w:rsidRDefault="000E0395" w:rsidP="00455031">
      <w:pPr>
        <w:spacing w:after="160" w:line="259" w:lineRule="auto"/>
        <w:rPr>
          <w:rFonts w:eastAsia="Calibri" w:cs="Arial"/>
          <w:b/>
          <w:bCs/>
          <w:sz w:val="20"/>
        </w:rPr>
      </w:pPr>
      <w:r w:rsidRPr="000E0395">
        <w:rPr>
          <w:rFonts w:ascii="Calibri" w:eastAsia="Calibri" w:hAnsi="Calibri"/>
          <w:b/>
          <w:bCs/>
          <w:sz w:val="22"/>
          <w:szCs w:val="22"/>
        </w:rPr>
        <w:t>Program Requirements</w:t>
      </w:r>
    </w:p>
    <w:p w14:paraId="5D9D4DC5"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sz w:val="22"/>
          <w:szCs w:val="22"/>
        </w:rPr>
        <w:t>Attic insulation when the starting condition is less than or equal to R12 in Oregon</w:t>
      </w:r>
      <w:r w:rsidRPr="000E0395">
        <w:rPr>
          <w:rFonts w:ascii="Calibri" w:eastAsia="Calibri" w:hAnsi="Calibri"/>
          <w:color w:val="2E74B5"/>
          <w:sz w:val="22"/>
          <w:szCs w:val="22"/>
        </w:rPr>
        <w:t xml:space="preserve"> and R19 in Washington</w:t>
      </w:r>
      <w:r w:rsidRPr="000E0395">
        <w:rPr>
          <w:rFonts w:ascii="Calibri" w:eastAsia="Calibri" w:hAnsi="Calibri"/>
          <w:sz w:val="22"/>
          <w:szCs w:val="22"/>
        </w:rPr>
        <w:t xml:space="preserve"> and the post-treatment condition is R38 or greater.</w:t>
      </w:r>
    </w:p>
    <w:p w14:paraId="76BD5C4C" w14:textId="77777777" w:rsidR="000E0395" w:rsidRPr="000E0395" w:rsidRDefault="000E0395" w:rsidP="00455031">
      <w:pPr>
        <w:spacing w:after="160" w:line="259" w:lineRule="auto"/>
        <w:rPr>
          <w:rFonts w:eastAsia="Calibri" w:cs="Arial"/>
          <w:sz w:val="20"/>
        </w:rPr>
      </w:pPr>
      <w:r w:rsidRPr="000E0395">
        <w:rPr>
          <w:rFonts w:ascii="Calibri" w:eastAsia="Calibri" w:hAnsi="Calibri"/>
          <w:sz w:val="22"/>
          <w:szCs w:val="22"/>
        </w:rPr>
        <w:t>Wall insulation when little to no insulation is present at the start and the post-treatment condition is R11or the wall cavity is filled.  All heated exterior walls must be insulated.</w:t>
      </w:r>
    </w:p>
    <w:p w14:paraId="598AD8BA"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sz w:val="22"/>
          <w:szCs w:val="22"/>
        </w:rPr>
        <w:t>Floor insulation when no insulation is present at the start and the post-treatment condition is R30 or the floor cavity is filled.</w:t>
      </w:r>
    </w:p>
    <w:p w14:paraId="3EA940D8" w14:textId="77777777" w:rsidR="000E0395" w:rsidRPr="000E0395" w:rsidRDefault="000E0395" w:rsidP="000E0395">
      <w:pPr>
        <w:spacing w:after="160" w:line="259" w:lineRule="auto"/>
        <w:rPr>
          <w:rFonts w:ascii="Calibri" w:eastAsia="Calibri" w:hAnsi="Calibri"/>
          <w:sz w:val="18"/>
          <w:szCs w:val="18"/>
        </w:rPr>
      </w:pPr>
      <w:r w:rsidRPr="000E0395">
        <w:rPr>
          <w:rFonts w:ascii="Calibri" w:eastAsia="Calibri" w:hAnsi="Calibri"/>
          <w:sz w:val="18"/>
          <w:szCs w:val="18"/>
        </w:rPr>
        <w:br w:type="page"/>
      </w:r>
    </w:p>
    <w:p w14:paraId="7E29802C"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192712CB" w14:textId="26943A7A" w:rsidR="000E0395" w:rsidRPr="000E0395" w:rsidRDefault="000E0395" w:rsidP="00455031">
      <w:pPr>
        <w:keepNext/>
        <w:keepLines/>
        <w:spacing w:before="40" w:line="259" w:lineRule="auto"/>
        <w:ind w:left="-90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00455031">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0B08C480" w14:textId="77777777" w:rsidR="000E0395" w:rsidRPr="000E0395" w:rsidRDefault="000E0395" w:rsidP="00455031">
      <w:pPr>
        <w:keepNext/>
        <w:keepLines/>
        <w:spacing w:before="40" w:line="259" w:lineRule="auto"/>
        <w:ind w:hanging="90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Gas Hearth - Intermittent Pilot Light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new incentive designed to phase out standing pilot light gas hearths</w:t>
      </w:r>
    </w:p>
    <w:p w14:paraId="6A67124D" w14:textId="77777777" w:rsidR="000E0395" w:rsidRPr="000E0395" w:rsidRDefault="000E0395" w:rsidP="00455031">
      <w:pPr>
        <w:keepNext/>
        <w:keepLines/>
        <w:spacing w:before="40" w:line="259" w:lineRule="auto"/>
        <w:ind w:left="-90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Gas Hearth 75+ FE and intermittent ignition</w:t>
      </w:r>
      <w:r w:rsidRPr="000E0395">
        <w:rPr>
          <w:rFonts w:ascii="Calibri Light" w:hAnsi="Calibri Light"/>
          <w:color w:val="1F4D78"/>
          <w:szCs w:val="24"/>
        </w:rPr>
        <w:tab/>
      </w:r>
      <w:r w:rsidRPr="000E0395">
        <w:rPr>
          <w:rFonts w:ascii="Calibri Light" w:hAnsi="Calibri Light"/>
          <w:color w:val="2E74B5"/>
          <w:sz w:val="20"/>
          <w:szCs w:val="26"/>
        </w:rPr>
        <w:t>new FE tier</w:t>
      </w:r>
    </w:p>
    <w:p w14:paraId="0F360FD5" w14:textId="77777777" w:rsidR="000E0395" w:rsidRPr="000E0395" w:rsidRDefault="000E0395" w:rsidP="00455031">
      <w:pPr>
        <w:keepNext/>
        <w:keepLines/>
        <w:spacing w:before="40" w:line="259" w:lineRule="auto"/>
        <w:ind w:left="-90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Gas Hearth 65 to 69 FE Intermittent ignition</w:t>
      </w:r>
      <w:r w:rsidRPr="000E0395">
        <w:rPr>
          <w:rFonts w:ascii="Calibri Light" w:hAnsi="Calibri Light"/>
          <w:color w:val="1F4D78"/>
          <w:szCs w:val="24"/>
        </w:rPr>
        <w:tab/>
      </w:r>
      <w:r w:rsidRPr="000E0395">
        <w:rPr>
          <w:rFonts w:ascii="Calibri Light" w:hAnsi="Calibri Light"/>
          <w:color w:val="2E74B5"/>
          <w:sz w:val="20"/>
          <w:szCs w:val="26"/>
        </w:rPr>
        <w:t>updated FE tier</w:t>
      </w:r>
    </w:p>
    <w:p w14:paraId="280A1B86" w14:textId="77777777" w:rsidR="000E0395" w:rsidRPr="000E0395" w:rsidRDefault="000E0395" w:rsidP="000E0395">
      <w:pPr>
        <w:rPr>
          <w:rFonts w:ascii="Calibri" w:eastAsia="Calibri" w:hAnsi="Calibri"/>
          <w:sz w:val="22"/>
          <w:szCs w:val="22"/>
        </w:rPr>
      </w:pPr>
    </w:p>
    <w:p w14:paraId="26CE9F8D" w14:textId="77777777" w:rsidR="000E0395" w:rsidRPr="000E0395" w:rsidRDefault="000E0395" w:rsidP="000E0395">
      <w:pPr>
        <w:spacing w:after="160" w:line="259" w:lineRule="auto"/>
        <w:ind w:left="2160" w:hanging="1440"/>
        <w:rPr>
          <w:rFonts w:ascii="Calibri" w:eastAsia="Calibri" w:hAnsi="Calibri"/>
          <w:sz w:val="22"/>
          <w:szCs w:val="22"/>
        </w:rPr>
      </w:pPr>
    </w:p>
    <w:p w14:paraId="5FCB9CB8"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UPDATED Blessing Memo for Gas Fireplaces</w:t>
      </w:r>
    </w:p>
    <w:p w14:paraId="21481709"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Measure Description</w:t>
      </w:r>
    </w:p>
    <w:p w14:paraId="65A88617" w14:textId="77777777"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sz w:val="22"/>
          <w:szCs w:val="22"/>
        </w:rPr>
        <w:t>Direct vent gas fireplaces, including zero clearance and freestanding units and inserts. The measure is currently offered in the Existing Homes and Home Performance with ENERGY STAR programs. Additional research is needed to expand the measure to the Existing Buildings Multifamily and Efficient New Homes programs.</w:t>
      </w:r>
    </w:p>
    <w:p w14:paraId="0D2D07AF" w14:textId="77777777" w:rsidR="000E0395" w:rsidRPr="000E0395" w:rsidRDefault="000E0395" w:rsidP="00455031">
      <w:pPr>
        <w:spacing w:after="160" w:line="259" w:lineRule="auto"/>
        <w:rPr>
          <w:rFonts w:ascii="Calibri" w:eastAsia="Calibri" w:hAnsi="Calibri"/>
          <w:color w:val="000000"/>
          <w:sz w:val="22"/>
          <w:szCs w:val="22"/>
        </w:rPr>
      </w:pPr>
    </w:p>
    <w:p w14:paraId="138C8A8F"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Reason for Review</w:t>
      </w:r>
    </w:p>
    <w:p w14:paraId="11AC5C74"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For the past 5 years, program activity has increased significantly. To better inform our market understanding, three studies were commissioned over the course of 9 months;</w:t>
      </w:r>
    </w:p>
    <w:p w14:paraId="1C639314" w14:textId="77777777" w:rsidR="000E0395" w:rsidRPr="000E0395" w:rsidRDefault="000E0395" w:rsidP="000E0395">
      <w:pPr>
        <w:numPr>
          <w:ilvl w:val="0"/>
          <w:numId w:val="17"/>
        </w:num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Updated market data vendor survey to determine current market efficiency baseline and use of standing pilot lights</w:t>
      </w:r>
    </w:p>
    <w:p w14:paraId="330E1DF0" w14:textId="77777777" w:rsidR="000E0395" w:rsidRPr="000E0395" w:rsidRDefault="000E0395" w:rsidP="000E0395">
      <w:pPr>
        <w:numPr>
          <w:ilvl w:val="0"/>
          <w:numId w:val="17"/>
        </w:num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A metering study to determine the hours of use compared to our 20 hours/week assumption</w:t>
      </w:r>
    </w:p>
    <w:p w14:paraId="5F1132EE" w14:textId="007E4D31" w:rsidR="000E0395" w:rsidRPr="00455031" w:rsidRDefault="000E0395" w:rsidP="00455031">
      <w:pPr>
        <w:numPr>
          <w:ilvl w:val="0"/>
          <w:numId w:val="17"/>
        </w:num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Survey of distributors to determine if the Oregon market was more efficient than other states/regions and if Energy Trust’s program influenced upstream decisions regarding efficiency</w:t>
      </w:r>
    </w:p>
    <w:p w14:paraId="31DBB7AB"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Proposed changes</w:t>
      </w:r>
    </w:p>
    <w:p w14:paraId="5521E17A"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The updated vendor survey showed a shift in the market baseline to 66.8 FE. As a result, two new efficiency tiers are proposed: a lower efficient tier from 70 to 74 FE and a more efficient tier at 75 FE and above. With the minimum requirement of 70 FE very close to the 66.8 FE </w:t>
      </w:r>
      <w:proofErr w:type="gramStart"/>
      <w:r w:rsidRPr="000E0395">
        <w:rPr>
          <w:rFonts w:ascii="Calibri" w:eastAsia="Calibri" w:hAnsi="Calibri"/>
          <w:color w:val="000000"/>
          <w:sz w:val="22"/>
          <w:szCs w:val="22"/>
        </w:rPr>
        <w:t>baseline</w:t>
      </w:r>
      <w:proofErr w:type="gramEnd"/>
      <w:r w:rsidRPr="000E0395">
        <w:rPr>
          <w:rFonts w:ascii="Calibri" w:eastAsia="Calibri" w:hAnsi="Calibri"/>
          <w:color w:val="000000"/>
          <w:sz w:val="22"/>
          <w:szCs w:val="22"/>
        </w:rPr>
        <w:t xml:space="preserve">, there appears to be no incremental cost.  We are offering an incentive at this efficiency level based upon a market design need to retain widely available equipment while the market can adapt to the higher efficiency tier.  When calculating savings, the average efficiency in the range will be used, not the minimum, so </w:t>
      </w:r>
      <w:r w:rsidRPr="000E0395">
        <w:rPr>
          <w:rFonts w:ascii="Calibri" w:eastAsia="Calibri" w:hAnsi="Calibri"/>
          <w:color w:val="1F497D"/>
          <w:sz w:val="22"/>
          <w:szCs w:val="22"/>
        </w:rPr>
        <w:t xml:space="preserve">there is still calculated energy savings in </w:t>
      </w:r>
      <w:r w:rsidRPr="000E0395">
        <w:rPr>
          <w:rFonts w:ascii="Calibri" w:eastAsia="Calibri" w:hAnsi="Calibri"/>
          <w:color w:val="000000"/>
          <w:sz w:val="22"/>
          <w:szCs w:val="22"/>
        </w:rPr>
        <w:t>the lower tier. The higher efficiency tier is cost effective but equipment availability may be limited. This shift will support the market advancing toward the new level while retaining the current, most popular efficiency level.</w:t>
      </w:r>
    </w:p>
    <w:p w14:paraId="0FD3F4AB" w14:textId="77777777" w:rsidR="000E0395" w:rsidRPr="000E0395" w:rsidRDefault="000E0395" w:rsidP="00455031">
      <w:pPr>
        <w:spacing w:after="160" w:line="259" w:lineRule="auto"/>
        <w:rPr>
          <w:rFonts w:ascii="Calibri" w:eastAsia="Calibri" w:hAnsi="Calibri"/>
          <w:color w:val="000000"/>
          <w:sz w:val="22"/>
          <w:szCs w:val="22"/>
        </w:rPr>
      </w:pPr>
    </w:p>
    <w:p w14:paraId="515DF473"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Energy savings based on thermal efficiency</w:t>
      </w:r>
    </w:p>
    <w:p w14:paraId="1C77BFB0" w14:textId="77777777" w:rsidR="000E0395" w:rsidRPr="000E0395" w:rsidRDefault="000E0395" w:rsidP="000E0395">
      <w:pPr>
        <w:spacing w:after="160" w:line="259" w:lineRule="auto"/>
        <w:ind w:left="720"/>
        <w:rPr>
          <w:rFonts w:ascii="Calibri" w:eastAsia="Calibri" w:hAnsi="Calibri"/>
          <w:sz w:val="22"/>
          <w:szCs w:val="22"/>
        </w:rPr>
      </w:pPr>
      <w:r w:rsidRPr="000E0395">
        <w:rPr>
          <w:rFonts w:ascii="Calibri" w:eastAsia="Calibri" w:hAnsi="Calibri"/>
          <w:sz w:val="22"/>
          <w:szCs w:val="22"/>
        </w:rPr>
        <w:t>The efficiency rating is the Fireplace Efficiency score from the Canadian P4 test. Savings are calculated according to the following formula:</w:t>
      </w:r>
    </w:p>
    <w:p w14:paraId="39018998" w14:textId="77777777" w:rsidR="000E0395" w:rsidRPr="000E0395" w:rsidRDefault="000E0395" w:rsidP="000E0395">
      <w:pPr>
        <w:spacing w:after="160" w:line="259" w:lineRule="auto"/>
        <w:ind w:left="720"/>
        <w:rPr>
          <w:rFonts w:ascii="Calibri" w:eastAsia="Calibri" w:hAnsi="Calibri"/>
          <w:color w:val="000000"/>
          <w:sz w:val="22"/>
          <w:szCs w:val="22"/>
        </w:rPr>
      </w:pPr>
    </w:p>
    <w:p w14:paraId="0B087113" w14:textId="77777777" w:rsidR="000E0395" w:rsidRPr="000E0395" w:rsidRDefault="000E0395" w:rsidP="000E0395">
      <w:pPr>
        <w:spacing w:after="160" w:line="259" w:lineRule="auto"/>
        <w:ind w:left="720"/>
        <w:rPr>
          <w:rFonts w:ascii="Calibri" w:eastAsia="Calibri" w:hAnsi="Calibri"/>
          <w:sz w:val="22"/>
          <w:szCs w:val="22"/>
        </w:rPr>
      </w:pPr>
      <m:oMathPara>
        <m:oMath>
          <m:r>
            <w:rPr>
              <w:rFonts w:ascii="Cambria Math" w:eastAsia="Calibri" w:hAnsi="Cambria Math"/>
              <w:sz w:val="22"/>
              <w:szCs w:val="22"/>
            </w:rPr>
            <m:t xml:space="preserve">Δtherm=hr x </m:t>
          </m:r>
          <m:f>
            <m:fPr>
              <m:ctrlPr>
                <w:rPr>
                  <w:rFonts w:ascii="Cambria Math" w:eastAsia="Calibri" w:hAnsi="Cambria Math"/>
                  <w:i/>
                  <w:iCs/>
                  <w:sz w:val="22"/>
                  <w:szCs w:val="22"/>
                </w:rPr>
              </m:ctrlPr>
            </m:fPr>
            <m:num>
              <m:r>
                <w:rPr>
                  <w:rFonts w:ascii="Cambria Math" w:eastAsia="Calibri" w:hAnsi="Cambria Math"/>
                  <w:sz w:val="22"/>
                  <w:szCs w:val="22"/>
                </w:rPr>
                <m:t>kBtu</m:t>
              </m:r>
            </m:num>
            <m:den>
              <m:r>
                <w:rPr>
                  <w:rFonts w:ascii="Cambria Math" w:eastAsia="Calibri" w:hAnsi="Cambria Math"/>
                  <w:sz w:val="22"/>
                  <w:szCs w:val="22"/>
                </w:rPr>
                <m:t>hr</m:t>
              </m:r>
            </m:den>
          </m:f>
          <m:r>
            <w:rPr>
              <w:rFonts w:ascii="Cambria Math" w:eastAsia="Calibri" w:hAnsi="Cambria Math"/>
              <w:sz w:val="22"/>
              <w:szCs w:val="22"/>
            </w:rPr>
            <m:t xml:space="preserve"> x (</m:t>
          </m:r>
          <m:f>
            <m:fPr>
              <m:ctrlPr>
                <w:rPr>
                  <w:rFonts w:ascii="Cambria Math" w:eastAsia="Calibri" w:hAnsi="Cambria Math"/>
                  <w:i/>
                  <w:iCs/>
                  <w:sz w:val="22"/>
                  <w:szCs w:val="22"/>
                </w:rPr>
              </m:ctrlPr>
            </m:fPr>
            <m:num>
              <m:r>
                <w:rPr>
                  <w:rFonts w:ascii="Cambria Math" w:eastAsia="Calibri" w:hAnsi="Cambria Math"/>
                  <w:sz w:val="22"/>
                  <w:szCs w:val="22"/>
                </w:rPr>
                <m:t>1</m:t>
              </m:r>
            </m:num>
            <m:den>
              <m:r>
                <w:rPr>
                  <w:rFonts w:ascii="Cambria Math" w:eastAsia="Calibri" w:hAnsi="Cambria Math"/>
                  <w:sz w:val="22"/>
                  <w:szCs w:val="22"/>
                </w:rPr>
                <m:t>baseline</m:t>
              </m:r>
            </m:den>
          </m:f>
          <m:r>
            <w:rPr>
              <w:rFonts w:ascii="Cambria Math" w:eastAsia="Calibri" w:hAnsi="Cambria Math"/>
              <w:sz w:val="22"/>
              <w:szCs w:val="22"/>
            </w:rPr>
            <m:t>-</m:t>
          </m:r>
          <m:f>
            <m:fPr>
              <m:ctrlPr>
                <w:rPr>
                  <w:rFonts w:ascii="Cambria Math" w:eastAsia="Calibri" w:hAnsi="Cambria Math"/>
                  <w:i/>
                  <w:iCs/>
                  <w:sz w:val="22"/>
                  <w:szCs w:val="22"/>
                </w:rPr>
              </m:ctrlPr>
            </m:fPr>
            <m:num>
              <m:r>
                <w:rPr>
                  <w:rFonts w:ascii="Cambria Math" w:eastAsia="Calibri" w:hAnsi="Cambria Math"/>
                  <w:sz w:val="22"/>
                  <w:szCs w:val="22"/>
                </w:rPr>
                <m:t>1</m:t>
              </m:r>
            </m:num>
            <m:den>
              <m:r>
                <w:rPr>
                  <w:rFonts w:ascii="Cambria Math" w:eastAsia="Calibri" w:hAnsi="Cambria Math"/>
                  <w:sz w:val="22"/>
                  <w:szCs w:val="22"/>
                </w:rPr>
                <m:t>FE</m:t>
              </m:r>
            </m:den>
          </m:f>
          <m:r>
            <w:rPr>
              <w:rFonts w:ascii="Cambria Math" w:eastAsia="Calibri" w:hAnsi="Cambria Math"/>
              <w:sz w:val="22"/>
              <w:szCs w:val="22"/>
            </w:rPr>
            <m:t>)</m:t>
          </m:r>
        </m:oMath>
      </m:oMathPara>
    </w:p>
    <w:p w14:paraId="5DE6AC1C" w14:textId="77777777" w:rsidR="000E0395" w:rsidRPr="000E0395" w:rsidRDefault="000E0395" w:rsidP="000E0395">
      <w:pPr>
        <w:spacing w:after="160" w:line="259" w:lineRule="auto"/>
        <w:ind w:left="720"/>
        <w:rPr>
          <w:rFonts w:ascii="Calibri" w:eastAsia="Calibri" w:hAnsi="Calibri"/>
          <w:sz w:val="22"/>
          <w:szCs w:val="22"/>
        </w:rPr>
      </w:pPr>
    </w:p>
    <w:p w14:paraId="75658F93"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sz w:val="22"/>
          <w:szCs w:val="22"/>
        </w:rPr>
        <w:t xml:space="preserve">The efficiency is based on the average in each bin, as shown in the table below. </w:t>
      </w:r>
      <w:r w:rsidRPr="000E0395">
        <w:rPr>
          <w:rFonts w:ascii="Calibri" w:eastAsia="Calibri" w:hAnsi="Calibri"/>
          <w:color w:val="000000"/>
          <w:sz w:val="22"/>
          <w:szCs w:val="22"/>
        </w:rPr>
        <w:t xml:space="preserve">The heat capacity for each efficiency tier was averaged from program data from 2013. Fireplaces with an efficiency rating between 70 and 74 FE averaged 33 </w:t>
      </w:r>
      <w:proofErr w:type="spellStart"/>
      <w:proofErr w:type="gram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/h,</w:t>
      </w:r>
      <w:proofErr w:type="gramEnd"/>
      <w:r w:rsidRPr="000E0395">
        <w:rPr>
          <w:rFonts w:ascii="Calibri" w:eastAsia="Calibri" w:hAnsi="Calibri"/>
          <w:color w:val="000000"/>
          <w:sz w:val="22"/>
          <w:szCs w:val="22"/>
        </w:rPr>
        <w:t xml:space="preserve"> and fireplaces with ratings of 75 FE or higher had an average heat capacity of 26 </w:t>
      </w:r>
      <w:proofErr w:type="spell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/h. Hours of use averaged 15 per week in the metering study.</w:t>
      </w:r>
    </w:p>
    <w:p w14:paraId="5441FFB3" w14:textId="77777777" w:rsidR="000E0395" w:rsidRPr="000E0395" w:rsidRDefault="000E0395" w:rsidP="000E0395">
      <w:pPr>
        <w:spacing w:after="160" w:line="259" w:lineRule="auto"/>
        <w:ind w:left="720"/>
        <w:rPr>
          <w:rFonts w:ascii="Calibri" w:eastAsia="Calibri" w:hAnsi="Calibri"/>
          <w:color w:val="000000"/>
          <w:sz w:val="22"/>
          <w:szCs w:val="22"/>
        </w:rPr>
      </w:pPr>
    </w:p>
    <w:p w14:paraId="02FB5544"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Table 3: baseline efficiency</w:t>
      </w:r>
    </w:p>
    <w:tbl>
      <w:tblPr>
        <w:tblW w:w="8533" w:type="dxa"/>
        <w:tblInd w:w="108" w:type="dxa"/>
        <w:tblCellMar>
          <w:left w:w="0" w:type="dxa"/>
          <w:right w:w="0" w:type="dxa"/>
        </w:tblCellMar>
        <w:tblLook w:val="04A0" w:firstRow="1" w:lastRow="0" w:firstColumn="1" w:lastColumn="0" w:noHBand="0" w:noVBand="1"/>
      </w:tblPr>
      <w:tblGrid>
        <w:gridCol w:w="1178"/>
        <w:gridCol w:w="1178"/>
        <w:gridCol w:w="1314"/>
        <w:gridCol w:w="1130"/>
        <w:gridCol w:w="1222"/>
        <w:gridCol w:w="1333"/>
        <w:gridCol w:w="1178"/>
      </w:tblGrid>
      <w:tr w:rsidR="000E0395" w:rsidRPr="000E0395" w14:paraId="4A942EBA" w14:textId="77777777" w:rsidTr="00455031">
        <w:trPr>
          <w:trHeight w:val="301"/>
        </w:trPr>
        <w:tc>
          <w:tcPr>
            <w:tcW w:w="11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2C001" w14:textId="77777777" w:rsidR="000E0395" w:rsidRPr="000E0395" w:rsidRDefault="000E0395" w:rsidP="000E0395">
            <w:pPr>
              <w:spacing w:after="160" w:line="276" w:lineRule="auto"/>
              <w:rPr>
                <w:rFonts w:ascii="Times New Roman" w:eastAsia="Calibri" w:hAnsi="Times New Roman"/>
                <w:sz w:val="20"/>
              </w:rPr>
            </w:pPr>
            <w:r w:rsidRPr="000E0395">
              <w:rPr>
                <w:rFonts w:ascii="Times New Roman" w:eastAsia="Calibri" w:hAnsi="Times New Roman"/>
                <w:sz w:val="20"/>
              </w:rPr>
              <w:t> </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78CF04F"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overall market</w:t>
            </w:r>
          </w:p>
        </w:tc>
        <w:tc>
          <w:tcPr>
            <w:tcW w:w="1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EBE089"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total program</w:t>
            </w:r>
          </w:p>
          <w:p w14:paraId="4811DFCE"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(includes free-riders)</w:t>
            </w:r>
          </w:p>
        </w:tc>
        <w:tc>
          <w:tcPr>
            <w:tcW w:w="1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3BB39"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free-riders</w:t>
            </w:r>
          </w:p>
          <w:p w14:paraId="1FF26E4C"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(subset of total program)</w:t>
            </w:r>
          </w:p>
        </w:tc>
        <w:tc>
          <w:tcPr>
            <w:tcW w:w="12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7E255D"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non program</w:t>
            </w:r>
          </w:p>
        </w:tc>
        <w:tc>
          <w:tcPr>
            <w:tcW w:w="13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6C2CC4"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non program or free rider</w:t>
            </w:r>
          </w:p>
        </w:tc>
        <w:tc>
          <w:tcPr>
            <w:tcW w:w="11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FE15B9"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average FE in each bin</w:t>
            </w:r>
          </w:p>
        </w:tc>
      </w:tr>
      <w:tr w:rsidR="000E0395" w:rsidRPr="000E0395" w14:paraId="19D84E38" w14:textId="77777777" w:rsidTr="00455031">
        <w:trPr>
          <w:trHeight w:val="301"/>
        </w:trPr>
        <w:tc>
          <w:tcPr>
            <w:tcW w:w="1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D16B37"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below 65</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AE80F"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1971</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56171"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0</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7527E54B" w14:textId="77777777" w:rsidR="000E0395" w:rsidRPr="000E0395" w:rsidRDefault="000E0395" w:rsidP="000E0395">
            <w:pPr>
              <w:autoSpaceDE w:val="0"/>
              <w:autoSpaceDN w:val="0"/>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0</w:t>
            </w:r>
          </w:p>
        </w:tc>
        <w:tc>
          <w:tcPr>
            <w:tcW w:w="12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9465C2"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1971</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109286"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1971</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D210B8"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61.0</w:t>
            </w:r>
          </w:p>
        </w:tc>
      </w:tr>
      <w:tr w:rsidR="000E0395" w:rsidRPr="000E0395" w14:paraId="6F6E9F9B" w14:textId="77777777" w:rsidTr="00455031">
        <w:trPr>
          <w:trHeight w:val="301"/>
        </w:trPr>
        <w:tc>
          <w:tcPr>
            <w:tcW w:w="1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3D78FD"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65 to 69</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72FB1"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2806</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D7278"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260</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1EAD1EEB" w14:textId="77777777" w:rsidR="000E0395" w:rsidRPr="000E0395" w:rsidRDefault="000E0395" w:rsidP="000E0395">
            <w:pPr>
              <w:autoSpaceDE w:val="0"/>
              <w:autoSpaceDN w:val="0"/>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117</w:t>
            </w:r>
          </w:p>
        </w:tc>
        <w:tc>
          <w:tcPr>
            <w:tcW w:w="12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7CF20"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2546</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21E07B"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2663</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ADB111"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67.0</w:t>
            </w:r>
          </w:p>
        </w:tc>
      </w:tr>
      <w:tr w:rsidR="000E0395" w:rsidRPr="000E0395" w14:paraId="6A1342D0" w14:textId="77777777" w:rsidTr="00455031">
        <w:trPr>
          <w:trHeight w:val="301"/>
        </w:trPr>
        <w:tc>
          <w:tcPr>
            <w:tcW w:w="1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EDF3A0"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70 to 74</w:t>
            </w:r>
          </w:p>
        </w:tc>
        <w:tc>
          <w:tcPr>
            <w:tcW w:w="117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A7ED69"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2806</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B9608"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1074</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1FC7AD4A" w14:textId="77777777" w:rsidR="000E0395" w:rsidRPr="000E0395" w:rsidRDefault="000E0395" w:rsidP="000E0395">
            <w:pPr>
              <w:autoSpaceDE w:val="0"/>
              <w:autoSpaceDN w:val="0"/>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483</w:t>
            </w:r>
          </w:p>
        </w:tc>
        <w:tc>
          <w:tcPr>
            <w:tcW w:w="12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FB770"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1732</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3D2F6F"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2215</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5196CF"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71.6</w:t>
            </w:r>
          </w:p>
        </w:tc>
      </w:tr>
      <w:tr w:rsidR="000E0395" w:rsidRPr="000E0395" w14:paraId="0296E463" w14:textId="77777777" w:rsidTr="00455031">
        <w:trPr>
          <w:trHeight w:val="301"/>
        </w:trPr>
        <w:tc>
          <w:tcPr>
            <w:tcW w:w="1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F70791"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75 +</w:t>
            </w:r>
          </w:p>
        </w:tc>
        <w:tc>
          <w:tcPr>
            <w:tcW w:w="0" w:type="auto"/>
            <w:vMerge/>
            <w:tcBorders>
              <w:top w:val="nil"/>
              <w:left w:val="nil"/>
              <w:bottom w:val="single" w:sz="8" w:space="0" w:color="auto"/>
              <w:right w:val="single" w:sz="8" w:space="0" w:color="auto"/>
            </w:tcBorders>
            <w:vAlign w:val="center"/>
            <w:hideMark/>
          </w:tcPr>
          <w:p w14:paraId="42EA35FE" w14:textId="77777777" w:rsidR="000E0395" w:rsidRPr="000E0395" w:rsidRDefault="000E0395" w:rsidP="000E0395">
            <w:pPr>
              <w:spacing w:after="160" w:line="259" w:lineRule="auto"/>
              <w:rPr>
                <w:rFonts w:ascii="Calibri" w:eastAsia="Calibri" w:hAnsi="Calibri"/>
                <w:color w:val="000000"/>
                <w:sz w:val="22"/>
                <w:szCs w:val="22"/>
              </w:rPr>
            </w:pP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635E7"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20</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0AEEB696" w14:textId="77777777" w:rsidR="000E0395" w:rsidRPr="000E0395" w:rsidRDefault="000E0395" w:rsidP="000E0395">
            <w:pPr>
              <w:autoSpaceDE w:val="0"/>
              <w:autoSpaceDN w:val="0"/>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9</w:t>
            </w:r>
          </w:p>
        </w:tc>
        <w:tc>
          <w:tcPr>
            <w:tcW w:w="12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F5FE7" w14:textId="77777777" w:rsidR="000E0395" w:rsidRPr="000E0395" w:rsidRDefault="000E0395" w:rsidP="000E0395">
            <w:pPr>
              <w:spacing w:after="160" w:line="276" w:lineRule="auto"/>
              <w:rPr>
                <w:rFonts w:ascii="Times New Roman" w:eastAsia="Calibri" w:hAnsi="Times New Roman"/>
                <w:sz w:val="20"/>
              </w:rPr>
            </w:pPr>
            <w:r w:rsidRPr="000E0395">
              <w:rPr>
                <w:rFonts w:ascii="Times New Roman" w:eastAsia="Calibri" w:hAnsi="Times New Roman"/>
                <w:sz w:val="20"/>
              </w:rPr>
              <w:t> </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6ED85D"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9</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6F5184"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77.2</w:t>
            </w:r>
          </w:p>
        </w:tc>
      </w:tr>
      <w:tr w:rsidR="000E0395" w:rsidRPr="000E0395" w14:paraId="325784E0" w14:textId="77777777" w:rsidTr="00455031">
        <w:trPr>
          <w:trHeight w:val="301"/>
        </w:trPr>
        <w:tc>
          <w:tcPr>
            <w:tcW w:w="1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C45C9D" w14:textId="77777777" w:rsidR="000E0395" w:rsidRPr="000E0395" w:rsidRDefault="000E0395" w:rsidP="000E0395">
            <w:pPr>
              <w:spacing w:after="160" w:line="276" w:lineRule="auto"/>
              <w:rPr>
                <w:rFonts w:ascii="Calibri" w:eastAsia="Calibri" w:hAnsi="Calibri"/>
                <w:b/>
                <w:bCs/>
                <w:color w:val="000000"/>
                <w:sz w:val="22"/>
                <w:szCs w:val="22"/>
              </w:rPr>
            </w:pPr>
            <w:r w:rsidRPr="000E0395">
              <w:rPr>
                <w:rFonts w:ascii="Calibri" w:eastAsia="Calibri" w:hAnsi="Calibri"/>
                <w:b/>
                <w:bCs/>
                <w:color w:val="000000"/>
                <w:sz w:val="22"/>
                <w:szCs w:val="22"/>
              </w:rPr>
              <w:t>total</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1EB27" w14:textId="77777777" w:rsidR="000E0395" w:rsidRPr="000E0395" w:rsidRDefault="000E0395" w:rsidP="000E0395">
            <w:pPr>
              <w:spacing w:after="160" w:line="276" w:lineRule="auto"/>
              <w:jc w:val="right"/>
              <w:rPr>
                <w:rFonts w:ascii="Calibri" w:eastAsia="Calibri" w:hAnsi="Calibri"/>
                <w:b/>
                <w:bCs/>
                <w:color w:val="000000"/>
                <w:sz w:val="22"/>
                <w:szCs w:val="22"/>
              </w:rPr>
            </w:pPr>
            <w:r w:rsidRPr="000E0395">
              <w:rPr>
                <w:rFonts w:ascii="Calibri" w:eastAsia="Calibri" w:hAnsi="Calibri"/>
                <w:b/>
                <w:bCs/>
                <w:color w:val="000000"/>
                <w:sz w:val="22"/>
                <w:szCs w:val="22"/>
              </w:rPr>
              <w:t>7583</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6E1CD" w14:textId="77777777" w:rsidR="000E0395" w:rsidRPr="000E0395" w:rsidRDefault="000E0395" w:rsidP="000E0395">
            <w:pPr>
              <w:spacing w:after="160" w:line="276" w:lineRule="auto"/>
              <w:jc w:val="right"/>
              <w:rPr>
                <w:rFonts w:ascii="Calibri" w:eastAsia="Calibri" w:hAnsi="Calibri"/>
                <w:b/>
                <w:bCs/>
                <w:color w:val="000000"/>
                <w:sz w:val="22"/>
                <w:szCs w:val="22"/>
              </w:rPr>
            </w:pPr>
            <w:r w:rsidRPr="000E0395">
              <w:rPr>
                <w:rFonts w:ascii="Calibri" w:eastAsia="Calibri" w:hAnsi="Calibri"/>
                <w:b/>
                <w:bCs/>
                <w:color w:val="000000"/>
                <w:sz w:val="22"/>
                <w:szCs w:val="22"/>
              </w:rPr>
              <w:t>1354</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27515CE0" w14:textId="77777777" w:rsidR="000E0395" w:rsidRPr="000E0395" w:rsidRDefault="000E0395" w:rsidP="000E0395">
            <w:pPr>
              <w:autoSpaceDE w:val="0"/>
              <w:autoSpaceDN w:val="0"/>
              <w:spacing w:after="160" w:line="276" w:lineRule="auto"/>
              <w:jc w:val="right"/>
              <w:rPr>
                <w:rFonts w:ascii="Calibri" w:eastAsia="Calibri" w:hAnsi="Calibri"/>
                <w:b/>
                <w:bCs/>
                <w:color w:val="000000"/>
                <w:sz w:val="22"/>
                <w:szCs w:val="22"/>
              </w:rPr>
            </w:pPr>
            <w:r w:rsidRPr="000E0395">
              <w:rPr>
                <w:rFonts w:ascii="Calibri" w:eastAsia="Calibri" w:hAnsi="Calibri"/>
                <w:b/>
                <w:bCs/>
                <w:color w:val="000000"/>
                <w:sz w:val="22"/>
                <w:szCs w:val="22"/>
              </w:rPr>
              <w:t>609</w:t>
            </w:r>
          </w:p>
        </w:tc>
        <w:tc>
          <w:tcPr>
            <w:tcW w:w="12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64CA53" w14:textId="77777777" w:rsidR="000E0395" w:rsidRPr="000E0395" w:rsidRDefault="000E0395" w:rsidP="000E0395">
            <w:pPr>
              <w:spacing w:after="160" w:line="276" w:lineRule="auto"/>
              <w:jc w:val="right"/>
              <w:rPr>
                <w:rFonts w:ascii="Calibri" w:eastAsia="Calibri" w:hAnsi="Calibri"/>
                <w:b/>
                <w:bCs/>
                <w:color w:val="000000"/>
                <w:sz w:val="22"/>
                <w:szCs w:val="22"/>
              </w:rPr>
            </w:pPr>
            <w:r w:rsidRPr="000E0395">
              <w:rPr>
                <w:rFonts w:ascii="Calibri" w:eastAsia="Calibri" w:hAnsi="Calibri"/>
                <w:b/>
                <w:bCs/>
                <w:color w:val="000000"/>
                <w:sz w:val="22"/>
                <w:szCs w:val="22"/>
              </w:rPr>
              <w:t>6249</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B2C0E5" w14:textId="77777777" w:rsidR="000E0395" w:rsidRPr="000E0395" w:rsidRDefault="000E0395" w:rsidP="000E0395">
            <w:pPr>
              <w:spacing w:after="160" w:line="276" w:lineRule="auto"/>
              <w:jc w:val="right"/>
              <w:rPr>
                <w:rFonts w:ascii="Calibri" w:eastAsia="Calibri" w:hAnsi="Calibri"/>
                <w:b/>
                <w:bCs/>
                <w:color w:val="000000"/>
                <w:sz w:val="22"/>
                <w:szCs w:val="22"/>
              </w:rPr>
            </w:pPr>
            <w:r w:rsidRPr="000E0395">
              <w:rPr>
                <w:rFonts w:ascii="Calibri" w:eastAsia="Calibri" w:hAnsi="Calibri"/>
                <w:b/>
                <w:bCs/>
                <w:color w:val="000000"/>
                <w:sz w:val="22"/>
                <w:szCs w:val="22"/>
              </w:rPr>
              <w:t>6858</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EFCDE" w14:textId="77777777" w:rsidR="000E0395" w:rsidRPr="000E0395" w:rsidRDefault="000E0395" w:rsidP="000E0395">
            <w:pPr>
              <w:spacing w:after="160" w:line="276" w:lineRule="auto"/>
              <w:jc w:val="right"/>
              <w:rPr>
                <w:rFonts w:ascii="Calibri" w:eastAsia="Calibri" w:hAnsi="Calibri"/>
                <w:b/>
                <w:bCs/>
                <w:sz w:val="22"/>
                <w:szCs w:val="22"/>
              </w:rPr>
            </w:pPr>
            <w:r w:rsidRPr="000E0395">
              <w:rPr>
                <w:rFonts w:ascii="Calibri" w:eastAsia="Calibri" w:hAnsi="Calibri"/>
                <w:b/>
                <w:bCs/>
                <w:sz w:val="22"/>
                <w:szCs w:val="22"/>
              </w:rPr>
              <w:t>66.8</w:t>
            </w:r>
          </w:p>
        </w:tc>
      </w:tr>
    </w:tbl>
    <w:p w14:paraId="62915000" w14:textId="77777777" w:rsidR="000E0395" w:rsidRPr="000E0395" w:rsidRDefault="000E0395" w:rsidP="000E0395">
      <w:pPr>
        <w:spacing w:after="160" w:line="259" w:lineRule="auto"/>
        <w:ind w:left="720"/>
        <w:rPr>
          <w:rFonts w:ascii="Calibri" w:eastAsia="Calibri" w:hAnsi="Calibri"/>
          <w:b/>
          <w:bCs/>
          <w:color w:val="000000"/>
          <w:sz w:val="22"/>
          <w:szCs w:val="22"/>
        </w:rPr>
      </w:pPr>
    </w:p>
    <w:p w14:paraId="7BB70CE7" w14:textId="08640362" w:rsidR="000E0395" w:rsidRPr="000E0395" w:rsidRDefault="000E0395" w:rsidP="00455031">
      <w:pPr>
        <w:spacing w:after="160" w:line="259" w:lineRule="auto"/>
        <w:rPr>
          <w:rFonts w:ascii="Calibri" w:eastAsia="Calibri" w:hAnsi="Calibri"/>
          <w:sz w:val="22"/>
          <w:szCs w:val="22"/>
        </w:rPr>
      </w:pPr>
      <w:r w:rsidRPr="000E0395">
        <w:rPr>
          <w:rFonts w:ascii="Calibri" w:eastAsia="Calibri" w:hAnsi="Calibri"/>
          <w:color w:val="000000"/>
          <w:sz w:val="22"/>
          <w:szCs w:val="22"/>
        </w:rPr>
        <w:t xml:space="preserve">The overall market size was an outcome of the market survey. 23 out of the 48 members of the Oregon Hearth, Patio, and Barbecue Association were interviewed and their responses assumed to be representative of the members the survey contractor was unable to interview. The extrapolated responses were compared to program activity. The market baseline of top selling brands was calculated by averaging the efficiency of non-program equipment, including free-riders. Free-ridership is 45%, according to rolling average quarterly Fast Feedback results. </w:t>
      </w:r>
      <w:r w:rsidRPr="000E0395">
        <w:rPr>
          <w:rFonts w:ascii="Calibri" w:eastAsia="Calibri" w:hAnsi="Calibri"/>
          <w:sz w:val="22"/>
          <w:szCs w:val="22"/>
        </w:rPr>
        <w:t>However, this reflects the impressions of participants, and may be somewhat distorted in two ways.  First, the program appears to have influenced the efficiency of available equipment, based on at least one distributor’s perspective. Second, as is the case for all replacement equipment measures, customers may have difficulty distinguishing between the efficiency of the model chosen and the efficiency they would have otherwise chosen. They may or may not have been presented with a choice by the dealer, who may or may not have proposed the same equipment without incentives.  Free-riders surveys are particularly difficult to interpret during periods of significant market transition.  The baseline survey indicates that we have been experiencing such a period. Thus, we may incorporate the free-riders calculations into our savings forecasts, but will also- but not in this memo- examine whether we should claim some market transformation savings</w:t>
      </w:r>
      <w:r w:rsidRPr="000E0395">
        <w:rPr>
          <w:rFonts w:ascii="Calibri" w:eastAsia="Calibri" w:hAnsi="Calibri"/>
          <w:color w:val="1F497D"/>
          <w:sz w:val="22"/>
          <w:szCs w:val="22"/>
        </w:rPr>
        <w:t xml:space="preserve"> for this baseline improvement</w:t>
      </w:r>
      <w:r w:rsidRPr="000E0395">
        <w:rPr>
          <w:rFonts w:ascii="Calibri" w:eastAsia="Calibri" w:hAnsi="Calibri"/>
          <w:sz w:val="22"/>
          <w:szCs w:val="22"/>
        </w:rPr>
        <w:t>.</w:t>
      </w:r>
    </w:p>
    <w:p w14:paraId="3876F241" w14:textId="77777777" w:rsidR="000E0395" w:rsidRPr="000E0395" w:rsidRDefault="000E0395" w:rsidP="00455031">
      <w:pPr>
        <w:spacing w:after="160" w:line="259" w:lineRule="auto"/>
        <w:rPr>
          <w:rFonts w:ascii="Calibri" w:eastAsia="Calibri" w:hAnsi="Calibri"/>
          <w:sz w:val="22"/>
          <w:szCs w:val="22"/>
        </w:rPr>
      </w:pPr>
    </w:p>
    <w:p w14:paraId="46387683"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For the new lower efficient tier (Tier 1, 70-74 FE), the savings are 19.9 annual therms (15 hours per week x 40 weeks </w:t>
      </w:r>
      <w:proofErr w:type="gramStart"/>
      <w:r w:rsidRPr="000E0395">
        <w:rPr>
          <w:rFonts w:ascii="Calibri" w:eastAsia="Calibri" w:hAnsi="Calibri"/>
          <w:color w:val="000000"/>
          <w:sz w:val="22"/>
          <w:szCs w:val="22"/>
        </w:rPr>
        <w:t xml:space="preserve">x 33 </w:t>
      </w:r>
      <w:proofErr w:type="spell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/h x (1 / 66.8 FE – 1 / 71.6 FE)</w:t>
      </w:r>
      <w:proofErr w:type="gramEnd"/>
      <w:r w:rsidRPr="000E0395">
        <w:rPr>
          <w:rFonts w:ascii="Calibri" w:eastAsia="Calibri" w:hAnsi="Calibri"/>
          <w:color w:val="000000"/>
          <w:sz w:val="22"/>
          <w:szCs w:val="22"/>
        </w:rPr>
        <w:t xml:space="preserve">. For the higher efficient tier (Tier 2, 75+FE), the savings are 31.5 annual therms (15 hours per week x 40 weeks x 26 </w:t>
      </w:r>
      <w:proofErr w:type="spell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 xml:space="preserve">/h x (1 / 66.8 FE – 1 / 77.2 FE). </w:t>
      </w:r>
    </w:p>
    <w:p w14:paraId="7F2763B1" w14:textId="77777777" w:rsidR="000E0395" w:rsidRPr="000E0395" w:rsidRDefault="000E0395" w:rsidP="00455031">
      <w:pPr>
        <w:spacing w:after="160" w:line="259" w:lineRule="auto"/>
        <w:rPr>
          <w:rFonts w:ascii="Calibri" w:eastAsia="Calibri" w:hAnsi="Calibri"/>
          <w:sz w:val="22"/>
          <w:szCs w:val="22"/>
        </w:rPr>
      </w:pPr>
    </w:p>
    <w:p w14:paraId="252870EB"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sz w:val="22"/>
          <w:szCs w:val="22"/>
        </w:rPr>
        <w:t xml:space="preserve">A sensitivity analysis was done to determine the effect of free-ridership on the energy savings. Although we know that some degree of free-ridership is present, the sensitivity of the savings to changes in free-ridership can be determined by removing the free-riders from the baseline. The resulting average baseline efficiency is 66.4 FE. If an alternative approach to free-ridership were selected, the maximum energy savings from thermal efficiency would be 21.7 annual therms for equipment from 70 to 74 FE and 32.9 annual therms for equipment at or above 75 FE, a change of 9.0% and 4.5% respectively.   Given the absence of an alternative empirical method for estimating free riders, we stuck with our initial analysis, and incorporated the self-reported free riders in the baseline.  </w:t>
      </w:r>
    </w:p>
    <w:p w14:paraId="1B80A557" w14:textId="77777777" w:rsidR="000E0395" w:rsidRPr="000E0395" w:rsidRDefault="000E0395" w:rsidP="00455031">
      <w:pPr>
        <w:rPr>
          <w:rFonts w:ascii="Calibri" w:eastAsia="Calibri" w:hAnsi="Calibri"/>
          <w:b/>
          <w:bCs/>
          <w:color w:val="000000"/>
          <w:sz w:val="22"/>
          <w:szCs w:val="22"/>
        </w:rPr>
      </w:pPr>
    </w:p>
    <w:p w14:paraId="3153B666" w14:textId="77777777" w:rsidR="000E0395" w:rsidRPr="000E0395" w:rsidRDefault="000E0395" w:rsidP="00455031">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Energy savings based on intermittent pilot ignition</w:t>
      </w:r>
    </w:p>
    <w:p w14:paraId="73893EF1"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Intermittent ignition savings are calculated by multiplying the heat input by the number of hours the pilot would otherwise be on and the Net to </w:t>
      </w:r>
      <w:proofErr w:type="gramStart"/>
      <w:r w:rsidRPr="000E0395">
        <w:rPr>
          <w:rFonts w:ascii="Calibri" w:eastAsia="Calibri" w:hAnsi="Calibri"/>
          <w:color w:val="000000"/>
          <w:sz w:val="22"/>
          <w:szCs w:val="22"/>
        </w:rPr>
        <w:t>Gross</w:t>
      </w:r>
      <w:proofErr w:type="gramEnd"/>
      <w:r w:rsidRPr="000E0395">
        <w:rPr>
          <w:rFonts w:ascii="Calibri" w:eastAsia="Calibri" w:hAnsi="Calibri"/>
          <w:color w:val="000000"/>
          <w:sz w:val="22"/>
          <w:szCs w:val="22"/>
        </w:rPr>
        <w:t xml:space="preserve"> ratio (NTG). The heat input is 900 Btu/h, up from the previous version of the measure, based on information that thermostatically controlled and remote controlled fireplaces require pilot lights with higher heat inputs.  The hours are 8760 minus the hours the fireplace is in operation, and NTG is 0.81 based on the percentage of standing pilot lights in the baseline when the measure was implemented in 2009. Savings from the intermittent ignition system are 59.5 therms ((8760 hours – 40 weeks x 15 hours per week) x 0.009 therms / h x 0.81).</w:t>
      </w:r>
    </w:p>
    <w:p w14:paraId="7340A639" w14:textId="77777777" w:rsidR="000E0395" w:rsidRPr="000E0395" w:rsidRDefault="000E0395" w:rsidP="00455031">
      <w:pPr>
        <w:spacing w:after="160" w:line="259" w:lineRule="auto"/>
        <w:rPr>
          <w:rFonts w:ascii="Calibri" w:eastAsia="Calibri" w:hAnsi="Calibri"/>
          <w:color w:val="000000"/>
          <w:sz w:val="22"/>
          <w:szCs w:val="22"/>
        </w:rPr>
      </w:pPr>
    </w:p>
    <w:p w14:paraId="1235D085"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A third party contractor interviewed representatives of three manufactures whom they assert cover the majority of the Portland market and approximately 30% of the state market. We learned that standing pilot lights have nearly vanished and at least one distributor credits our program with that change. One expert noted that they sell standing pilot lights in other states but only about 1% of Oregon sales have standing pilot lights. To recognize this influence, although standing pilots are no longer in the market baseline, savings for intermittent ignition systems will be claimed for each unit in the program in 2015, including units between 65 and 69 FE, for which no thermal efficiency savings are claimed. These savings recognize that we helped move the market away from standing pilot lights earlier than they otherwise would have. </w:t>
      </w:r>
      <w:r w:rsidRPr="000E0395">
        <w:rPr>
          <w:rFonts w:ascii="Calibri" w:eastAsia="Calibri" w:hAnsi="Calibri"/>
          <w:sz w:val="22"/>
          <w:szCs w:val="22"/>
        </w:rPr>
        <w:t>Continuation of this practice beyond 2015 will depend upon additional market data we are able to collect and if we can determine from that data a reason to continue to claim ignition system transformation savings.</w:t>
      </w:r>
    </w:p>
    <w:p w14:paraId="358D42E0" w14:textId="77777777" w:rsidR="000E0395" w:rsidRPr="000E0395" w:rsidRDefault="000E0395" w:rsidP="00455031">
      <w:pPr>
        <w:spacing w:after="160" w:line="259" w:lineRule="auto"/>
        <w:rPr>
          <w:rFonts w:ascii="Calibri" w:eastAsia="Calibri" w:hAnsi="Calibri"/>
          <w:color w:val="000000"/>
          <w:sz w:val="22"/>
          <w:szCs w:val="22"/>
        </w:rPr>
      </w:pPr>
    </w:p>
    <w:p w14:paraId="074B6CEF" w14:textId="77777777" w:rsidR="000E0395" w:rsidRPr="000E0395" w:rsidRDefault="000E0395" w:rsidP="00455031">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In addition, one </w:t>
      </w:r>
      <w:r w:rsidRPr="000E0395">
        <w:rPr>
          <w:rFonts w:ascii="Calibri" w:eastAsia="Calibri" w:hAnsi="Calibri"/>
          <w:sz w:val="22"/>
          <w:szCs w:val="22"/>
        </w:rPr>
        <w:t xml:space="preserve">interviewee from the distributor survey claimed that due to Energy Trust influence, they changed their product line and only </w:t>
      </w:r>
      <w:proofErr w:type="gramStart"/>
      <w:r w:rsidRPr="000E0395">
        <w:rPr>
          <w:rFonts w:ascii="Calibri" w:eastAsia="Calibri" w:hAnsi="Calibri"/>
          <w:sz w:val="22"/>
          <w:szCs w:val="22"/>
        </w:rPr>
        <w:t>sell</w:t>
      </w:r>
      <w:proofErr w:type="gramEnd"/>
      <w:r w:rsidRPr="000E0395">
        <w:rPr>
          <w:rFonts w:ascii="Calibri" w:eastAsia="Calibri" w:hAnsi="Calibri"/>
          <w:sz w:val="22"/>
          <w:szCs w:val="22"/>
        </w:rPr>
        <w:t xml:space="preserve"> high efficiency units now. To account for this influence, we propose </w:t>
      </w:r>
      <w:r w:rsidRPr="000E0395">
        <w:rPr>
          <w:rFonts w:ascii="Calibri" w:eastAsia="Calibri" w:hAnsi="Calibri"/>
          <w:sz w:val="22"/>
          <w:szCs w:val="22"/>
          <w:u w:val="single"/>
        </w:rPr>
        <w:t>estimating the balance of this distributor’s sales in Oregon that did not receive an Energy Trust incentive and booking those savings for 2014</w:t>
      </w:r>
      <w:r w:rsidRPr="000E0395">
        <w:rPr>
          <w:rFonts w:ascii="Calibri" w:eastAsia="Calibri" w:hAnsi="Calibri"/>
          <w:sz w:val="22"/>
          <w:szCs w:val="22"/>
        </w:rPr>
        <w:t>.  That analysis is not complete, nor documented in this memo, but will be pursued over the next several months.</w:t>
      </w:r>
    </w:p>
    <w:p w14:paraId="739ED354" w14:textId="77777777" w:rsidR="000E0395" w:rsidRPr="000E0395" w:rsidRDefault="000E0395" w:rsidP="000E0395">
      <w:pPr>
        <w:spacing w:after="160" w:line="259" w:lineRule="auto"/>
        <w:ind w:left="720"/>
        <w:rPr>
          <w:rFonts w:ascii="Calibri" w:eastAsia="Calibri" w:hAnsi="Calibri"/>
          <w:color w:val="000000"/>
          <w:sz w:val="22"/>
          <w:szCs w:val="22"/>
        </w:rPr>
      </w:pPr>
    </w:p>
    <w:p w14:paraId="2F1E3ACC" w14:textId="77777777" w:rsidR="000E0395" w:rsidRPr="000E0395" w:rsidRDefault="000E0395" w:rsidP="00242F2B">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Measure Cost</w:t>
      </w:r>
    </w:p>
    <w:p w14:paraId="35C2728F" w14:textId="77777777" w:rsidR="000E0395" w:rsidRPr="000E0395" w:rsidRDefault="000E0395" w:rsidP="00242F2B">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Table: 2013 program data</w:t>
      </w:r>
    </w:p>
    <w:tbl>
      <w:tblPr>
        <w:tblW w:w="2610" w:type="dxa"/>
        <w:tblInd w:w="108" w:type="dxa"/>
        <w:tblCellMar>
          <w:left w:w="0" w:type="dxa"/>
          <w:right w:w="0" w:type="dxa"/>
        </w:tblCellMar>
        <w:tblLook w:val="04A0" w:firstRow="1" w:lastRow="0" w:firstColumn="1" w:lastColumn="0" w:noHBand="0" w:noVBand="1"/>
      </w:tblPr>
      <w:tblGrid>
        <w:gridCol w:w="1440"/>
        <w:gridCol w:w="1170"/>
      </w:tblGrid>
      <w:tr w:rsidR="000E0395" w:rsidRPr="000E0395" w14:paraId="1358EA9B" w14:textId="77777777" w:rsidTr="00242F2B">
        <w:trPr>
          <w:trHeight w:val="255"/>
        </w:trPr>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B1B89A" w14:textId="77777777" w:rsidR="000E0395" w:rsidRPr="000E0395" w:rsidRDefault="000E0395" w:rsidP="00242F2B">
            <w:pPr>
              <w:spacing w:after="160" w:line="276" w:lineRule="auto"/>
              <w:rPr>
                <w:rFonts w:eastAsia="Calibri" w:cs="Arial"/>
                <w:b/>
                <w:bCs/>
                <w:sz w:val="20"/>
              </w:rPr>
            </w:pPr>
            <w:r w:rsidRPr="000E0395">
              <w:rPr>
                <w:rFonts w:eastAsia="Calibri" w:cs="Arial"/>
                <w:b/>
                <w:bCs/>
                <w:sz w:val="20"/>
              </w:rPr>
              <w:t>Tier</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03F849" w14:textId="77777777" w:rsidR="000E0395" w:rsidRPr="000E0395" w:rsidRDefault="000E0395" w:rsidP="00242F2B">
            <w:pPr>
              <w:spacing w:after="160" w:line="276" w:lineRule="auto"/>
              <w:jc w:val="right"/>
              <w:rPr>
                <w:rFonts w:eastAsia="Calibri" w:cs="Arial"/>
                <w:b/>
                <w:bCs/>
                <w:sz w:val="20"/>
              </w:rPr>
            </w:pPr>
            <w:r w:rsidRPr="000E0395">
              <w:rPr>
                <w:rFonts w:eastAsia="Calibri" w:cs="Arial"/>
                <w:b/>
                <w:bCs/>
                <w:sz w:val="20"/>
              </w:rPr>
              <w:t>Average cost</w:t>
            </w:r>
          </w:p>
        </w:tc>
      </w:tr>
      <w:tr w:rsidR="000E0395" w:rsidRPr="000E0395" w14:paraId="745FFDB3" w14:textId="77777777" w:rsidTr="00242F2B">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2CE6DE" w14:textId="77777777" w:rsidR="000E0395" w:rsidRPr="000E0395" w:rsidRDefault="000E0395" w:rsidP="00242F2B">
            <w:pPr>
              <w:spacing w:after="160" w:line="276" w:lineRule="auto"/>
              <w:rPr>
                <w:rFonts w:eastAsia="Calibri" w:cs="Arial"/>
                <w:sz w:val="20"/>
              </w:rPr>
            </w:pPr>
            <w:r w:rsidRPr="000E0395">
              <w:rPr>
                <w:rFonts w:eastAsia="Calibri" w:cs="Arial"/>
                <w:sz w:val="20"/>
              </w:rPr>
              <w:t>67 to 69</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A1B315" w14:textId="77777777" w:rsidR="000E0395" w:rsidRPr="000E0395" w:rsidRDefault="000E0395" w:rsidP="00242F2B">
            <w:pPr>
              <w:spacing w:after="160" w:line="276" w:lineRule="auto"/>
              <w:jc w:val="right"/>
              <w:rPr>
                <w:rFonts w:eastAsia="Calibri" w:cs="Arial"/>
                <w:sz w:val="20"/>
              </w:rPr>
            </w:pPr>
            <w:r w:rsidRPr="000E0395">
              <w:rPr>
                <w:rFonts w:eastAsia="Calibri" w:cs="Arial"/>
                <w:sz w:val="20"/>
              </w:rPr>
              <w:t>$4,553</w:t>
            </w:r>
          </w:p>
        </w:tc>
      </w:tr>
      <w:tr w:rsidR="000E0395" w:rsidRPr="000E0395" w14:paraId="14255418" w14:textId="77777777" w:rsidTr="00242F2B">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4AA66" w14:textId="77777777" w:rsidR="000E0395" w:rsidRPr="000E0395" w:rsidRDefault="000E0395" w:rsidP="00242F2B">
            <w:pPr>
              <w:spacing w:after="160" w:line="276" w:lineRule="auto"/>
              <w:rPr>
                <w:rFonts w:eastAsia="Calibri" w:cs="Arial"/>
                <w:sz w:val="20"/>
              </w:rPr>
            </w:pPr>
            <w:r w:rsidRPr="000E0395">
              <w:rPr>
                <w:rFonts w:eastAsia="Calibri" w:cs="Arial"/>
                <w:sz w:val="20"/>
              </w:rPr>
              <w:t>70 to 74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9D3F5" w14:textId="77777777" w:rsidR="000E0395" w:rsidRPr="000E0395" w:rsidRDefault="000E0395" w:rsidP="00242F2B">
            <w:pPr>
              <w:spacing w:after="160" w:line="276" w:lineRule="auto"/>
              <w:jc w:val="right"/>
              <w:rPr>
                <w:rFonts w:eastAsia="Calibri" w:cs="Arial"/>
                <w:sz w:val="20"/>
              </w:rPr>
            </w:pPr>
            <w:r w:rsidRPr="000E0395">
              <w:rPr>
                <w:rFonts w:eastAsia="Calibri" w:cs="Arial"/>
                <w:sz w:val="20"/>
              </w:rPr>
              <w:t>$4,067</w:t>
            </w:r>
          </w:p>
        </w:tc>
      </w:tr>
      <w:tr w:rsidR="000E0395" w:rsidRPr="000E0395" w14:paraId="50F22F43" w14:textId="77777777" w:rsidTr="00242F2B">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17DA62" w14:textId="77777777" w:rsidR="000E0395" w:rsidRPr="000E0395" w:rsidRDefault="000E0395" w:rsidP="00242F2B">
            <w:pPr>
              <w:spacing w:after="160" w:line="276" w:lineRule="auto"/>
              <w:rPr>
                <w:rFonts w:eastAsia="Calibri" w:cs="Arial"/>
                <w:sz w:val="20"/>
              </w:rPr>
            </w:pPr>
            <w:r w:rsidRPr="000E0395">
              <w:rPr>
                <w:rFonts w:eastAsia="Calibri" w:cs="Arial"/>
                <w:sz w:val="20"/>
              </w:rPr>
              <w:t>75 and up</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CE3F" w14:textId="77777777" w:rsidR="000E0395" w:rsidRPr="000E0395" w:rsidRDefault="000E0395" w:rsidP="00242F2B">
            <w:pPr>
              <w:spacing w:after="160" w:line="276" w:lineRule="auto"/>
              <w:jc w:val="right"/>
              <w:rPr>
                <w:rFonts w:eastAsia="Calibri" w:cs="Arial"/>
                <w:sz w:val="20"/>
              </w:rPr>
            </w:pPr>
            <w:r w:rsidRPr="000E0395">
              <w:rPr>
                <w:rFonts w:eastAsia="Calibri" w:cs="Arial"/>
                <w:sz w:val="20"/>
              </w:rPr>
              <w:t>$4,241</w:t>
            </w:r>
          </w:p>
        </w:tc>
      </w:tr>
    </w:tbl>
    <w:p w14:paraId="760BF826" w14:textId="77777777" w:rsidR="000E0395" w:rsidRPr="000E0395" w:rsidRDefault="000E0395" w:rsidP="000E0395">
      <w:pPr>
        <w:spacing w:after="160" w:line="259" w:lineRule="auto"/>
        <w:ind w:left="720"/>
        <w:rPr>
          <w:rFonts w:ascii="Calibri" w:eastAsia="Calibri" w:hAnsi="Calibri"/>
          <w:color w:val="000000"/>
          <w:sz w:val="22"/>
          <w:szCs w:val="22"/>
        </w:rPr>
      </w:pPr>
    </w:p>
    <w:p w14:paraId="443BCFB4" w14:textId="77777777" w:rsidR="000E0395" w:rsidRPr="000E0395" w:rsidRDefault="000E0395" w:rsidP="000E0395">
      <w:pPr>
        <w:spacing w:after="160" w:line="259" w:lineRule="auto"/>
        <w:ind w:left="720"/>
        <w:rPr>
          <w:rFonts w:ascii="Calibri" w:eastAsia="Calibri" w:hAnsi="Calibri"/>
          <w:b/>
          <w:bCs/>
          <w:color w:val="000000"/>
          <w:sz w:val="22"/>
          <w:szCs w:val="22"/>
        </w:rPr>
      </w:pPr>
    </w:p>
    <w:tbl>
      <w:tblPr>
        <w:tblW w:w="10475" w:type="dxa"/>
        <w:tblInd w:w="108" w:type="dxa"/>
        <w:tblLayout w:type="fixed"/>
        <w:tblCellMar>
          <w:left w:w="0" w:type="dxa"/>
          <w:right w:w="0" w:type="dxa"/>
        </w:tblCellMar>
        <w:tblLook w:val="04A0" w:firstRow="1" w:lastRow="0" w:firstColumn="1" w:lastColumn="0" w:noHBand="0" w:noVBand="1"/>
      </w:tblPr>
      <w:tblGrid>
        <w:gridCol w:w="236"/>
        <w:gridCol w:w="1316"/>
        <w:gridCol w:w="1595"/>
        <w:gridCol w:w="1039"/>
        <w:gridCol w:w="694"/>
        <w:gridCol w:w="1195"/>
        <w:gridCol w:w="1006"/>
        <w:gridCol w:w="1006"/>
        <w:gridCol w:w="1194"/>
        <w:gridCol w:w="1194"/>
      </w:tblGrid>
      <w:tr w:rsidR="000E0395" w:rsidRPr="000E0395" w14:paraId="09DB88C3" w14:textId="77777777" w:rsidTr="00242F2B">
        <w:trPr>
          <w:trHeight w:val="1041"/>
        </w:trPr>
        <w:tc>
          <w:tcPr>
            <w:tcW w:w="236" w:type="dxa"/>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bottom"/>
            <w:hideMark/>
          </w:tcPr>
          <w:p w14:paraId="459BF6A5" w14:textId="77777777" w:rsidR="000E0395" w:rsidRPr="000E0395" w:rsidRDefault="000E0395" w:rsidP="000E0395">
            <w:pPr>
              <w:spacing w:after="160" w:line="276" w:lineRule="auto"/>
              <w:jc w:val="center"/>
              <w:rPr>
                <w:rFonts w:eastAsia="Calibri" w:cs="Arial"/>
                <w:b/>
                <w:bCs/>
                <w:i/>
                <w:iCs/>
                <w:sz w:val="20"/>
              </w:rPr>
            </w:pPr>
            <w:r w:rsidRPr="000E0395">
              <w:rPr>
                <w:rFonts w:eastAsia="Calibri" w:cs="Arial"/>
                <w:b/>
                <w:bCs/>
                <w:i/>
                <w:iCs/>
                <w:sz w:val="20"/>
              </w:rPr>
              <w:t> </w:t>
            </w:r>
          </w:p>
        </w:tc>
        <w:tc>
          <w:tcPr>
            <w:tcW w:w="1316"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0B51F202"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Measure</w:t>
            </w:r>
          </w:p>
        </w:tc>
        <w:tc>
          <w:tcPr>
            <w:tcW w:w="1595"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61BDF6F0"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 xml:space="preserve">Measure Lifetime (Maximum   70 </w:t>
            </w:r>
            <w:proofErr w:type="spellStart"/>
            <w:r w:rsidRPr="000E0395">
              <w:rPr>
                <w:rFonts w:eastAsia="Calibri" w:cs="Arial"/>
                <w:b/>
                <w:bCs/>
                <w:sz w:val="20"/>
              </w:rPr>
              <w:t>yrs</w:t>
            </w:r>
            <w:proofErr w:type="spellEnd"/>
            <w:r w:rsidRPr="000E0395">
              <w:rPr>
                <w:rFonts w:eastAsia="Calibri" w:cs="Arial"/>
                <w:b/>
                <w:bCs/>
                <w:sz w:val="20"/>
              </w:rPr>
              <w:t>)</w:t>
            </w:r>
          </w:p>
        </w:tc>
        <w:tc>
          <w:tcPr>
            <w:tcW w:w="103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4FB74894"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Annual Gas Savings, therm</w:t>
            </w:r>
          </w:p>
        </w:tc>
        <w:tc>
          <w:tcPr>
            <w:tcW w:w="694"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4568251D"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Total Cost</w:t>
            </w:r>
          </w:p>
        </w:tc>
        <w:tc>
          <w:tcPr>
            <w:tcW w:w="1195"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bottom"/>
            <w:hideMark/>
          </w:tcPr>
          <w:p w14:paraId="4764B116" w14:textId="77777777" w:rsidR="000E0395" w:rsidRPr="000E0395" w:rsidRDefault="000E0395" w:rsidP="000E0395">
            <w:pPr>
              <w:spacing w:after="160" w:line="276" w:lineRule="auto"/>
              <w:jc w:val="center"/>
              <w:rPr>
                <w:rFonts w:eastAsia="Calibri" w:cs="Arial"/>
                <w:b/>
                <w:bCs/>
                <w:color w:val="FFFFFF"/>
                <w:sz w:val="20"/>
              </w:rPr>
            </w:pPr>
            <w:r w:rsidRPr="000E0395">
              <w:rPr>
                <w:rFonts w:eastAsia="Calibri" w:cs="Arial"/>
                <w:b/>
                <w:bCs/>
                <w:color w:val="FFFFFF"/>
                <w:sz w:val="20"/>
              </w:rPr>
              <w:t>MAX ETO Incentives</w:t>
            </w:r>
          </w:p>
        </w:tc>
        <w:tc>
          <w:tcPr>
            <w:tcW w:w="1006" w:type="dxa"/>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bottom"/>
            <w:hideMark/>
          </w:tcPr>
          <w:p w14:paraId="7CEA73E0"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Utility System PV of Benefits</w:t>
            </w:r>
          </w:p>
        </w:tc>
        <w:tc>
          <w:tcPr>
            <w:tcW w:w="1006" w:type="dxa"/>
            <w:tcBorders>
              <w:top w:val="single" w:sz="8" w:space="0" w:color="auto"/>
              <w:left w:val="nil"/>
              <w:bottom w:val="single" w:sz="8" w:space="0" w:color="auto"/>
              <w:right w:val="single" w:sz="8" w:space="0" w:color="auto"/>
            </w:tcBorders>
            <w:shd w:val="clear" w:color="auto" w:fill="FFCC00"/>
            <w:tcMar>
              <w:top w:w="0" w:type="dxa"/>
              <w:left w:w="108" w:type="dxa"/>
              <w:bottom w:w="0" w:type="dxa"/>
              <w:right w:w="108" w:type="dxa"/>
            </w:tcMar>
            <w:vAlign w:val="bottom"/>
            <w:hideMark/>
          </w:tcPr>
          <w:p w14:paraId="496C653D"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Societal PV of Benefits</w:t>
            </w:r>
          </w:p>
        </w:tc>
        <w:tc>
          <w:tcPr>
            <w:tcW w:w="1194" w:type="dxa"/>
            <w:tcBorders>
              <w:top w:val="single" w:sz="8" w:space="0" w:color="auto"/>
              <w:left w:val="nil"/>
              <w:bottom w:val="single" w:sz="8" w:space="0" w:color="auto"/>
              <w:right w:val="single" w:sz="8" w:space="0" w:color="auto"/>
            </w:tcBorders>
            <w:shd w:val="clear" w:color="auto" w:fill="FF99CC"/>
            <w:tcMar>
              <w:top w:w="0" w:type="dxa"/>
              <w:left w:w="108" w:type="dxa"/>
              <w:bottom w:w="0" w:type="dxa"/>
              <w:right w:w="108" w:type="dxa"/>
            </w:tcMar>
            <w:vAlign w:val="bottom"/>
            <w:hideMark/>
          </w:tcPr>
          <w:p w14:paraId="5E74C194"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Combined Utility System BCR</w:t>
            </w:r>
          </w:p>
        </w:tc>
        <w:tc>
          <w:tcPr>
            <w:tcW w:w="1194" w:type="dxa"/>
            <w:tcBorders>
              <w:top w:val="single" w:sz="8" w:space="0" w:color="auto"/>
              <w:left w:val="nil"/>
              <w:bottom w:val="single" w:sz="8" w:space="0" w:color="auto"/>
              <w:right w:val="single" w:sz="8" w:space="0" w:color="auto"/>
            </w:tcBorders>
            <w:shd w:val="clear" w:color="auto" w:fill="FF99CC"/>
            <w:tcMar>
              <w:top w:w="0" w:type="dxa"/>
              <w:left w:w="108" w:type="dxa"/>
              <w:bottom w:w="0" w:type="dxa"/>
              <w:right w:w="108" w:type="dxa"/>
            </w:tcMar>
            <w:vAlign w:val="bottom"/>
            <w:hideMark/>
          </w:tcPr>
          <w:p w14:paraId="40334499"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Combined Societal BCR</w:t>
            </w:r>
          </w:p>
        </w:tc>
      </w:tr>
      <w:tr w:rsidR="000E0395" w:rsidRPr="000E0395" w14:paraId="69CCF86E" w14:textId="77777777" w:rsidTr="00242F2B">
        <w:trPr>
          <w:trHeight w:val="293"/>
        </w:trPr>
        <w:tc>
          <w:tcPr>
            <w:tcW w:w="23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61A58E3"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w:t>
            </w:r>
          </w:p>
        </w:tc>
        <w:tc>
          <w:tcPr>
            <w:tcW w:w="131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BD0D135"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70 to 74 FE and intermittent ignition</w:t>
            </w:r>
          </w:p>
        </w:tc>
        <w:tc>
          <w:tcPr>
            <w:tcW w:w="15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4F6C8CE"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20</w:t>
            </w:r>
          </w:p>
        </w:tc>
        <w:tc>
          <w:tcPr>
            <w:tcW w:w="103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A82458D"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79.4</w:t>
            </w:r>
          </w:p>
        </w:tc>
        <w:tc>
          <w:tcPr>
            <w:tcW w:w="69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2B30D56"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w:t>
            </w:r>
          </w:p>
        </w:tc>
        <w:tc>
          <w:tcPr>
            <w:tcW w:w="11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137149"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$476</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16EDDD95"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$476</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3E5A4B5C"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$476</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2909E509"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1.0</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7BA45139"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476</w:t>
            </w:r>
          </w:p>
        </w:tc>
      </w:tr>
      <w:tr w:rsidR="000E0395" w:rsidRPr="000E0395" w14:paraId="401A7686" w14:textId="77777777" w:rsidTr="00242F2B">
        <w:trPr>
          <w:trHeight w:val="293"/>
        </w:trPr>
        <w:tc>
          <w:tcPr>
            <w:tcW w:w="23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7639668"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2</w:t>
            </w:r>
          </w:p>
        </w:tc>
        <w:tc>
          <w:tcPr>
            <w:tcW w:w="131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28E1D0D"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75+ FE and intermittent ignition</w:t>
            </w:r>
          </w:p>
        </w:tc>
        <w:tc>
          <w:tcPr>
            <w:tcW w:w="15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0FD4C92"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20</w:t>
            </w:r>
          </w:p>
        </w:tc>
        <w:tc>
          <w:tcPr>
            <w:tcW w:w="103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06F5680"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90.9</w:t>
            </w:r>
          </w:p>
        </w:tc>
        <w:tc>
          <w:tcPr>
            <w:tcW w:w="69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56680E"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$173</w:t>
            </w:r>
          </w:p>
        </w:tc>
        <w:tc>
          <w:tcPr>
            <w:tcW w:w="11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FE2CF27"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$550</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1B3204EE"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$545</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68F3D84E"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$545</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6DBE0ADD"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1.0</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2EB3BB05"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3.1</w:t>
            </w:r>
          </w:p>
        </w:tc>
      </w:tr>
      <w:tr w:rsidR="000E0395" w:rsidRPr="000E0395" w14:paraId="7CBB0927" w14:textId="77777777" w:rsidTr="00242F2B">
        <w:trPr>
          <w:trHeight w:val="293"/>
        </w:trPr>
        <w:tc>
          <w:tcPr>
            <w:tcW w:w="23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241C600"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3</w:t>
            </w:r>
          </w:p>
        </w:tc>
        <w:tc>
          <w:tcPr>
            <w:tcW w:w="131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55C73D"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Intermittent ignition (65 to 69 FE)</w:t>
            </w:r>
          </w:p>
        </w:tc>
        <w:tc>
          <w:tcPr>
            <w:tcW w:w="15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5C955D0"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20</w:t>
            </w:r>
          </w:p>
        </w:tc>
        <w:tc>
          <w:tcPr>
            <w:tcW w:w="103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7EDE090"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59.5</w:t>
            </w:r>
          </w:p>
        </w:tc>
        <w:tc>
          <w:tcPr>
            <w:tcW w:w="69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CC992D"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$110</w:t>
            </w:r>
          </w:p>
        </w:tc>
        <w:tc>
          <w:tcPr>
            <w:tcW w:w="119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31D3B47"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$357</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1377C3CD"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$357</w:t>
            </w:r>
          </w:p>
        </w:tc>
        <w:tc>
          <w:tcPr>
            <w:tcW w:w="1006"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749F3B01"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$357</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1BA79AAA"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1.0</w:t>
            </w:r>
          </w:p>
        </w:tc>
        <w:tc>
          <w:tcPr>
            <w:tcW w:w="1194"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07E524A2" w14:textId="77777777" w:rsidR="000E0395" w:rsidRPr="000E0395" w:rsidRDefault="000E0395" w:rsidP="000E0395">
            <w:pPr>
              <w:spacing w:after="160" w:line="276" w:lineRule="auto"/>
              <w:jc w:val="center"/>
              <w:rPr>
                <w:rFonts w:eastAsia="Calibri" w:cs="Arial"/>
                <w:b/>
                <w:bCs/>
                <w:color w:val="000000"/>
                <w:sz w:val="20"/>
              </w:rPr>
            </w:pPr>
            <w:r w:rsidRPr="000E0395">
              <w:rPr>
                <w:rFonts w:eastAsia="Calibri" w:cs="Arial"/>
                <w:b/>
                <w:bCs/>
                <w:color w:val="000000"/>
                <w:sz w:val="20"/>
              </w:rPr>
              <w:t>3.2</w:t>
            </w:r>
          </w:p>
        </w:tc>
      </w:tr>
    </w:tbl>
    <w:p w14:paraId="2E5B271D" w14:textId="77777777" w:rsidR="000E0395" w:rsidRPr="000E0395" w:rsidRDefault="000E0395" w:rsidP="000E0395">
      <w:pPr>
        <w:spacing w:after="160" w:line="259" w:lineRule="auto"/>
        <w:rPr>
          <w:rFonts w:ascii="Calibri" w:eastAsia="Calibri" w:hAnsi="Calibri"/>
          <w:color w:val="000000"/>
          <w:sz w:val="22"/>
          <w:szCs w:val="22"/>
        </w:rPr>
      </w:pPr>
    </w:p>
    <w:p w14:paraId="79F84671" w14:textId="77777777" w:rsidR="000E0395" w:rsidRPr="000E0395" w:rsidRDefault="000E0395" w:rsidP="000E0395">
      <w:pPr>
        <w:spacing w:after="160" w:line="259" w:lineRule="auto"/>
        <w:rPr>
          <w:rFonts w:ascii="Calibri" w:eastAsia="Calibri" w:hAnsi="Calibri"/>
          <w:color w:val="000000"/>
          <w:sz w:val="22"/>
          <w:szCs w:val="22"/>
        </w:rPr>
      </w:pPr>
    </w:p>
    <w:p w14:paraId="44B3651F"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313B2AB5"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45E2306E" w14:textId="77777777" w:rsidR="000E0395" w:rsidRPr="000E0395" w:rsidRDefault="000E0395" w:rsidP="00242F2B">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168BB2A" w14:textId="77777777" w:rsidR="000E0395" w:rsidRPr="000E0395" w:rsidRDefault="000E0395" w:rsidP="00242F2B">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Gas Furnace $100 Incentive (90% to 94%)</w:t>
      </w:r>
      <w:r w:rsidRPr="000E0395">
        <w:rPr>
          <w:rFonts w:ascii="Calibri Light" w:hAnsi="Calibri Light"/>
          <w:color w:val="2E74B5"/>
          <w:sz w:val="26"/>
          <w:szCs w:val="26"/>
        </w:rPr>
        <w:tab/>
      </w:r>
      <w:r w:rsidRPr="000E0395">
        <w:rPr>
          <w:rFonts w:ascii="Calibri Light" w:hAnsi="Calibri Light"/>
          <w:color w:val="2E74B5"/>
          <w:sz w:val="20"/>
          <w:szCs w:val="26"/>
        </w:rPr>
        <w:t>updated tier</w:t>
      </w:r>
    </w:p>
    <w:p w14:paraId="79E0ED81" w14:textId="77777777" w:rsidR="000E0395" w:rsidRPr="000E0395" w:rsidRDefault="000E0395" w:rsidP="00242F2B">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Gas Furnace $350 Incentive (</w:t>
      </w:r>
      <w:proofErr w:type="gramStart"/>
      <w:r w:rsidRPr="000E0395">
        <w:rPr>
          <w:rFonts w:ascii="Calibri Light" w:hAnsi="Calibri Light"/>
          <w:color w:val="1F4D78"/>
          <w:szCs w:val="24"/>
        </w:rPr>
        <w:t>95%</w:t>
      </w:r>
      <w:proofErr w:type="gramEnd"/>
      <w:r w:rsidRPr="000E0395">
        <w:rPr>
          <w:rFonts w:ascii="Calibri Light" w:hAnsi="Calibri Light"/>
          <w:color w:val="1F4D78"/>
          <w:szCs w:val="24"/>
        </w:rPr>
        <w: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new high efficiency tier</w:t>
      </w:r>
    </w:p>
    <w:p w14:paraId="4504775B" w14:textId="77777777" w:rsidR="000E0395" w:rsidRPr="000E0395" w:rsidRDefault="000E0395" w:rsidP="000E0395">
      <w:pPr>
        <w:rPr>
          <w:rFonts w:ascii="Calibri" w:eastAsia="Calibri" w:hAnsi="Calibri"/>
          <w:sz w:val="22"/>
          <w:szCs w:val="22"/>
        </w:rPr>
      </w:pPr>
    </w:p>
    <w:p w14:paraId="5763C3E3"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September 4, 2014</w:t>
      </w:r>
    </w:p>
    <w:p w14:paraId="295EAF89"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Blessing Memo for condensing gas furnaces in two tiers for Northwest Natural Washington Service Territory</w:t>
      </w:r>
    </w:p>
    <w:p w14:paraId="3080ECF8"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End Use</w:t>
      </w:r>
    </w:p>
    <w:p w14:paraId="5D0FA389"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Gas furnace</w:t>
      </w:r>
    </w:p>
    <w:p w14:paraId="3C019683"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Scope</w:t>
      </w:r>
    </w:p>
    <w:p w14:paraId="23F7EDF8"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Condensing furnaces in two tiers:</w:t>
      </w:r>
    </w:p>
    <w:p w14:paraId="7970F66B" w14:textId="77777777" w:rsidR="000E0395" w:rsidRPr="000E0395" w:rsidRDefault="000E0395" w:rsidP="00242F2B">
      <w:pPr>
        <w:numPr>
          <w:ilvl w:val="0"/>
          <w:numId w:val="18"/>
        </w:numPr>
        <w:spacing w:after="160" w:line="259" w:lineRule="auto"/>
        <w:ind w:left="0"/>
        <w:contextualSpacing/>
        <w:rPr>
          <w:rFonts w:ascii="Calibri" w:eastAsia="Calibri" w:hAnsi="Calibri"/>
          <w:sz w:val="22"/>
          <w:szCs w:val="22"/>
        </w:rPr>
      </w:pPr>
      <w:r w:rsidRPr="000E0395">
        <w:rPr>
          <w:rFonts w:ascii="Calibri" w:eastAsia="Calibri" w:hAnsi="Calibri"/>
          <w:sz w:val="22"/>
          <w:szCs w:val="22"/>
        </w:rPr>
        <w:t>AFUE 90%-94.9%</w:t>
      </w:r>
    </w:p>
    <w:p w14:paraId="7DAA50F7" w14:textId="77777777" w:rsidR="000E0395" w:rsidRPr="000E0395" w:rsidRDefault="000E0395" w:rsidP="00242F2B">
      <w:pPr>
        <w:numPr>
          <w:ilvl w:val="0"/>
          <w:numId w:val="18"/>
        </w:numPr>
        <w:spacing w:after="160" w:line="259" w:lineRule="auto"/>
        <w:ind w:left="0"/>
        <w:contextualSpacing/>
        <w:rPr>
          <w:rFonts w:ascii="Calibri" w:eastAsia="Calibri" w:hAnsi="Calibri"/>
          <w:sz w:val="22"/>
          <w:szCs w:val="22"/>
        </w:rPr>
      </w:pPr>
      <w:r w:rsidRPr="000E0395">
        <w:rPr>
          <w:rFonts w:ascii="Calibri" w:eastAsia="Calibri" w:hAnsi="Calibri"/>
          <w:sz w:val="22"/>
          <w:szCs w:val="22"/>
        </w:rPr>
        <w:t>AFUE 95%+</w:t>
      </w:r>
    </w:p>
    <w:p w14:paraId="09F11BBB" w14:textId="77777777" w:rsidR="000E0395" w:rsidRPr="000E0395" w:rsidRDefault="000E0395" w:rsidP="00242F2B">
      <w:pPr>
        <w:spacing w:after="160" w:line="259" w:lineRule="auto"/>
        <w:rPr>
          <w:rFonts w:ascii="Calibri" w:eastAsia="Calibri" w:hAnsi="Calibri"/>
          <w:b/>
          <w:bCs/>
          <w:sz w:val="22"/>
          <w:szCs w:val="22"/>
        </w:rPr>
      </w:pPr>
    </w:p>
    <w:p w14:paraId="01C17C20" w14:textId="77777777" w:rsidR="000E0395" w:rsidRPr="000E0395" w:rsidRDefault="000E0395" w:rsidP="00242F2B">
      <w:pPr>
        <w:spacing w:after="160" w:line="259" w:lineRule="auto"/>
        <w:rPr>
          <w:rFonts w:eastAsia="Calibri" w:cs="Arial"/>
          <w:b/>
          <w:bCs/>
          <w:sz w:val="18"/>
          <w:szCs w:val="18"/>
        </w:rPr>
      </w:pPr>
      <w:r w:rsidRPr="000E0395">
        <w:rPr>
          <w:rFonts w:ascii="Calibri" w:eastAsia="Calibri" w:hAnsi="Calibri"/>
          <w:b/>
          <w:bCs/>
          <w:sz w:val="22"/>
          <w:szCs w:val="22"/>
        </w:rPr>
        <w:t>Program</w:t>
      </w:r>
    </w:p>
    <w:p w14:paraId="76C38B06" w14:textId="77777777" w:rsidR="000E0395" w:rsidRPr="000E0395" w:rsidRDefault="000E0395" w:rsidP="00242F2B">
      <w:pPr>
        <w:spacing w:after="160" w:line="259" w:lineRule="auto"/>
        <w:rPr>
          <w:rFonts w:ascii="Calibri" w:eastAsia="Calibri" w:hAnsi="Calibri"/>
          <w:b/>
          <w:bCs/>
          <w:color w:val="C45911"/>
          <w:sz w:val="22"/>
          <w:szCs w:val="22"/>
        </w:rPr>
      </w:pPr>
      <w:r w:rsidRPr="000E0395">
        <w:rPr>
          <w:rFonts w:ascii="Calibri" w:eastAsia="Calibri" w:hAnsi="Calibri"/>
          <w:sz w:val="22"/>
          <w:szCs w:val="22"/>
        </w:rPr>
        <w:t xml:space="preserve">Based on the referenced analysis, the measure described below is “blessed” on a prospective basis for inclusion in the Home Energy Savings and Multifamily Existing Buildings programs for properties with four or fewer living units in Northwest Natural’s Washington service territory.  The building stock for multifamily properties with four or fewer living units tends to be row houses or garden style apartments of two stories or less, having separate attic spaces, and individual entrances.  For those reasons, we believe that the thermal </w:t>
      </w:r>
      <w:proofErr w:type="gramStart"/>
      <w:r w:rsidRPr="000E0395">
        <w:rPr>
          <w:rFonts w:ascii="Calibri" w:eastAsia="Calibri" w:hAnsi="Calibri"/>
          <w:sz w:val="22"/>
          <w:szCs w:val="22"/>
        </w:rPr>
        <w:t>properties for this subsector of the multifamily market is</w:t>
      </w:r>
      <w:proofErr w:type="gramEnd"/>
      <w:r w:rsidRPr="000E0395">
        <w:rPr>
          <w:rFonts w:ascii="Calibri" w:eastAsia="Calibri" w:hAnsi="Calibri"/>
          <w:sz w:val="22"/>
          <w:szCs w:val="22"/>
        </w:rPr>
        <w:t xml:space="preserve"> largely similar to detached single family homes in Washington.  Furnaces in renter occupied properties in Oregon and Savings Within Reach are expected to have higher savings and are blessed separately, as the housing stock for Clark County, Washington is newer.</w:t>
      </w:r>
    </w:p>
    <w:p w14:paraId="46B95640"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b/>
          <w:bCs/>
          <w:sz w:val="22"/>
          <w:szCs w:val="22"/>
        </w:rPr>
        <w:t xml:space="preserve">Description of the Measure </w:t>
      </w:r>
    </w:p>
    <w:p w14:paraId="4F2EA366" w14:textId="77777777" w:rsidR="000E0395" w:rsidRPr="000E0395" w:rsidRDefault="000E0395" w:rsidP="00242F2B">
      <w:pPr>
        <w:autoSpaceDE w:val="0"/>
        <w:autoSpaceDN w:val="0"/>
        <w:spacing w:after="160" w:line="259" w:lineRule="auto"/>
        <w:rPr>
          <w:rFonts w:ascii="Calibri" w:eastAsia="Calibri" w:hAnsi="Calibri"/>
          <w:i/>
          <w:iCs/>
          <w:sz w:val="22"/>
          <w:szCs w:val="22"/>
        </w:rPr>
      </w:pPr>
      <w:r w:rsidRPr="000E0395">
        <w:rPr>
          <w:rFonts w:ascii="Calibri" w:eastAsia="Calibri" w:hAnsi="Calibri"/>
          <w:sz w:val="22"/>
          <w:szCs w:val="22"/>
        </w:rPr>
        <w:t>AFUE 90%+ gas furnaces operate in the condensing range, transferring more of the heat available in the moisture vapor in the exhaust gases to the circulating warm air.</w:t>
      </w:r>
    </w:p>
    <w:p w14:paraId="4B3F6B34"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b/>
          <w:bCs/>
          <w:sz w:val="22"/>
          <w:szCs w:val="22"/>
        </w:rPr>
        <w:t xml:space="preserve">Purpose of Evaluating Measure </w:t>
      </w:r>
    </w:p>
    <w:p w14:paraId="5B0079FD"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t>This memo defines gas savings and maximum incentive for two furnace efficiency tiers in Northwest Natural Washington service territory.</w:t>
      </w:r>
    </w:p>
    <w:p w14:paraId="3C54BF6B"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Program Requirements</w:t>
      </w:r>
    </w:p>
    <w:p w14:paraId="1A4043EA"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Condensing gas furnace installations must have a minimum AFUE of 90% and be located within Northwest Natural Washington service territory.</w:t>
      </w:r>
    </w:p>
    <w:p w14:paraId="2E7A2BE5" w14:textId="77777777" w:rsidR="000E0395" w:rsidRPr="000E0395" w:rsidRDefault="000E0395" w:rsidP="00242F2B">
      <w:pPr>
        <w:autoSpaceDE w:val="0"/>
        <w:autoSpaceDN w:val="0"/>
        <w:spacing w:after="160" w:line="259" w:lineRule="auto"/>
        <w:rPr>
          <w:rFonts w:ascii="Calibri" w:eastAsia="Calibri" w:hAnsi="Calibri"/>
          <w:i/>
          <w:iCs/>
          <w:sz w:val="22"/>
          <w:szCs w:val="22"/>
        </w:rPr>
      </w:pPr>
    </w:p>
    <w:tbl>
      <w:tblPr>
        <w:tblW w:w="10000" w:type="dxa"/>
        <w:tblInd w:w="108" w:type="dxa"/>
        <w:tblCellMar>
          <w:left w:w="0" w:type="dxa"/>
          <w:right w:w="0" w:type="dxa"/>
        </w:tblCellMar>
        <w:tblLook w:val="04A0" w:firstRow="1" w:lastRow="0" w:firstColumn="1" w:lastColumn="0" w:noHBand="0" w:noVBand="1"/>
      </w:tblPr>
      <w:tblGrid>
        <w:gridCol w:w="1248"/>
        <w:gridCol w:w="1589"/>
        <w:gridCol w:w="954"/>
        <w:gridCol w:w="795"/>
        <w:gridCol w:w="1182"/>
        <w:gridCol w:w="967"/>
        <w:gridCol w:w="967"/>
        <w:gridCol w:w="1149"/>
        <w:gridCol w:w="1149"/>
      </w:tblGrid>
      <w:tr w:rsidR="000E0395" w:rsidRPr="000E0395" w14:paraId="535C690A" w14:textId="77777777" w:rsidTr="00242F2B">
        <w:trPr>
          <w:trHeight w:val="1050"/>
        </w:trPr>
        <w:tc>
          <w:tcPr>
            <w:tcW w:w="1248"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bottom"/>
            <w:hideMark/>
          </w:tcPr>
          <w:p w14:paraId="1FF2B966"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lastRenderedPageBreak/>
              <w:t xml:space="preserve">Project </w:t>
            </w:r>
          </w:p>
        </w:tc>
        <w:tc>
          <w:tcPr>
            <w:tcW w:w="158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3DBF434A" w14:textId="77777777" w:rsidR="000E0395" w:rsidRPr="000E0395" w:rsidRDefault="000E0395" w:rsidP="00242F2B">
            <w:pPr>
              <w:spacing w:after="160" w:line="259" w:lineRule="auto"/>
              <w:jc w:val="center"/>
              <w:rPr>
                <w:rFonts w:eastAsia="Calibri" w:cs="Arial"/>
                <w:b/>
                <w:bCs/>
                <w:sz w:val="22"/>
                <w:szCs w:val="22"/>
              </w:rPr>
            </w:pPr>
            <w:r w:rsidRPr="000E0395">
              <w:rPr>
                <w:rFonts w:ascii="Calibri" w:eastAsia="Calibri" w:hAnsi="Calibri"/>
                <w:b/>
                <w:bCs/>
                <w:sz w:val="22"/>
                <w:szCs w:val="22"/>
              </w:rPr>
              <w:t xml:space="preserve">Measure Lifetime (Maximum   70 </w:t>
            </w:r>
            <w:proofErr w:type="spellStart"/>
            <w:r w:rsidRPr="000E0395">
              <w:rPr>
                <w:rFonts w:ascii="Calibri" w:eastAsia="Calibri" w:hAnsi="Calibri"/>
                <w:b/>
                <w:bCs/>
                <w:sz w:val="22"/>
                <w:szCs w:val="22"/>
              </w:rPr>
              <w:t>yrs</w:t>
            </w:r>
            <w:proofErr w:type="spellEnd"/>
            <w:r w:rsidRPr="000E0395">
              <w:rPr>
                <w:rFonts w:ascii="Calibri" w:eastAsia="Calibri" w:hAnsi="Calibri"/>
                <w:b/>
                <w:bCs/>
                <w:sz w:val="22"/>
                <w:szCs w:val="22"/>
              </w:rPr>
              <w:t>)</w:t>
            </w:r>
          </w:p>
        </w:tc>
        <w:tc>
          <w:tcPr>
            <w:tcW w:w="954"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6D85416D"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Annual Gas Savings, therm</w:t>
            </w:r>
          </w:p>
        </w:tc>
        <w:tc>
          <w:tcPr>
            <w:tcW w:w="795"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2C2BE0BE"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Total Cost</w:t>
            </w:r>
          </w:p>
        </w:tc>
        <w:tc>
          <w:tcPr>
            <w:tcW w:w="1182"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bottom"/>
            <w:hideMark/>
          </w:tcPr>
          <w:p w14:paraId="2A59B350"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Max ETO Incentives</w:t>
            </w:r>
          </w:p>
        </w:tc>
        <w:tc>
          <w:tcPr>
            <w:tcW w:w="967" w:type="dxa"/>
            <w:tcBorders>
              <w:top w:val="double" w:sz="6" w:space="0" w:color="auto"/>
              <w:left w:val="nil"/>
              <w:bottom w:val="single" w:sz="8" w:space="0" w:color="auto"/>
              <w:right w:val="nil"/>
            </w:tcBorders>
            <w:shd w:val="clear" w:color="auto" w:fill="FFCC00"/>
            <w:tcMar>
              <w:top w:w="0" w:type="dxa"/>
              <w:left w:w="108" w:type="dxa"/>
              <w:bottom w:w="0" w:type="dxa"/>
              <w:right w:w="108" w:type="dxa"/>
            </w:tcMar>
            <w:vAlign w:val="bottom"/>
            <w:hideMark/>
          </w:tcPr>
          <w:p w14:paraId="4E40D92E"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Utility System PV of Benefits</w:t>
            </w:r>
          </w:p>
        </w:tc>
        <w:tc>
          <w:tcPr>
            <w:tcW w:w="967" w:type="dxa"/>
            <w:tcBorders>
              <w:top w:val="double" w:sz="6" w:space="0" w:color="auto"/>
              <w:left w:val="single" w:sz="8" w:space="0" w:color="auto"/>
              <w:bottom w:val="single" w:sz="8" w:space="0" w:color="auto"/>
              <w:right w:val="double" w:sz="6" w:space="0" w:color="auto"/>
            </w:tcBorders>
            <w:shd w:val="clear" w:color="auto" w:fill="FFCC00"/>
            <w:tcMar>
              <w:top w:w="0" w:type="dxa"/>
              <w:left w:w="108" w:type="dxa"/>
              <w:bottom w:w="0" w:type="dxa"/>
              <w:right w:w="108" w:type="dxa"/>
            </w:tcMar>
            <w:vAlign w:val="bottom"/>
            <w:hideMark/>
          </w:tcPr>
          <w:p w14:paraId="28D8A0BD"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Societal PV of Benefits</w:t>
            </w:r>
          </w:p>
        </w:tc>
        <w:tc>
          <w:tcPr>
            <w:tcW w:w="1149" w:type="dxa"/>
            <w:tcBorders>
              <w:top w:val="double" w:sz="6" w:space="0" w:color="auto"/>
              <w:left w:val="nil"/>
              <w:bottom w:val="single" w:sz="8" w:space="0" w:color="auto"/>
              <w:right w:val="nil"/>
            </w:tcBorders>
            <w:shd w:val="clear" w:color="auto" w:fill="FF99CC"/>
            <w:tcMar>
              <w:top w:w="0" w:type="dxa"/>
              <w:left w:w="108" w:type="dxa"/>
              <w:bottom w:w="0" w:type="dxa"/>
              <w:right w:w="108" w:type="dxa"/>
            </w:tcMar>
            <w:vAlign w:val="bottom"/>
            <w:hideMark/>
          </w:tcPr>
          <w:p w14:paraId="199B4323"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Combined Utility System BCR</w:t>
            </w:r>
          </w:p>
        </w:tc>
        <w:tc>
          <w:tcPr>
            <w:tcW w:w="1149" w:type="dxa"/>
            <w:tcBorders>
              <w:top w:val="double" w:sz="6" w:space="0" w:color="auto"/>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bottom"/>
            <w:hideMark/>
          </w:tcPr>
          <w:p w14:paraId="746B4C56"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Combined Societal BCR</w:t>
            </w:r>
          </w:p>
        </w:tc>
      </w:tr>
      <w:tr w:rsidR="000E0395" w:rsidRPr="000E0395" w14:paraId="4530F968" w14:textId="77777777" w:rsidTr="00242F2B">
        <w:trPr>
          <w:trHeight w:val="510"/>
        </w:trPr>
        <w:tc>
          <w:tcPr>
            <w:tcW w:w="1248"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B3690C2"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90-94.9% AFUE gas furnace</w:t>
            </w:r>
          </w:p>
        </w:tc>
        <w:tc>
          <w:tcPr>
            <w:tcW w:w="158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75C1A13"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25</w:t>
            </w:r>
          </w:p>
        </w:tc>
        <w:tc>
          <w:tcPr>
            <w:tcW w:w="95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3611C33"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60.7</w:t>
            </w:r>
          </w:p>
        </w:tc>
        <w:tc>
          <w:tcPr>
            <w:tcW w:w="795"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F83AD6F"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 xml:space="preserve">$500 </w:t>
            </w:r>
          </w:p>
        </w:tc>
        <w:tc>
          <w:tcPr>
            <w:tcW w:w="1182"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9A18484"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 xml:space="preserve">$424 </w:t>
            </w:r>
          </w:p>
        </w:tc>
        <w:tc>
          <w:tcPr>
            <w:tcW w:w="967" w:type="dxa"/>
            <w:tcBorders>
              <w:top w:val="nil"/>
              <w:left w:val="nil"/>
              <w:bottom w:val="single" w:sz="8" w:space="0" w:color="auto"/>
              <w:right w:val="nil"/>
            </w:tcBorders>
            <w:shd w:val="clear" w:color="auto" w:fill="FFCC00"/>
            <w:tcMar>
              <w:top w:w="0" w:type="dxa"/>
              <w:left w:w="108" w:type="dxa"/>
              <w:bottom w:w="0" w:type="dxa"/>
              <w:right w:w="108" w:type="dxa"/>
            </w:tcMar>
            <w:vAlign w:val="center"/>
            <w:hideMark/>
          </w:tcPr>
          <w:p w14:paraId="4465AC45"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$424</w:t>
            </w:r>
          </w:p>
        </w:tc>
        <w:tc>
          <w:tcPr>
            <w:tcW w:w="967" w:type="dxa"/>
            <w:tcBorders>
              <w:top w:val="nil"/>
              <w:left w:val="single" w:sz="8" w:space="0" w:color="auto"/>
              <w:bottom w:val="single" w:sz="8" w:space="0" w:color="auto"/>
              <w:right w:val="double" w:sz="6" w:space="0" w:color="auto"/>
            </w:tcBorders>
            <w:shd w:val="clear" w:color="auto" w:fill="FFCC00"/>
            <w:tcMar>
              <w:top w:w="0" w:type="dxa"/>
              <w:left w:w="108" w:type="dxa"/>
              <w:bottom w:w="0" w:type="dxa"/>
              <w:right w:w="108" w:type="dxa"/>
            </w:tcMar>
            <w:vAlign w:val="center"/>
            <w:hideMark/>
          </w:tcPr>
          <w:p w14:paraId="0B8EB7B3"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$424</w:t>
            </w:r>
          </w:p>
        </w:tc>
        <w:tc>
          <w:tcPr>
            <w:tcW w:w="1149"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7D29FF54"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1.00</w:t>
            </w:r>
          </w:p>
        </w:tc>
        <w:tc>
          <w:tcPr>
            <w:tcW w:w="1149" w:type="dxa"/>
            <w:tcBorders>
              <w:top w:val="nil"/>
              <w:left w:val="single" w:sz="8" w:space="0" w:color="auto"/>
              <w:bottom w:val="single" w:sz="8" w:space="0" w:color="auto"/>
              <w:right w:val="double" w:sz="6" w:space="0" w:color="auto"/>
            </w:tcBorders>
            <w:shd w:val="clear" w:color="auto" w:fill="FF0000"/>
            <w:tcMar>
              <w:top w:w="0" w:type="dxa"/>
              <w:left w:w="108" w:type="dxa"/>
              <w:bottom w:w="0" w:type="dxa"/>
              <w:right w:w="108" w:type="dxa"/>
            </w:tcMar>
            <w:vAlign w:val="center"/>
            <w:hideMark/>
          </w:tcPr>
          <w:p w14:paraId="4F352749" w14:textId="77777777" w:rsidR="000E0395" w:rsidRPr="000E0395" w:rsidRDefault="000E0395" w:rsidP="00242F2B">
            <w:pPr>
              <w:spacing w:after="160" w:line="259" w:lineRule="auto"/>
              <w:jc w:val="center"/>
              <w:rPr>
                <w:rFonts w:ascii="Calibri" w:eastAsia="Calibri" w:hAnsi="Calibri"/>
                <w:b/>
                <w:bCs/>
                <w:color w:val="FFFFFF"/>
                <w:sz w:val="22"/>
                <w:szCs w:val="22"/>
              </w:rPr>
            </w:pPr>
            <w:r w:rsidRPr="000E0395">
              <w:rPr>
                <w:rFonts w:ascii="Calibri" w:eastAsia="Calibri" w:hAnsi="Calibri"/>
                <w:b/>
                <w:bCs/>
                <w:color w:val="FFFFFF"/>
                <w:sz w:val="22"/>
                <w:szCs w:val="22"/>
              </w:rPr>
              <w:t>0.8</w:t>
            </w:r>
          </w:p>
        </w:tc>
      </w:tr>
      <w:tr w:rsidR="000E0395" w:rsidRPr="000E0395" w14:paraId="0CE0B72B" w14:textId="77777777" w:rsidTr="00242F2B">
        <w:trPr>
          <w:trHeight w:val="510"/>
        </w:trPr>
        <w:tc>
          <w:tcPr>
            <w:tcW w:w="1248"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2DCD51D"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95%+ AFUE gas furnace</w:t>
            </w:r>
          </w:p>
        </w:tc>
        <w:tc>
          <w:tcPr>
            <w:tcW w:w="158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CE87434"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25</w:t>
            </w:r>
          </w:p>
        </w:tc>
        <w:tc>
          <w:tcPr>
            <w:tcW w:w="95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CBED15A"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80.7</w:t>
            </w:r>
          </w:p>
        </w:tc>
        <w:tc>
          <w:tcPr>
            <w:tcW w:w="795"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7227AA"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 xml:space="preserve">$950 </w:t>
            </w:r>
          </w:p>
        </w:tc>
        <w:tc>
          <w:tcPr>
            <w:tcW w:w="1182"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968608D"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color w:val="000000"/>
                <w:sz w:val="22"/>
                <w:szCs w:val="22"/>
              </w:rPr>
              <w:t xml:space="preserve">$563 </w:t>
            </w:r>
          </w:p>
        </w:tc>
        <w:tc>
          <w:tcPr>
            <w:tcW w:w="967" w:type="dxa"/>
            <w:tcBorders>
              <w:top w:val="nil"/>
              <w:left w:val="nil"/>
              <w:bottom w:val="single" w:sz="8" w:space="0" w:color="auto"/>
              <w:right w:val="nil"/>
            </w:tcBorders>
            <w:shd w:val="clear" w:color="auto" w:fill="FFCC00"/>
            <w:tcMar>
              <w:top w:w="0" w:type="dxa"/>
              <w:left w:w="108" w:type="dxa"/>
              <w:bottom w:w="0" w:type="dxa"/>
              <w:right w:w="108" w:type="dxa"/>
            </w:tcMar>
            <w:vAlign w:val="center"/>
            <w:hideMark/>
          </w:tcPr>
          <w:p w14:paraId="444CD91D"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$563</w:t>
            </w:r>
          </w:p>
        </w:tc>
        <w:tc>
          <w:tcPr>
            <w:tcW w:w="967" w:type="dxa"/>
            <w:tcBorders>
              <w:top w:val="nil"/>
              <w:left w:val="single" w:sz="8" w:space="0" w:color="auto"/>
              <w:bottom w:val="single" w:sz="8" w:space="0" w:color="auto"/>
              <w:right w:val="double" w:sz="6" w:space="0" w:color="auto"/>
            </w:tcBorders>
            <w:shd w:val="clear" w:color="auto" w:fill="FFCC00"/>
            <w:tcMar>
              <w:top w:w="0" w:type="dxa"/>
              <w:left w:w="108" w:type="dxa"/>
              <w:bottom w:w="0" w:type="dxa"/>
              <w:right w:w="108" w:type="dxa"/>
            </w:tcMar>
            <w:vAlign w:val="center"/>
            <w:hideMark/>
          </w:tcPr>
          <w:p w14:paraId="533209D9"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$563</w:t>
            </w:r>
          </w:p>
        </w:tc>
        <w:tc>
          <w:tcPr>
            <w:tcW w:w="1149"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1B09B48" w14:textId="77777777" w:rsidR="000E0395" w:rsidRPr="000E0395" w:rsidRDefault="000E0395" w:rsidP="00242F2B">
            <w:pPr>
              <w:spacing w:after="160" w:line="259" w:lineRule="auto"/>
              <w:jc w:val="center"/>
              <w:rPr>
                <w:rFonts w:ascii="Calibri" w:eastAsia="Calibri" w:hAnsi="Calibri"/>
                <w:b/>
                <w:bCs/>
                <w:sz w:val="22"/>
                <w:szCs w:val="22"/>
              </w:rPr>
            </w:pPr>
            <w:r w:rsidRPr="000E0395">
              <w:rPr>
                <w:rFonts w:ascii="Calibri" w:eastAsia="Calibri" w:hAnsi="Calibri"/>
                <w:b/>
                <w:bCs/>
                <w:sz w:val="22"/>
                <w:szCs w:val="22"/>
              </w:rPr>
              <w:t>1.00</w:t>
            </w:r>
          </w:p>
        </w:tc>
        <w:tc>
          <w:tcPr>
            <w:tcW w:w="1149" w:type="dxa"/>
            <w:tcBorders>
              <w:top w:val="nil"/>
              <w:left w:val="single" w:sz="8" w:space="0" w:color="auto"/>
              <w:bottom w:val="single" w:sz="8" w:space="0" w:color="auto"/>
              <w:right w:val="double" w:sz="6" w:space="0" w:color="auto"/>
            </w:tcBorders>
            <w:shd w:val="clear" w:color="auto" w:fill="FF0000"/>
            <w:tcMar>
              <w:top w:w="0" w:type="dxa"/>
              <w:left w:w="108" w:type="dxa"/>
              <w:bottom w:w="0" w:type="dxa"/>
              <w:right w:w="108" w:type="dxa"/>
            </w:tcMar>
            <w:vAlign w:val="center"/>
            <w:hideMark/>
          </w:tcPr>
          <w:p w14:paraId="2F41DDA4" w14:textId="77777777" w:rsidR="000E0395" w:rsidRPr="000E0395" w:rsidRDefault="000E0395" w:rsidP="00242F2B">
            <w:pPr>
              <w:spacing w:after="160" w:line="259" w:lineRule="auto"/>
              <w:jc w:val="center"/>
              <w:rPr>
                <w:rFonts w:ascii="Calibri" w:eastAsia="Calibri" w:hAnsi="Calibri"/>
                <w:b/>
                <w:bCs/>
                <w:color w:val="FFFFFF"/>
                <w:sz w:val="22"/>
                <w:szCs w:val="22"/>
              </w:rPr>
            </w:pPr>
            <w:r w:rsidRPr="000E0395">
              <w:rPr>
                <w:rFonts w:ascii="Calibri" w:eastAsia="Calibri" w:hAnsi="Calibri"/>
                <w:b/>
                <w:bCs/>
                <w:color w:val="FFFFFF"/>
                <w:sz w:val="22"/>
                <w:szCs w:val="22"/>
              </w:rPr>
              <w:t>0.6</w:t>
            </w:r>
          </w:p>
        </w:tc>
      </w:tr>
    </w:tbl>
    <w:p w14:paraId="23DFB740" w14:textId="77777777" w:rsidR="000E0395" w:rsidRPr="000E0395" w:rsidRDefault="000E0395" w:rsidP="00242F2B">
      <w:pPr>
        <w:autoSpaceDE w:val="0"/>
        <w:autoSpaceDN w:val="0"/>
        <w:spacing w:after="160" w:line="259" w:lineRule="auto"/>
        <w:rPr>
          <w:rFonts w:eastAsia="Calibri" w:cs="Arial"/>
          <w:i/>
          <w:iCs/>
          <w:sz w:val="18"/>
          <w:szCs w:val="18"/>
        </w:rPr>
      </w:pPr>
    </w:p>
    <w:p w14:paraId="5885E8CA" w14:textId="77777777" w:rsidR="000E0395" w:rsidRPr="000E0395" w:rsidRDefault="000E0395" w:rsidP="00242F2B">
      <w:pPr>
        <w:autoSpaceDE w:val="0"/>
        <w:autoSpaceDN w:val="0"/>
        <w:spacing w:after="160" w:line="259" w:lineRule="auto"/>
        <w:rPr>
          <w:rFonts w:ascii="Calibri" w:eastAsia="Calibri" w:hAnsi="Calibri"/>
          <w:b/>
          <w:bCs/>
          <w:sz w:val="22"/>
          <w:szCs w:val="22"/>
        </w:rPr>
      </w:pPr>
      <w:r w:rsidRPr="000E0395">
        <w:rPr>
          <w:rFonts w:ascii="Calibri" w:eastAsia="Calibri" w:hAnsi="Calibri"/>
          <w:b/>
          <w:bCs/>
          <w:sz w:val="22"/>
          <w:szCs w:val="22"/>
        </w:rPr>
        <w:t>Note: this table uses 2015 avoided costs</w:t>
      </w:r>
    </w:p>
    <w:p w14:paraId="244085B8" w14:textId="77777777" w:rsidR="000E0395" w:rsidRPr="000E0395" w:rsidRDefault="000E0395" w:rsidP="00242F2B">
      <w:pPr>
        <w:autoSpaceDE w:val="0"/>
        <w:autoSpaceDN w:val="0"/>
        <w:spacing w:after="160" w:line="259" w:lineRule="auto"/>
        <w:rPr>
          <w:rFonts w:eastAsia="Calibri" w:cs="Arial"/>
          <w:sz w:val="18"/>
          <w:szCs w:val="18"/>
        </w:rPr>
      </w:pPr>
      <w:r w:rsidRPr="000E0395">
        <w:rPr>
          <w:rFonts w:ascii="Calibri" w:eastAsia="Calibri" w:hAnsi="Calibri"/>
          <w:b/>
          <w:bCs/>
          <w:sz w:val="22"/>
          <w:szCs w:val="22"/>
        </w:rPr>
        <w:t xml:space="preserve">Measure Analysis </w:t>
      </w:r>
    </w:p>
    <w:p w14:paraId="5A56B2BE" w14:textId="77777777" w:rsidR="000E0395" w:rsidRPr="000E0395" w:rsidRDefault="000E0395" w:rsidP="00242F2B">
      <w:pPr>
        <w:autoSpaceDE w:val="0"/>
        <w:autoSpaceDN w:val="0"/>
        <w:spacing w:after="160" w:line="259" w:lineRule="auto"/>
        <w:rPr>
          <w:rFonts w:ascii="Calibri" w:eastAsia="Calibri" w:hAnsi="Calibri"/>
          <w:b/>
          <w:bCs/>
          <w:sz w:val="22"/>
          <w:szCs w:val="22"/>
        </w:rPr>
      </w:pPr>
      <w:r w:rsidRPr="000E0395">
        <w:rPr>
          <w:rFonts w:ascii="Calibri" w:eastAsia="Calibri" w:hAnsi="Calibri"/>
          <w:sz w:val="22"/>
          <w:szCs w:val="22"/>
        </w:rPr>
        <w:t>Annual savings for 90%+ AFUE condensing gas furnaces range from 65 to 78 therms, with an average of 71 therms, based on the 2006-2009 impact evaluation estimates for the Oregon program.</w:t>
      </w:r>
    </w:p>
    <w:p w14:paraId="4B140721" w14:textId="77777777" w:rsidR="000E0395" w:rsidRPr="000E0395" w:rsidRDefault="000E0395" w:rsidP="00242F2B">
      <w:pPr>
        <w:autoSpaceDE w:val="0"/>
        <w:autoSpaceDN w:val="0"/>
        <w:spacing w:after="160" w:line="259" w:lineRule="auto"/>
        <w:rPr>
          <w:rFonts w:ascii="Calibri" w:eastAsia="Calibri" w:hAnsi="Calibri"/>
          <w:sz w:val="18"/>
          <w:szCs w:val="18"/>
        </w:rPr>
      </w:pPr>
      <w:r w:rsidRPr="000E0395">
        <w:rPr>
          <w:rFonts w:ascii="Calibri" w:eastAsia="Calibri" w:hAnsi="Calibri"/>
          <w:sz w:val="22"/>
          <w:szCs w:val="22"/>
        </w:rPr>
        <w:t>This memo uses the multiple variable model estimates assuming that it more closely resembles potential load reductions from a newer housing stock in NW Natural Washington service territory.  The model includes interactive effects from multiple measure installation, which diminish the per measure savings due to reduction in overall gas usage from such measures as weatherization.</w:t>
      </w:r>
    </w:p>
    <w:p w14:paraId="5A624A3D"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 xml:space="preserve">Savings </w:t>
      </w:r>
    </w:p>
    <w:p w14:paraId="07C6EA6B"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Based on these findings, furnace savings in existing single family dwellings can be estimated using the following equation:</w:t>
      </w:r>
    </w:p>
    <w:p w14:paraId="751BBFB1" w14:textId="77777777" w:rsidR="000E0395" w:rsidRPr="000E0395" w:rsidRDefault="000E0395" w:rsidP="00242F2B">
      <w:pPr>
        <w:rPr>
          <w:rFonts w:ascii="Calibri" w:eastAsia="Calibri" w:hAnsi="Calibri"/>
          <w:i/>
          <w:iCs/>
          <w:sz w:val="22"/>
          <w:szCs w:val="22"/>
        </w:rPr>
      </w:pPr>
      <w:r w:rsidRPr="000E0395">
        <w:rPr>
          <w:rFonts w:ascii="Calibri" w:eastAsia="Calibri" w:hAnsi="Calibri"/>
          <w:i/>
          <w:iCs/>
          <w:sz w:val="22"/>
          <w:szCs w:val="22"/>
        </w:rPr>
        <w:t>Estimated multiple variable therm savings = (Efficient AFUE – 80% Baseline) * 5.14</w:t>
      </w:r>
    </w:p>
    <w:p w14:paraId="4495EBAD" w14:textId="77777777" w:rsidR="000E0395" w:rsidRPr="000E0395" w:rsidRDefault="000E0395" w:rsidP="00242F2B">
      <w:pPr>
        <w:spacing w:after="160" w:line="259" w:lineRule="auto"/>
        <w:rPr>
          <w:rFonts w:ascii="Calibri" w:eastAsia="Calibri" w:hAnsi="Calibri"/>
          <w:b/>
          <w:bCs/>
          <w:sz w:val="18"/>
          <w:szCs w:val="18"/>
        </w:rPr>
      </w:pPr>
      <w:r w:rsidRPr="000E0395">
        <w:rPr>
          <w:rFonts w:ascii="Calibri" w:eastAsia="Calibri" w:hAnsi="Calibri"/>
          <w:b/>
          <w:bCs/>
          <w:sz w:val="22"/>
          <w:szCs w:val="22"/>
        </w:rPr>
        <w:t>Northwest Natural Washington 2012-April 2014 incented gas furnace installation AFUE and estimated savings</w:t>
      </w:r>
    </w:p>
    <w:tbl>
      <w:tblPr>
        <w:tblW w:w="6765" w:type="dxa"/>
        <w:tblInd w:w="813" w:type="dxa"/>
        <w:tblCellMar>
          <w:left w:w="0" w:type="dxa"/>
          <w:right w:w="0" w:type="dxa"/>
        </w:tblCellMar>
        <w:tblLook w:val="04A0" w:firstRow="1" w:lastRow="0" w:firstColumn="1" w:lastColumn="0" w:noHBand="0" w:noVBand="1"/>
      </w:tblPr>
      <w:tblGrid>
        <w:gridCol w:w="2175"/>
        <w:gridCol w:w="2340"/>
        <w:gridCol w:w="2250"/>
      </w:tblGrid>
      <w:tr w:rsidR="000E0395" w:rsidRPr="000E0395" w14:paraId="38833DB7" w14:textId="77777777" w:rsidTr="000E0395">
        <w:trPr>
          <w:trHeight w:val="538"/>
        </w:trPr>
        <w:tc>
          <w:tcPr>
            <w:tcW w:w="2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F27C9" w14:textId="77777777" w:rsidR="000E0395" w:rsidRPr="000E0395" w:rsidRDefault="000E0395" w:rsidP="00242F2B">
            <w:pPr>
              <w:spacing w:after="160" w:line="259" w:lineRule="auto"/>
              <w:rPr>
                <w:rFonts w:eastAsia="Calibri" w:cs="Arial"/>
                <w:b/>
                <w:bCs/>
                <w:color w:val="000000"/>
                <w:sz w:val="22"/>
                <w:szCs w:val="22"/>
              </w:rPr>
            </w:pPr>
            <w:r w:rsidRPr="000E0395">
              <w:rPr>
                <w:rFonts w:ascii="Calibri" w:eastAsia="Calibri" w:hAnsi="Calibri"/>
                <w:b/>
                <w:bCs/>
                <w:color w:val="000000"/>
                <w:sz w:val="22"/>
                <w:szCs w:val="22"/>
              </w:rPr>
              <w:t>Furnace efficiency tier</w:t>
            </w:r>
          </w:p>
        </w:tc>
        <w:tc>
          <w:tcPr>
            <w:tcW w:w="23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261EFE" w14:textId="77777777" w:rsidR="000E0395" w:rsidRPr="000E0395" w:rsidRDefault="000E0395" w:rsidP="00242F2B">
            <w:pPr>
              <w:spacing w:after="160" w:line="259" w:lineRule="auto"/>
              <w:rPr>
                <w:rFonts w:ascii="Calibri" w:eastAsia="Calibri" w:hAnsi="Calibri"/>
                <w:b/>
                <w:bCs/>
                <w:color w:val="000000"/>
                <w:sz w:val="18"/>
                <w:szCs w:val="18"/>
              </w:rPr>
            </w:pPr>
            <w:r w:rsidRPr="000E0395">
              <w:rPr>
                <w:rFonts w:ascii="Calibri" w:eastAsia="Calibri" w:hAnsi="Calibri"/>
                <w:b/>
                <w:bCs/>
                <w:color w:val="000000"/>
                <w:sz w:val="22"/>
                <w:szCs w:val="22"/>
              </w:rPr>
              <w:t>Weighted average AFUE</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7FA900" w14:textId="77777777" w:rsidR="000E0395" w:rsidRPr="000E0395" w:rsidRDefault="000E0395" w:rsidP="00242F2B">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Therm savings relative to baseline</w:t>
            </w:r>
          </w:p>
        </w:tc>
      </w:tr>
      <w:tr w:rsidR="000E0395" w:rsidRPr="000E0395" w14:paraId="1CB67EB1" w14:textId="77777777" w:rsidTr="000E0395">
        <w:trPr>
          <w:trHeight w:val="315"/>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71B8" w14:textId="77777777" w:rsidR="000E0395" w:rsidRPr="000E0395" w:rsidRDefault="000E0395" w:rsidP="00242F2B">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AFUE 90% to 94.9%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8E6A53" w14:textId="77777777" w:rsidR="000E0395" w:rsidRPr="000E0395" w:rsidRDefault="000E0395" w:rsidP="00242F2B">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91.8%</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1BAC2" w14:textId="77777777" w:rsidR="000E0395" w:rsidRPr="000E0395" w:rsidRDefault="000E0395" w:rsidP="00242F2B">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 xml:space="preserve">                             60.7 </w:t>
            </w:r>
          </w:p>
        </w:tc>
      </w:tr>
      <w:tr w:rsidR="000E0395" w:rsidRPr="000E0395" w14:paraId="29E83AAC" w14:textId="77777777" w:rsidTr="000E0395">
        <w:trPr>
          <w:trHeight w:val="315"/>
        </w:trPr>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71A74" w14:textId="77777777" w:rsidR="000E0395" w:rsidRPr="000E0395" w:rsidRDefault="000E0395" w:rsidP="00242F2B">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AFUE 95%+</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2E98ED" w14:textId="77777777" w:rsidR="000E0395" w:rsidRPr="000E0395" w:rsidRDefault="000E0395" w:rsidP="00242F2B">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95.7%</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D8C31" w14:textId="77777777" w:rsidR="000E0395" w:rsidRPr="000E0395" w:rsidRDefault="000E0395" w:rsidP="00242F2B">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                             80.7</w:t>
            </w:r>
          </w:p>
        </w:tc>
      </w:tr>
    </w:tbl>
    <w:p w14:paraId="4D1FB086" w14:textId="77777777" w:rsidR="000E0395" w:rsidRPr="000E0395" w:rsidRDefault="000E0395" w:rsidP="00242F2B">
      <w:pPr>
        <w:autoSpaceDE w:val="0"/>
        <w:autoSpaceDN w:val="0"/>
        <w:spacing w:after="160" w:line="259" w:lineRule="auto"/>
        <w:rPr>
          <w:rFonts w:ascii="Calibri" w:eastAsia="Calibri" w:hAnsi="Calibri"/>
          <w:b/>
          <w:bCs/>
          <w:sz w:val="18"/>
          <w:szCs w:val="18"/>
        </w:rPr>
      </w:pPr>
    </w:p>
    <w:p w14:paraId="53C3EEED" w14:textId="77777777" w:rsidR="000E0395" w:rsidRPr="000E0395" w:rsidRDefault="000E0395" w:rsidP="00242F2B">
      <w:pPr>
        <w:autoSpaceDE w:val="0"/>
        <w:autoSpaceDN w:val="0"/>
        <w:spacing w:after="160" w:line="259" w:lineRule="auto"/>
        <w:rPr>
          <w:rFonts w:eastAsia="Calibri" w:cs="Arial"/>
          <w:sz w:val="22"/>
          <w:szCs w:val="22"/>
        </w:rPr>
      </w:pPr>
      <w:r w:rsidRPr="000E0395">
        <w:rPr>
          <w:rFonts w:ascii="Calibri" w:eastAsia="Calibri" w:hAnsi="Calibri"/>
          <w:b/>
          <w:bCs/>
          <w:sz w:val="22"/>
          <w:szCs w:val="22"/>
        </w:rPr>
        <w:t xml:space="preserve">Savings, Economics and Incentives </w:t>
      </w:r>
    </w:p>
    <w:p w14:paraId="1EB1E9AB" w14:textId="77777777" w:rsidR="000E0395" w:rsidRPr="000E0395" w:rsidRDefault="000E0395" w:rsidP="00242F2B">
      <w:pPr>
        <w:autoSpaceDE w:val="0"/>
        <w:autoSpaceDN w:val="0"/>
        <w:spacing w:after="160" w:line="259" w:lineRule="auto"/>
        <w:rPr>
          <w:rFonts w:ascii="Calibri" w:eastAsia="Calibri" w:hAnsi="Calibri"/>
          <w:sz w:val="18"/>
          <w:szCs w:val="18"/>
        </w:rPr>
      </w:pPr>
      <w:r w:rsidRPr="000E0395">
        <w:rPr>
          <w:rFonts w:ascii="Calibri" w:eastAsia="Calibri" w:hAnsi="Calibri"/>
          <w:sz w:val="22"/>
          <w:szCs w:val="22"/>
        </w:rPr>
        <w:t>Incremental costs for furnaces can vary widely depending on manufacturer, product features and efficiency levels.  Market research conducted in April 2014 collected a number of contractor bids for gas furnaces with a variety of options and efficiency levels. The study found that very high AFUE rated furnaces frequently featured ECM blowers and multi-stage burner controls associated with higher prices, but were not pre-requisites of furnaces achieving the higher range of AFUE ratings.</w:t>
      </w:r>
    </w:p>
    <w:p w14:paraId="2A5E0A5B"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lastRenderedPageBreak/>
        <w:t xml:space="preserve">Cost effectiveness screening uses the economy bids.  These bids are more competitive bids, as they are for models with fewer of those features that increase cost, but do not improve energy savings.  The difference in contractor bids has a wide range, with one price quote showing no cost difference between a AFUE 80 and a AFUE 90 furnace, while another set of bids showed a nearly $1000 difference between a AFUE 80 and a AFUE 92 furnace.  Incremental costs between economy bids by each contractor for 80 AFUE, 90 AFUE, and 95 AFUE furnaces were compared with the bids from the same contractor, in order to minimize the non-energy related differences between models.  The median cost increment was $500, which is used in the cost effectiveness analysis.  The median difference between </w:t>
      </w:r>
      <w:proofErr w:type="gramStart"/>
      <w:r w:rsidRPr="000E0395">
        <w:rPr>
          <w:rFonts w:ascii="Calibri" w:eastAsia="Calibri" w:hAnsi="Calibri"/>
          <w:sz w:val="22"/>
          <w:szCs w:val="22"/>
        </w:rPr>
        <w:t>a</w:t>
      </w:r>
      <w:proofErr w:type="gramEnd"/>
      <w:r w:rsidRPr="000E0395">
        <w:rPr>
          <w:rFonts w:ascii="Calibri" w:eastAsia="Calibri" w:hAnsi="Calibri"/>
          <w:sz w:val="22"/>
          <w:szCs w:val="22"/>
        </w:rPr>
        <w:t xml:space="preserve"> AFUE 80 and AFUE 95 was $950.</w:t>
      </w:r>
    </w:p>
    <w:p w14:paraId="74C0189A"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t xml:space="preserve">The maximum cost effective incentive for furnace from 90 to 94 AFUE is $424 and the maximum incentive for furnaces 95 AFUE and better is $563.  Neither tier passes the Total Resource Cost test.  However, the Washington Utilities and Transportation Commission </w:t>
      </w:r>
      <w:proofErr w:type="gramStart"/>
      <w:r w:rsidRPr="000E0395">
        <w:rPr>
          <w:rFonts w:ascii="Calibri" w:eastAsia="Calibri" w:hAnsi="Calibri"/>
          <w:sz w:val="22"/>
          <w:szCs w:val="22"/>
        </w:rPr>
        <w:t>has</w:t>
      </w:r>
      <w:proofErr w:type="gramEnd"/>
      <w:r w:rsidRPr="000E0395">
        <w:rPr>
          <w:rFonts w:ascii="Calibri" w:eastAsia="Calibri" w:hAnsi="Calibri"/>
          <w:sz w:val="22"/>
          <w:szCs w:val="22"/>
        </w:rPr>
        <w:t xml:space="preserve"> allowed such measures in the efficiency portfolio, and will monitor the effect of such measures on the Total Resource Cost of the efficiency program as a whole.   </w:t>
      </w:r>
    </w:p>
    <w:p w14:paraId="087CBA18" w14:textId="77777777" w:rsidR="000E0395" w:rsidRPr="000E0395" w:rsidRDefault="000E0395" w:rsidP="00242F2B">
      <w:pPr>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t>Measure life of 25 years, consistent with Energy Trust gas furnace measures since 2005</w:t>
      </w:r>
      <w:r w:rsidRPr="000E0395">
        <w:rPr>
          <w:rFonts w:ascii="Calibri" w:eastAsia="Calibri" w:hAnsi="Calibri"/>
          <w:color w:val="1F497D"/>
          <w:sz w:val="22"/>
          <w:szCs w:val="22"/>
        </w:rPr>
        <w:t xml:space="preserve"> </w:t>
      </w:r>
      <w:r w:rsidRPr="000E0395">
        <w:rPr>
          <w:rFonts w:ascii="Calibri" w:eastAsia="Calibri" w:hAnsi="Calibri"/>
          <w:sz w:val="22"/>
          <w:szCs w:val="22"/>
        </w:rPr>
        <w:t xml:space="preserve">based on research on furnace age at retirement conducted in British Columbia (Natural Gas Furnace Market Assessment, August, 2005, </w:t>
      </w:r>
      <w:proofErr w:type="spellStart"/>
      <w:r w:rsidRPr="000E0395">
        <w:rPr>
          <w:rFonts w:ascii="Calibri" w:eastAsia="Calibri" w:hAnsi="Calibri"/>
          <w:sz w:val="22"/>
          <w:szCs w:val="22"/>
        </w:rPr>
        <w:t>Haybart</w:t>
      </w:r>
      <w:proofErr w:type="spellEnd"/>
      <w:r w:rsidRPr="000E0395">
        <w:rPr>
          <w:rFonts w:ascii="Calibri" w:eastAsia="Calibri" w:hAnsi="Calibri"/>
          <w:sz w:val="22"/>
          <w:szCs w:val="22"/>
        </w:rPr>
        <w:t xml:space="preserve"> and Hewitt).</w:t>
      </w:r>
    </w:p>
    <w:p w14:paraId="33FBDEA5" w14:textId="77777777" w:rsidR="000E0395" w:rsidRPr="000E0395" w:rsidRDefault="000E0395" w:rsidP="000E0395">
      <w:pPr>
        <w:spacing w:after="160" w:line="259" w:lineRule="auto"/>
        <w:rPr>
          <w:rFonts w:ascii="Calibri" w:eastAsia="Calibri" w:hAnsi="Calibri"/>
          <w:sz w:val="22"/>
          <w:szCs w:val="22"/>
        </w:rPr>
      </w:pPr>
    </w:p>
    <w:p w14:paraId="6099350F"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sz w:val="22"/>
          <w:szCs w:val="22"/>
        </w:rPr>
        <w:br w:type="page"/>
      </w:r>
    </w:p>
    <w:p w14:paraId="70956779" w14:textId="77777777" w:rsidR="000E0395" w:rsidRPr="000E0395" w:rsidRDefault="000E0395" w:rsidP="000E0395">
      <w:pPr>
        <w:spacing w:after="160" w:line="259" w:lineRule="auto"/>
        <w:rPr>
          <w:rFonts w:ascii="Calibri" w:eastAsia="Calibri" w:hAnsi="Calibri"/>
          <w:sz w:val="22"/>
          <w:szCs w:val="22"/>
        </w:rPr>
      </w:pPr>
    </w:p>
    <w:p w14:paraId="2EAF83CB" w14:textId="77777777" w:rsidR="000E0395" w:rsidRPr="000E0395" w:rsidRDefault="000E0395" w:rsidP="00242F2B">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E5FDFBC" w14:textId="77777777" w:rsidR="000E0395" w:rsidRPr="000E0395" w:rsidRDefault="000E0395" w:rsidP="00242F2B">
      <w:pPr>
        <w:keepNext/>
        <w:keepLines/>
        <w:spacing w:before="40" w:line="259" w:lineRule="auto"/>
        <w:ind w:left="-720"/>
        <w:outlineLvl w:val="2"/>
        <w:rPr>
          <w:rFonts w:ascii="Calibri Light" w:hAnsi="Calibri Light"/>
          <w:color w:val="1F4D78"/>
          <w:szCs w:val="24"/>
        </w:rPr>
      </w:pPr>
      <w:r w:rsidRPr="000E0395">
        <w:rPr>
          <w:rFonts w:ascii="Calibri Light" w:hAnsi="Calibri Light"/>
          <w:color w:val="1F4D78"/>
          <w:szCs w:val="24"/>
        </w:rPr>
        <w:t>Existing Homes</w:t>
      </w:r>
      <w:r w:rsidRPr="000E0395">
        <w:rPr>
          <w:rFonts w:ascii="Calibri Light" w:hAnsi="Calibri Light"/>
          <w:color w:val="1F4D78"/>
          <w:szCs w:val="24"/>
        </w:rPr>
        <w:tab/>
        <w:t>Smart Thermostat</w:t>
      </w:r>
      <w:r w:rsidRPr="000E0395">
        <w:rPr>
          <w:rFonts w:ascii="Calibri Light" w:hAnsi="Calibri Light"/>
          <w:color w:val="1F4D78"/>
          <w:szCs w:val="24"/>
        </w:rPr>
        <w:tab/>
      </w:r>
      <w:r w:rsidRPr="000E0395">
        <w:rPr>
          <w:rFonts w:ascii="Calibri Light" w:hAnsi="Calibri Light"/>
          <w:color w:val="1F4D78"/>
          <w:szCs w:val="24"/>
        </w:rPr>
        <w:tab/>
      </w:r>
      <w:r w:rsidRPr="000E0395">
        <w:rPr>
          <w:rFonts w:ascii="Calibri Light" w:hAnsi="Calibri Light"/>
          <w:color w:val="1F4D78"/>
          <w:sz w:val="20"/>
        </w:rPr>
        <w:t>Pilot Smart Thermostat</w:t>
      </w:r>
      <w:r w:rsidRPr="000E0395">
        <w:rPr>
          <w:rFonts w:ascii="Calibri Light" w:hAnsi="Calibri Light"/>
          <w:color w:val="1F4D78"/>
          <w:szCs w:val="24"/>
        </w:rPr>
        <w:t xml:space="preserve"> </w:t>
      </w:r>
    </w:p>
    <w:p w14:paraId="5F16F2BB" w14:textId="77777777" w:rsidR="000E0395" w:rsidRPr="000E0395" w:rsidRDefault="000E0395" w:rsidP="00242F2B">
      <w:pPr>
        <w:spacing w:after="160" w:line="259" w:lineRule="auto"/>
        <w:ind w:left="-720"/>
        <w:rPr>
          <w:rFonts w:ascii="Calibri" w:eastAsia="Calibri" w:hAnsi="Calibri"/>
          <w:b/>
          <w:bCs/>
          <w:sz w:val="22"/>
          <w:szCs w:val="22"/>
        </w:rPr>
      </w:pPr>
      <w:r w:rsidRPr="000E0395">
        <w:rPr>
          <w:rFonts w:ascii="Calibri" w:eastAsia="Calibri" w:hAnsi="Calibri"/>
          <w:b/>
          <w:bCs/>
          <w:sz w:val="22"/>
          <w:szCs w:val="22"/>
        </w:rPr>
        <w:t>Blessing Memo for Self-Installed Advanced Thermostats on Gas Furnaces Pilot</w:t>
      </w:r>
    </w:p>
    <w:p w14:paraId="0E6ADC0F" w14:textId="77777777" w:rsidR="000E0395" w:rsidRPr="000E0395" w:rsidRDefault="000E0395" w:rsidP="00242F2B">
      <w:pPr>
        <w:spacing w:after="160" w:line="259" w:lineRule="auto"/>
        <w:ind w:left="-720"/>
        <w:rPr>
          <w:rFonts w:ascii="Calibri" w:eastAsia="Calibri" w:hAnsi="Calibri"/>
          <w:b/>
          <w:bCs/>
          <w:sz w:val="22"/>
          <w:szCs w:val="22"/>
        </w:rPr>
      </w:pPr>
      <w:r w:rsidRPr="000E0395">
        <w:rPr>
          <w:rFonts w:ascii="Calibri" w:eastAsia="Calibri" w:hAnsi="Calibri"/>
          <w:b/>
          <w:bCs/>
          <w:sz w:val="22"/>
          <w:szCs w:val="22"/>
        </w:rPr>
        <w:t>End Use</w:t>
      </w:r>
    </w:p>
    <w:p w14:paraId="3488E30C"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Residential Space Conditioning</w:t>
      </w:r>
    </w:p>
    <w:p w14:paraId="027B14A9" w14:textId="77777777" w:rsidR="000E0395" w:rsidRPr="000E0395" w:rsidRDefault="000E0395" w:rsidP="00242F2B">
      <w:pPr>
        <w:spacing w:after="160" w:line="259" w:lineRule="auto"/>
        <w:ind w:left="-720"/>
        <w:rPr>
          <w:rFonts w:ascii="Calibri" w:eastAsia="Calibri" w:hAnsi="Calibri"/>
          <w:b/>
          <w:bCs/>
          <w:sz w:val="22"/>
          <w:szCs w:val="22"/>
        </w:rPr>
      </w:pPr>
      <w:r w:rsidRPr="000E0395">
        <w:rPr>
          <w:rFonts w:ascii="Calibri" w:eastAsia="Calibri" w:hAnsi="Calibri"/>
          <w:b/>
          <w:bCs/>
          <w:sz w:val="22"/>
          <w:szCs w:val="22"/>
        </w:rPr>
        <w:t>Scope</w:t>
      </w:r>
    </w:p>
    <w:p w14:paraId="46D44DF1"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This measure is applicable in existing single family homes that have a gas furnace which is used as the primary heating source. </w:t>
      </w:r>
    </w:p>
    <w:p w14:paraId="59BEF962" w14:textId="77777777" w:rsidR="000E0395" w:rsidRPr="000E0395" w:rsidRDefault="000E0395" w:rsidP="00242F2B">
      <w:pPr>
        <w:spacing w:line="259" w:lineRule="auto"/>
        <w:ind w:left="-720"/>
        <w:rPr>
          <w:rFonts w:ascii="Calibri" w:eastAsia="Calibri" w:hAnsi="Calibri"/>
          <w:color w:val="1F497D"/>
          <w:sz w:val="22"/>
          <w:szCs w:val="22"/>
        </w:rPr>
      </w:pPr>
    </w:p>
    <w:p w14:paraId="0E72057D" w14:textId="77777777" w:rsidR="000E0395" w:rsidRPr="000E0395" w:rsidRDefault="000E0395" w:rsidP="00242F2B">
      <w:pPr>
        <w:spacing w:after="160" w:line="259" w:lineRule="auto"/>
        <w:ind w:left="-720"/>
        <w:rPr>
          <w:rFonts w:ascii="Calibri" w:eastAsia="Calibri" w:hAnsi="Calibri"/>
          <w:b/>
          <w:bCs/>
          <w:sz w:val="22"/>
          <w:szCs w:val="22"/>
        </w:rPr>
      </w:pPr>
      <w:r w:rsidRPr="000E0395">
        <w:rPr>
          <w:rFonts w:ascii="Calibri" w:eastAsia="Calibri" w:hAnsi="Calibri"/>
          <w:b/>
          <w:bCs/>
          <w:sz w:val="22"/>
          <w:szCs w:val="22"/>
        </w:rPr>
        <w:t>Program</w:t>
      </w:r>
    </w:p>
    <w:p w14:paraId="47493A91"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Existing Homes</w:t>
      </w:r>
    </w:p>
    <w:p w14:paraId="5F58A251" w14:textId="77777777" w:rsidR="000E0395" w:rsidRPr="000E0395" w:rsidRDefault="000E0395" w:rsidP="00242F2B">
      <w:pPr>
        <w:spacing w:after="160" w:line="259" w:lineRule="auto"/>
        <w:ind w:left="-720"/>
        <w:rPr>
          <w:rFonts w:ascii="Calibri" w:eastAsia="Calibri" w:hAnsi="Calibri"/>
          <w:sz w:val="22"/>
          <w:szCs w:val="22"/>
        </w:rPr>
      </w:pPr>
    </w:p>
    <w:p w14:paraId="6657EEDD" w14:textId="77777777" w:rsidR="000E0395" w:rsidRPr="000E0395" w:rsidRDefault="000E0395" w:rsidP="00242F2B">
      <w:pPr>
        <w:spacing w:after="160" w:line="259" w:lineRule="auto"/>
        <w:ind w:left="-720"/>
        <w:rPr>
          <w:rFonts w:ascii="Calibri" w:eastAsia="Calibri" w:hAnsi="Calibri"/>
          <w:b/>
          <w:bCs/>
          <w:sz w:val="22"/>
          <w:szCs w:val="22"/>
        </w:rPr>
      </w:pPr>
      <w:r w:rsidRPr="000E0395">
        <w:rPr>
          <w:rFonts w:ascii="Calibri" w:eastAsia="Calibri" w:hAnsi="Calibri"/>
          <w:b/>
          <w:bCs/>
          <w:sz w:val="22"/>
          <w:szCs w:val="22"/>
        </w:rPr>
        <w:t>Description of Measure</w:t>
      </w:r>
    </w:p>
    <w:p w14:paraId="567394A3"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The purpose of the advanced thermostats on gas furnace pilot is to determine if cost effective energy savings can be consistently achieved by consumers self-installing devices capable of reducing furnace run times when occupants deviate from a fixed schedule. Through improved user interfaces, remote programming and adaptive setbacks utilizing advanced features to determine whether or not a home is occupied, smart thermostats should be able to add additional setbacks into their schedule, thus savings energy even under less than ideal programming. Products in this Pilot Project will be limited to the NEST and Honeywell’s Lyric.</w:t>
      </w:r>
    </w:p>
    <w:p w14:paraId="2B1A10D3" w14:textId="77777777" w:rsidR="000E0395" w:rsidRPr="000E0395" w:rsidRDefault="000E0395" w:rsidP="00242F2B">
      <w:pPr>
        <w:spacing w:after="160" w:line="259" w:lineRule="auto"/>
        <w:ind w:left="-720"/>
        <w:rPr>
          <w:rFonts w:ascii="Calibri" w:eastAsia="Calibri" w:hAnsi="Calibri"/>
          <w:sz w:val="22"/>
          <w:szCs w:val="22"/>
        </w:rPr>
      </w:pPr>
    </w:p>
    <w:p w14:paraId="22043FCD" w14:textId="77777777" w:rsidR="000E0395" w:rsidRPr="000E0395" w:rsidRDefault="000E0395" w:rsidP="00242F2B">
      <w:pPr>
        <w:autoSpaceDE w:val="0"/>
        <w:autoSpaceDN w:val="0"/>
        <w:spacing w:after="160" w:line="259" w:lineRule="auto"/>
        <w:ind w:left="-720"/>
        <w:rPr>
          <w:rFonts w:ascii="Calibri" w:eastAsia="Calibri" w:hAnsi="Calibri"/>
          <w:b/>
          <w:bCs/>
          <w:sz w:val="22"/>
          <w:szCs w:val="22"/>
        </w:rPr>
      </w:pPr>
      <w:r w:rsidRPr="000E0395">
        <w:rPr>
          <w:rFonts w:ascii="Calibri" w:eastAsia="Calibri" w:hAnsi="Calibri"/>
          <w:b/>
          <w:bCs/>
          <w:sz w:val="22"/>
          <w:szCs w:val="22"/>
        </w:rPr>
        <w:t xml:space="preserve">Savings, Economics and Incentives </w:t>
      </w:r>
    </w:p>
    <w:p w14:paraId="18106A73"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Savings stemming from advanced thermostats on gas furnaces are not well understood. Savings are estimated by the manufacturers at 2-7%. Savings estimates from Puget Sound Energy’s current Pilot study are 8%. The NEST pilot for heat pumps showed a heating load reduction of 10%. Savings estimate range is 2-10% of heating load. Assuming a conservative 4% of gas space heating savings estimated therm reduction is 23 annual therms based on Residential Buildings Stock Assessment average single family Oregon gas heating load of 583 therms.</w:t>
      </w:r>
    </w:p>
    <w:p w14:paraId="48D0827D" w14:textId="77777777" w:rsidR="000E0395" w:rsidRPr="000E0395" w:rsidRDefault="000E0395" w:rsidP="00242F2B">
      <w:pPr>
        <w:autoSpaceDE w:val="0"/>
        <w:autoSpaceDN w:val="0"/>
        <w:spacing w:after="160" w:line="259" w:lineRule="auto"/>
        <w:ind w:left="-720"/>
        <w:rPr>
          <w:rFonts w:ascii="Calibri" w:eastAsia="Calibri" w:hAnsi="Calibri"/>
          <w:sz w:val="22"/>
          <w:szCs w:val="22"/>
        </w:rPr>
      </w:pPr>
    </w:p>
    <w:p w14:paraId="022ABE8B" w14:textId="77777777" w:rsidR="000E0395" w:rsidRPr="000E0395" w:rsidRDefault="000E0395" w:rsidP="00242F2B">
      <w:pPr>
        <w:autoSpaceDE w:val="0"/>
        <w:autoSpaceDN w:val="0"/>
        <w:spacing w:after="160" w:line="259" w:lineRule="auto"/>
        <w:ind w:left="-720"/>
        <w:rPr>
          <w:rFonts w:ascii="Calibri" w:eastAsia="Calibri" w:hAnsi="Calibri"/>
          <w:sz w:val="22"/>
          <w:szCs w:val="22"/>
        </w:rPr>
      </w:pPr>
      <w:r w:rsidRPr="000E0395">
        <w:rPr>
          <w:rFonts w:ascii="Calibri" w:eastAsia="Calibri" w:hAnsi="Calibri"/>
          <w:sz w:val="22"/>
          <w:szCs w:val="22"/>
        </w:rPr>
        <w:t>A 13 year measure life was assumed as this is the midpoint of a gas furnace’s expected useful life.</w:t>
      </w:r>
    </w:p>
    <w:p w14:paraId="32CDAAE6" w14:textId="77777777" w:rsidR="00242F2B" w:rsidRDefault="00242F2B" w:rsidP="00242F2B">
      <w:pPr>
        <w:spacing w:after="160" w:line="259" w:lineRule="auto"/>
        <w:ind w:left="-720"/>
        <w:rPr>
          <w:rFonts w:ascii="Calibri" w:eastAsia="Calibri" w:hAnsi="Calibri"/>
          <w:sz w:val="22"/>
          <w:szCs w:val="22"/>
        </w:rPr>
      </w:pPr>
    </w:p>
    <w:p w14:paraId="75DD4881" w14:textId="77777777" w:rsidR="000E0395" w:rsidRPr="000E0395" w:rsidRDefault="000E0395" w:rsidP="00242F2B">
      <w:pPr>
        <w:spacing w:after="160" w:line="259" w:lineRule="auto"/>
        <w:ind w:left="-720"/>
        <w:rPr>
          <w:rFonts w:ascii="Calibri" w:eastAsia="Calibri" w:hAnsi="Calibri"/>
          <w:sz w:val="22"/>
          <w:szCs w:val="22"/>
        </w:rPr>
      </w:pPr>
      <w:r w:rsidRPr="000E0395">
        <w:rPr>
          <w:rFonts w:ascii="Calibri" w:eastAsia="Calibri" w:hAnsi="Calibri"/>
          <w:sz w:val="22"/>
          <w:szCs w:val="22"/>
        </w:rPr>
        <w:t xml:space="preserve">Average retail prices for the NEST and Lyric are $249, and this retrofit cost is used for the benefit cost analysis below. However this measure is not cost effective as a retrofit measure. Web enabled thermostats without adaptive setback capabilities range in price from $100-$300+, making this a viable incremental measure. If the midpoint of the baseline cost is used as a reference point, the incremental cost would be around $50.  Once the energy savings have been proven, it would be possible to make the incentive less of the overall cost, and target the amount needed to persuade </w:t>
      </w:r>
      <w:r w:rsidRPr="000E0395">
        <w:rPr>
          <w:rFonts w:ascii="Calibri" w:eastAsia="Calibri" w:hAnsi="Calibri"/>
          <w:sz w:val="22"/>
          <w:szCs w:val="22"/>
        </w:rPr>
        <w:lastRenderedPageBreak/>
        <w:t>the customer to make the incremental improvement from a programmable thermostat to an adaptively learning one.  In addition, if the pilot is successful, packaging these devices with new furnaces at the distributor level would offer another cost effective delivery method.</w:t>
      </w:r>
      <w:r w:rsidRPr="000E0395">
        <w:rPr>
          <w:rFonts w:ascii="Calibri" w:eastAsia="Calibri" w:hAnsi="Calibri"/>
          <w:color w:val="1F497D"/>
          <w:sz w:val="22"/>
          <w:szCs w:val="22"/>
        </w:rPr>
        <w:t xml:space="preserve">   </w:t>
      </w:r>
      <w:r w:rsidRPr="000E0395">
        <w:rPr>
          <w:rFonts w:ascii="Calibri" w:eastAsia="Calibri" w:hAnsi="Calibri"/>
          <w:sz w:val="22"/>
          <w:szCs w:val="22"/>
        </w:rPr>
        <w:t xml:space="preserve">So, the first line in the chart below shows the cost-benefit of the measure in the pilot.  The second line shows the potential for future cost-effectiveness and explains why the pilot is important research.  </w:t>
      </w:r>
    </w:p>
    <w:p w14:paraId="453381A3" w14:textId="77777777" w:rsidR="000E0395" w:rsidRPr="000E0395" w:rsidRDefault="000E0395" w:rsidP="000E0395">
      <w:pPr>
        <w:autoSpaceDE w:val="0"/>
        <w:autoSpaceDN w:val="0"/>
        <w:spacing w:after="160" w:line="259" w:lineRule="auto"/>
        <w:rPr>
          <w:rFonts w:ascii="Calibri" w:eastAsia="Calibri" w:hAnsi="Calibri"/>
          <w:sz w:val="22"/>
          <w:szCs w:val="22"/>
        </w:rPr>
      </w:pPr>
    </w:p>
    <w:p w14:paraId="64011EF5" w14:textId="77777777" w:rsidR="000E0395" w:rsidRPr="000E0395" w:rsidRDefault="000E0395" w:rsidP="00242F2B">
      <w:pPr>
        <w:autoSpaceDE w:val="0"/>
        <w:autoSpaceDN w:val="0"/>
        <w:spacing w:after="160" w:line="259" w:lineRule="auto"/>
        <w:ind w:left="-720"/>
        <w:rPr>
          <w:rFonts w:ascii="Calibri" w:eastAsia="Calibri" w:hAnsi="Calibri"/>
          <w:b/>
          <w:bCs/>
          <w:color w:val="1F497D"/>
          <w:sz w:val="22"/>
          <w:szCs w:val="22"/>
        </w:rPr>
      </w:pPr>
      <w:r w:rsidRPr="000E0395">
        <w:rPr>
          <w:rFonts w:ascii="Calibri" w:eastAsia="Calibri" w:hAnsi="Calibri"/>
          <w:sz w:val="22"/>
          <w:szCs w:val="22"/>
        </w:rPr>
        <w:t xml:space="preserve">The pilot will install about 200 NEST and 200 Lyric thermostats by the end of December, 2014.  </w:t>
      </w:r>
    </w:p>
    <w:p w14:paraId="1A0D878E" w14:textId="77777777" w:rsidR="000E0395" w:rsidRPr="000E0395" w:rsidRDefault="000E0395" w:rsidP="00242F2B">
      <w:pPr>
        <w:autoSpaceDE w:val="0"/>
        <w:autoSpaceDN w:val="0"/>
        <w:spacing w:after="160" w:line="259" w:lineRule="auto"/>
        <w:ind w:left="-720"/>
        <w:rPr>
          <w:rFonts w:ascii="Calibri" w:eastAsia="Calibri" w:hAnsi="Calibri"/>
          <w:sz w:val="22"/>
          <w:szCs w:val="22"/>
        </w:rPr>
      </w:pPr>
    </w:p>
    <w:p w14:paraId="1416114E" w14:textId="77777777" w:rsidR="000E0395" w:rsidRPr="000E0395" w:rsidRDefault="000E0395" w:rsidP="00242F2B">
      <w:pPr>
        <w:autoSpaceDE w:val="0"/>
        <w:autoSpaceDN w:val="0"/>
        <w:spacing w:after="160" w:line="259" w:lineRule="auto"/>
        <w:ind w:left="-720"/>
        <w:rPr>
          <w:rFonts w:ascii="Calibri" w:eastAsia="Calibri" w:hAnsi="Calibri"/>
          <w:b/>
          <w:bCs/>
          <w:color w:val="000000"/>
          <w:sz w:val="22"/>
          <w:szCs w:val="22"/>
        </w:rPr>
      </w:pPr>
      <w:r w:rsidRPr="000E0395">
        <w:rPr>
          <w:rFonts w:ascii="Calibri" w:eastAsia="Calibri" w:hAnsi="Calibri"/>
          <w:b/>
          <w:bCs/>
          <w:color w:val="000000"/>
          <w:sz w:val="22"/>
          <w:szCs w:val="22"/>
        </w:rPr>
        <w:t>Evaluation</w:t>
      </w:r>
    </w:p>
    <w:p w14:paraId="2DA29216" w14:textId="77777777" w:rsidR="000E0395" w:rsidRPr="000E0395" w:rsidRDefault="000E0395" w:rsidP="00242F2B">
      <w:pPr>
        <w:autoSpaceDE w:val="0"/>
        <w:autoSpaceDN w:val="0"/>
        <w:spacing w:after="160" w:line="259" w:lineRule="auto"/>
        <w:ind w:left="-720"/>
        <w:rPr>
          <w:rFonts w:ascii="Calibri" w:eastAsia="Calibri" w:hAnsi="Calibri"/>
          <w:sz w:val="22"/>
          <w:szCs w:val="22"/>
        </w:rPr>
      </w:pPr>
      <w:r w:rsidRPr="000E0395">
        <w:rPr>
          <w:rFonts w:ascii="Calibri" w:eastAsia="Calibri" w:hAnsi="Calibri"/>
          <w:color w:val="000000"/>
          <w:sz w:val="22"/>
          <w:szCs w:val="22"/>
        </w:rPr>
        <w:t xml:space="preserve">As with other residential weatherization measures, savings will be estimated using standard Energy Trust billing analysis methodology when one year of billing analysis are available.  In addition, feedback will be gathered around customer satisfaction on an ongoing </w:t>
      </w:r>
      <w:r w:rsidRPr="000E0395">
        <w:rPr>
          <w:rFonts w:ascii="Calibri" w:eastAsia="Calibri" w:hAnsi="Calibri"/>
          <w:sz w:val="22"/>
          <w:szCs w:val="22"/>
        </w:rPr>
        <w:t>basis in an effort to correct any issues with the measure design as soon as possible.  We will also look at the patterns of gas furnace age and home characteristics to determine whether to use one average savings estimate or vintage and climate-specific estimates.  NEST labs and Honeywell may or may not provide us with additional data on the performance of the thermostats.</w:t>
      </w:r>
    </w:p>
    <w:p w14:paraId="50CB2B09" w14:textId="77777777" w:rsidR="000E0395" w:rsidRPr="000E0395" w:rsidRDefault="000E0395" w:rsidP="00242F2B">
      <w:pPr>
        <w:spacing w:after="160" w:line="259" w:lineRule="auto"/>
        <w:ind w:left="-720"/>
        <w:rPr>
          <w:rFonts w:ascii="Calibri" w:eastAsia="Calibri" w:hAnsi="Calibri"/>
          <w:sz w:val="22"/>
          <w:szCs w:val="22"/>
        </w:rPr>
      </w:pPr>
    </w:p>
    <w:p w14:paraId="1D3ED854" w14:textId="77777777" w:rsidR="000E0395" w:rsidRPr="000E0395" w:rsidRDefault="000E0395" w:rsidP="00242F2B">
      <w:pPr>
        <w:autoSpaceDE w:val="0"/>
        <w:autoSpaceDN w:val="0"/>
        <w:spacing w:after="160" w:line="259" w:lineRule="auto"/>
        <w:ind w:left="-720"/>
        <w:rPr>
          <w:rFonts w:ascii="Calibri" w:eastAsia="Calibri" w:hAnsi="Calibri"/>
          <w:b/>
          <w:bCs/>
          <w:sz w:val="22"/>
          <w:szCs w:val="22"/>
        </w:rPr>
      </w:pPr>
      <w:r w:rsidRPr="000E0395">
        <w:rPr>
          <w:rFonts w:ascii="Calibri" w:eastAsia="Calibri" w:hAnsi="Calibri"/>
          <w:b/>
          <w:bCs/>
          <w:sz w:val="22"/>
          <w:szCs w:val="22"/>
        </w:rPr>
        <w:t>BCR (link</w:t>
      </w:r>
      <w:proofErr w:type="gramStart"/>
      <w:r w:rsidRPr="000E0395">
        <w:rPr>
          <w:rFonts w:ascii="Calibri" w:eastAsia="Calibri" w:hAnsi="Calibri"/>
          <w:b/>
          <w:bCs/>
          <w:sz w:val="22"/>
          <w:szCs w:val="22"/>
        </w:rPr>
        <w:t>:</w:t>
      </w:r>
      <w:proofErr w:type="gramEnd"/>
      <w:r w:rsidRPr="000E0395">
        <w:rPr>
          <w:rFonts w:ascii="Calibri" w:eastAsia="Calibri" w:hAnsi="Calibri"/>
          <w:sz w:val="22"/>
          <w:szCs w:val="22"/>
        </w:rPr>
        <w:fldChar w:fldCharType="begin"/>
      </w:r>
      <w:r w:rsidRPr="000E0395">
        <w:rPr>
          <w:rFonts w:ascii="Calibri" w:eastAsia="Calibri" w:hAnsi="Calibri"/>
          <w:sz w:val="22"/>
          <w:szCs w:val="22"/>
        </w:rPr>
        <w:instrText xml:space="preserve"> HYPERLINK "file:///\\\\eto-share\\etoo_share\\Planning\\EE%20Programs\\Home%20Energy%20Savings\\HOUSE%20TYPES%20AND%20measures\\single%20family\\tstats-%20web%20addressable\\bencost\\ETO%20CEC%20web%20enabled%20gas%20Tstat.xlsx" </w:instrText>
      </w:r>
      <w:r w:rsidRPr="000E0395">
        <w:rPr>
          <w:rFonts w:ascii="Calibri" w:eastAsia="Calibri" w:hAnsi="Calibri"/>
          <w:sz w:val="22"/>
          <w:szCs w:val="22"/>
        </w:rPr>
        <w:fldChar w:fldCharType="separate"/>
      </w:r>
      <w:r w:rsidRPr="000E0395">
        <w:rPr>
          <w:rFonts w:ascii="Calibri" w:eastAsia="Calibri" w:hAnsi="Calibri"/>
          <w:b/>
          <w:bCs/>
          <w:color w:val="0000FF"/>
          <w:sz w:val="22"/>
          <w:szCs w:val="22"/>
          <w:u w:val="single"/>
        </w:rPr>
        <w:t>\\eto-share\etoo_share\Planning\EE Programs\Home Energy Savings\HOUSE TYPES AND measures\single family\</w:t>
      </w:r>
      <w:proofErr w:type="spellStart"/>
      <w:r w:rsidRPr="000E0395">
        <w:rPr>
          <w:rFonts w:ascii="Calibri" w:eastAsia="Calibri" w:hAnsi="Calibri"/>
          <w:b/>
          <w:bCs/>
          <w:color w:val="0000FF"/>
          <w:sz w:val="22"/>
          <w:szCs w:val="22"/>
          <w:u w:val="single"/>
        </w:rPr>
        <w:t>tstats</w:t>
      </w:r>
      <w:proofErr w:type="spellEnd"/>
      <w:r w:rsidRPr="000E0395">
        <w:rPr>
          <w:rFonts w:ascii="Calibri" w:eastAsia="Calibri" w:hAnsi="Calibri"/>
          <w:b/>
          <w:bCs/>
          <w:color w:val="0000FF"/>
          <w:sz w:val="22"/>
          <w:szCs w:val="22"/>
          <w:u w:val="single"/>
        </w:rPr>
        <w:t>- web addressable\</w:t>
      </w:r>
      <w:proofErr w:type="spellStart"/>
      <w:r w:rsidRPr="000E0395">
        <w:rPr>
          <w:rFonts w:ascii="Calibri" w:eastAsia="Calibri" w:hAnsi="Calibri"/>
          <w:b/>
          <w:bCs/>
          <w:color w:val="0000FF"/>
          <w:sz w:val="22"/>
          <w:szCs w:val="22"/>
          <w:u w:val="single"/>
        </w:rPr>
        <w:t>bencost</w:t>
      </w:r>
      <w:proofErr w:type="spellEnd"/>
      <w:r w:rsidRPr="000E0395">
        <w:rPr>
          <w:rFonts w:ascii="Calibri" w:eastAsia="Calibri" w:hAnsi="Calibri"/>
          <w:b/>
          <w:bCs/>
          <w:color w:val="0000FF"/>
          <w:sz w:val="22"/>
          <w:szCs w:val="22"/>
          <w:u w:val="single"/>
        </w:rPr>
        <w:t>\ETO CEC web enabled gas Tstat.xlsx</w:t>
      </w:r>
      <w:r w:rsidRPr="000E0395">
        <w:rPr>
          <w:rFonts w:ascii="Calibri" w:eastAsia="Calibri" w:hAnsi="Calibri"/>
          <w:b/>
          <w:bCs/>
          <w:color w:val="0000FF"/>
          <w:sz w:val="22"/>
          <w:szCs w:val="22"/>
          <w:u w:val="single"/>
        </w:rPr>
        <w:fldChar w:fldCharType="end"/>
      </w:r>
      <w:r w:rsidRPr="000E0395">
        <w:rPr>
          <w:rFonts w:ascii="Calibri" w:eastAsia="Calibri" w:hAnsi="Calibri"/>
          <w:b/>
          <w:bCs/>
          <w:sz w:val="22"/>
          <w:szCs w:val="22"/>
        </w:rPr>
        <w:t>)</w:t>
      </w:r>
    </w:p>
    <w:p w14:paraId="0EFDE31D" w14:textId="77777777" w:rsidR="000E0395" w:rsidRPr="000E0395" w:rsidRDefault="000E0395" w:rsidP="000E0395">
      <w:pPr>
        <w:autoSpaceDE w:val="0"/>
        <w:autoSpaceDN w:val="0"/>
        <w:spacing w:after="160" w:line="259" w:lineRule="auto"/>
        <w:rPr>
          <w:rFonts w:ascii="Calibri" w:eastAsia="Calibri" w:hAnsi="Calibri"/>
          <w:b/>
          <w:bCs/>
          <w:sz w:val="22"/>
          <w:szCs w:val="22"/>
        </w:rPr>
      </w:pPr>
    </w:p>
    <w:tbl>
      <w:tblPr>
        <w:tblW w:w="10458" w:type="dxa"/>
        <w:tblInd w:w="-612" w:type="dxa"/>
        <w:tblCellMar>
          <w:left w:w="0" w:type="dxa"/>
          <w:right w:w="0" w:type="dxa"/>
        </w:tblCellMar>
        <w:tblLook w:val="04A0" w:firstRow="1" w:lastRow="0" w:firstColumn="1" w:lastColumn="0" w:noHBand="0" w:noVBand="1"/>
      </w:tblPr>
      <w:tblGrid>
        <w:gridCol w:w="1273"/>
        <w:gridCol w:w="1515"/>
        <w:gridCol w:w="991"/>
        <w:gridCol w:w="1797"/>
        <w:gridCol w:w="1138"/>
        <w:gridCol w:w="960"/>
        <w:gridCol w:w="960"/>
        <w:gridCol w:w="1137"/>
        <w:gridCol w:w="1137"/>
      </w:tblGrid>
      <w:tr w:rsidR="000E0395" w:rsidRPr="000E0395" w14:paraId="58126B3B" w14:textId="77777777" w:rsidTr="00242F2B">
        <w:trPr>
          <w:trHeight w:val="1305"/>
        </w:trPr>
        <w:tc>
          <w:tcPr>
            <w:tcW w:w="1219"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bottom"/>
            <w:hideMark/>
          </w:tcPr>
          <w:p w14:paraId="3CFE85C9"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 xml:space="preserve">Project </w:t>
            </w:r>
          </w:p>
        </w:tc>
        <w:tc>
          <w:tcPr>
            <w:tcW w:w="144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0B5F36FB"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 xml:space="preserve">Measure Lifetime (Maximum   70 </w:t>
            </w:r>
            <w:proofErr w:type="spellStart"/>
            <w:r w:rsidRPr="000E0395">
              <w:rPr>
                <w:rFonts w:eastAsia="Calibri" w:cs="Arial"/>
                <w:b/>
                <w:bCs/>
                <w:sz w:val="20"/>
              </w:rPr>
              <w:t>yrs</w:t>
            </w:r>
            <w:proofErr w:type="spellEnd"/>
            <w:r w:rsidRPr="000E0395">
              <w:rPr>
                <w:rFonts w:eastAsia="Calibri" w:cs="Arial"/>
                <w:b/>
                <w:bCs/>
                <w:sz w:val="20"/>
              </w:rPr>
              <w:t>)</w:t>
            </w:r>
          </w:p>
        </w:tc>
        <w:tc>
          <w:tcPr>
            <w:tcW w:w="952"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5ECCEF2F"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Annual Gas Savings, therm</w:t>
            </w:r>
          </w:p>
        </w:tc>
        <w:tc>
          <w:tcPr>
            <w:tcW w:w="171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7700BA28"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Total or incremental  Cost</w:t>
            </w:r>
          </w:p>
        </w:tc>
        <w:tc>
          <w:tcPr>
            <w:tcW w:w="1092"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71F299CC"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ETO Incentives</w:t>
            </w:r>
          </w:p>
        </w:tc>
        <w:tc>
          <w:tcPr>
            <w:tcW w:w="923" w:type="dxa"/>
            <w:tcBorders>
              <w:top w:val="double" w:sz="6" w:space="0" w:color="auto"/>
              <w:left w:val="nil"/>
              <w:bottom w:val="single" w:sz="8" w:space="0" w:color="auto"/>
              <w:right w:val="nil"/>
            </w:tcBorders>
            <w:shd w:val="clear" w:color="auto" w:fill="FFCC00"/>
            <w:tcMar>
              <w:top w:w="0" w:type="dxa"/>
              <w:left w:w="108" w:type="dxa"/>
              <w:bottom w:w="0" w:type="dxa"/>
              <w:right w:w="108" w:type="dxa"/>
            </w:tcMar>
            <w:vAlign w:val="bottom"/>
            <w:hideMark/>
          </w:tcPr>
          <w:p w14:paraId="03031E53"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Utility System PV of Benefits</w:t>
            </w:r>
          </w:p>
        </w:tc>
        <w:tc>
          <w:tcPr>
            <w:tcW w:w="923" w:type="dxa"/>
            <w:tcBorders>
              <w:top w:val="double" w:sz="6" w:space="0" w:color="auto"/>
              <w:left w:val="single" w:sz="8" w:space="0" w:color="auto"/>
              <w:bottom w:val="single" w:sz="8" w:space="0" w:color="auto"/>
              <w:right w:val="double" w:sz="6" w:space="0" w:color="auto"/>
            </w:tcBorders>
            <w:shd w:val="clear" w:color="auto" w:fill="FFCC00"/>
            <w:tcMar>
              <w:top w:w="0" w:type="dxa"/>
              <w:left w:w="108" w:type="dxa"/>
              <w:bottom w:w="0" w:type="dxa"/>
              <w:right w:w="108" w:type="dxa"/>
            </w:tcMar>
            <w:vAlign w:val="bottom"/>
            <w:hideMark/>
          </w:tcPr>
          <w:p w14:paraId="29AF0954"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Societal PV of Benefits</w:t>
            </w:r>
          </w:p>
        </w:tc>
        <w:tc>
          <w:tcPr>
            <w:tcW w:w="1091" w:type="dxa"/>
            <w:tcBorders>
              <w:top w:val="double" w:sz="6" w:space="0" w:color="auto"/>
              <w:left w:val="nil"/>
              <w:bottom w:val="single" w:sz="8" w:space="0" w:color="auto"/>
              <w:right w:val="nil"/>
            </w:tcBorders>
            <w:shd w:val="clear" w:color="auto" w:fill="FF99CC"/>
            <w:tcMar>
              <w:top w:w="0" w:type="dxa"/>
              <w:left w:w="108" w:type="dxa"/>
              <w:bottom w:w="0" w:type="dxa"/>
              <w:right w:w="108" w:type="dxa"/>
            </w:tcMar>
            <w:vAlign w:val="bottom"/>
            <w:hideMark/>
          </w:tcPr>
          <w:p w14:paraId="3B05B7AE"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Combined Utility System BCR</w:t>
            </w:r>
          </w:p>
        </w:tc>
        <w:tc>
          <w:tcPr>
            <w:tcW w:w="1091" w:type="dxa"/>
            <w:tcBorders>
              <w:top w:val="double" w:sz="6" w:space="0" w:color="auto"/>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bottom"/>
            <w:hideMark/>
          </w:tcPr>
          <w:p w14:paraId="656468B9"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Combined Societal BCR</w:t>
            </w:r>
          </w:p>
        </w:tc>
      </w:tr>
      <w:tr w:rsidR="000E0395" w:rsidRPr="000E0395" w14:paraId="1F0A2016" w14:textId="77777777" w:rsidTr="00242F2B">
        <w:trPr>
          <w:trHeight w:val="510"/>
        </w:trPr>
        <w:tc>
          <w:tcPr>
            <w:tcW w:w="121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5A89119"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 xml:space="preserve">Web enabled gas </w:t>
            </w:r>
            <w:proofErr w:type="spellStart"/>
            <w:r w:rsidRPr="000E0395">
              <w:rPr>
                <w:rFonts w:eastAsia="Calibri" w:cs="Arial"/>
                <w:b/>
                <w:bCs/>
                <w:sz w:val="20"/>
              </w:rPr>
              <w:t>Tstat</w:t>
            </w:r>
            <w:proofErr w:type="spellEnd"/>
          </w:p>
        </w:tc>
        <w:tc>
          <w:tcPr>
            <w:tcW w:w="144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ED33DAE"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13</w:t>
            </w:r>
          </w:p>
        </w:tc>
        <w:tc>
          <w:tcPr>
            <w:tcW w:w="952"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8F20EA2"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23</w:t>
            </w:r>
          </w:p>
        </w:tc>
        <w:tc>
          <w:tcPr>
            <w:tcW w:w="1718"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9282F34"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$249</w:t>
            </w:r>
          </w:p>
        </w:tc>
        <w:tc>
          <w:tcPr>
            <w:tcW w:w="1092"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5A782E7"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$200</w:t>
            </w:r>
          </w:p>
        </w:tc>
        <w:tc>
          <w:tcPr>
            <w:tcW w:w="923" w:type="dxa"/>
            <w:tcBorders>
              <w:top w:val="nil"/>
              <w:left w:val="nil"/>
              <w:bottom w:val="single" w:sz="8" w:space="0" w:color="auto"/>
              <w:right w:val="nil"/>
            </w:tcBorders>
            <w:shd w:val="clear" w:color="auto" w:fill="FFCC00"/>
            <w:tcMar>
              <w:top w:w="0" w:type="dxa"/>
              <w:left w:w="108" w:type="dxa"/>
              <w:bottom w:w="0" w:type="dxa"/>
              <w:right w:w="108" w:type="dxa"/>
            </w:tcMar>
            <w:vAlign w:val="center"/>
            <w:hideMark/>
          </w:tcPr>
          <w:p w14:paraId="6655CDC7"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$101</w:t>
            </w:r>
          </w:p>
        </w:tc>
        <w:tc>
          <w:tcPr>
            <w:tcW w:w="923" w:type="dxa"/>
            <w:tcBorders>
              <w:top w:val="nil"/>
              <w:left w:val="single" w:sz="8" w:space="0" w:color="auto"/>
              <w:bottom w:val="single" w:sz="8" w:space="0" w:color="auto"/>
              <w:right w:val="double" w:sz="6" w:space="0" w:color="auto"/>
            </w:tcBorders>
            <w:shd w:val="clear" w:color="auto" w:fill="FFCC00"/>
            <w:tcMar>
              <w:top w:w="0" w:type="dxa"/>
              <w:left w:w="108" w:type="dxa"/>
              <w:bottom w:w="0" w:type="dxa"/>
              <w:right w:w="108" w:type="dxa"/>
            </w:tcMar>
            <w:vAlign w:val="center"/>
            <w:hideMark/>
          </w:tcPr>
          <w:p w14:paraId="04C440C9"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$101</w:t>
            </w:r>
          </w:p>
        </w:tc>
        <w:tc>
          <w:tcPr>
            <w:tcW w:w="1091"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77F60B4D" w14:textId="77777777" w:rsidR="000E0395" w:rsidRPr="000E0395" w:rsidRDefault="000E0395" w:rsidP="000E0395">
            <w:pPr>
              <w:spacing w:after="160" w:line="276" w:lineRule="auto"/>
              <w:jc w:val="center"/>
              <w:rPr>
                <w:rFonts w:eastAsia="Calibri" w:cs="Arial"/>
                <w:b/>
                <w:bCs/>
                <w:color w:val="FF0000"/>
                <w:sz w:val="20"/>
              </w:rPr>
            </w:pPr>
            <w:r w:rsidRPr="000E0395">
              <w:rPr>
                <w:rFonts w:eastAsia="Calibri" w:cs="Arial"/>
                <w:b/>
                <w:bCs/>
                <w:color w:val="FF0000"/>
                <w:sz w:val="20"/>
              </w:rPr>
              <w:t>0.5</w:t>
            </w:r>
          </w:p>
        </w:tc>
        <w:tc>
          <w:tcPr>
            <w:tcW w:w="1091"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351C703A" w14:textId="77777777" w:rsidR="000E0395" w:rsidRPr="000E0395" w:rsidRDefault="000E0395" w:rsidP="000E0395">
            <w:pPr>
              <w:spacing w:after="160" w:line="276" w:lineRule="auto"/>
              <w:jc w:val="center"/>
              <w:rPr>
                <w:rFonts w:eastAsia="Calibri" w:cs="Arial"/>
                <w:b/>
                <w:bCs/>
                <w:color w:val="FF0000"/>
                <w:sz w:val="20"/>
              </w:rPr>
            </w:pPr>
            <w:r w:rsidRPr="000E0395">
              <w:rPr>
                <w:rFonts w:eastAsia="Calibri" w:cs="Arial"/>
                <w:b/>
                <w:bCs/>
                <w:color w:val="FF0000"/>
                <w:sz w:val="20"/>
              </w:rPr>
              <w:t>0.4</w:t>
            </w:r>
          </w:p>
        </w:tc>
      </w:tr>
      <w:tr w:rsidR="000E0395" w:rsidRPr="000E0395" w14:paraId="054A2735" w14:textId="77777777" w:rsidTr="00242F2B">
        <w:trPr>
          <w:trHeight w:val="510"/>
        </w:trPr>
        <w:tc>
          <w:tcPr>
            <w:tcW w:w="1219"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27DBC9D"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Potential incremental measure</w:t>
            </w:r>
          </w:p>
        </w:tc>
        <w:tc>
          <w:tcPr>
            <w:tcW w:w="144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B9BDF6"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13</w:t>
            </w:r>
          </w:p>
        </w:tc>
        <w:tc>
          <w:tcPr>
            <w:tcW w:w="95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CB9418F"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23</w:t>
            </w:r>
          </w:p>
        </w:tc>
        <w:tc>
          <w:tcPr>
            <w:tcW w:w="1718"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14F7D1"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$50</w:t>
            </w:r>
          </w:p>
        </w:tc>
        <w:tc>
          <w:tcPr>
            <w:tcW w:w="10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1740A36"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$100</w:t>
            </w:r>
          </w:p>
        </w:tc>
        <w:tc>
          <w:tcPr>
            <w:tcW w:w="923"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BB861B5"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$101</w:t>
            </w:r>
          </w:p>
        </w:tc>
        <w:tc>
          <w:tcPr>
            <w:tcW w:w="923"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5B89170C" w14:textId="77777777" w:rsidR="000E0395" w:rsidRPr="000E0395" w:rsidRDefault="000E0395" w:rsidP="000E0395">
            <w:pPr>
              <w:spacing w:after="160" w:line="276" w:lineRule="auto"/>
              <w:jc w:val="center"/>
              <w:rPr>
                <w:rFonts w:eastAsia="Calibri" w:cs="Arial"/>
                <w:b/>
                <w:bCs/>
                <w:sz w:val="20"/>
              </w:rPr>
            </w:pPr>
            <w:r w:rsidRPr="000E0395">
              <w:rPr>
                <w:rFonts w:eastAsia="Calibri" w:cs="Arial"/>
                <w:b/>
                <w:bCs/>
                <w:sz w:val="20"/>
              </w:rPr>
              <w:t>$101</w:t>
            </w:r>
          </w:p>
        </w:tc>
        <w:tc>
          <w:tcPr>
            <w:tcW w:w="1091"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35460D56" w14:textId="77777777" w:rsidR="000E0395" w:rsidRPr="000E0395" w:rsidRDefault="000E0395" w:rsidP="000E0395">
            <w:pPr>
              <w:spacing w:after="160" w:line="276" w:lineRule="auto"/>
              <w:jc w:val="center"/>
              <w:rPr>
                <w:rFonts w:eastAsia="Calibri" w:cs="Arial"/>
                <w:b/>
                <w:bCs/>
                <w:color w:val="FF0000"/>
                <w:sz w:val="20"/>
              </w:rPr>
            </w:pPr>
            <w:r w:rsidRPr="000E0395">
              <w:rPr>
                <w:rFonts w:eastAsia="Calibri" w:cs="Arial"/>
                <w:b/>
                <w:bCs/>
                <w:sz w:val="20"/>
              </w:rPr>
              <w:t>1.0</w:t>
            </w:r>
          </w:p>
        </w:tc>
        <w:tc>
          <w:tcPr>
            <w:tcW w:w="1091" w:type="dxa"/>
            <w:tcBorders>
              <w:top w:val="nil"/>
              <w:left w:val="nil"/>
              <w:bottom w:val="single" w:sz="8" w:space="0" w:color="auto"/>
              <w:right w:val="single" w:sz="8" w:space="0" w:color="auto"/>
            </w:tcBorders>
            <w:shd w:val="clear" w:color="auto" w:fill="FF99CC"/>
            <w:tcMar>
              <w:top w:w="0" w:type="dxa"/>
              <w:left w:w="108" w:type="dxa"/>
              <w:bottom w:w="0" w:type="dxa"/>
              <w:right w:w="108" w:type="dxa"/>
            </w:tcMar>
            <w:vAlign w:val="center"/>
            <w:hideMark/>
          </w:tcPr>
          <w:p w14:paraId="5B7A7E3F" w14:textId="77777777" w:rsidR="000E0395" w:rsidRPr="000E0395" w:rsidRDefault="000E0395" w:rsidP="000E0395">
            <w:pPr>
              <w:spacing w:after="160" w:line="276" w:lineRule="auto"/>
              <w:jc w:val="center"/>
              <w:rPr>
                <w:rFonts w:eastAsia="Calibri" w:cs="Arial"/>
                <w:b/>
                <w:bCs/>
                <w:color w:val="FF0000"/>
                <w:sz w:val="20"/>
              </w:rPr>
            </w:pPr>
            <w:r w:rsidRPr="000E0395">
              <w:rPr>
                <w:rFonts w:eastAsia="Calibri" w:cs="Arial"/>
                <w:b/>
                <w:bCs/>
                <w:sz w:val="20"/>
              </w:rPr>
              <w:t>2.1</w:t>
            </w:r>
          </w:p>
        </w:tc>
      </w:tr>
    </w:tbl>
    <w:p w14:paraId="08CEDA73" w14:textId="77777777" w:rsidR="000E0395" w:rsidRPr="000E0395" w:rsidRDefault="000E0395" w:rsidP="000E0395">
      <w:pPr>
        <w:spacing w:after="160" w:line="259" w:lineRule="auto"/>
        <w:rPr>
          <w:rFonts w:ascii="Calibri" w:eastAsia="Calibri" w:hAnsi="Calibri"/>
          <w:b/>
          <w:bCs/>
          <w:color w:val="365F91"/>
          <w:sz w:val="22"/>
          <w:szCs w:val="22"/>
        </w:rPr>
      </w:pPr>
    </w:p>
    <w:p w14:paraId="029F181E"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67432F40" w14:textId="77777777" w:rsidR="000E0395" w:rsidRPr="000E0395" w:rsidRDefault="000E0395" w:rsidP="00242F2B">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lastRenderedPageBreak/>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7788823" w14:textId="77777777" w:rsidR="000E0395" w:rsidRPr="000E0395" w:rsidRDefault="000E0395" w:rsidP="00242F2B">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Windows U .28-.30</w:t>
      </w:r>
      <w:r w:rsidRPr="000E0395">
        <w:rPr>
          <w:rFonts w:ascii="Calibri Light" w:hAnsi="Calibri Light"/>
          <w:color w:val="1F4D78"/>
          <w:szCs w:val="24"/>
        </w:rPr>
        <w:tab/>
      </w:r>
      <w:r w:rsidRPr="000E0395">
        <w:rPr>
          <w:rFonts w:ascii="Calibri Light" w:hAnsi="Calibri Light"/>
          <w:color w:val="2E74B5"/>
          <w:sz w:val="26"/>
          <w:szCs w:val="26"/>
        </w:rPr>
        <w:tab/>
      </w:r>
      <w:r w:rsidRPr="000E0395">
        <w:rPr>
          <w:rFonts w:ascii="Calibri Light" w:hAnsi="Calibri Light"/>
          <w:color w:val="2E74B5"/>
          <w:sz w:val="20"/>
          <w:szCs w:val="26"/>
        </w:rPr>
        <w:t>High Efficiency Windows New Tiers</w:t>
      </w:r>
    </w:p>
    <w:p w14:paraId="060B710C" w14:textId="77777777" w:rsidR="000E0395" w:rsidRPr="000E0395" w:rsidRDefault="000E0395" w:rsidP="00242F2B">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Homes</w:t>
      </w:r>
      <w:r w:rsidRPr="000E0395">
        <w:rPr>
          <w:rFonts w:ascii="Calibri Light" w:hAnsi="Calibri Light"/>
          <w:color w:val="1F4D78"/>
          <w:szCs w:val="24"/>
        </w:rPr>
        <w:tab/>
        <w:t>Windows, U &lt;= .27</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High Efficiency Windows New Tiers</w:t>
      </w:r>
    </w:p>
    <w:p w14:paraId="7FFC9406" w14:textId="77777777" w:rsidR="000E0395" w:rsidRPr="000E0395" w:rsidRDefault="000E0395" w:rsidP="00242F2B">
      <w:pPr>
        <w:spacing w:after="160" w:line="259" w:lineRule="auto"/>
        <w:ind w:left="-720"/>
        <w:rPr>
          <w:rFonts w:ascii="Calibri" w:eastAsia="Calibri" w:hAnsi="Calibri"/>
          <w:b/>
          <w:bCs/>
          <w:sz w:val="22"/>
          <w:szCs w:val="22"/>
        </w:rPr>
      </w:pPr>
    </w:p>
    <w:p w14:paraId="17C7B300"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UPDATED Blessing Memo for Windows in Single Family, Manufacture Homes, and Small Multifamily</w:t>
      </w:r>
    </w:p>
    <w:p w14:paraId="632AD466"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 xml:space="preserve">Applicable Programs: </w:t>
      </w:r>
    </w:p>
    <w:p w14:paraId="7D233F3E"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sz w:val="22"/>
          <w:szCs w:val="22"/>
        </w:rPr>
        <w:t>Home Energy Savings, Home Performance with ENERGY STAR, and Existing Manufactured Homes programs and the Multifamily Existing Buildings program for properties with four or fewer living units in both Oregon and Washington</w:t>
      </w:r>
    </w:p>
    <w:p w14:paraId="4C3E26D5" w14:textId="77777777" w:rsidR="000E0395" w:rsidRPr="000E0395" w:rsidRDefault="000E0395" w:rsidP="00242F2B">
      <w:pPr>
        <w:spacing w:after="160" w:line="259" w:lineRule="auto"/>
        <w:rPr>
          <w:rFonts w:ascii="Calibri" w:eastAsia="Calibri" w:hAnsi="Calibri"/>
          <w:b/>
          <w:bCs/>
          <w:sz w:val="22"/>
          <w:szCs w:val="22"/>
        </w:rPr>
      </w:pPr>
    </w:p>
    <w:p w14:paraId="07649638"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Measure Description</w:t>
      </w:r>
    </w:p>
    <w:p w14:paraId="38E397D8" w14:textId="77777777" w:rsidR="000E0395" w:rsidRPr="000E0395" w:rsidRDefault="000E0395" w:rsidP="00242F2B">
      <w:pPr>
        <w:overflowPunct w:val="0"/>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t>Energy Trust offers incentives for two tiers of windows measures installed in the applicable programs. For both tiers, energy savings from reduced space heat use are measured against a market baseline of what homeowners would likely have purchased in the absence of the Energy Trust program.  At the present time, Tier 1 is for new windows with a U-factor between 0.26 and 0.30; Tier 2 is for the even more efficient windows with a U-factor 0.25 or less.  Since last updated in 2009, our assumption for the market baseline U-factor has aligned with the RTF at 0.35.</w:t>
      </w:r>
    </w:p>
    <w:p w14:paraId="0E450779" w14:textId="77777777" w:rsidR="000E0395" w:rsidRPr="000E0395" w:rsidRDefault="000E0395" w:rsidP="00242F2B">
      <w:pPr>
        <w:overflowPunct w:val="0"/>
        <w:autoSpaceDE w:val="0"/>
        <w:autoSpaceDN w:val="0"/>
        <w:spacing w:after="160" w:line="259" w:lineRule="auto"/>
        <w:rPr>
          <w:rFonts w:ascii="Calibri" w:eastAsia="Calibri" w:hAnsi="Calibri"/>
          <w:sz w:val="22"/>
          <w:szCs w:val="22"/>
        </w:rPr>
      </w:pPr>
    </w:p>
    <w:p w14:paraId="093C63CF" w14:textId="77777777" w:rsidR="000E0395" w:rsidRPr="000E0395" w:rsidRDefault="000E0395" w:rsidP="00242F2B">
      <w:pPr>
        <w:overflowPunct w:val="0"/>
        <w:autoSpaceDE w:val="0"/>
        <w:autoSpaceDN w:val="0"/>
        <w:spacing w:after="160" w:line="259" w:lineRule="auto"/>
        <w:rPr>
          <w:rFonts w:ascii="Calibri" w:eastAsia="Calibri" w:hAnsi="Calibri"/>
          <w:sz w:val="22"/>
          <w:szCs w:val="22"/>
        </w:rPr>
      </w:pPr>
      <w:r w:rsidRPr="000E0395">
        <w:rPr>
          <w:rFonts w:ascii="Calibri" w:eastAsia="Calibri" w:hAnsi="Calibri"/>
          <w:sz w:val="22"/>
          <w:szCs w:val="22"/>
        </w:rPr>
        <w:t>Multifamily Existing Buildings has separate windows retrofit measures for large properties with five or more living units, which calculate savings and costs from the existing condition.  The difference between larger multifamily buildings and the single family and small multifamily measures is a result of market research that indicates that large multifamily projects are less likely to have occurred without Energy Trust incentives, whereas single family homeowners are more likely to replace their windows without our incentive, but may be influenced to purchase more efficient windows than they would otherwise have done.</w:t>
      </w:r>
    </w:p>
    <w:p w14:paraId="6CCDAE2D" w14:textId="77777777" w:rsidR="000E0395" w:rsidRPr="000E0395" w:rsidRDefault="000E0395" w:rsidP="00242F2B">
      <w:pPr>
        <w:overflowPunct w:val="0"/>
        <w:autoSpaceDE w:val="0"/>
        <w:autoSpaceDN w:val="0"/>
        <w:spacing w:after="160" w:line="259" w:lineRule="auto"/>
        <w:rPr>
          <w:rFonts w:ascii="Calibri" w:eastAsia="Calibri" w:hAnsi="Calibri"/>
          <w:color w:val="1F497D"/>
          <w:sz w:val="22"/>
          <w:szCs w:val="22"/>
        </w:rPr>
      </w:pPr>
    </w:p>
    <w:p w14:paraId="299FD41C" w14:textId="77777777" w:rsidR="000E0395" w:rsidRPr="000E0395" w:rsidRDefault="000E0395" w:rsidP="00242F2B">
      <w:pPr>
        <w:overflowPunct w:val="0"/>
        <w:autoSpaceDE w:val="0"/>
        <w:autoSpaceDN w:val="0"/>
        <w:spacing w:after="160" w:line="259" w:lineRule="auto"/>
        <w:rPr>
          <w:rFonts w:ascii="Calibri" w:eastAsia="Calibri" w:hAnsi="Calibri"/>
          <w:color w:val="1F497D"/>
          <w:sz w:val="22"/>
          <w:szCs w:val="22"/>
        </w:rPr>
      </w:pPr>
      <w:r w:rsidRPr="000E0395">
        <w:rPr>
          <w:rFonts w:ascii="Calibri" w:eastAsia="Calibri" w:hAnsi="Calibri"/>
          <w:color w:val="1F497D"/>
          <w:sz w:val="22"/>
          <w:szCs w:val="22"/>
        </w:rPr>
        <w:t>Multifamily properties with four or fewer properties were moved from the single family to the multifamily program in 2012 because the delivery channel had more similarities with other multifamily properties.  However, the characteristics of the buildings have more in common with detached single family homes.  More detailed data on windows in small multifamily buildings are not available and would be costly to develop.  Further, the number of projects in small multifamily buildings is far less than single family, so that any small differences in building construction would be further diminished in their impact by their relative infrequency.  This iteration of the windows blessing memo asserts that the savings used for single family windows measures may be used for multifamily properties with four or fewer living units.</w:t>
      </w:r>
    </w:p>
    <w:p w14:paraId="7398EEE4" w14:textId="77777777" w:rsidR="000E0395" w:rsidRPr="000E0395" w:rsidRDefault="000E0395" w:rsidP="00242F2B">
      <w:pPr>
        <w:spacing w:after="160" w:line="259" w:lineRule="auto"/>
        <w:rPr>
          <w:rFonts w:ascii="Calibri" w:eastAsia="Calibri" w:hAnsi="Calibri"/>
          <w:b/>
          <w:bCs/>
          <w:sz w:val="22"/>
          <w:szCs w:val="22"/>
        </w:rPr>
      </w:pPr>
    </w:p>
    <w:p w14:paraId="4D118DEC" w14:textId="77777777" w:rsidR="000E0395" w:rsidRPr="000E0395" w:rsidRDefault="000E0395" w:rsidP="00242F2B">
      <w:pPr>
        <w:rPr>
          <w:rFonts w:ascii="Calibri" w:eastAsia="Calibri" w:hAnsi="Calibri"/>
          <w:b/>
          <w:bCs/>
          <w:sz w:val="22"/>
          <w:szCs w:val="22"/>
        </w:rPr>
      </w:pPr>
      <w:r w:rsidRPr="000E0395">
        <w:rPr>
          <w:rFonts w:ascii="Calibri" w:eastAsia="Calibri" w:hAnsi="Calibri"/>
          <w:b/>
          <w:bCs/>
          <w:sz w:val="22"/>
          <w:szCs w:val="22"/>
        </w:rPr>
        <w:t>Need for Review</w:t>
      </w:r>
    </w:p>
    <w:p w14:paraId="357E828F" w14:textId="77777777" w:rsidR="000E0395" w:rsidRPr="000E0395" w:rsidRDefault="000E0395" w:rsidP="00242F2B">
      <w:pPr>
        <w:rPr>
          <w:rFonts w:ascii="Calibri" w:eastAsia="Calibri" w:hAnsi="Calibri"/>
          <w:sz w:val="22"/>
          <w:szCs w:val="22"/>
        </w:rPr>
      </w:pPr>
      <w:r w:rsidRPr="000E0395">
        <w:rPr>
          <w:rFonts w:ascii="Calibri" w:eastAsia="Calibri" w:hAnsi="Calibri"/>
          <w:sz w:val="22"/>
          <w:szCs w:val="22"/>
        </w:rPr>
        <w:t xml:space="preserve">Since 2009, Energy Trust has received indications that the market baseline has become more efficient than the 0.35 U-factor </w:t>
      </w:r>
      <w:proofErr w:type="gramStart"/>
      <w:r w:rsidRPr="000E0395">
        <w:rPr>
          <w:rFonts w:ascii="Calibri" w:eastAsia="Calibri" w:hAnsi="Calibri"/>
          <w:sz w:val="22"/>
          <w:szCs w:val="22"/>
        </w:rPr>
        <w:t>baseline</w:t>
      </w:r>
      <w:proofErr w:type="gramEnd"/>
      <w:r w:rsidRPr="000E0395">
        <w:rPr>
          <w:rFonts w:ascii="Calibri" w:eastAsia="Calibri" w:hAnsi="Calibri"/>
          <w:sz w:val="22"/>
          <w:szCs w:val="22"/>
        </w:rPr>
        <w:t xml:space="preserve"> we currently assume. ENERGY STAR released a draft windows specification change announcement in the summer of 2013 for a 2016 proposed change, which showed that 81% of the national </w:t>
      </w:r>
      <w:r w:rsidRPr="000E0395">
        <w:rPr>
          <w:rFonts w:ascii="Calibri" w:eastAsia="Calibri" w:hAnsi="Calibri"/>
          <w:sz w:val="22"/>
          <w:szCs w:val="22"/>
        </w:rPr>
        <w:lastRenderedPageBreak/>
        <w:t>windows market meets their current criteria of a 0.30 U-factor or better. Also, anecdotal evidence suggests that most new homes in the region are using 0.30 U-factor windows or better.   Due to a lack of local market data to support these indications Energy Trust decided to commission a market survey to inform any change to baseline U-factor assumptions.</w:t>
      </w:r>
    </w:p>
    <w:p w14:paraId="51636A09" w14:textId="77777777" w:rsidR="000E0395" w:rsidRPr="000E0395" w:rsidRDefault="000E0395" w:rsidP="000E0395">
      <w:pPr>
        <w:ind w:left="720"/>
        <w:rPr>
          <w:rFonts w:ascii="Calibri" w:eastAsia="Calibri" w:hAnsi="Calibri"/>
          <w:sz w:val="22"/>
          <w:szCs w:val="22"/>
        </w:rPr>
      </w:pPr>
    </w:p>
    <w:p w14:paraId="6DE7BD0C" w14:textId="77777777" w:rsidR="000E0395" w:rsidRPr="000E0395" w:rsidRDefault="000E0395" w:rsidP="00242F2B">
      <w:pPr>
        <w:rPr>
          <w:rFonts w:ascii="Calibri" w:eastAsia="Calibri" w:hAnsi="Calibri"/>
          <w:sz w:val="22"/>
          <w:szCs w:val="22"/>
        </w:rPr>
      </w:pPr>
      <w:r w:rsidRPr="000E0395">
        <w:rPr>
          <w:rFonts w:ascii="Calibri" w:eastAsia="Calibri" w:hAnsi="Calibri"/>
          <w:sz w:val="22"/>
          <w:szCs w:val="22"/>
        </w:rPr>
        <w:t xml:space="preserve">The market survey consisted of interviews with regional window manufacturers, which were conducted by an independent contractor who has existing relationships with manufacturers in the area and who is considered an expert on this technology in the region.  Participating window manufacturers represented 74.5% of sales in the region.  </w:t>
      </w:r>
    </w:p>
    <w:p w14:paraId="6E4C7722" w14:textId="77777777" w:rsidR="000E0395" w:rsidRPr="000E0395" w:rsidRDefault="000E0395" w:rsidP="00242F2B">
      <w:pPr>
        <w:rPr>
          <w:rFonts w:ascii="Calibri" w:eastAsia="Calibri" w:hAnsi="Calibri"/>
          <w:sz w:val="22"/>
          <w:szCs w:val="22"/>
        </w:rPr>
      </w:pPr>
    </w:p>
    <w:p w14:paraId="06834446" w14:textId="77777777" w:rsidR="000E0395" w:rsidRPr="000E0395" w:rsidRDefault="000E0395" w:rsidP="00242F2B">
      <w:pPr>
        <w:rPr>
          <w:rFonts w:ascii="Calibri" w:eastAsia="Calibri" w:hAnsi="Calibri"/>
          <w:sz w:val="22"/>
          <w:szCs w:val="22"/>
        </w:rPr>
      </w:pPr>
      <w:r w:rsidRPr="000E0395">
        <w:rPr>
          <w:rFonts w:ascii="Calibri" w:eastAsia="Calibri" w:hAnsi="Calibri"/>
          <w:sz w:val="22"/>
          <w:szCs w:val="22"/>
        </w:rPr>
        <w:t xml:space="preserve">Interviews took place in October and November of 2013.  Manufacturers were asked about their regional and Oregon market share, the percent of sales in each efficiency category, and the average incremental cost for each efficiency category for the time period Q3-2012 to Q3-2013.  The data allow us to calculate sales weighted average baseline window efficiency and sales weighted average incremental cost of efficiency for the entire NW windows market.  </w:t>
      </w:r>
    </w:p>
    <w:p w14:paraId="74DEDAB6" w14:textId="77777777" w:rsidR="000E0395" w:rsidRPr="000E0395" w:rsidRDefault="000E0395" w:rsidP="00242F2B">
      <w:pPr>
        <w:rPr>
          <w:rFonts w:ascii="Calibri" w:eastAsia="Calibri" w:hAnsi="Calibri"/>
          <w:sz w:val="22"/>
          <w:szCs w:val="22"/>
        </w:rPr>
      </w:pPr>
    </w:p>
    <w:p w14:paraId="24797B8B"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Energy Savings</w:t>
      </w:r>
    </w:p>
    <w:p w14:paraId="63854DE6" w14:textId="77777777" w:rsidR="000E0395" w:rsidRPr="000E0395" w:rsidRDefault="000E0395" w:rsidP="00242F2B">
      <w:pPr>
        <w:spacing w:after="160" w:line="259" w:lineRule="auto"/>
        <w:rPr>
          <w:rFonts w:ascii="Calibri" w:eastAsia="Calibri" w:hAnsi="Calibri"/>
          <w:sz w:val="22"/>
          <w:szCs w:val="22"/>
          <w:u w:val="single"/>
        </w:rPr>
      </w:pPr>
      <w:r w:rsidRPr="000E0395">
        <w:rPr>
          <w:rFonts w:ascii="Calibri" w:eastAsia="Calibri" w:hAnsi="Calibri"/>
          <w:sz w:val="22"/>
          <w:szCs w:val="22"/>
          <w:u w:val="single"/>
        </w:rPr>
        <w:t>Calculation of market baseline</w:t>
      </w:r>
    </w:p>
    <w:p w14:paraId="0C0A588F"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The results of the survey for the market share of windows at various efficiency levels are shown in Table 1.</w:t>
      </w:r>
    </w:p>
    <w:p w14:paraId="03F41DED" w14:textId="77777777" w:rsidR="000E0395" w:rsidRPr="000E0395" w:rsidRDefault="000E0395" w:rsidP="000E0395">
      <w:pPr>
        <w:spacing w:after="160" w:line="259" w:lineRule="auto"/>
        <w:ind w:left="720"/>
        <w:jc w:val="center"/>
        <w:rPr>
          <w:rFonts w:ascii="Calibri" w:eastAsia="Calibri" w:hAnsi="Calibri"/>
          <w:b/>
          <w:bCs/>
          <w:sz w:val="20"/>
        </w:rPr>
      </w:pPr>
      <w:r w:rsidRPr="000E0395">
        <w:rPr>
          <w:rFonts w:ascii="Calibri" w:eastAsia="Calibri" w:hAnsi="Calibri"/>
          <w:b/>
          <w:bCs/>
          <w:sz w:val="20"/>
        </w:rPr>
        <w:t>Table 1: Percent of Sales by Efficiency Tier</w:t>
      </w:r>
    </w:p>
    <w:tbl>
      <w:tblPr>
        <w:tblW w:w="4360" w:type="dxa"/>
        <w:jc w:val="center"/>
        <w:tblCellMar>
          <w:left w:w="0" w:type="dxa"/>
          <w:right w:w="0" w:type="dxa"/>
        </w:tblCellMar>
        <w:tblLook w:val="04A0" w:firstRow="1" w:lastRow="0" w:firstColumn="1" w:lastColumn="0" w:noHBand="0" w:noVBand="1"/>
      </w:tblPr>
      <w:tblGrid>
        <w:gridCol w:w="2040"/>
        <w:gridCol w:w="2320"/>
      </w:tblGrid>
      <w:tr w:rsidR="000E0395" w:rsidRPr="000E0395" w14:paraId="7488AEE4" w14:textId="77777777" w:rsidTr="000E0395">
        <w:trPr>
          <w:trHeight w:val="435"/>
          <w:jc w:val="center"/>
        </w:trPr>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CB483"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U-Factor Tier</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15CDE6"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Relative Market Share</w:t>
            </w:r>
          </w:p>
        </w:tc>
      </w:tr>
      <w:tr w:rsidR="000E0395" w:rsidRPr="000E0395" w14:paraId="4DD2FD07"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AA65D4"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&gt; 0.35</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13961"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2.78%</w:t>
            </w:r>
          </w:p>
        </w:tc>
      </w:tr>
      <w:tr w:rsidR="000E0395" w:rsidRPr="000E0395" w14:paraId="67FB3ACA"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41D7A0"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.33 to .35</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F9E60D"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26.25%</w:t>
            </w:r>
          </w:p>
        </w:tc>
      </w:tr>
      <w:tr w:rsidR="000E0395" w:rsidRPr="000E0395" w14:paraId="2B21AA71"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B4ED2"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.31 to .32</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DB964C"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15.05%</w:t>
            </w:r>
          </w:p>
        </w:tc>
      </w:tr>
      <w:tr w:rsidR="000E0395" w:rsidRPr="000E0395" w14:paraId="7F659ED1"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9479CE"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.29 to .30</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11BBFC"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45.87%</w:t>
            </w:r>
          </w:p>
        </w:tc>
      </w:tr>
      <w:tr w:rsidR="000E0395" w:rsidRPr="000E0395" w14:paraId="1C0DAD41"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8AA3E5"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.26 to .28</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E7EA6"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7.91%</w:t>
            </w:r>
          </w:p>
        </w:tc>
      </w:tr>
      <w:tr w:rsidR="000E0395" w:rsidRPr="000E0395" w14:paraId="78C7A847"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BC4F55"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.25 or lower</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C5CF9"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2.15%</w:t>
            </w:r>
          </w:p>
        </w:tc>
      </w:tr>
      <w:tr w:rsidR="000E0395" w:rsidRPr="000E0395" w14:paraId="15F70583" w14:textId="77777777" w:rsidTr="000E0395">
        <w:trPr>
          <w:trHeight w:val="300"/>
          <w:jc w:val="center"/>
        </w:trPr>
        <w:tc>
          <w:tcPr>
            <w:tcW w:w="2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F9452"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Total</w:t>
            </w:r>
          </w:p>
        </w:tc>
        <w:tc>
          <w:tcPr>
            <w:tcW w:w="2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9D041"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100.00%</w:t>
            </w:r>
          </w:p>
        </w:tc>
      </w:tr>
    </w:tbl>
    <w:p w14:paraId="409B3966" w14:textId="77777777" w:rsidR="000E0395" w:rsidRPr="000E0395" w:rsidRDefault="000E0395" w:rsidP="000E0395">
      <w:pPr>
        <w:spacing w:after="160" w:line="259" w:lineRule="auto"/>
        <w:ind w:left="720"/>
        <w:rPr>
          <w:rFonts w:ascii="Calibri" w:eastAsia="Calibri" w:hAnsi="Calibri"/>
          <w:sz w:val="22"/>
          <w:szCs w:val="22"/>
        </w:rPr>
      </w:pPr>
    </w:p>
    <w:p w14:paraId="1DF5CA7C"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These data include new homes and replacement windows as well as the portion of sales from participants in our program. To construct a natural market baseline to define the existing home, replacement market without our program influence, </w:t>
      </w:r>
      <w:proofErr w:type="gramStart"/>
      <w:r w:rsidRPr="000E0395">
        <w:rPr>
          <w:rFonts w:ascii="Calibri" w:eastAsia="Calibri" w:hAnsi="Calibri"/>
          <w:sz w:val="22"/>
          <w:szCs w:val="22"/>
        </w:rPr>
        <w:t>two</w:t>
      </w:r>
      <w:proofErr w:type="gramEnd"/>
      <w:r w:rsidRPr="000E0395">
        <w:rPr>
          <w:rFonts w:ascii="Calibri" w:eastAsia="Calibri" w:hAnsi="Calibri"/>
          <w:sz w:val="22"/>
          <w:szCs w:val="22"/>
        </w:rPr>
        <w:t xml:space="preserve"> adjustments were made. 1) The new homes market was estimated to be approximately half of the overall market, based on NEEA’s Long Term Monitoring and Tracking report and to be composed almost entirely of windows with a U-factor of 0.30 or less. Therefore, we removed fifty percent of the market share of new homes at 0.3 or less from the data. 2) Approximately 6% of the overall market, after removing free-riders, participated in the Energy Trust Existing Homes program. This proportion was also removed from the data. </w:t>
      </w:r>
    </w:p>
    <w:p w14:paraId="7965B502" w14:textId="77777777" w:rsidR="000E0395" w:rsidRPr="000E0395" w:rsidRDefault="000E0395" w:rsidP="00242F2B">
      <w:pPr>
        <w:spacing w:after="160" w:line="259" w:lineRule="auto"/>
        <w:rPr>
          <w:rFonts w:ascii="Calibri" w:eastAsia="Calibri" w:hAnsi="Calibri"/>
          <w:sz w:val="22"/>
          <w:szCs w:val="22"/>
        </w:rPr>
      </w:pPr>
    </w:p>
    <w:p w14:paraId="4DDE163F"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lastRenderedPageBreak/>
        <w:t>The adjusted weighted average market baseline of replacement windows for Existing Homes was calculated, with a resulting U-factor of 0.334.</w:t>
      </w:r>
    </w:p>
    <w:p w14:paraId="5C0846C7" w14:textId="77777777" w:rsidR="000E0395" w:rsidRPr="000E0395" w:rsidRDefault="000E0395" w:rsidP="00242F2B">
      <w:pPr>
        <w:spacing w:after="160" w:line="259" w:lineRule="auto"/>
        <w:rPr>
          <w:rFonts w:ascii="Calibri" w:eastAsia="Calibri" w:hAnsi="Calibri"/>
          <w:sz w:val="22"/>
          <w:szCs w:val="22"/>
        </w:rPr>
      </w:pPr>
    </w:p>
    <w:p w14:paraId="44901C9B" w14:textId="77777777" w:rsidR="000E0395" w:rsidRPr="000E0395" w:rsidRDefault="000E0395" w:rsidP="00242F2B">
      <w:pPr>
        <w:spacing w:after="160" w:line="259" w:lineRule="auto"/>
        <w:rPr>
          <w:rFonts w:ascii="Calibri" w:eastAsia="Calibri" w:hAnsi="Calibri"/>
          <w:sz w:val="22"/>
          <w:szCs w:val="22"/>
          <w:u w:val="single"/>
        </w:rPr>
      </w:pPr>
      <w:r w:rsidRPr="000E0395">
        <w:rPr>
          <w:rFonts w:ascii="Calibri" w:eastAsia="Calibri" w:hAnsi="Calibri"/>
          <w:sz w:val="22"/>
          <w:szCs w:val="22"/>
          <w:u w:val="single"/>
        </w:rPr>
        <w:t>Proposed changes to tiers</w:t>
      </w:r>
    </w:p>
    <w:p w14:paraId="67A637C1"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Before working through adjustments to measure savings and cost assumptions due to this adjusted market baseline, it was important to look to market influences to help define what new measure tiers could be implemented going forward that would continue to drive the market towards higher efficiency levels. Energy Trust proposes to change the windows tiers at the beginning of 2015 in anticipation of expected changes to ENERGY STAR windows specifications in 2016 for the Northern climate zone.  For Energy Trust, the first tier will include windows with a U-factor of 0.28 to 0.30.  The second tier will include windows with a U-factor equal to or less than 0.27 or with an equivalent energy performance, as defined by ENERGY STAR.</w:t>
      </w:r>
    </w:p>
    <w:p w14:paraId="6EB5D1F5"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The basic requirement will be a U-factor of 0.27 or better, though equivalent performance may be achieved with a higher SHGC, as shown in table 2.  By shifting one year ahead of Energy Star, we have time to better help prepare the market for 2016 changes.</w:t>
      </w:r>
    </w:p>
    <w:p w14:paraId="5044A4F4" w14:textId="77777777" w:rsidR="000E0395" w:rsidRPr="000E0395" w:rsidRDefault="000E0395" w:rsidP="000E0395">
      <w:pPr>
        <w:spacing w:after="160" w:line="259" w:lineRule="auto"/>
        <w:ind w:left="720"/>
        <w:rPr>
          <w:rFonts w:ascii="Calibri" w:eastAsia="Calibri" w:hAnsi="Calibri"/>
          <w:sz w:val="22"/>
          <w:szCs w:val="22"/>
        </w:rPr>
      </w:pPr>
    </w:p>
    <w:p w14:paraId="747915B4" w14:textId="77777777" w:rsidR="000E0395" w:rsidRPr="000E0395" w:rsidRDefault="000E0395" w:rsidP="000E0395">
      <w:pPr>
        <w:spacing w:after="160" w:line="259" w:lineRule="auto"/>
        <w:ind w:left="720"/>
        <w:jc w:val="center"/>
        <w:rPr>
          <w:rFonts w:ascii="Calibri" w:eastAsia="Calibri" w:hAnsi="Calibri"/>
          <w:sz w:val="22"/>
          <w:szCs w:val="22"/>
        </w:rPr>
      </w:pPr>
      <w:r w:rsidRPr="000E0395">
        <w:rPr>
          <w:rFonts w:ascii="Calibri" w:eastAsia="Calibri" w:hAnsi="Calibri"/>
          <w:sz w:val="22"/>
          <w:szCs w:val="22"/>
        </w:rPr>
        <w:t>Table 2: ENERGY STAR Qualification Criteria for Windows, version 6.0</w:t>
      </w:r>
    </w:p>
    <w:p w14:paraId="64429E43" w14:textId="77777777" w:rsidR="000E0395" w:rsidRPr="000E0395" w:rsidRDefault="000E0395" w:rsidP="000E0395">
      <w:pPr>
        <w:spacing w:after="160" w:line="259" w:lineRule="auto"/>
        <w:ind w:left="3600"/>
        <w:rPr>
          <w:rFonts w:ascii="Calibri" w:eastAsia="Calibri" w:hAnsi="Calibri"/>
          <w:sz w:val="22"/>
          <w:szCs w:val="22"/>
        </w:rPr>
      </w:pPr>
    </w:p>
    <w:tbl>
      <w:tblPr>
        <w:tblW w:w="3072" w:type="dxa"/>
        <w:tblInd w:w="3693" w:type="dxa"/>
        <w:tblCellMar>
          <w:left w:w="0" w:type="dxa"/>
          <w:right w:w="0" w:type="dxa"/>
        </w:tblCellMar>
        <w:tblLook w:val="04A0" w:firstRow="1" w:lastRow="0" w:firstColumn="1" w:lastColumn="0" w:noHBand="0" w:noVBand="1"/>
      </w:tblPr>
      <w:tblGrid>
        <w:gridCol w:w="1152"/>
        <w:gridCol w:w="960"/>
        <w:gridCol w:w="960"/>
      </w:tblGrid>
      <w:tr w:rsidR="000E0395" w:rsidRPr="000E0395" w14:paraId="6AB0E5DF" w14:textId="77777777" w:rsidTr="000E0395">
        <w:trPr>
          <w:trHeight w:val="300"/>
        </w:trPr>
        <w:tc>
          <w:tcPr>
            <w:tcW w:w="11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BE648D"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Climate Zone</w:t>
            </w:r>
          </w:p>
        </w:tc>
        <w:tc>
          <w:tcPr>
            <w:tcW w:w="960"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25246ADD"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U-factor</w:t>
            </w:r>
          </w:p>
        </w:tc>
        <w:tc>
          <w:tcPr>
            <w:tcW w:w="960" w:type="dxa"/>
            <w:tcBorders>
              <w:top w:val="single" w:sz="8" w:space="0" w:color="auto"/>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01245A82"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SHGC</w:t>
            </w:r>
          </w:p>
        </w:tc>
      </w:tr>
      <w:tr w:rsidR="000E0395" w:rsidRPr="000E0395" w14:paraId="67138362" w14:textId="77777777" w:rsidTr="000E0395">
        <w:trPr>
          <w:trHeight w:val="300"/>
        </w:trPr>
        <w:tc>
          <w:tcPr>
            <w:tcW w:w="1152" w:type="dxa"/>
            <w:tcBorders>
              <w:top w:val="nil"/>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vAlign w:val="bottom"/>
            <w:hideMark/>
          </w:tcPr>
          <w:p w14:paraId="1F6F8224" w14:textId="77777777" w:rsidR="000E0395" w:rsidRPr="000E0395" w:rsidRDefault="000E0395" w:rsidP="000E0395">
            <w:pPr>
              <w:spacing w:after="160" w:line="259" w:lineRule="auto"/>
              <w:rPr>
                <w:rFonts w:ascii="Calibri" w:eastAsia="Calibri" w:hAnsi="Calibri"/>
                <w:color w:val="FFFFFF"/>
                <w:sz w:val="22"/>
                <w:szCs w:val="22"/>
              </w:rPr>
            </w:pPr>
            <w:r w:rsidRPr="000E0395">
              <w:rPr>
                <w:rFonts w:ascii="Calibri" w:eastAsia="Calibri" w:hAnsi="Calibri"/>
                <w:color w:val="FFFFFF"/>
                <w:sz w:val="22"/>
                <w:szCs w:val="22"/>
              </w:rPr>
              <w:t>Northern*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07420"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3A952"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Any</w:t>
            </w:r>
          </w:p>
        </w:tc>
      </w:tr>
      <w:tr w:rsidR="000E0395" w:rsidRPr="000E0395" w14:paraId="4FE79D2E" w14:textId="77777777" w:rsidTr="000E0395">
        <w:trPr>
          <w:trHeight w:val="300"/>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A42336" w14:textId="77777777" w:rsidR="000E0395" w:rsidRPr="000E0395" w:rsidRDefault="000E0395" w:rsidP="000E0395">
            <w:pPr>
              <w:spacing w:after="160" w:line="259" w:lineRule="auto"/>
              <w:rPr>
                <w:rFonts w:ascii="Calibri" w:eastAsia="Calibri" w:hAnsi="Calibri"/>
                <w:color w:val="000000"/>
                <w:sz w:val="22"/>
                <w:szCs w:val="22"/>
              </w:rPr>
            </w:pP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DE7BBF1"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=0.28</w:t>
            </w: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E21C0A0"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≥0.32</w:t>
            </w:r>
          </w:p>
        </w:tc>
      </w:tr>
      <w:tr w:rsidR="000E0395" w:rsidRPr="000E0395" w14:paraId="5A93F6BC" w14:textId="77777777" w:rsidTr="000E0395">
        <w:trPr>
          <w:trHeight w:val="300"/>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85CC80" w14:textId="77777777" w:rsidR="000E0395" w:rsidRPr="000E0395" w:rsidRDefault="000E0395" w:rsidP="000E0395">
            <w:pPr>
              <w:spacing w:after="160" w:line="259" w:lineRule="auto"/>
              <w:rPr>
                <w:rFonts w:ascii="Calibri" w:eastAsia="Calibri" w:hAnsi="Calibri"/>
                <w:color w:val="000000"/>
                <w:sz w:val="22"/>
                <w:szCs w:val="22"/>
              </w:rPr>
            </w:pP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F02F55C"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=0.29</w:t>
            </w: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F8BA05D"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≥0.37</w:t>
            </w:r>
          </w:p>
        </w:tc>
      </w:tr>
      <w:tr w:rsidR="000E0395" w:rsidRPr="000E0395" w14:paraId="2208A3F9" w14:textId="77777777" w:rsidTr="000E0395">
        <w:trPr>
          <w:trHeight w:val="300"/>
        </w:trPr>
        <w:tc>
          <w:tcPr>
            <w:tcW w:w="11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D7A29" w14:textId="77777777" w:rsidR="000E0395" w:rsidRPr="000E0395" w:rsidRDefault="000E0395" w:rsidP="000E0395">
            <w:pPr>
              <w:spacing w:after="160" w:line="259" w:lineRule="auto"/>
              <w:rPr>
                <w:rFonts w:ascii="Calibri" w:eastAsia="Calibri" w:hAnsi="Calibri"/>
                <w:color w:val="000000"/>
                <w:sz w:val="22"/>
                <w:szCs w:val="22"/>
              </w:rPr>
            </w:pP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7F47E5D"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=0.30</w:t>
            </w:r>
          </w:p>
        </w:tc>
        <w:tc>
          <w:tcPr>
            <w:tcW w:w="9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9A09F35" w14:textId="77777777" w:rsidR="000E0395" w:rsidRPr="000E0395" w:rsidRDefault="000E0395" w:rsidP="000E0395">
            <w:pPr>
              <w:spacing w:after="160" w:line="259" w:lineRule="auto"/>
              <w:jc w:val="right"/>
              <w:rPr>
                <w:rFonts w:ascii="Calibri" w:eastAsia="Calibri" w:hAnsi="Calibri"/>
                <w:color w:val="000000"/>
                <w:sz w:val="22"/>
                <w:szCs w:val="22"/>
              </w:rPr>
            </w:pPr>
            <w:r w:rsidRPr="000E0395">
              <w:rPr>
                <w:rFonts w:ascii="Calibri" w:eastAsia="Calibri" w:hAnsi="Calibri"/>
                <w:color w:val="000000"/>
                <w:sz w:val="22"/>
                <w:szCs w:val="22"/>
              </w:rPr>
              <w:t>≥0.42</w:t>
            </w:r>
          </w:p>
        </w:tc>
      </w:tr>
    </w:tbl>
    <w:p w14:paraId="40875AB4" w14:textId="77777777" w:rsidR="000E0395" w:rsidRPr="000E0395" w:rsidRDefault="000E0395" w:rsidP="000E0395">
      <w:pPr>
        <w:spacing w:after="160" w:line="259" w:lineRule="auto"/>
        <w:ind w:left="3600"/>
        <w:rPr>
          <w:rFonts w:ascii="Calibri" w:eastAsia="Calibri" w:hAnsi="Calibri"/>
          <w:b/>
          <w:bCs/>
          <w:sz w:val="20"/>
        </w:rPr>
      </w:pPr>
    </w:p>
    <w:p w14:paraId="23AF7DAA"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b/>
          <w:bCs/>
          <w:sz w:val="20"/>
        </w:rPr>
        <w:t xml:space="preserve">* </w:t>
      </w:r>
      <w:r w:rsidRPr="000E0395">
        <w:rPr>
          <w:rFonts w:ascii="Calibri" w:eastAsia="Calibri" w:hAnsi="Calibri"/>
          <w:sz w:val="20"/>
        </w:rPr>
        <w:t>The effective date for the Northern Zone prescriptive and equivalent energy performance criteria for windows is January 1, 2016.</w:t>
      </w:r>
    </w:p>
    <w:p w14:paraId="1E74A72B" w14:textId="77777777" w:rsidR="000E0395" w:rsidRPr="000E0395" w:rsidRDefault="000E0395" w:rsidP="00242F2B">
      <w:pPr>
        <w:spacing w:after="160" w:line="259" w:lineRule="auto"/>
        <w:rPr>
          <w:rFonts w:ascii="Calibri" w:eastAsia="Calibri" w:hAnsi="Calibri"/>
          <w:b/>
          <w:bCs/>
          <w:sz w:val="22"/>
          <w:szCs w:val="22"/>
        </w:rPr>
      </w:pPr>
    </w:p>
    <w:p w14:paraId="7C3DF03D" w14:textId="77777777" w:rsidR="000E0395" w:rsidRPr="000E0395" w:rsidRDefault="000E0395" w:rsidP="00242F2B">
      <w:pPr>
        <w:spacing w:after="160" w:line="259" w:lineRule="auto"/>
        <w:rPr>
          <w:rFonts w:ascii="Calibri" w:eastAsia="Calibri" w:hAnsi="Calibri"/>
          <w:sz w:val="22"/>
          <w:szCs w:val="22"/>
          <w:u w:val="single"/>
        </w:rPr>
      </w:pPr>
      <w:r w:rsidRPr="000E0395">
        <w:rPr>
          <w:rFonts w:ascii="Calibri" w:eastAsia="Calibri" w:hAnsi="Calibri"/>
          <w:sz w:val="22"/>
          <w:szCs w:val="22"/>
          <w:u w:val="single"/>
        </w:rPr>
        <w:t>Calculation of savings</w:t>
      </w:r>
    </w:p>
    <w:p w14:paraId="6F364945"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Gas savings estimates are based on billing analysis from installations completed in the program from 2005 to 2008.  Electric savings are taken from earlier years, as in later years not enough homes with electric space heat installed windows to produce a statistically valid sample.  The impact analysis from 2005 and 2006 done by </w:t>
      </w:r>
      <w:proofErr w:type="spellStart"/>
      <w:r w:rsidRPr="000E0395">
        <w:rPr>
          <w:rFonts w:ascii="Calibri" w:eastAsia="Calibri" w:hAnsi="Calibri"/>
          <w:sz w:val="22"/>
          <w:szCs w:val="22"/>
        </w:rPr>
        <w:t>EcoNorthwest</w:t>
      </w:r>
      <w:proofErr w:type="spellEnd"/>
      <w:r w:rsidRPr="000E0395">
        <w:rPr>
          <w:rFonts w:ascii="Calibri" w:eastAsia="Calibri" w:hAnsi="Calibri"/>
          <w:sz w:val="22"/>
          <w:szCs w:val="22"/>
        </w:rPr>
        <w:t xml:space="preserve"> found 564 kWh per year savings.  The impact analysis from 2007 and 2008 done by Opinion Dynamics Corporation found 39 annual therms, which was corroborated by billing analysis done by Energy Trust evaluation staff for gas heated homes that installed windows in 2009.  The average area of windows replaced </w:t>
      </w:r>
      <w:r w:rsidRPr="000E0395">
        <w:rPr>
          <w:rFonts w:ascii="Calibri" w:eastAsia="Calibri" w:hAnsi="Calibri"/>
          <w:sz w:val="22"/>
          <w:szCs w:val="22"/>
        </w:rPr>
        <w:lastRenderedPageBreak/>
        <w:t>was 151 square feet, so that the savings per square foot are 3.76 kWh per year and 0.26 annual therms for windows with a U-factor equal to or less than 0.30.</w:t>
      </w:r>
    </w:p>
    <w:p w14:paraId="10A5D8AD" w14:textId="77777777" w:rsidR="000E0395" w:rsidRPr="000E0395" w:rsidRDefault="000E0395" w:rsidP="00242F2B">
      <w:pPr>
        <w:spacing w:after="160" w:line="259" w:lineRule="auto"/>
        <w:rPr>
          <w:rFonts w:ascii="Calibri" w:eastAsia="Calibri" w:hAnsi="Calibri"/>
          <w:sz w:val="22"/>
          <w:szCs w:val="22"/>
        </w:rPr>
      </w:pPr>
    </w:p>
    <w:p w14:paraId="45761B05"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To translate those energy savings into values that would apply for our new tier structure, a linear fit was assumed in relation to the change in U-factor and 2013 program average U-factors were binned in the new tier structure. The resulting savings are 2.86 kWh per year per square foot or 0.198 annual therms per square foot for windows with a U-factor between 0.30 and 0.28. For windows with a U-factor of 0.27 or lower or equivalent energy performance, savings are 6.92 kWh per year per square foot or 0.478 annual therms per square foot. </w:t>
      </w:r>
    </w:p>
    <w:p w14:paraId="5EF7752B" w14:textId="77777777" w:rsidR="000E0395" w:rsidRPr="000E0395" w:rsidRDefault="000E0395" w:rsidP="00242F2B">
      <w:pPr>
        <w:spacing w:after="160" w:line="259" w:lineRule="auto"/>
        <w:rPr>
          <w:rFonts w:ascii="Calibri" w:eastAsia="Calibri" w:hAnsi="Calibri"/>
          <w:sz w:val="22"/>
          <w:szCs w:val="22"/>
        </w:rPr>
      </w:pPr>
    </w:p>
    <w:p w14:paraId="5656D11B"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Measure Cost</w:t>
      </w:r>
    </w:p>
    <w:p w14:paraId="5BA0D485"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The market research used to set the new efficiency market baseline also indicated wholesale incremental cost for each efficiency bin.    </w:t>
      </w:r>
    </w:p>
    <w:p w14:paraId="4405D8BE" w14:textId="77777777" w:rsidR="000E0395" w:rsidRPr="000E0395" w:rsidRDefault="000E0395" w:rsidP="000E0395">
      <w:pPr>
        <w:spacing w:after="160" w:line="259" w:lineRule="auto"/>
        <w:ind w:left="720"/>
        <w:rPr>
          <w:rFonts w:ascii="Calibri" w:eastAsia="Calibri" w:hAnsi="Calibri"/>
          <w:sz w:val="22"/>
          <w:szCs w:val="22"/>
        </w:rPr>
      </w:pPr>
    </w:p>
    <w:p w14:paraId="2F58D67A" w14:textId="77777777" w:rsidR="000E0395" w:rsidRPr="000E0395" w:rsidRDefault="000E0395" w:rsidP="000E0395">
      <w:pPr>
        <w:spacing w:after="160" w:line="259" w:lineRule="auto"/>
        <w:ind w:left="720"/>
        <w:jc w:val="center"/>
        <w:rPr>
          <w:rFonts w:ascii="Calibri" w:eastAsia="Calibri" w:hAnsi="Calibri"/>
          <w:b/>
          <w:bCs/>
          <w:sz w:val="20"/>
        </w:rPr>
      </w:pPr>
      <w:r w:rsidRPr="000E0395">
        <w:rPr>
          <w:rFonts w:ascii="Calibri" w:eastAsia="Calibri" w:hAnsi="Calibri"/>
          <w:b/>
          <w:bCs/>
          <w:sz w:val="20"/>
        </w:rPr>
        <w:t>Table 3: Incremental Cost by Efficiency Bin</w:t>
      </w:r>
    </w:p>
    <w:tbl>
      <w:tblPr>
        <w:tblW w:w="6259" w:type="dxa"/>
        <w:jc w:val="center"/>
        <w:tblCellMar>
          <w:left w:w="0" w:type="dxa"/>
          <w:right w:w="0" w:type="dxa"/>
        </w:tblCellMar>
        <w:tblLook w:val="04A0" w:firstRow="1" w:lastRow="0" w:firstColumn="1" w:lastColumn="0" w:noHBand="0" w:noVBand="1"/>
      </w:tblPr>
      <w:tblGrid>
        <w:gridCol w:w="2666"/>
        <w:gridCol w:w="3593"/>
      </w:tblGrid>
      <w:tr w:rsidR="000E0395" w:rsidRPr="000E0395" w14:paraId="30C16959" w14:textId="77777777" w:rsidTr="000E0395">
        <w:trPr>
          <w:trHeight w:val="598"/>
          <w:jc w:val="center"/>
        </w:trPr>
        <w:tc>
          <w:tcPr>
            <w:tcW w:w="26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28DDE8"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U-Factor Bin</w:t>
            </w:r>
          </w:p>
        </w:tc>
        <w:tc>
          <w:tcPr>
            <w:tcW w:w="3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D61A73" w14:textId="77777777" w:rsidR="000E0395" w:rsidRPr="000E0395" w:rsidRDefault="000E0395" w:rsidP="000E0395">
            <w:pPr>
              <w:spacing w:after="160" w:line="276" w:lineRule="auto"/>
              <w:jc w:val="center"/>
              <w:rPr>
                <w:rFonts w:ascii="Calibri" w:eastAsia="Calibri" w:hAnsi="Calibri"/>
                <w:b/>
                <w:bCs/>
                <w:color w:val="000000"/>
                <w:sz w:val="20"/>
              </w:rPr>
            </w:pPr>
            <w:r w:rsidRPr="000E0395">
              <w:rPr>
                <w:rFonts w:ascii="Calibri" w:eastAsia="Calibri" w:hAnsi="Calibri"/>
                <w:b/>
                <w:bCs/>
                <w:color w:val="000000"/>
                <w:sz w:val="20"/>
              </w:rPr>
              <w:t>Incremental Wholesale Cost per square foot to the Next Efficiency Bin</w:t>
            </w:r>
          </w:p>
        </w:tc>
      </w:tr>
      <w:tr w:rsidR="000E0395" w:rsidRPr="000E0395" w14:paraId="786CFBEA" w14:textId="77777777" w:rsidTr="000E0395">
        <w:trPr>
          <w:trHeight w:val="299"/>
          <w:jc w:val="center"/>
        </w:trPr>
        <w:tc>
          <w:tcPr>
            <w:tcW w:w="2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F33E53"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.33 to .35</w:t>
            </w:r>
          </w:p>
        </w:tc>
        <w:tc>
          <w:tcPr>
            <w:tcW w:w="3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AA9D9A"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baseline</w:t>
            </w:r>
          </w:p>
        </w:tc>
      </w:tr>
      <w:tr w:rsidR="000E0395" w:rsidRPr="000E0395" w14:paraId="7DD7A03A" w14:textId="77777777" w:rsidTr="000E0395">
        <w:trPr>
          <w:trHeight w:val="299"/>
          <w:jc w:val="center"/>
        </w:trPr>
        <w:tc>
          <w:tcPr>
            <w:tcW w:w="2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0935E0"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.31 to .32</w:t>
            </w:r>
          </w:p>
        </w:tc>
        <w:tc>
          <w:tcPr>
            <w:tcW w:w="3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647B36"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$ 0.47</w:t>
            </w:r>
          </w:p>
        </w:tc>
      </w:tr>
      <w:tr w:rsidR="000E0395" w:rsidRPr="000E0395" w14:paraId="734BB525" w14:textId="77777777" w:rsidTr="000E0395">
        <w:trPr>
          <w:trHeight w:val="299"/>
          <w:jc w:val="center"/>
        </w:trPr>
        <w:tc>
          <w:tcPr>
            <w:tcW w:w="2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2ADA90"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.29 to .30</w:t>
            </w:r>
          </w:p>
        </w:tc>
        <w:tc>
          <w:tcPr>
            <w:tcW w:w="3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0FAC25"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$ 0.32</w:t>
            </w:r>
          </w:p>
        </w:tc>
      </w:tr>
      <w:tr w:rsidR="000E0395" w:rsidRPr="000E0395" w14:paraId="566F3A72" w14:textId="77777777" w:rsidTr="000E0395">
        <w:trPr>
          <w:trHeight w:val="299"/>
          <w:jc w:val="center"/>
        </w:trPr>
        <w:tc>
          <w:tcPr>
            <w:tcW w:w="2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714500"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.26 to .28</w:t>
            </w:r>
          </w:p>
        </w:tc>
        <w:tc>
          <w:tcPr>
            <w:tcW w:w="3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0F4E2"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$ 0.59</w:t>
            </w:r>
          </w:p>
        </w:tc>
      </w:tr>
      <w:tr w:rsidR="000E0395" w:rsidRPr="000E0395" w14:paraId="579144AB" w14:textId="77777777" w:rsidTr="000E0395">
        <w:trPr>
          <w:trHeight w:val="299"/>
          <w:jc w:val="center"/>
        </w:trPr>
        <w:tc>
          <w:tcPr>
            <w:tcW w:w="2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221809"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.25 or lower</w:t>
            </w:r>
          </w:p>
        </w:tc>
        <w:tc>
          <w:tcPr>
            <w:tcW w:w="35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0C4F9" w14:textId="77777777" w:rsidR="000E0395" w:rsidRPr="000E0395" w:rsidRDefault="000E0395" w:rsidP="000E0395">
            <w:pPr>
              <w:spacing w:after="160" w:line="276" w:lineRule="auto"/>
              <w:jc w:val="center"/>
              <w:rPr>
                <w:rFonts w:ascii="Calibri" w:eastAsia="Calibri" w:hAnsi="Calibri"/>
                <w:color w:val="000000"/>
                <w:sz w:val="20"/>
              </w:rPr>
            </w:pPr>
            <w:r w:rsidRPr="000E0395">
              <w:rPr>
                <w:rFonts w:ascii="Calibri" w:eastAsia="Calibri" w:hAnsi="Calibri"/>
                <w:color w:val="000000"/>
                <w:sz w:val="20"/>
              </w:rPr>
              <w:t>$ 1.72</w:t>
            </w:r>
          </w:p>
        </w:tc>
      </w:tr>
    </w:tbl>
    <w:p w14:paraId="7B044782" w14:textId="77777777" w:rsidR="000E0395" w:rsidRPr="000E0395" w:rsidRDefault="000E0395" w:rsidP="000E0395">
      <w:pPr>
        <w:spacing w:after="160" w:line="259" w:lineRule="auto"/>
        <w:ind w:left="720"/>
        <w:rPr>
          <w:rFonts w:ascii="Calibri" w:eastAsia="Calibri" w:hAnsi="Calibri"/>
          <w:b/>
          <w:bCs/>
          <w:sz w:val="22"/>
          <w:szCs w:val="22"/>
        </w:rPr>
      </w:pPr>
    </w:p>
    <w:p w14:paraId="6E383BF0"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However, the cost for measure analysis is properly defined as the cost of efficiency, which is not reflected in the wholesale cost for two reasons.  First, the costs should be retail, and second, many features of windows such as style and frame material affect the cost and are not related to efficiency.  To determine the cost of efficiency, both the Regional Technical Forum and the Energy Trust have previously used the 25</w:t>
      </w:r>
      <w:r w:rsidRPr="000E0395">
        <w:rPr>
          <w:rFonts w:ascii="Calibri" w:eastAsia="Calibri" w:hAnsi="Calibri"/>
          <w:sz w:val="22"/>
          <w:szCs w:val="22"/>
          <w:vertAlign w:val="superscript"/>
        </w:rPr>
        <w:t>th</w:t>
      </w:r>
      <w:r w:rsidRPr="000E0395">
        <w:rPr>
          <w:rFonts w:ascii="Calibri" w:eastAsia="Calibri" w:hAnsi="Calibri"/>
          <w:sz w:val="22"/>
          <w:szCs w:val="22"/>
        </w:rPr>
        <w:t xml:space="preserve"> percentile cost of windows, in order to separate out the cost of other features.  The 25</w:t>
      </w:r>
      <w:r w:rsidRPr="000E0395">
        <w:rPr>
          <w:rFonts w:ascii="Calibri" w:eastAsia="Calibri" w:hAnsi="Calibri"/>
          <w:sz w:val="22"/>
          <w:szCs w:val="22"/>
          <w:vertAlign w:val="superscript"/>
        </w:rPr>
        <w:t>th</w:t>
      </w:r>
      <w:r w:rsidRPr="000E0395">
        <w:rPr>
          <w:rFonts w:ascii="Calibri" w:eastAsia="Calibri" w:hAnsi="Calibri"/>
          <w:sz w:val="22"/>
          <w:szCs w:val="22"/>
        </w:rPr>
        <w:t xml:space="preserve"> percentile cost is the cost at which one quarter of the windows </w:t>
      </w:r>
      <w:proofErr w:type="gramStart"/>
      <w:r w:rsidRPr="000E0395">
        <w:rPr>
          <w:rFonts w:ascii="Calibri" w:eastAsia="Calibri" w:hAnsi="Calibri"/>
          <w:sz w:val="22"/>
          <w:szCs w:val="22"/>
        </w:rPr>
        <w:t>are</w:t>
      </w:r>
      <w:proofErr w:type="gramEnd"/>
      <w:r w:rsidRPr="000E0395">
        <w:rPr>
          <w:rFonts w:ascii="Calibri" w:eastAsia="Calibri" w:hAnsi="Calibri"/>
          <w:sz w:val="22"/>
          <w:szCs w:val="22"/>
        </w:rPr>
        <w:t xml:space="preserve"> cheaper than the given amount, and three quarters are more expensive.</w:t>
      </w:r>
    </w:p>
    <w:p w14:paraId="7E604DCF" w14:textId="77777777" w:rsidR="000E0395" w:rsidRPr="000E0395" w:rsidRDefault="000E0395" w:rsidP="00242F2B">
      <w:pPr>
        <w:spacing w:after="160" w:line="259" w:lineRule="auto"/>
        <w:rPr>
          <w:rFonts w:ascii="Calibri" w:eastAsia="Calibri" w:hAnsi="Calibri"/>
          <w:sz w:val="22"/>
          <w:szCs w:val="22"/>
        </w:rPr>
      </w:pPr>
    </w:p>
    <w:p w14:paraId="4F96067E"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Using the 25</w:t>
      </w:r>
      <w:r w:rsidRPr="000E0395">
        <w:rPr>
          <w:rFonts w:ascii="Calibri" w:eastAsia="Calibri" w:hAnsi="Calibri"/>
          <w:sz w:val="22"/>
          <w:szCs w:val="22"/>
          <w:vertAlign w:val="superscript"/>
        </w:rPr>
        <w:t>th</w:t>
      </w:r>
      <w:r w:rsidRPr="000E0395">
        <w:rPr>
          <w:rFonts w:ascii="Calibri" w:eastAsia="Calibri" w:hAnsi="Calibri"/>
          <w:sz w:val="22"/>
          <w:szCs w:val="22"/>
        </w:rPr>
        <w:t xml:space="preserve"> percentile of program cost data for windows installed in 2013, the incremental cost of efficiency from a maximum U-factor of 0.30 to an average U-factor of 0.24 is $3.25.  The market research data indicated a wholesale incremental cost of $2.31.  Therefore, the 25</w:t>
      </w:r>
      <w:r w:rsidRPr="000E0395">
        <w:rPr>
          <w:rFonts w:ascii="Calibri" w:eastAsia="Calibri" w:hAnsi="Calibri"/>
          <w:sz w:val="22"/>
          <w:szCs w:val="22"/>
          <w:vertAlign w:val="superscript"/>
        </w:rPr>
        <w:t>th</w:t>
      </w:r>
      <w:r w:rsidRPr="000E0395">
        <w:rPr>
          <w:rFonts w:ascii="Calibri" w:eastAsia="Calibri" w:hAnsi="Calibri"/>
          <w:sz w:val="22"/>
          <w:szCs w:val="22"/>
        </w:rPr>
        <w:t xml:space="preserve"> percentile retail cost appears to be approximately 41% higher than average wholesale cost.</w:t>
      </w:r>
    </w:p>
    <w:p w14:paraId="4983F933" w14:textId="77777777" w:rsidR="000E0395" w:rsidRPr="000E0395" w:rsidRDefault="000E0395" w:rsidP="00242F2B">
      <w:pPr>
        <w:spacing w:after="160" w:line="259" w:lineRule="auto"/>
        <w:rPr>
          <w:rFonts w:ascii="Calibri" w:eastAsia="Calibri" w:hAnsi="Calibri"/>
          <w:sz w:val="22"/>
          <w:szCs w:val="22"/>
        </w:rPr>
      </w:pPr>
    </w:p>
    <w:p w14:paraId="66FBE2CE"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lastRenderedPageBreak/>
        <w:t>No program data exist for the baseline window, as they are less efficient than any windows that receive an Energy Trust incentive.  To calculate the baseline cost, the mark-up was applied to the wholesale incremental cost between the baseline and the first efficiency tier, and the result subtracted from the average cost of an efficient window at that level to arrive at a baseline cost of $25.45.  The incremental retail costs are then calculated from the baseline to the 25</w:t>
      </w:r>
      <w:r w:rsidRPr="000E0395">
        <w:rPr>
          <w:rFonts w:ascii="Calibri" w:eastAsia="Calibri" w:hAnsi="Calibri"/>
          <w:sz w:val="22"/>
          <w:szCs w:val="22"/>
          <w:vertAlign w:val="superscript"/>
        </w:rPr>
        <w:t>th</w:t>
      </w:r>
      <w:r w:rsidRPr="000E0395">
        <w:rPr>
          <w:rFonts w:ascii="Calibri" w:eastAsia="Calibri" w:hAnsi="Calibri"/>
          <w:sz w:val="22"/>
          <w:szCs w:val="22"/>
        </w:rPr>
        <w:t xml:space="preserve"> percentile cost, as shown in Table 5.</w:t>
      </w:r>
    </w:p>
    <w:p w14:paraId="6838EB66" w14:textId="77777777" w:rsidR="000E0395" w:rsidRPr="000E0395" w:rsidRDefault="000E0395" w:rsidP="000E0395">
      <w:pPr>
        <w:spacing w:after="160" w:line="259" w:lineRule="auto"/>
        <w:ind w:left="720"/>
        <w:rPr>
          <w:rFonts w:ascii="Calibri" w:eastAsia="Calibri" w:hAnsi="Calibri"/>
          <w:sz w:val="22"/>
          <w:szCs w:val="22"/>
        </w:rPr>
      </w:pPr>
    </w:p>
    <w:p w14:paraId="6AAB9DD7" w14:textId="77777777" w:rsidR="000E0395" w:rsidRPr="000E0395" w:rsidRDefault="000E0395" w:rsidP="000E0395">
      <w:pPr>
        <w:spacing w:after="160" w:line="259" w:lineRule="auto"/>
        <w:ind w:left="720"/>
        <w:jc w:val="center"/>
        <w:rPr>
          <w:rFonts w:ascii="Calibri" w:eastAsia="Calibri" w:hAnsi="Calibri"/>
          <w:b/>
          <w:bCs/>
          <w:sz w:val="20"/>
        </w:rPr>
      </w:pPr>
      <w:r w:rsidRPr="000E0395">
        <w:rPr>
          <w:rFonts w:ascii="Calibri" w:eastAsia="Calibri" w:hAnsi="Calibri"/>
          <w:b/>
          <w:bCs/>
          <w:sz w:val="20"/>
        </w:rPr>
        <w:t>Table 4: Incremental Retail Cost</w:t>
      </w:r>
    </w:p>
    <w:tbl>
      <w:tblPr>
        <w:tblW w:w="8910" w:type="dxa"/>
        <w:jc w:val="center"/>
        <w:tblCellMar>
          <w:left w:w="0" w:type="dxa"/>
          <w:right w:w="0" w:type="dxa"/>
        </w:tblCellMar>
        <w:tblLook w:val="04A0" w:firstRow="1" w:lastRow="0" w:firstColumn="1" w:lastColumn="0" w:noHBand="0" w:noVBand="1"/>
      </w:tblPr>
      <w:tblGrid>
        <w:gridCol w:w="1461"/>
        <w:gridCol w:w="1710"/>
        <w:gridCol w:w="1385"/>
        <w:gridCol w:w="2177"/>
        <w:gridCol w:w="2177"/>
      </w:tblGrid>
      <w:tr w:rsidR="000E0395" w:rsidRPr="000E0395" w14:paraId="3D51D837" w14:textId="77777777" w:rsidTr="000E0395">
        <w:trPr>
          <w:trHeight w:val="255"/>
          <w:jc w:val="center"/>
        </w:trPr>
        <w:tc>
          <w:tcPr>
            <w:tcW w:w="14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D32FA0" w14:textId="77777777" w:rsidR="000E0395" w:rsidRPr="000E0395" w:rsidRDefault="000E0395" w:rsidP="000E0395">
            <w:pPr>
              <w:spacing w:after="160" w:line="259" w:lineRule="auto"/>
              <w:jc w:val="right"/>
              <w:rPr>
                <w:rFonts w:ascii="Calibri" w:eastAsia="Calibri" w:hAnsi="Calibri"/>
                <w:b/>
                <w:bCs/>
                <w:sz w:val="20"/>
              </w:rPr>
            </w:pPr>
            <w:r w:rsidRPr="000E0395">
              <w:rPr>
                <w:rFonts w:ascii="Calibri" w:eastAsia="Calibri" w:hAnsi="Calibri"/>
                <w:b/>
                <w:bCs/>
                <w:sz w:val="20"/>
              </w:rPr>
              <w:t>Maximum U-factor</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D6E3E4" w14:textId="77777777" w:rsidR="000E0395" w:rsidRPr="000E0395" w:rsidRDefault="000E0395" w:rsidP="000E0395">
            <w:pPr>
              <w:spacing w:after="160" w:line="259" w:lineRule="auto"/>
              <w:jc w:val="right"/>
              <w:rPr>
                <w:rFonts w:ascii="Calibri" w:eastAsia="Calibri" w:hAnsi="Calibri"/>
                <w:b/>
                <w:bCs/>
                <w:sz w:val="20"/>
              </w:rPr>
            </w:pPr>
            <w:r w:rsidRPr="000E0395">
              <w:rPr>
                <w:rFonts w:ascii="Calibri" w:eastAsia="Calibri" w:hAnsi="Calibri"/>
                <w:b/>
                <w:bCs/>
                <w:sz w:val="20"/>
              </w:rPr>
              <w:t>Minimum U-factor</w:t>
            </w:r>
          </w:p>
        </w:tc>
        <w:tc>
          <w:tcPr>
            <w:tcW w:w="13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F188B5" w14:textId="77777777" w:rsidR="000E0395" w:rsidRPr="000E0395" w:rsidRDefault="000E0395" w:rsidP="000E0395">
            <w:pPr>
              <w:spacing w:after="160" w:line="259" w:lineRule="auto"/>
              <w:jc w:val="right"/>
              <w:rPr>
                <w:rFonts w:ascii="Calibri" w:eastAsia="Calibri" w:hAnsi="Calibri"/>
                <w:b/>
                <w:bCs/>
                <w:sz w:val="20"/>
              </w:rPr>
            </w:pPr>
            <w:r w:rsidRPr="000E0395">
              <w:rPr>
                <w:rFonts w:ascii="Calibri" w:eastAsia="Calibri" w:hAnsi="Calibri"/>
                <w:b/>
                <w:bCs/>
                <w:sz w:val="20"/>
              </w:rPr>
              <w:t>Average U-factor</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64A4B" w14:textId="77777777" w:rsidR="000E0395" w:rsidRPr="000E0395" w:rsidRDefault="000E0395" w:rsidP="000E0395">
            <w:pPr>
              <w:spacing w:after="160" w:line="259" w:lineRule="auto"/>
              <w:jc w:val="right"/>
              <w:rPr>
                <w:rFonts w:ascii="Calibri" w:eastAsia="Calibri" w:hAnsi="Calibri"/>
                <w:b/>
                <w:bCs/>
                <w:sz w:val="20"/>
              </w:rPr>
            </w:pPr>
            <w:r w:rsidRPr="000E0395">
              <w:rPr>
                <w:rFonts w:ascii="Calibri" w:eastAsia="Calibri" w:hAnsi="Calibri"/>
                <w:b/>
                <w:bCs/>
                <w:sz w:val="20"/>
              </w:rPr>
              <w:t>25</w:t>
            </w:r>
            <w:r w:rsidRPr="000E0395">
              <w:rPr>
                <w:rFonts w:ascii="Calibri" w:eastAsia="Calibri" w:hAnsi="Calibri"/>
                <w:b/>
                <w:bCs/>
                <w:sz w:val="20"/>
                <w:vertAlign w:val="superscript"/>
              </w:rPr>
              <w:t>th</w:t>
            </w:r>
            <w:r w:rsidRPr="000E0395">
              <w:rPr>
                <w:rFonts w:ascii="Calibri" w:eastAsia="Calibri" w:hAnsi="Calibri"/>
                <w:b/>
                <w:bCs/>
                <w:sz w:val="20"/>
              </w:rPr>
              <w:t xml:space="preserve"> percentile cost ($/SF)</w:t>
            </w:r>
          </w:p>
        </w:tc>
        <w:tc>
          <w:tcPr>
            <w:tcW w:w="21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2CDE1C" w14:textId="77777777" w:rsidR="000E0395" w:rsidRPr="000E0395" w:rsidRDefault="000E0395" w:rsidP="000E0395">
            <w:pPr>
              <w:spacing w:after="160" w:line="259" w:lineRule="auto"/>
              <w:jc w:val="right"/>
              <w:rPr>
                <w:rFonts w:ascii="Calibri" w:eastAsia="Calibri" w:hAnsi="Calibri"/>
                <w:b/>
                <w:bCs/>
                <w:sz w:val="20"/>
              </w:rPr>
            </w:pPr>
            <w:r w:rsidRPr="000E0395">
              <w:rPr>
                <w:rFonts w:ascii="Calibri" w:eastAsia="Calibri" w:hAnsi="Calibri"/>
                <w:b/>
                <w:bCs/>
                <w:sz w:val="20"/>
              </w:rPr>
              <w:t>Calculated Incremental Retail Cost ($/SF)</w:t>
            </w:r>
          </w:p>
        </w:tc>
      </w:tr>
      <w:tr w:rsidR="000E0395" w:rsidRPr="000E0395" w14:paraId="1A32FB30" w14:textId="77777777" w:rsidTr="000E0395">
        <w:trPr>
          <w:trHeight w:val="255"/>
          <w:jc w:val="center"/>
        </w:trPr>
        <w:tc>
          <w:tcPr>
            <w:tcW w:w="1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E090DF"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Baseline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227B26" w14:textId="77777777" w:rsidR="000E0395" w:rsidRPr="000E0395" w:rsidRDefault="000E0395" w:rsidP="000E0395">
            <w:pPr>
              <w:spacing w:after="160" w:line="259" w:lineRule="auto"/>
              <w:jc w:val="right"/>
              <w:rPr>
                <w:rFonts w:ascii="Calibri" w:eastAsia="Calibri" w:hAnsi="Calibri"/>
                <w:sz w:val="20"/>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DB4D3A"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0.334</w:t>
            </w:r>
          </w:p>
        </w:tc>
        <w:tc>
          <w:tcPr>
            <w:tcW w:w="21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2E7D89"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color w:val="000000"/>
                <w:sz w:val="20"/>
              </w:rPr>
              <w:t>25.40</w:t>
            </w:r>
          </w:p>
        </w:tc>
        <w:tc>
          <w:tcPr>
            <w:tcW w:w="2177" w:type="dxa"/>
            <w:tcBorders>
              <w:top w:val="nil"/>
              <w:left w:val="nil"/>
              <w:bottom w:val="single" w:sz="8" w:space="0" w:color="auto"/>
              <w:right w:val="single" w:sz="8" w:space="0" w:color="auto"/>
            </w:tcBorders>
            <w:noWrap/>
            <w:tcMar>
              <w:top w:w="0" w:type="dxa"/>
              <w:left w:w="108" w:type="dxa"/>
              <w:bottom w:w="0" w:type="dxa"/>
              <w:right w:w="108" w:type="dxa"/>
            </w:tcMar>
            <w:hideMark/>
          </w:tcPr>
          <w:p w14:paraId="5892FE4F"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color w:val="000000"/>
                <w:sz w:val="20"/>
              </w:rPr>
              <w:t>$0.00</w:t>
            </w:r>
          </w:p>
        </w:tc>
      </w:tr>
      <w:tr w:rsidR="000E0395" w:rsidRPr="000E0395" w14:paraId="7FD5C54B" w14:textId="77777777" w:rsidTr="000E0395">
        <w:trPr>
          <w:trHeight w:val="255"/>
          <w:jc w:val="center"/>
        </w:trPr>
        <w:tc>
          <w:tcPr>
            <w:tcW w:w="1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B15CA"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0.30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DFA672"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0.28</w:t>
            </w: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0148DE"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0.296</w:t>
            </w:r>
          </w:p>
        </w:tc>
        <w:tc>
          <w:tcPr>
            <w:tcW w:w="21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55443E"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sz w:val="20"/>
              </w:rPr>
              <w:t>26.56</w:t>
            </w:r>
          </w:p>
        </w:tc>
        <w:tc>
          <w:tcPr>
            <w:tcW w:w="2177" w:type="dxa"/>
            <w:tcBorders>
              <w:top w:val="nil"/>
              <w:left w:val="nil"/>
              <w:bottom w:val="single" w:sz="8" w:space="0" w:color="auto"/>
              <w:right w:val="single" w:sz="8" w:space="0" w:color="auto"/>
            </w:tcBorders>
            <w:noWrap/>
            <w:tcMar>
              <w:top w:w="0" w:type="dxa"/>
              <w:left w:w="108" w:type="dxa"/>
              <w:bottom w:w="0" w:type="dxa"/>
              <w:right w:w="108" w:type="dxa"/>
            </w:tcMar>
            <w:hideMark/>
          </w:tcPr>
          <w:p w14:paraId="3027BEF7"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color w:val="000000"/>
                <w:sz w:val="20"/>
              </w:rPr>
              <w:t xml:space="preserve">$1.16 </w:t>
            </w:r>
          </w:p>
        </w:tc>
      </w:tr>
      <w:tr w:rsidR="000E0395" w:rsidRPr="000E0395" w14:paraId="46B7A31B" w14:textId="77777777" w:rsidTr="000E0395">
        <w:trPr>
          <w:trHeight w:val="255"/>
          <w:jc w:val="center"/>
        </w:trPr>
        <w:tc>
          <w:tcPr>
            <w:tcW w:w="1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EDDF5"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0.27</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5E8AE"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0.15</w:t>
            </w: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C2B89" w14:textId="77777777" w:rsidR="000E0395" w:rsidRPr="000E0395" w:rsidRDefault="000E0395" w:rsidP="000E0395">
            <w:pPr>
              <w:spacing w:after="160" w:line="259" w:lineRule="auto"/>
              <w:jc w:val="right"/>
              <w:rPr>
                <w:rFonts w:ascii="Calibri" w:eastAsia="Calibri" w:hAnsi="Calibri"/>
                <w:sz w:val="20"/>
              </w:rPr>
            </w:pPr>
            <w:r w:rsidRPr="000E0395">
              <w:rPr>
                <w:rFonts w:ascii="Calibri" w:eastAsia="Calibri" w:hAnsi="Calibri"/>
                <w:sz w:val="20"/>
              </w:rPr>
              <w:t>0.242</w:t>
            </w:r>
          </w:p>
        </w:tc>
        <w:tc>
          <w:tcPr>
            <w:tcW w:w="21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EEF5D3"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sz w:val="20"/>
              </w:rPr>
              <w:t>29.81</w:t>
            </w:r>
          </w:p>
        </w:tc>
        <w:tc>
          <w:tcPr>
            <w:tcW w:w="2177" w:type="dxa"/>
            <w:tcBorders>
              <w:top w:val="nil"/>
              <w:left w:val="nil"/>
              <w:bottom w:val="single" w:sz="8" w:space="0" w:color="auto"/>
              <w:right w:val="single" w:sz="8" w:space="0" w:color="auto"/>
            </w:tcBorders>
            <w:noWrap/>
            <w:tcMar>
              <w:top w:w="0" w:type="dxa"/>
              <w:left w:w="108" w:type="dxa"/>
              <w:bottom w:w="0" w:type="dxa"/>
              <w:right w:w="108" w:type="dxa"/>
            </w:tcMar>
            <w:hideMark/>
          </w:tcPr>
          <w:p w14:paraId="475944F7" w14:textId="77777777" w:rsidR="000E0395" w:rsidRPr="000E0395" w:rsidRDefault="000E0395" w:rsidP="000E0395">
            <w:pPr>
              <w:autoSpaceDE w:val="0"/>
              <w:autoSpaceDN w:val="0"/>
              <w:spacing w:after="160" w:line="259" w:lineRule="auto"/>
              <w:jc w:val="right"/>
              <w:rPr>
                <w:rFonts w:ascii="Calibri" w:eastAsia="Calibri" w:hAnsi="Calibri"/>
                <w:color w:val="000000"/>
                <w:sz w:val="20"/>
              </w:rPr>
            </w:pPr>
            <w:r w:rsidRPr="000E0395">
              <w:rPr>
                <w:rFonts w:ascii="Calibri" w:eastAsia="Calibri" w:hAnsi="Calibri"/>
                <w:color w:val="000000"/>
                <w:sz w:val="20"/>
              </w:rPr>
              <w:t>$4.41</w:t>
            </w:r>
          </w:p>
        </w:tc>
      </w:tr>
    </w:tbl>
    <w:p w14:paraId="0DF91874" w14:textId="77777777" w:rsidR="000E0395" w:rsidRPr="000E0395" w:rsidRDefault="000E0395" w:rsidP="000E0395">
      <w:pPr>
        <w:spacing w:after="160" w:line="259" w:lineRule="auto"/>
        <w:ind w:left="720"/>
        <w:rPr>
          <w:rFonts w:ascii="Calibri" w:eastAsia="Calibri" w:hAnsi="Calibri"/>
          <w:sz w:val="22"/>
          <w:szCs w:val="22"/>
        </w:rPr>
      </w:pPr>
    </w:p>
    <w:p w14:paraId="282BE538"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The absence of market data on the baseline retail cost introduces some uncertainty into the calculation of measure cost.  Unfortunately, this lack of data is unavoidable for the windows measure.  Program data will not include products with the baseline efficiency and considerable effort to collect market cost data through a survey gathered only the wholesale cost.  Planning staff consider the given baseline cost estimate to be the best achievable with the available data. </w:t>
      </w:r>
    </w:p>
    <w:p w14:paraId="37056F55" w14:textId="77777777" w:rsidR="000E0395" w:rsidRPr="000E0395" w:rsidRDefault="000E0395" w:rsidP="00242F2B">
      <w:pPr>
        <w:spacing w:after="160" w:line="259" w:lineRule="auto"/>
        <w:rPr>
          <w:rFonts w:ascii="Calibri" w:eastAsia="Calibri" w:hAnsi="Calibri"/>
          <w:sz w:val="22"/>
          <w:szCs w:val="22"/>
        </w:rPr>
      </w:pPr>
    </w:p>
    <w:p w14:paraId="668CEF7C" w14:textId="77777777" w:rsidR="000E0395" w:rsidRPr="000E0395" w:rsidRDefault="000E0395" w:rsidP="00242F2B">
      <w:pPr>
        <w:spacing w:after="160" w:line="259" w:lineRule="auto"/>
        <w:rPr>
          <w:rFonts w:ascii="Calibri" w:eastAsia="Calibri" w:hAnsi="Calibri"/>
          <w:b/>
          <w:bCs/>
          <w:sz w:val="22"/>
          <w:szCs w:val="22"/>
        </w:rPr>
      </w:pPr>
      <w:r w:rsidRPr="000E0395">
        <w:rPr>
          <w:rFonts w:ascii="Calibri" w:eastAsia="Calibri" w:hAnsi="Calibri"/>
          <w:b/>
          <w:bCs/>
          <w:sz w:val="22"/>
          <w:szCs w:val="22"/>
        </w:rPr>
        <w:t>Measure life</w:t>
      </w:r>
    </w:p>
    <w:p w14:paraId="47CC5F8F"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Measure life remains 45 years, consistent with previous Energy Trust windows measures.</w:t>
      </w:r>
    </w:p>
    <w:p w14:paraId="067ABFED" w14:textId="77777777" w:rsidR="000E0395" w:rsidRPr="000E0395" w:rsidRDefault="000E0395" w:rsidP="00242F2B">
      <w:pPr>
        <w:spacing w:after="160" w:line="259" w:lineRule="auto"/>
        <w:rPr>
          <w:rFonts w:ascii="Calibri" w:eastAsia="Calibri" w:hAnsi="Calibri"/>
          <w:sz w:val="22"/>
          <w:szCs w:val="22"/>
        </w:rPr>
      </w:pPr>
    </w:p>
    <w:p w14:paraId="2E21ABCF"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b/>
          <w:bCs/>
          <w:sz w:val="22"/>
          <w:szCs w:val="22"/>
        </w:rPr>
        <w:t xml:space="preserve">Incentives </w:t>
      </w:r>
    </w:p>
    <w:p w14:paraId="5CC8ED54"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sz w:val="22"/>
          <w:szCs w:val="22"/>
        </w:rPr>
        <w:t xml:space="preserve">The current incentive for windows with a U-factor of 0.25 is $3.50 per </w:t>
      </w:r>
      <w:proofErr w:type="spellStart"/>
      <w:r w:rsidRPr="000E0395">
        <w:rPr>
          <w:rFonts w:ascii="Calibri" w:eastAsia="Calibri" w:hAnsi="Calibri"/>
          <w:sz w:val="22"/>
          <w:szCs w:val="22"/>
        </w:rPr>
        <w:t>sq</w:t>
      </w:r>
      <w:proofErr w:type="spellEnd"/>
      <w:r w:rsidRPr="000E0395">
        <w:rPr>
          <w:rFonts w:ascii="Calibri" w:eastAsia="Calibri" w:hAnsi="Calibri"/>
          <w:sz w:val="22"/>
          <w:szCs w:val="22"/>
        </w:rPr>
        <w:t xml:space="preserve"> ft.  It compares to an incentive of $2.25 per </w:t>
      </w:r>
      <w:proofErr w:type="spellStart"/>
      <w:r w:rsidRPr="000E0395">
        <w:rPr>
          <w:rFonts w:ascii="Calibri" w:eastAsia="Calibri" w:hAnsi="Calibri"/>
          <w:sz w:val="22"/>
          <w:szCs w:val="22"/>
        </w:rPr>
        <w:t>sq</w:t>
      </w:r>
      <w:proofErr w:type="spellEnd"/>
      <w:r w:rsidRPr="000E0395">
        <w:rPr>
          <w:rFonts w:ascii="Calibri" w:eastAsia="Calibri" w:hAnsi="Calibri"/>
          <w:sz w:val="22"/>
          <w:szCs w:val="22"/>
        </w:rPr>
        <w:t xml:space="preserve"> </w:t>
      </w:r>
      <w:proofErr w:type="spellStart"/>
      <w:r w:rsidRPr="000E0395">
        <w:rPr>
          <w:rFonts w:ascii="Calibri" w:eastAsia="Calibri" w:hAnsi="Calibri"/>
          <w:sz w:val="22"/>
          <w:szCs w:val="22"/>
        </w:rPr>
        <w:t>ft</w:t>
      </w:r>
      <w:proofErr w:type="spellEnd"/>
      <w:r w:rsidRPr="000E0395">
        <w:rPr>
          <w:rFonts w:ascii="Calibri" w:eastAsia="Calibri" w:hAnsi="Calibri"/>
          <w:sz w:val="22"/>
          <w:szCs w:val="22"/>
        </w:rPr>
        <w:t xml:space="preserve"> for windows with a U-factor of 0.30.  For 2015, the maximum cost effective incentive is $4.31 per </w:t>
      </w:r>
      <w:proofErr w:type="spellStart"/>
      <w:r w:rsidRPr="000E0395">
        <w:rPr>
          <w:rFonts w:ascii="Calibri" w:eastAsia="Calibri" w:hAnsi="Calibri"/>
          <w:sz w:val="22"/>
          <w:szCs w:val="22"/>
        </w:rPr>
        <w:t>sq</w:t>
      </w:r>
      <w:proofErr w:type="spellEnd"/>
      <w:r w:rsidRPr="000E0395">
        <w:rPr>
          <w:rFonts w:ascii="Calibri" w:eastAsia="Calibri" w:hAnsi="Calibri"/>
          <w:sz w:val="22"/>
          <w:szCs w:val="22"/>
        </w:rPr>
        <w:t xml:space="preserve"> ft. for products with a U-factor of 0.27 and less, and $1.78 for products with a U-factor between 0.28 and 0.30.</w:t>
      </w:r>
    </w:p>
    <w:p w14:paraId="23459425" w14:textId="77777777" w:rsidR="000E0395" w:rsidRPr="000E0395" w:rsidRDefault="000E0395" w:rsidP="00242F2B">
      <w:pPr>
        <w:spacing w:after="160" w:line="259" w:lineRule="auto"/>
        <w:rPr>
          <w:rFonts w:ascii="Calibri" w:eastAsia="Calibri" w:hAnsi="Calibri"/>
          <w:sz w:val="22"/>
          <w:szCs w:val="22"/>
        </w:rPr>
      </w:pPr>
    </w:p>
    <w:p w14:paraId="3F51271C" w14:textId="77777777" w:rsidR="000E0395" w:rsidRPr="000E0395" w:rsidRDefault="000E0395" w:rsidP="00242F2B">
      <w:pPr>
        <w:spacing w:after="160" w:line="259" w:lineRule="auto"/>
        <w:rPr>
          <w:rFonts w:ascii="Calibri" w:eastAsia="Calibri" w:hAnsi="Calibri"/>
          <w:b/>
          <w:bCs/>
          <w:color w:val="44546A"/>
          <w:sz w:val="22"/>
          <w:szCs w:val="22"/>
        </w:rPr>
      </w:pPr>
      <w:r w:rsidRPr="000E0395">
        <w:rPr>
          <w:rFonts w:ascii="Calibri" w:eastAsia="Calibri" w:hAnsi="Calibri"/>
          <w:b/>
          <w:bCs/>
          <w:sz w:val="22"/>
          <w:szCs w:val="22"/>
        </w:rPr>
        <w:t xml:space="preserve">Cost Effectiveness </w:t>
      </w:r>
    </w:p>
    <w:p w14:paraId="27562495" w14:textId="77777777" w:rsidR="000E0395" w:rsidRPr="000E0395" w:rsidRDefault="000E0395" w:rsidP="00242F2B">
      <w:pPr>
        <w:spacing w:after="160" w:line="259" w:lineRule="auto"/>
        <w:rPr>
          <w:rFonts w:ascii="Calibri" w:eastAsia="Calibri" w:hAnsi="Calibri"/>
          <w:sz w:val="22"/>
          <w:szCs w:val="22"/>
        </w:rPr>
      </w:pPr>
      <w:r w:rsidRPr="000E0395">
        <w:rPr>
          <w:rFonts w:ascii="Calibri" w:eastAsia="Calibri" w:hAnsi="Calibri"/>
          <w:color w:val="44546A"/>
          <w:sz w:val="22"/>
          <w:szCs w:val="22"/>
        </w:rPr>
        <w:t xml:space="preserve">The proposed measures are cost-effective.   Table 1, below provides maximum incentives that pass the Utility Cost Test and are no more than incremental cost.   </w:t>
      </w:r>
    </w:p>
    <w:p w14:paraId="2EC61F94" w14:textId="77777777" w:rsidR="000E0395" w:rsidRPr="000E0395" w:rsidRDefault="000E0395" w:rsidP="00242F2B">
      <w:pPr>
        <w:spacing w:after="160" w:line="259" w:lineRule="auto"/>
        <w:rPr>
          <w:rFonts w:ascii="Calibri" w:eastAsia="Calibri" w:hAnsi="Calibri"/>
          <w:b/>
          <w:bCs/>
          <w:color w:val="44546A"/>
          <w:sz w:val="22"/>
          <w:szCs w:val="22"/>
        </w:rPr>
      </w:pPr>
      <w:r w:rsidRPr="000E0395">
        <w:rPr>
          <w:rFonts w:ascii="Calibri" w:eastAsia="Calibri" w:hAnsi="Calibri"/>
          <w:b/>
          <w:bCs/>
          <w:color w:val="44546A"/>
          <w:sz w:val="22"/>
          <w:szCs w:val="22"/>
        </w:rPr>
        <w:br w:type="page"/>
      </w:r>
    </w:p>
    <w:p w14:paraId="01B63421" w14:textId="77777777" w:rsidR="000E0395" w:rsidRPr="000E0395" w:rsidRDefault="000E0395" w:rsidP="00242F2B">
      <w:pPr>
        <w:spacing w:after="160" w:line="259" w:lineRule="auto"/>
        <w:rPr>
          <w:rFonts w:ascii="Calibri" w:eastAsia="Calibri" w:hAnsi="Calibri"/>
          <w:color w:val="44546A"/>
          <w:sz w:val="22"/>
          <w:szCs w:val="22"/>
        </w:rPr>
      </w:pPr>
      <w:proofErr w:type="gramStart"/>
      <w:r w:rsidRPr="000E0395">
        <w:rPr>
          <w:rFonts w:ascii="Calibri" w:eastAsia="Calibri" w:hAnsi="Calibri"/>
          <w:color w:val="44546A"/>
          <w:sz w:val="22"/>
          <w:szCs w:val="22"/>
        </w:rPr>
        <w:lastRenderedPageBreak/>
        <w:t>Table 1.</w:t>
      </w:r>
      <w:proofErr w:type="gramEnd"/>
      <w:r w:rsidRPr="000E0395">
        <w:rPr>
          <w:rFonts w:ascii="Calibri" w:eastAsia="Calibri" w:hAnsi="Calibri"/>
          <w:color w:val="44546A"/>
          <w:sz w:val="22"/>
          <w:szCs w:val="22"/>
        </w:rPr>
        <w:t>   Cost-Effectiveness Summary for Efficient Single Family Windows</w:t>
      </w:r>
    </w:p>
    <w:tbl>
      <w:tblPr>
        <w:tblW w:w="9474" w:type="dxa"/>
        <w:tblInd w:w="108" w:type="dxa"/>
        <w:tblCellMar>
          <w:left w:w="0" w:type="dxa"/>
          <w:right w:w="0" w:type="dxa"/>
        </w:tblCellMar>
        <w:tblLook w:val="04A0" w:firstRow="1" w:lastRow="0" w:firstColumn="1" w:lastColumn="0" w:noHBand="0" w:noVBand="1"/>
      </w:tblPr>
      <w:tblGrid>
        <w:gridCol w:w="1444"/>
        <w:gridCol w:w="1539"/>
        <w:gridCol w:w="1140"/>
        <w:gridCol w:w="1021"/>
        <w:gridCol w:w="817"/>
        <w:gridCol w:w="1169"/>
        <w:gridCol w:w="1172"/>
        <w:gridCol w:w="1172"/>
      </w:tblGrid>
      <w:tr w:rsidR="000E0395" w:rsidRPr="000E0395" w14:paraId="00A77B08" w14:textId="77777777" w:rsidTr="00242F2B">
        <w:trPr>
          <w:trHeight w:val="1073"/>
        </w:trPr>
        <w:tc>
          <w:tcPr>
            <w:tcW w:w="1444"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bottom"/>
            <w:hideMark/>
          </w:tcPr>
          <w:p w14:paraId="45FA94C7"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xml:space="preserve">Project </w:t>
            </w:r>
          </w:p>
        </w:tc>
        <w:tc>
          <w:tcPr>
            <w:tcW w:w="153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392A7861"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xml:space="preserve">Measure Lifetime (Maximum   70 </w:t>
            </w:r>
            <w:proofErr w:type="spellStart"/>
            <w:r w:rsidRPr="000E0395">
              <w:rPr>
                <w:rFonts w:eastAsia="Calibri" w:cs="Arial"/>
                <w:sz w:val="20"/>
              </w:rPr>
              <w:t>yrs</w:t>
            </w:r>
            <w:proofErr w:type="spellEnd"/>
            <w:r w:rsidRPr="000E0395">
              <w:rPr>
                <w:rFonts w:eastAsia="Calibri" w:cs="Arial"/>
                <w:sz w:val="20"/>
              </w:rPr>
              <w:t>)</w:t>
            </w:r>
          </w:p>
        </w:tc>
        <w:tc>
          <w:tcPr>
            <w:tcW w:w="114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2D58E2CD"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Annual Electricity Savings, kWh</w:t>
            </w:r>
          </w:p>
        </w:tc>
        <w:tc>
          <w:tcPr>
            <w:tcW w:w="102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4601A9D7"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Annual Gas Savings, therm</w:t>
            </w:r>
          </w:p>
        </w:tc>
        <w:tc>
          <w:tcPr>
            <w:tcW w:w="81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bottom"/>
            <w:hideMark/>
          </w:tcPr>
          <w:p w14:paraId="48DD6F00" w14:textId="77777777" w:rsidR="000E0395" w:rsidRPr="000E0395" w:rsidRDefault="000E0395" w:rsidP="000E0395">
            <w:pPr>
              <w:spacing w:after="160" w:line="259" w:lineRule="auto"/>
              <w:jc w:val="center"/>
              <w:rPr>
                <w:rFonts w:eastAsia="Calibri" w:cs="Arial"/>
                <w:sz w:val="20"/>
              </w:rPr>
            </w:pPr>
            <w:proofErr w:type="spellStart"/>
            <w:r w:rsidRPr="000E0395">
              <w:rPr>
                <w:rFonts w:eastAsia="Calibri" w:cs="Arial"/>
                <w:sz w:val="20"/>
              </w:rPr>
              <w:t>Incre</w:t>
            </w:r>
            <w:proofErr w:type="spellEnd"/>
            <w:r w:rsidRPr="000E0395">
              <w:rPr>
                <w:rFonts w:eastAsia="Calibri" w:cs="Arial"/>
                <w:sz w:val="20"/>
              </w:rPr>
              <w:t>-mental Cost</w:t>
            </w:r>
          </w:p>
        </w:tc>
        <w:tc>
          <w:tcPr>
            <w:tcW w:w="1169"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bottom"/>
            <w:hideMark/>
          </w:tcPr>
          <w:p w14:paraId="71F8414B" w14:textId="77777777" w:rsidR="000E0395" w:rsidRPr="000E0395" w:rsidRDefault="000E0395" w:rsidP="000E0395">
            <w:pPr>
              <w:spacing w:after="160" w:line="259" w:lineRule="auto"/>
              <w:jc w:val="center"/>
              <w:rPr>
                <w:rFonts w:eastAsia="Calibri" w:cs="Arial"/>
                <w:color w:val="FFFFFF"/>
                <w:sz w:val="20"/>
              </w:rPr>
            </w:pPr>
            <w:r w:rsidRPr="000E0395">
              <w:rPr>
                <w:rFonts w:eastAsia="Calibri" w:cs="Arial"/>
                <w:color w:val="FFFFFF"/>
                <w:sz w:val="20"/>
              </w:rPr>
              <w:t>Max ETO Incentives</w:t>
            </w:r>
          </w:p>
        </w:tc>
        <w:tc>
          <w:tcPr>
            <w:tcW w:w="1172" w:type="dxa"/>
            <w:tcBorders>
              <w:top w:val="double" w:sz="6" w:space="0" w:color="auto"/>
              <w:left w:val="nil"/>
              <w:bottom w:val="single" w:sz="8" w:space="0" w:color="auto"/>
              <w:right w:val="nil"/>
            </w:tcBorders>
            <w:shd w:val="clear" w:color="auto" w:fill="FF99CC"/>
            <w:tcMar>
              <w:top w:w="0" w:type="dxa"/>
              <w:left w:w="108" w:type="dxa"/>
              <w:bottom w:w="0" w:type="dxa"/>
              <w:right w:w="108" w:type="dxa"/>
            </w:tcMar>
            <w:vAlign w:val="bottom"/>
            <w:hideMark/>
          </w:tcPr>
          <w:p w14:paraId="5BEDC278"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Combined Utility System BCR</w:t>
            </w:r>
          </w:p>
        </w:tc>
        <w:tc>
          <w:tcPr>
            <w:tcW w:w="1172" w:type="dxa"/>
            <w:tcBorders>
              <w:top w:val="double" w:sz="6" w:space="0" w:color="auto"/>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bottom"/>
            <w:hideMark/>
          </w:tcPr>
          <w:p w14:paraId="4B4A68E8"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Combined Societal BCR</w:t>
            </w:r>
          </w:p>
        </w:tc>
      </w:tr>
      <w:tr w:rsidR="000E0395" w:rsidRPr="000E0395" w14:paraId="4F0F1BD1" w14:textId="77777777" w:rsidTr="00242F2B">
        <w:trPr>
          <w:trHeight w:val="605"/>
        </w:trPr>
        <w:tc>
          <w:tcPr>
            <w:tcW w:w="144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42780DA"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U-value 0.30 to 0.28</w:t>
            </w:r>
          </w:p>
        </w:tc>
        <w:tc>
          <w:tcPr>
            <w:tcW w:w="153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A8705B5"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45</w:t>
            </w:r>
          </w:p>
        </w:tc>
        <w:tc>
          <w:tcPr>
            <w:tcW w:w="114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8F2E647"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2.86</w:t>
            </w:r>
          </w:p>
        </w:tc>
        <w:tc>
          <w:tcPr>
            <w:tcW w:w="102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9791B24"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w:t>
            </w:r>
          </w:p>
        </w:tc>
        <w:tc>
          <w:tcPr>
            <w:tcW w:w="81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36131CC1"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$1.11</w:t>
            </w:r>
          </w:p>
        </w:tc>
        <w:tc>
          <w:tcPr>
            <w:tcW w:w="116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642E884"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$1.78</w:t>
            </w:r>
          </w:p>
        </w:tc>
        <w:tc>
          <w:tcPr>
            <w:tcW w:w="1172"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1FDEBF9C"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3.0</w:t>
            </w:r>
          </w:p>
        </w:tc>
        <w:tc>
          <w:tcPr>
            <w:tcW w:w="1172"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3F698B3B"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4.6</w:t>
            </w:r>
          </w:p>
        </w:tc>
      </w:tr>
      <w:tr w:rsidR="000E0395" w:rsidRPr="000E0395" w14:paraId="709BB945" w14:textId="77777777" w:rsidTr="00242F2B">
        <w:trPr>
          <w:trHeight w:val="605"/>
        </w:trPr>
        <w:tc>
          <w:tcPr>
            <w:tcW w:w="144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1AB0269"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U-value 0.30 to 0.28</w:t>
            </w:r>
          </w:p>
        </w:tc>
        <w:tc>
          <w:tcPr>
            <w:tcW w:w="153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88835AE"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45</w:t>
            </w:r>
          </w:p>
        </w:tc>
        <w:tc>
          <w:tcPr>
            <w:tcW w:w="114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C80559D"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w:t>
            </w:r>
          </w:p>
        </w:tc>
        <w:tc>
          <w:tcPr>
            <w:tcW w:w="102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261361C"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0.196</w:t>
            </w:r>
          </w:p>
        </w:tc>
        <w:tc>
          <w:tcPr>
            <w:tcW w:w="81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665B45B"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$1.11</w:t>
            </w:r>
          </w:p>
        </w:tc>
        <w:tc>
          <w:tcPr>
            <w:tcW w:w="116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6C4B4FD"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$1.78</w:t>
            </w:r>
          </w:p>
        </w:tc>
        <w:tc>
          <w:tcPr>
            <w:tcW w:w="1172"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53603503"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1.0</w:t>
            </w:r>
          </w:p>
        </w:tc>
        <w:tc>
          <w:tcPr>
            <w:tcW w:w="1172"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2CDE8B88"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1.5</w:t>
            </w:r>
          </w:p>
        </w:tc>
      </w:tr>
      <w:tr w:rsidR="000E0395" w:rsidRPr="000E0395" w14:paraId="573CAF6B" w14:textId="77777777" w:rsidTr="00242F2B">
        <w:trPr>
          <w:trHeight w:val="605"/>
        </w:trPr>
        <w:tc>
          <w:tcPr>
            <w:tcW w:w="144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11F763E"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U-value equal to or less than 0.27</w:t>
            </w:r>
          </w:p>
        </w:tc>
        <w:tc>
          <w:tcPr>
            <w:tcW w:w="153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F07EAD6"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45</w:t>
            </w:r>
          </w:p>
        </w:tc>
        <w:tc>
          <w:tcPr>
            <w:tcW w:w="114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DC8E410"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6.92</w:t>
            </w:r>
          </w:p>
        </w:tc>
        <w:tc>
          <w:tcPr>
            <w:tcW w:w="102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EE22F3A"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w:t>
            </w:r>
          </w:p>
        </w:tc>
        <w:tc>
          <w:tcPr>
            <w:tcW w:w="81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63A8FD2"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$4.36</w:t>
            </w:r>
          </w:p>
        </w:tc>
        <w:tc>
          <w:tcPr>
            <w:tcW w:w="116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FAC5DA1"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$4.31</w:t>
            </w:r>
          </w:p>
        </w:tc>
        <w:tc>
          <w:tcPr>
            <w:tcW w:w="1172"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290CA5F"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3.0</w:t>
            </w:r>
          </w:p>
        </w:tc>
        <w:tc>
          <w:tcPr>
            <w:tcW w:w="1172"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47B0731B"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2.9</w:t>
            </w:r>
          </w:p>
        </w:tc>
      </w:tr>
      <w:tr w:rsidR="000E0395" w:rsidRPr="000E0395" w14:paraId="31E8C43A" w14:textId="77777777" w:rsidTr="00242F2B">
        <w:trPr>
          <w:trHeight w:val="605"/>
        </w:trPr>
        <w:tc>
          <w:tcPr>
            <w:tcW w:w="1444"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E228931"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U-value equal to or less than 0.27</w:t>
            </w:r>
          </w:p>
        </w:tc>
        <w:tc>
          <w:tcPr>
            <w:tcW w:w="153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DF5F72B"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45</w:t>
            </w:r>
          </w:p>
        </w:tc>
        <w:tc>
          <w:tcPr>
            <w:tcW w:w="1140"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0017E259"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 </w:t>
            </w:r>
          </w:p>
        </w:tc>
        <w:tc>
          <w:tcPr>
            <w:tcW w:w="1021"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532CE0"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0.475</w:t>
            </w:r>
          </w:p>
        </w:tc>
        <w:tc>
          <w:tcPr>
            <w:tcW w:w="817"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4ED5E3A"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$4.36</w:t>
            </w:r>
          </w:p>
        </w:tc>
        <w:tc>
          <w:tcPr>
            <w:tcW w:w="116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414497CF"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$4.31</w:t>
            </w:r>
          </w:p>
        </w:tc>
        <w:tc>
          <w:tcPr>
            <w:tcW w:w="1172"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7F80B7A3" w14:textId="77777777" w:rsidR="000E0395" w:rsidRPr="000E0395" w:rsidRDefault="000E0395" w:rsidP="000E0395">
            <w:pPr>
              <w:spacing w:after="160" w:line="259" w:lineRule="auto"/>
              <w:jc w:val="center"/>
              <w:rPr>
                <w:rFonts w:eastAsia="Calibri" w:cs="Arial"/>
                <w:sz w:val="20"/>
              </w:rPr>
            </w:pPr>
            <w:r w:rsidRPr="000E0395">
              <w:rPr>
                <w:rFonts w:eastAsia="Calibri" w:cs="Arial"/>
                <w:sz w:val="20"/>
              </w:rPr>
              <w:t>1.0</w:t>
            </w:r>
          </w:p>
        </w:tc>
        <w:tc>
          <w:tcPr>
            <w:tcW w:w="1172"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811E772" w14:textId="77777777" w:rsidR="000E0395" w:rsidRPr="000E0395" w:rsidRDefault="000E0395" w:rsidP="000E0395">
            <w:pPr>
              <w:spacing w:after="160" w:line="259" w:lineRule="auto"/>
              <w:jc w:val="center"/>
              <w:rPr>
                <w:rFonts w:eastAsia="Calibri" w:cs="Arial"/>
                <w:color w:val="FF0000"/>
                <w:sz w:val="20"/>
              </w:rPr>
            </w:pPr>
            <w:r w:rsidRPr="000E0395">
              <w:rPr>
                <w:rFonts w:eastAsia="Calibri" w:cs="Arial"/>
                <w:sz w:val="20"/>
              </w:rPr>
              <w:t>1.0</w:t>
            </w:r>
          </w:p>
        </w:tc>
      </w:tr>
    </w:tbl>
    <w:p w14:paraId="49BCA74F" w14:textId="77777777" w:rsidR="000E0395" w:rsidRPr="000E0395" w:rsidRDefault="000E0395" w:rsidP="000E0395">
      <w:pPr>
        <w:spacing w:after="160" w:line="259" w:lineRule="auto"/>
        <w:rPr>
          <w:rFonts w:ascii="Calibri" w:eastAsia="Calibri" w:hAnsi="Calibri"/>
          <w:b/>
          <w:bCs/>
          <w:sz w:val="22"/>
          <w:szCs w:val="22"/>
        </w:rPr>
      </w:pPr>
    </w:p>
    <w:p w14:paraId="656B4B0D" w14:textId="77777777" w:rsidR="000E0395" w:rsidRPr="000E0395" w:rsidRDefault="000E0395" w:rsidP="000E0395">
      <w:pPr>
        <w:spacing w:after="160" w:line="259" w:lineRule="auto"/>
        <w:rPr>
          <w:rFonts w:ascii="Calibri" w:eastAsia="Calibri" w:hAnsi="Calibri"/>
          <w:b/>
          <w:bCs/>
          <w:color w:val="365F91"/>
          <w:sz w:val="22"/>
          <w:szCs w:val="22"/>
        </w:rPr>
      </w:pPr>
      <w:r w:rsidRPr="000E0395">
        <w:rPr>
          <w:rFonts w:ascii="Calibri" w:eastAsia="Calibri" w:hAnsi="Calibri"/>
          <w:b/>
          <w:bCs/>
          <w:color w:val="365F91"/>
          <w:sz w:val="22"/>
          <w:szCs w:val="22"/>
        </w:rPr>
        <w:br w:type="page"/>
      </w:r>
    </w:p>
    <w:p w14:paraId="602B2B41" w14:textId="77777777" w:rsidR="000E0395" w:rsidRPr="000E0395" w:rsidRDefault="000E0395" w:rsidP="000E0395">
      <w:pPr>
        <w:spacing w:after="160" w:line="259" w:lineRule="auto"/>
        <w:rPr>
          <w:rFonts w:ascii="Calibri" w:eastAsia="Calibri" w:hAnsi="Calibri"/>
          <w:b/>
          <w:bCs/>
          <w:color w:val="365F91"/>
          <w:sz w:val="22"/>
          <w:szCs w:val="22"/>
        </w:rPr>
      </w:pPr>
    </w:p>
    <w:p w14:paraId="73274E47" w14:textId="77777777" w:rsidR="000E0395" w:rsidRPr="000E0395" w:rsidRDefault="000E0395" w:rsidP="000E0395">
      <w:pPr>
        <w:rPr>
          <w:rFonts w:ascii="Calibri" w:eastAsia="Calibri" w:hAnsi="Calibri"/>
          <w:sz w:val="22"/>
          <w:szCs w:val="22"/>
        </w:rPr>
      </w:pPr>
    </w:p>
    <w:p w14:paraId="45F2E8B0" w14:textId="77777777" w:rsidR="000E0395" w:rsidRPr="000E0395" w:rsidRDefault="000E0395" w:rsidP="00685D82">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2D57B30" w14:textId="77777777" w:rsidR="000E0395" w:rsidRPr="000E0395" w:rsidRDefault="000E0395" w:rsidP="00685D82">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New Homes</w:t>
      </w:r>
      <w:r w:rsidRPr="000E0395">
        <w:rPr>
          <w:rFonts w:ascii="Calibri Light" w:hAnsi="Calibri Light"/>
          <w:color w:val="1F4D78"/>
          <w:szCs w:val="24"/>
        </w:rPr>
        <w:tab/>
        <w:t>Gas Hearth .70+ FE with Intermittent Pilot Light</w:t>
      </w:r>
      <w:r w:rsidRPr="000E0395">
        <w:rPr>
          <w:rFonts w:ascii="Calibri Light" w:hAnsi="Calibri Light"/>
          <w:color w:val="1F4D78"/>
          <w:szCs w:val="24"/>
        </w:rPr>
        <w:tab/>
      </w:r>
      <w:r w:rsidRPr="000E0395">
        <w:rPr>
          <w:rFonts w:ascii="Calibri Light" w:hAnsi="Calibri Light"/>
          <w:color w:val="2E74B5"/>
          <w:sz w:val="20"/>
          <w:szCs w:val="26"/>
        </w:rPr>
        <w:t>Proposed Measure for New Construction</w:t>
      </w:r>
      <w:r w:rsidRPr="000E0395">
        <w:rPr>
          <w:rFonts w:ascii="Calibri Light" w:hAnsi="Calibri Light"/>
          <w:color w:val="2E74B5"/>
          <w:sz w:val="26"/>
          <w:szCs w:val="26"/>
        </w:rPr>
        <w:t xml:space="preserve"> </w:t>
      </w:r>
    </w:p>
    <w:p w14:paraId="22E38C59" w14:textId="77777777" w:rsidR="000E0395" w:rsidRPr="000E0395" w:rsidRDefault="000E0395" w:rsidP="00685D82">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New Homes</w:t>
      </w:r>
      <w:r w:rsidRPr="000E0395">
        <w:rPr>
          <w:rFonts w:ascii="Calibri Light" w:hAnsi="Calibri Light"/>
          <w:color w:val="1F4D78"/>
          <w:szCs w:val="24"/>
        </w:rPr>
        <w:tab/>
        <w:t>Gas Hearth .75+ FE with Intermittent Pilot Light</w:t>
      </w:r>
      <w:r w:rsidRPr="000E0395">
        <w:rPr>
          <w:rFonts w:ascii="Calibri Light" w:hAnsi="Calibri Light"/>
          <w:color w:val="2E74B5"/>
          <w:sz w:val="26"/>
          <w:szCs w:val="26"/>
        </w:rPr>
        <w:tab/>
      </w:r>
      <w:r w:rsidRPr="000E0395">
        <w:rPr>
          <w:rFonts w:ascii="Calibri Light" w:hAnsi="Calibri Light"/>
          <w:color w:val="2E74B5"/>
          <w:sz w:val="20"/>
          <w:szCs w:val="26"/>
        </w:rPr>
        <w:t>Proposed Measure for New Construction</w:t>
      </w:r>
    </w:p>
    <w:p w14:paraId="0E8BF6BF" w14:textId="77777777" w:rsidR="000E0395" w:rsidRPr="000E0395" w:rsidRDefault="000E0395" w:rsidP="00685D82">
      <w:pPr>
        <w:ind w:left="-720"/>
        <w:rPr>
          <w:rFonts w:ascii="Calibri" w:eastAsia="Calibri" w:hAnsi="Calibri"/>
          <w:sz w:val="22"/>
          <w:szCs w:val="22"/>
        </w:rPr>
      </w:pPr>
    </w:p>
    <w:p w14:paraId="2A85AAA5" w14:textId="77777777" w:rsidR="000E0395" w:rsidRPr="000E0395" w:rsidRDefault="000E0395" w:rsidP="00685D82">
      <w:pPr>
        <w:spacing w:after="160" w:line="259" w:lineRule="auto"/>
        <w:rPr>
          <w:rFonts w:ascii="Calibri" w:eastAsia="Calibri" w:hAnsi="Calibri"/>
          <w:sz w:val="22"/>
          <w:szCs w:val="22"/>
        </w:rPr>
      </w:pPr>
      <w:r w:rsidRPr="000E0395">
        <w:rPr>
          <w:rFonts w:ascii="Calibri" w:eastAsia="Calibri" w:hAnsi="Calibri"/>
          <w:sz w:val="22"/>
          <w:szCs w:val="22"/>
        </w:rPr>
        <w:t>September, 2014</w:t>
      </w:r>
    </w:p>
    <w:p w14:paraId="64F04AB0" w14:textId="77777777" w:rsidR="000E0395" w:rsidRPr="000E0395" w:rsidRDefault="000E0395" w:rsidP="00685D82">
      <w:pPr>
        <w:spacing w:after="160" w:line="259" w:lineRule="auto"/>
        <w:rPr>
          <w:rFonts w:ascii="Calibri" w:eastAsia="Calibri" w:hAnsi="Calibri"/>
          <w:b/>
          <w:bCs/>
          <w:color w:val="44546A"/>
          <w:sz w:val="22"/>
          <w:szCs w:val="22"/>
        </w:rPr>
      </w:pPr>
      <w:r w:rsidRPr="000E0395">
        <w:rPr>
          <w:rFonts w:ascii="Calibri" w:eastAsia="Calibri" w:hAnsi="Calibri"/>
          <w:b/>
          <w:bCs/>
          <w:color w:val="44546A"/>
          <w:sz w:val="22"/>
          <w:szCs w:val="22"/>
        </w:rPr>
        <w:t>PROVISIONAL Blessing Memo for Gas Fireplaces in New Single Family Homes Pilot</w:t>
      </w:r>
    </w:p>
    <w:p w14:paraId="716E3E77"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Measure Description</w:t>
      </w:r>
    </w:p>
    <w:p w14:paraId="2D5F5717" w14:textId="77777777" w:rsidR="000E0395" w:rsidRPr="000E0395" w:rsidRDefault="000E0395" w:rsidP="00685D82">
      <w:pPr>
        <w:spacing w:after="160" w:line="259" w:lineRule="auto"/>
        <w:rPr>
          <w:rFonts w:ascii="Calibri" w:eastAsia="Calibri" w:hAnsi="Calibri"/>
          <w:color w:val="44546A"/>
          <w:sz w:val="22"/>
          <w:szCs w:val="22"/>
        </w:rPr>
      </w:pPr>
      <w:r w:rsidRPr="000E0395">
        <w:rPr>
          <w:rFonts w:ascii="Calibri" w:eastAsia="Calibri" w:hAnsi="Calibri"/>
          <w:sz w:val="22"/>
          <w:szCs w:val="22"/>
        </w:rPr>
        <w:t xml:space="preserve">Direct vent gas fireplaces, including zero clearance and freestanding units and inserts. The measure is currently offered in the Existing Homes and Home Performance with ENERGY STAR programs. </w:t>
      </w:r>
      <w:r w:rsidRPr="000E0395">
        <w:rPr>
          <w:rFonts w:ascii="Calibri" w:eastAsia="Calibri" w:hAnsi="Calibri"/>
          <w:color w:val="44546A"/>
          <w:sz w:val="22"/>
          <w:szCs w:val="22"/>
        </w:rPr>
        <w:t xml:space="preserve">Field data collection of 106 EPS, </w:t>
      </w:r>
      <w:proofErr w:type="spellStart"/>
      <w:r w:rsidRPr="000E0395">
        <w:rPr>
          <w:rFonts w:ascii="Calibri" w:eastAsia="Calibri" w:hAnsi="Calibri"/>
          <w:color w:val="44546A"/>
          <w:sz w:val="22"/>
          <w:szCs w:val="22"/>
        </w:rPr>
        <w:t>EnergyStar</w:t>
      </w:r>
      <w:proofErr w:type="spellEnd"/>
      <w:r w:rsidRPr="000E0395">
        <w:rPr>
          <w:rFonts w:ascii="Calibri" w:eastAsia="Calibri" w:hAnsi="Calibri"/>
          <w:color w:val="44546A"/>
          <w:sz w:val="22"/>
          <w:szCs w:val="22"/>
        </w:rPr>
        <w:t xml:space="preserve"> and code homes in Oregon and Washington from August – September 2014 indicate that fireplace efficiency in New Homes lags behind that of the Existing Homes market.</w:t>
      </w:r>
      <w:r w:rsidRPr="000E0395">
        <w:rPr>
          <w:rFonts w:ascii="Calibri" w:eastAsia="Calibri" w:hAnsi="Calibri"/>
          <w:sz w:val="22"/>
          <w:szCs w:val="22"/>
        </w:rPr>
        <w:t xml:space="preserve"> Additional </w:t>
      </w:r>
      <w:r w:rsidRPr="000E0395">
        <w:rPr>
          <w:rFonts w:ascii="Calibri" w:eastAsia="Calibri" w:hAnsi="Calibri"/>
          <w:color w:val="44546A"/>
          <w:sz w:val="22"/>
          <w:szCs w:val="22"/>
        </w:rPr>
        <w:t>research is needed to determine hours of use of these units in Efficient New Homes programs.</w:t>
      </w:r>
    </w:p>
    <w:p w14:paraId="3D9CCA93" w14:textId="77777777" w:rsidR="000E0395" w:rsidRPr="000E0395" w:rsidRDefault="000E0395" w:rsidP="00685D82">
      <w:pPr>
        <w:spacing w:after="160" w:line="259" w:lineRule="auto"/>
        <w:rPr>
          <w:rFonts w:ascii="Calibri" w:eastAsia="Calibri" w:hAnsi="Calibri"/>
          <w:sz w:val="22"/>
          <w:szCs w:val="22"/>
        </w:rPr>
      </w:pPr>
      <w:r w:rsidRPr="000E0395">
        <w:rPr>
          <w:rFonts w:ascii="Calibri" w:eastAsia="Calibri" w:hAnsi="Calibri"/>
          <w:color w:val="44546A"/>
          <w:sz w:val="22"/>
          <w:szCs w:val="22"/>
        </w:rPr>
        <w:t>Estimated fireplace savings are driven by three key variables: market prevalence of standing pilot lights, baseline fireplace efficiency and hours the unit is used. For New Homes the hours of use is unknown, and anticipated to be less than that of Existing Homes measured at 15 hours/week. This pilot measure will be coupled with a study in a sample of new homes to determine if unit operating characteristics differ from current existing homes observations. To recognize the uncertainty in usage, this pilot measure uses an estimate of 7.5 hours/week until metering results become available.</w:t>
      </w:r>
    </w:p>
    <w:p w14:paraId="43142C3D" w14:textId="77777777" w:rsidR="000E0395" w:rsidRPr="000E0395" w:rsidRDefault="000E0395" w:rsidP="00685D82">
      <w:pPr>
        <w:spacing w:after="160" w:line="259" w:lineRule="auto"/>
        <w:rPr>
          <w:rFonts w:ascii="Calibri" w:eastAsia="Calibri" w:hAnsi="Calibri"/>
          <w:color w:val="000000"/>
          <w:sz w:val="22"/>
          <w:szCs w:val="22"/>
        </w:rPr>
      </w:pPr>
    </w:p>
    <w:p w14:paraId="77F1FAE5"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 xml:space="preserve">Proposed </w:t>
      </w:r>
      <w:r w:rsidRPr="000E0395">
        <w:rPr>
          <w:rFonts w:ascii="Calibri" w:eastAsia="Calibri" w:hAnsi="Calibri"/>
          <w:b/>
          <w:bCs/>
          <w:color w:val="44546A"/>
          <w:sz w:val="22"/>
          <w:szCs w:val="22"/>
        </w:rPr>
        <w:t>Pilot Measure</w:t>
      </w:r>
    </w:p>
    <w:p w14:paraId="1933221F" w14:textId="77777777" w:rsidR="000E0395" w:rsidRPr="000E0395" w:rsidRDefault="000E0395" w:rsidP="00685D82">
      <w:pPr>
        <w:spacing w:after="160" w:line="259" w:lineRule="auto"/>
        <w:rPr>
          <w:rFonts w:ascii="Calibri" w:eastAsia="Calibri" w:hAnsi="Calibri"/>
          <w:color w:val="44546A"/>
          <w:sz w:val="22"/>
          <w:szCs w:val="22"/>
        </w:rPr>
      </w:pPr>
      <w:r w:rsidRPr="000E0395">
        <w:rPr>
          <w:rFonts w:ascii="Calibri" w:eastAsia="Calibri" w:hAnsi="Calibri"/>
          <w:color w:val="44546A"/>
          <w:sz w:val="22"/>
          <w:szCs w:val="22"/>
        </w:rPr>
        <w:t xml:space="preserve">Field data collection from August – September 2014 showed a New Homes market baseline of 55.8 FE. To align with </w:t>
      </w:r>
      <w:proofErr w:type="gramStart"/>
      <w:r w:rsidRPr="000E0395">
        <w:rPr>
          <w:rFonts w:ascii="Calibri" w:eastAsia="Calibri" w:hAnsi="Calibri"/>
          <w:color w:val="44546A"/>
          <w:sz w:val="22"/>
          <w:szCs w:val="22"/>
        </w:rPr>
        <w:t>Existing Homes</w:t>
      </w:r>
      <w:proofErr w:type="gramEnd"/>
      <w:r w:rsidRPr="000E0395">
        <w:rPr>
          <w:rFonts w:ascii="Calibri" w:eastAsia="Calibri" w:hAnsi="Calibri"/>
          <w:color w:val="44546A"/>
          <w:sz w:val="22"/>
          <w:szCs w:val="22"/>
        </w:rPr>
        <w:t xml:space="preserve"> offerings, the New Homes pilot tiers will be from 70 to 74 FE and a higher efficiency tier of 75+ FE. Savings are also estimated for Intermittent Pilot Ignitions for additional fireplace units beyond the primary installation.</w:t>
      </w:r>
    </w:p>
    <w:p w14:paraId="59B0CD8F" w14:textId="77777777" w:rsidR="000E0395" w:rsidRPr="000E0395" w:rsidRDefault="000E0395" w:rsidP="00685D82">
      <w:pPr>
        <w:spacing w:after="160" w:line="259" w:lineRule="auto"/>
        <w:rPr>
          <w:rFonts w:ascii="Calibri" w:eastAsia="Calibri" w:hAnsi="Calibri"/>
          <w:color w:val="000000"/>
          <w:sz w:val="22"/>
          <w:szCs w:val="22"/>
        </w:rPr>
      </w:pPr>
    </w:p>
    <w:p w14:paraId="6ECAE008"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44546A"/>
          <w:sz w:val="22"/>
          <w:szCs w:val="22"/>
        </w:rPr>
        <w:t>When calculating New Home savings, the average efficiency within each tier identified in the Existing Homes program data is used</w:t>
      </w:r>
      <w:r w:rsidRPr="000E0395">
        <w:rPr>
          <w:rFonts w:ascii="Calibri" w:eastAsia="Calibri" w:hAnsi="Calibri"/>
          <w:color w:val="000000"/>
          <w:sz w:val="22"/>
          <w:szCs w:val="22"/>
        </w:rPr>
        <w:t xml:space="preserve"> not the minimum. The higher efficiency tier is cost effective but equipment availability may be limited.</w:t>
      </w:r>
    </w:p>
    <w:p w14:paraId="7801811F" w14:textId="77777777" w:rsidR="000E0395" w:rsidRPr="000E0395" w:rsidRDefault="000E0395" w:rsidP="00685D82">
      <w:pPr>
        <w:spacing w:after="160" w:line="259" w:lineRule="auto"/>
        <w:rPr>
          <w:rFonts w:ascii="Calibri" w:eastAsia="Calibri" w:hAnsi="Calibri"/>
          <w:color w:val="000000"/>
          <w:sz w:val="22"/>
          <w:szCs w:val="22"/>
        </w:rPr>
      </w:pPr>
    </w:p>
    <w:p w14:paraId="6CC389F4"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Energy savings based on thermal efficiency</w:t>
      </w:r>
    </w:p>
    <w:p w14:paraId="2490540C" w14:textId="77777777" w:rsidR="000E0395" w:rsidRPr="000E0395" w:rsidRDefault="000E0395" w:rsidP="00685D82">
      <w:pPr>
        <w:spacing w:after="160" w:line="259" w:lineRule="auto"/>
        <w:rPr>
          <w:rFonts w:ascii="Calibri" w:eastAsia="Calibri" w:hAnsi="Calibri"/>
          <w:sz w:val="22"/>
          <w:szCs w:val="22"/>
        </w:rPr>
      </w:pPr>
      <w:r w:rsidRPr="000E0395">
        <w:rPr>
          <w:rFonts w:ascii="Calibri" w:eastAsia="Calibri" w:hAnsi="Calibri"/>
          <w:sz w:val="22"/>
          <w:szCs w:val="22"/>
        </w:rPr>
        <w:t>The efficiency rating is the Fireplace Efficiency score from the Canadian P4 test. Savings are calculated according to the following formula:</w:t>
      </w:r>
    </w:p>
    <w:p w14:paraId="4FF51452" w14:textId="77777777" w:rsidR="000E0395" w:rsidRPr="000E0395" w:rsidRDefault="000E0395" w:rsidP="000E0395">
      <w:pPr>
        <w:spacing w:after="160" w:line="259" w:lineRule="auto"/>
        <w:ind w:left="720"/>
        <w:rPr>
          <w:rFonts w:ascii="Calibri" w:eastAsia="Calibri" w:hAnsi="Calibri"/>
          <w:sz w:val="22"/>
          <w:szCs w:val="22"/>
        </w:rPr>
      </w:pPr>
      <m:oMathPara>
        <m:oMath>
          <m:r>
            <w:rPr>
              <w:rFonts w:ascii="Cambria Math" w:eastAsia="Calibri" w:hAnsi="Cambria Math"/>
              <w:sz w:val="22"/>
              <w:szCs w:val="22"/>
            </w:rPr>
            <m:t xml:space="preserve">Δtherm=hr x </m:t>
          </m:r>
          <m:f>
            <m:fPr>
              <m:ctrlPr>
                <w:rPr>
                  <w:rFonts w:ascii="Cambria Math" w:eastAsia="Calibri" w:hAnsi="Cambria Math"/>
                  <w:i/>
                  <w:iCs/>
                  <w:sz w:val="22"/>
                  <w:szCs w:val="22"/>
                </w:rPr>
              </m:ctrlPr>
            </m:fPr>
            <m:num>
              <m:r>
                <w:rPr>
                  <w:rFonts w:ascii="Cambria Math" w:eastAsia="Calibri" w:hAnsi="Cambria Math"/>
                  <w:sz w:val="22"/>
                  <w:szCs w:val="22"/>
                </w:rPr>
                <m:t>kBtu</m:t>
              </m:r>
            </m:num>
            <m:den>
              <m:r>
                <w:rPr>
                  <w:rFonts w:ascii="Cambria Math" w:eastAsia="Calibri" w:hAnsi="Cambria Math"/>
                  <w:sz w:val="22"/>
                  <w:szCs w:val="22"/>
                </w:rPr>
                <m:t>hr</m:t>
              </m:r>
            </m:den>
          </m:f>
          <m:r>
            <w:rPr>
              <w:rFonts w:ascii="Cambria Math" w:eastAsia="Calibri" w:hAnsi="Cambria Math"/>
              <w:sz w:val="22"/>
              <w:szCs w:val="22"/>
            </w:rPr>
            <m:t xml:space="preserve"> x (</m:t>
          </m:r>
          <m:f>
            <m:fPr>
              <m:ctrlPr>
                <w:rPr>
                  <w:rFonts w:ascii="Cambria Math" w:eastAsia="Calibri" w:hAnsi="Cambria Math"/>
                  <w:i/>
                  <w:iCs/>
                  <w:sz w:val="22"/>
                  <w:szCs w:val="22"/>
                </w:rPr>
              </m:ctrlPr>
            </m:fPr>
            <m:num>
              <m:r>
                <w:rPr>
                  <w:rFonts w:ascii="Cambria Math" w:eastAsia="Calibri" w:hAnsi="Cambria Math"/>
                  <w:sz w:val="22"/>
                  <w:szCs w:val="22"/>
                </w:rPr>
                <m:t>1</m:t>
              </m:r>
            </m:num>
            <m:den>
              <m:r>
                <w:rPr>
                  <w:rFonts w:ascii="Cambria Math" w:eastAsia="Calibri" w:hAnsi="Cambria Math"/>
                  <w:sz w:val="22"/>
                  <w:szCs w:val="22"/>
                </w:rPr>
                <m:t>baseline</m:t>
              </m:r>
            </m:den>
          </m:f>
          <m:r>
            <w:rPr>
              <w:rFonts w:ascii="Cambria Math" w:eastAsia="Calibri" w:hAnsi="Cambria Math"/>
              <w:sz w:val="22"/>
              <w:szCs w:val="22"/>
            </w:rPr>
            <m:t>-</m:t>
          </m:r>
          <m:f>
            <m:fPr>
              <m:ctrlPr>
                <w:rPr>
                  <w:rFonts w:ascii="Cambria Math" w:eastAsia="Calibri" w:hAnsi="Cambria Math"/>
                  <w:i/>
                  <w:iCs/>
                  <w:sz w:val="22"/>
                  <w:szCs w:val="22"/>
                </w:rPr>
              </m:ctrlPr>
            </m:fPr>
            <m:num>
              <m:r>
                <w:rPr>
                  <w:rFonts w:ascii="Cambria Math" w:eastAsia="Calibri" w:hAnsi="Cambria Math"/>
                  <w:sz w:val="22"/>
                  <w:szCs w:val="22"/>
                </w:rPr>
                <m:t>1</m:t>
              </m:r>
            </m:num>
            <m:den>
              <m:r>
                <w:rPr>
                  <w:rFonts w:ascii="Cambria Math" w:eastAsia="Calibri" w:hAnsi="Cambria Math"/>
                  <w:sz w:val="22"/>
                  <w:szCs w:val="22"/>
                </w:rPr>
                <m:t>FE</m:t>
              </m:r>
            </m:den>
          </m:f>
          <m:r>
            <w:rPr>
              <w:rFonts w:ascii="Cambria Math" w:eastAsia="Calibri" w:hAnsi="Cambria Math"/>
              <w:sz w:val="22"/>
              <w:szCs w:val="22"/>
            </w:rPr>
            <m:t>)</m:t>
          </m:r>
        </m:oMath>
      </m:oMathPara>
    </w:p>
    <w:p w14:paraId="08195DF7" w14:textId="77777777" w:rsidR="000E0395" w:rsidRPr="000E0395" w:rsidRDefault="000E0395" w:rsidP="000E0395">
      <w:pPr>
        <w:spacing w:after="160" w:line="259" w:lineRule="auto"/>
        <w:ind w:left="720"/>
        <w:rPr>
          <w:rFonts w:ascii="Calibri" w:eastAsia="Calibri" w:hAnsi="Calibri"/>
          <w:sz w:val="22"/>
          <w:szCs w:val="22"/>
        </w:rPr>
      </w:pPr>
    </w:p>
    <w:p w14:paraId="50368DD8"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sz w:val="22"/>
          <w:szCs w:val="22"/>
        </w:rPr>
        <w:t xml:space="preserve">The efficiency is based on the average in each bin, as shown in the table below. </w:t>
      </w:r>
      <w:r w:rsidRPr="000E0395">
        <w:rPr>
          <w:rFonts w:ascii="Calibri" w:eastAsia="Calibri" w:hAnsi="Calibri"/>
          <w:color w:val="44546A"/>
          <w:sz w:val="22"/>
          <w:szCs w:val="22"/>
        </w:rPr>
        <w:t>The heating capacity of each efficiency tier was averaged using Existing Homes program data from 2013</w:t>
      </w:r>
      <w:r w:rsidRPr="000E0395">
        <w:rPr>
          <w:rFonts w:ascii="Calibri" w:eastAsia="Calibri" w:hAnsi="Calibri"/>
          <w:color w:val="000000"/>
          <w:sz w:val="22"/>
          <w:szCs w:val="22"/>
        </w:rPr>
        <w:t xml:space="preserve">. Fireplaces with an efficiency rating between 70 and 74 FE averaged 33 </w:t>
      </w:r>
      <w:proofErr w:type="spellStart"/>
      <w:proofErr w:type="gram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/h,</w:t>
      </w:r>
      <w:proofErr w:type="gramEnd"/>
      <w:r w:rsidRPr="000E0395">
        <w:rPr>
          <w:rFonts w:ascii="Calibri" w:eastAsia="Calibri" w:hAnsi="Calibri"/>
          <w:color w:val="000000"/>
          <w:sz w:val="22"/>
          <w:szCs w:val="22"/>
        </w:rPr>
        <w:t xml:space="preserve"> and fireplaces with ratings of 75 FE or higher had an average heat capacity of 26 </w:t>
      </w:r>
      <w:proofErr w:type="spell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 xml:space="preserve">/h. While hours of use averaged 15 per week in the Existing Homes metering study, </w:t>
      </w:r>
      <w:r w:rsidRPr="000E0395">
        <w:rPr>
          <w:rFonts w:ascii="Calibri" w:eastAsia="Calibri" w:hAnsi="Calibri"/>
          <w:color w:val="44546A"/>
          <w:sz w:val="22"/>
          <w:szCs w:val="22"/>
        </w:rPr>
        <w:t>this variable is unknown in new homes. A metering study will accompany this pilot measure to determine if hours of use differ between new and existing homes. For this pilot measure runtimes are assumed to be 7.5 hours/week.</w:t>
      </w:r>
    </w:p>
    <w:p w14:paraId="57EC6B63" w14:textId="77777777" w:rsidR="000E0395" w:rsidRPr="000E0395" w:rsidRDefault="000E0395" w:rsidP="00685D82">
      <w:pPr>
        <w:spacing w:after="160" w:line="259" w:lineRule="auto"/>
        <w:rPr>
          <w:rFonts w:ascii="Calibri" w:eastAsia="Calibri" w:hAnsi="Calibri"/>
          <w:b/>
          <w:color w:val="000000"/>
          <w:sz w:val="22"/>
          <w:szCs w:val="22"/>
        </w:rPr>
      </w:pPr>
    </w:p>
    <w:p w14:paraId="23E09F97" w14:textId="77777777" w:rsidR="000E0395" w:rsidRPr="000E0395" w:rsidRDefault="000E0395" w:rsidP="00685D82">
      <w:pPr>
        <w:spacing w:after="160" w:line="259" w:lineRule="auto"/>
        <w:rPr>
          <w:rFonts w:ascii="Calibri" w:eastAsia="Calibri" w:hAnsi="Calibri"/>
          <w:b/>
          <w:color w:val="44546A"/>
          <w:sz w:val="22"/>
          <w:szCs w:val="22"/>
        </w:rPr>
      </w:pPr>
      <w:r w:rsidRPr="000E0395">
        <w:rPr>
          <w:rFonts w:ascii="Calibri" w:eastAsia="Calibri" w:hAnsi="Calibri"/>
          <w:b/>
          <w:color w:val="44546A"/>
          <w:sz w:val="22"/>
          <w:szCs w:val="22"/>
        </w:rPr>
        <w:t>Table 1: Field Data Collection Results - Fireplace Efficiency and Prevalence of Standing Pilot Lights</w:t>
      </w:r>
    </w:p>
    <w:tbl>
      <w:tblPr>
        <w:tblW w:w="3640" w:type="dxa"/>
        <w:tblInd w:w="813" w:type="dxa"/>
        <w:tblLook w:val="04A0" w:firstRow="1" w:lastRow="0" w:firstColumn="1" w:lastColumn="0" w:noHBand="0" w:noVBand="1"/>
      </w:tblPr>
      <w:tblGrid>
        <w:gridCol w:w="2680"/>
        <w:gridCol w:w="960"/>
      </w:tblGrid>
      <w:tr w:rsidR="000E0395" w:rsidRPr="000E0395" w14:paraId="37B1231E" w14:textId="77777777" w:rsidTr="000E0395">
        <w:trPr>
          <w:trHeight w:val="315"/>
        </w:trPr>
        <w:tc>
          <w:tcPr>
            <w:tcW w:w="2680" w:type="dxa"/>
            <w:tcBorders>
              <w:top w:val="single" w:sz="8" w:space="0" w:color="92B7BC"/>
              <w:left w:val="single" w:sz="8" w:space="0" w:color="92B7BC"/>
              <w:bottom w:val="single" w:sz="8" w:space="0" w:color="92B7BC"/>
              <w:right w:val="single" w:sz="8" w:space="0" w:color="92B7BC"/>
            </w:tcBorders>
            <w:shd w:val="clear" w:color="000000" w:fill="007299"/>
            <w:noWrap/>
            <w:vAlign w:val="center"/>
            <w:hideMark/>
          </w:tcPr>
          <w:p w14:paraId="7B572989" w14:textId="77777777" w:rsidR="000E0395" w:rsidRPr="000E0395" w:rsidRDefault="000E0395" w:rsidP="000E0395">
            <w:pPr>
              <w:spacing w:after="160" w:line="259" w:lineRule="auto"/>
              <w:rPr>
                <w:rFonts w:ascii="Calibri" w:hAnsi="Calibri"/>
                <w:b/>
                <w:color w:val="FFFFFF"/>
                <w:sz w:val="22"/>
                <w:szCs w:val="22"/>
              </w:rPr>
            </w:pPr>
            <w:r w:rsidRPr="000E0395">
              <w:rPr>
                <w:rFonts w:ascii="Calibri" w:hAnsi="Calibri"/>
                <w:b/>
                <w:color w:val="FFFFFF"/>
                <w:sz w:val="22"/>
                <w:szCs w:val="22"/>
              </w:rPr>
              <w:t>Mean FE</w:t>
            </w:r>
          </w:p>
        </w:tc>
        <w:tc>
          <w:tcPr>
            <w:tcW w:w="960" w:type="dxa"/>
            <w:tcBorders>
              <w:top w:val="single" w:sz="8" w:space="0" w:color="92B7BC"/>
              <w:left w:val="nil"/>
              <w:bottom w:val="single" w:sz="8" w:space="0" w:color="92B7BC"/>
              <w:right w:val="single" w:sz="8" w:space="0" w:color="92B7BC"/>
            </w:tcBorders>
            <w:shd w:val="clear" w:color="000000" w:fill="EFE9E5"/>
            <w:noWrap/>
            <w:vAlign w:val="center"/>
            <w:hideMark/>
          </w:tcPr>
          <w:p w14:paraId="59E16A20" w14:textId="77777777" w:rsidR="000E0395" w:rsidRPr="000E0395" w:rsidRDefault="000E0395" w:rsidP="000E0395">
            <w:pPr>
              <w:spacing w:after="160" w:line="259" w:lineRule="auto"/>
              <w:jc w:val="right"/>
              <w:rPr>
                <w:rFonts w:ascii="Calibri" w:hAnsi="Calibri"/>
                <w:b/>
                <w:color w:val="000000"/>
                <w:sz w:val="22"/>
                <w:szCs w:val="22"/>
              </w:rPr>
            </w:pPr>
            <w:r w:rsidRPr="000E0395">
              <w:rPr>
                <w:rFonts w:ascii="Calibri" w:hAnsi="Calibri"/>
                <w:b/>
                <w:color w:val="000000"/>
                <w:sz w:val="22"/>
                <w:szCs w:val="22"/>
              </w:rPr>
              <w:t>55.8</w:t>
            </w:r>
          </w:p>
        </w:tc>
      </w:tr>
      <w:tr w:rsidR="000E0395" w:rsidRPr="000E0395" w14:paraId="2F42CD2A"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219D1968" w14:textId="77777777" w:rsidR="000E0395" w:rsidRPr="000E0395" w:rsidRDefault="000E0395" w:rsidP="000E0395">
            <w:pPr>
              <w:spacing w:after="160" w:line="259" w:lineRule="auto"/>
              <w:rPr>
                <w:rFonts w:ascii="Calibri" w:hAnsi="Calibri"/>
                <w:color w:val="FFFFFF"/>
                <w:sz w:val="22"/>
                <w:szCs w:val="22"/>
              </w:rPr>
            </w:pPr>
            <w:r w:rsidRPr="000E0395">
              <w:rPr>
                <w:rFonts w:ascii="Calibri" w:hAnsi="Calibri"/>
                <w:color w:val="FFFFFF"/>
                <w:sz w:val="22"/>
                <w:szCs w:val="22"/>
              </w:rPr>
              <w:t>Median FE</w:t>
            </w:r>
          </w:p>
        </w:tc>
        <w:tc>
          <w:tcPr>
            <w:tcW w:w="960" w:type="dxa"/>
            <w:tcBorders>
              <w:top w:val="nil"/>
              <w:left w:val="nil"/>
              <w:bottom w:val="single" w:sz="8" w:space="0" w:color="92B7BC"/>
              <w:right w:val="single" w:sz="8" w:space="0" w:color="92B7BC"/>
            </w:tcBorders>
            <w:shd w:val="clear" w:color="000000" w:fill="EFE9E5"/>
            <w:noWrap/>
            <w:vAlign w:val="center"/>
            <w:hideMark/>
          </w:tcPr>
          <w:p w14:paraId="22E466A7" w14:textId="77777777" w:rsidR="000E0395" w:rsidRPr="000E0395" w:rsidRDefault="000E0395" w:rsidP="000E0395">
            <w:pPr>
              <w:spacing w:after="160" w:line="259" w:lineRule="auto"/>
              <w:jc w:val="right"/>
              <w:rPr>
                <w:rFonts w:ascii="Calibri" w:hAnsi="Calibri"/>
                <w:color w:val="000000"/>
                <w:sz w:val="22"/>
                <w:szCs w:val="22"/>
              </w:rPr>
            </w:pPr>
            <w:r w:rsidRPr="000E0395">
              <w:rPr>
                <w:rFonts w:ascii="Calibri" w:hAnsi="Calibri"/>
                <w:color w:val="000000"/>
                <w:sz w:val="22"/>
                <w:szCs w:val="22"/>
              </w:rPr>
              <w:t>53</w:t>
            </w:r>
          </w:p>
        </w:tc>
      </w:tr>
      <w:tr w:rsidR="000E0395" w:rsidRPr="000E0395" w14:paraId="7E5009E8"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30C59C73" w14:textId="77777777" w:rsidR="000E0395" w:rsidRPr="000E0395" w:rsidRDefault="000E0395" w:rsidP="000E0395">
            <w:pPr>
              <w:spacing w:after="160" w:line="259" w:lineRule="auto"/>
              <w:rPr>
                <w:rFonts w:ascii="Calibri" w:hAnsi="Calibri"/>
                <w:color w:val="FFFFFF"/>
                <w:sz w:val="22"/>
                <w:szCs w:val="22"/>
              </w:rPr>
            </w:pPr>
            <w:r w:rsidRPr="000E0395">
              <w:rPr>
                <w:rFonts w:ascii="Calibri" w:hAnsi="Calibri"/>
                <w:color w:val="FFFFFF"/>
                <w:sz w:val="22"/>
                <w:szCs w:val="22"/>
              </w:rPr>
              <w:t>Max FE</w:t>
            </w:r>
          </w:p>
        </w:tc>
        <w:tc>
          <w:tcPr>
            <w:tcW w:w="960" w:type="dxa"/>
            <w:tcBorders>
              <w:top w:val="nil"/>
              <w:left w:val="nil"/>
              <w:bottom w:val="single" w:sz="8" w:space="0" w:color="92B7BC"/>
              <w:right w:val="single" w:sz="8" w:space="0" w:color="92B7BC"/>
            </w:tcBorders>
            <w:shd w:val="clear" w:color="000000" w:fill="EFE9E5"/>
            <w:noWrap/>
            <w:vAlign w:val="center"/>
            <w:hideMark/>
          </w:tcPr>
          <w:p w14:paraId="280FB99A" w14:textId="77777777" w:rsidR="000E0395" w:rsidRPr="000E0395" w:rsidRDefault="000E0395" w:rsidP="000E0395">
            <w:pPr>
              <w:spacing w:after="160" w:line="259" w:lineRule="auto"/>
              <w:jc w:val="right"/>
              <w:rPr>
                <w:rFonts w:ascii="Calibri" w:hAnsi="Calibri"/>
                <w:color w:val="000000"/>
                <w:sz w:val="22"/>
                <w:szCs w:val="22"/>
              </w:rPr>
            </w:pPr>
            <w:r w:rsidRPr="000E0395">
              <w:rPr>
                <w:rFonts w:ascii="Calibri" w:hAnsi="Calibri"/>
                <w:color w:val="000000"/>
                <w:sz w:val="22"/>
                <w:szCs w:val="22"/>
              </w:rPr>
              <w:t>71.5</w:t>
            </w:r>
          </w:p>
        </w:tc>
      </w:tr>
      <w:tr w:rsidR="000E0395" w:rsidRPr="000E0395" w14:paraId="399DEE35"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5F98F5A0" w14:textId="77777777" w:rsidR="000E0395" w:rsidRPr="000E0395" w:rsidRDefault="000E0395" w:rsidP="000E0395">
            <w:pPr>
              <w:spacing w:after="160" w:line="259" w:lineRule="auto"/>
              <w:rPr>
                <w:rFonts w:ascii="Calibri" w:hAnsi="Calibri"/>
                <w:color w:val="FFFFFF"/>
                <w:sz w:val="22"/>
                <w:szCs w:val="22"/>
              </w:rPr>
            </w:pPr>
            <w:r w:rsidRPr="000E0395">
              <w:rPr>
                <w:rFonts w:ascii="Calibri" w:hAnsi="Calibri"/>
                <w:color w:val="FFFFFF"/>
                <w:sz w:val="22"/>
                <w:szCs w:val="22"/>
              </w:rPr>
              <w:t>Min FE</w:t>
            </w:r>
          </w:p>
        </w:tc>
        <w:tc>
          <w:tcPr>
            <w:tcW w:w="960" w:type="dxa"/>
            <w:tcBorders>
              <w:top w:val="nil"/>
              <w:left w:val="nil"/>
              <w:bottom w:val="single" w:sz="8" w:space="0" w:color="92B7BC"/>
              <w:right w:val="single" w:sz="8" w:space="0" w:color="92B7BC"/>
            </w:tcBorders>
            <w:shd w:val="clear" w:color="000000" w:fill="EFE9E5"/>
            <w:noWrap/>
            <w:vAlign w:val="center"/>
            <w:hideMark/>
          </w:tcPr>
          <w:p w14:paraId="0A13EDFE" w14:textId="77777777" w:rsidR="000E0395" w:rsidRPr="000E0395" w:rsidRDefault="000E0395" w:rsidP="000E0395">
            <w:pPr>
              <w:spacing w:after="160" w:line="259" w:lineRule="auto"/>
              <w:jc w:val="right"/>
              <w:rPr>
                <w:rFonts w:ascii="Calibri" w:hAnsi="Calibri"/>
                <w:color w:val="000000"/>
                <w:sz w:val="22"/>
                <w:szCs w:val="22"/>
              </w:rPr>
            </w:pPr>
            <w:r w:rsidRPr="000E0395">
              <w:rPr>
                <w:rFonts w:ascii="Calibri" w:hAnsi="Calibri"/>
                <w:color w:val="000000"/>
                <w:sz w:val="22"/>
                <w:szCs w:val="22"/>
              </w:rPr>
              <w:t>45</w:t>
            </w:r>
          </w:p>
        </w:tc>
      </w:tr>
      <w:tr w:rsidR="000E0395" w:rsidRPr="000E0395" w14:paraId="3D6D8A98"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7AC84549" w14:textId="77777777" w:rsidR="000E0395" w:rsidRPr="000E0395" w:rsidRDefault="000E0395" w:rsidP="000E0395">
            <w:pPr>
              <w:spacing w:after="160" w:line="259" w:lineRule="auto"/>
              <w:rPr>
                <w:rFonts w:ascii="Calibri" w:hAnsi="Calibri"/>
                <w:b/>
                <w:color w:val="FFFFFF"/>
                <w:sz w:val="22"/>
                <w:szCs w:val="22"/>
              </w:rPr>
            </w:pPr>
            <w:r w:rsidRPr="000E0395">
              <w:rPr>
                <w:rFonts w:ascii="Calibri" w:hAnsi="Calibri"/>
                <w:b/>
                <w:color w:val="FFFFFF"/>
                <w:sz w:val="22"/>
                <w:szCs w:val="22"/>
              </w:rPr>
              <w:t>% with IPI</w:t>
            </w:r>
          </w:p>
        </w:tc>
        <w:tc>
          <w:tcPr>
            <w:tcW w:w="960" w:type="dxa"/>
            <w:tcBorders>
              <w:top w:val="nil"/>
              <w:left w:val="nil"/>
              <w:bottom w:val="single" w:sz="8" w:space="0" w:color="92B7BC"/>
              <w:right w:val="single" w:sz="8" w:space="0" w:color="92B7BC"/>
            </w:tcBorders>
            <w:shd w:val="clear" w:color="000000" w:fill="EFE9E5"/>
            <w:noWrap/>
            <w:vAlign w:val="center"/>
            <w:hideMark/>
          </w:tcPr>
          <w:p w14:paraId="70170025" w14:textId="77777777" w:rsidR="000E0395" w:rsidRPr="000E0395" w:rsidRDefault="000E0395" w:rsidP="000E0395">
            <w:pPr>
              <w:spacing w:after="160" w:line="259" w:lineRule="auto"/>
              <w:jc w:val="right"/>
              <w:rPr>
                <w:rFonts w:ascii="Calibri" w:hAnsi="Calibri"/>
                <w:b/>
                <w:color w:val="000000"/>
                <w:sz w:val="22"/>
                <w:szCs w:val="22"/>
              </w:rPr>
            </w:pPr>
            <w:r w:rsidRPr="000E0395">
              <w:rPr>
                <w:rFonts w:ascii="Calibri" w:hAnsi="Calibri"/>
                <w:b/>
                <w:color w:val="000000"/>
                <w:sz w:val="22"/>
                <w:szCs w:val="22"/>
              </w:rPr>
              <w:t>54.7%</w:t>
            </w:r>
          </w:p>
        </w:tc>
      </w:tr>
      <w:tr w:rsidR="000E0395" w:rsidRPr="000E0395" w14:paraId="3382E4E0"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2E6ACC80" w14:textId="77777777" w:rsidR="000E0395" w:rsidRPr="000E0395" w:rsidRDefault="000E0395" w:rsidP="000E0395">
            <w:pPr>
              <w:spacing w:after="160" w:line="259" w:lineRule="auto"/>
              <w:rPr>
                <w:rFonts w:ascii="Calibri" w:hAnsi="Calibri"/>
                <w:color w:val="FFFFFF"/>
                <w:sz w:val="22"/>
                <w:szCs w:val="22"/>
              </w:rPr>
            </w:pPr>
            <w:r w:rsidRPr="000E0395">
              <w:rPr>
                <w:rFonts w:ascii="Calibri" w:hAnsi="Calibri"/>
                <w:color w:val="FFFFFF"/>
                <w:sz w:val="22"/>
                <w:szCs w:val="22"/>
              </w:rPr>
              <w:t>N below 65%</w:t>
            </w:r>
          </w:p>
        </w:tc>
        <w:tc>
          <w:tcPr>
            <w:tcW w:w="960" w:type="dxa"/>
            <w:tcBorders>
              <w:top w:val="nil"/>
              <w:left w:val="nil"/>
              <w:bottom w:val="single" w:sz="8" w:space="0" w:color="92B7BC"/>
              <w:right w:val="single" w:sz="8" w:space="0" w:color="92B7BC"/>
            </w:tcBorders>
            <w:shd w:val="clear" w:color="000000" w:fill="EFE9E5"/>
            <w:noWrap/>
            <w:vAlign w:val="center"/>
            <w:hideMark/>
          </w:tcPr>
          <w:p w14:paraId="523417D3" w14:textId="77777777" w:rsidR="000E0395" w:rsidRPr="000E0395" w:rsidRDefault="000E0395" w:rsidP="000E0395">
            <w:pPr>
              <w:spacing w:after="160" w:line="259" w:lineRule="auto"/>
              <w:jc w:val="right"/>
              <w:rPr>
                <w:rFonts w:ascii="Calibri" w:hAnsi="Calibri"/>
                <w:color w:val="000000"/>
                <w:sz w:val="22"/>
                <w:szCs w:val="22"/>
              </w:rPr>
            </w:pPr>
            <w:r w:rsidRPr="000E0395">
              <w:rPr>
                <w:rFonts w:ascii="Calibri" w:hAnsi="Calibri"/>
                <w:color w:val="000000"/>
                <w:sz w:val="22"/>
                <w:szCs w:val="22"/>
              </w:rPr>
              <w:t>98</w:t>
            </w:r>
          </w:p>
        </w:tc>
      </w:tr>
      <w:tr w:rsidR="000E0395" w:rsidRPr="000E0395" w14:paraId="42F87C1A" w14:textId="77777777" w:rsidTr="000E0395">
        <w:trPr>
          <w:trHeight w:val="315"/>
        </w:trPr>
        <w:tc>
          <w:tcPr>
            <w:tcW w:w="2680" w:type="dxa"/>
            <w:tcBorders>
              <w:top w:val="nil"/>
              <w:left w:val="single" w:sz="8" w:space="0" w:color="92B7BC"/>
              <w:bottom w:val="single" w:sz="8" w:space="0" w:color="92B7BC"/>
              <w:right w:val="single" w:sz="8" w:space="0" w:color="92B7BC"/>
            </w:tcBorders>
            <w:shd w:val="clear" w:color="000000" w:fill="007299"/>
            <w:noWrap/>
            <w:vAlign w:val="center"/>
            <w:hideMark/>
          </w:tcPr>
          <w:p w14:paraId="3F933C71" w14:textId="77777777" w:rsidR="000E0395" w:rsidRPr="000E0395" w:rsidRDefault="000E0395" w:rsidP="000E0395">
            <w:pPr>
              <w:spacing w:after="160" w:line="259" w:lineRule="auto"/>
              <w:rPr>
                <w:rFonts w:ascii="Calibri" w:hAnsi="Calibri"/>
                <w:color w:val="FFFFFF"/>
                <w:sz w:val="22"/>
                <w:szCs w:val="22"/>
              </w:rPr>
            </w:pPr>
            <w:r w:rsidRPr="000E0395">
              <w:rPr>
                <w:rFonts w:ascii="Calibri" w:hAnsi="Calibri"/>
                <w:color w:val="FFFFFF"/>
                <w:sz w:val="22"/>
                <w:szCs w:val="22"/>
              </w:rPr>
              <w:t>Total N</w:t>
            </w:r>
          </w:p>
        </w:tc>
        <w:tc>
          <w:tcPr>
            <w:tcW w:w="960" w:type="dxa"/>
            <w:tcBorders>
              <w:top w:val="nil"/>
              <w:left w:val="nil"/>
              <w:bottom w:val="single" w:sz="8" w:space="0" w:color="92B7BC"/>
              <w:right w:val="single" w:sz="8" w:space="0" w:color="92B7BC"/>
            </w:tcBorders>
            <w:shd w:val="clear" w:color="000000" w:fill="EFE9E5"/>
            <w:noWrap/>
            <w:vAlign w:val="center"/>
            <w:hideMark/>
          </w:tcPr>
          <w:p w14:paraId="0E829771" w14:textId="77777777" w:rsidR="000E0395" w:rsidRPr="000E0395" w:rsidRDefault="000E0395" w:rsidP="000E0395">
            <w:pPr>
              <w:spacing w:after="160" w:line="259" w:lineRule="auto"/>
              <w:jc w:val="right"/>
              <w:rPr>
                <w:rFonts w:ascii="Calibri" w:hAnsi="Calibri"/>
                <w:color w:val="000000"/>
                <w:sz w:val="22"/>
                <w:szCs w:val="22"/>
              </w:rPr>
            </w:pPr>
            <w:r w:rsidRPr="000E0395">
              <w:rPr>
                <w:rFonts w:ascii="Calibri" w:hAnsi="Calibri"/>
                <w:color w:val="000000"/>
                <w:sz w:val="22"/>
                <w:szCs w:val="22"/>
              </w:rPr>
              <w:t>106</w:t>
            </w:r>
          </w:p>
        </w:tc>
      </w:tr>
    </w:tbl>
    <w:p w14:paraId="51BDD82C" w14:textId="77777777" w:rsidR="000E0395" w:rsidRPr="000E0395" w:rsidRDefault="000E0395" w:rsidP="000E0395">
      <w:pPr>
        <w:spacing w:after="160" w:line="259" w:lineRule="auto"/>
        <w:ind w:left="720"/>
        <w:rPr>
          <w:rFonts w:ascii="Calibri" w:eastAsia="Calibri" w:hAnsi="Calibri"/>
          <w:color w:val="000000"/>
          <w:sz w:val="22"/>
          <w:szCs w:val="22"/>
        </w:rPr>
      </w:pPr>
    </w:p>
    <w:p w14:paraId="7B1AEAF2"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44546A"/>
          <w:sz w:val="22"/>
          <w:szCs w:val="22"/>
        </w:rPr>
        <w:t xml:space="preserve">Field data collection of 106 EPS, </w:t>
      </w:r>
      <w:proofErr w:type="spellStart"/>
      <w:r w:rsidRPr="000E0395">
        <w:rPr>
          <w:rFonts w:ascii="Calibri" w:eastAsia="Calibri" w:hAnsi="Calibri"/>
          <w:color w:val="44546A"/>
          <w:sz w:val="22"/>
          <w:szCs w:val="22"/>
        </w:rPr>
        <w:t>EnergyStar</w:t>
      </w:r>
      <w:proofErr w:type="spellEnd"/>
      <w:r w:rsidRPr="000E0395">
        <w:rPr>
          <w:rFonts w:ascii="Calibri" w:eastAsia="Calibri" w:hAnsi="Calibri"/>
          <w:color w:val="44546A"/>
          <w:sz w:val="22"/>
          <w:szCs w:val="22"/>
        </w:rPr>
        <w:t xml:space="preserve"> and code homes in Oregon and Washington from August – September 2014 indicate that fireplace efficiency in New Homes lags behind that of the Existing Homes market.</w:t>
      </w:r>
    </w:p>
    <w:p w14:paraId="52B43362" w14:textId="77777777" w:rsidR="000E0395" w:rsidRPr="000E0395" w:rsidRDefault="000E0395" w:rsidP="000E0395">
      <w:pPr>
        <w:spacing w:after="160" w:line="259" w:lineRule="auto"/>
        <w:ind w:left="720"/>
        <w:rPr>
          <w:rFonts w:ascii="Calibri" w:eastAsia="Calibri" w:hAnsi="Calibri"/>
          <w:color w:val="000000"/>
          <w:sz w:val="22"/>
          <w:szCs w:val="22"/>
        </w:rPr>
      </w:pPr>
    </w:p>
    <w:p w14:paraId="66241EFA"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Table 2: Average Fireplace Efficiency - 2013 Existing Home Data</w:t>
      </w:r>
    </w:p>
    <w:tbl>
      <w:tblPr>
        <w:tblW w:w="7565" w:type="dxa"/>
        <w:tblInd w:w="108" w:type="dxa"/>
        <w:tblCellMar>
          <w:left w:w="0" w:type="dxa"/>
          <w:right w:w="0" w:type="dxa"/>
        </w:tblCellMar>
        <w:tblLook w:val="04A0" w:firstRow="1" w:lastRow="0" w:firstColumn="1" w:lastColumn="0" w:noHBand="0" w:noVBand="1"/>
      </w:tblPr>
      <w:tblGrid>
        <w:gridCol w:w="2165"/>
        <w:gridCol w:w="2700"/>
        <w:gridCol w:w="2700"/>
      </w:tblGrid>
      <w:tr w:rsidR="000E0395" w:rsidRPr="000E0395" w14:paraId="6AE66789" w14:textId="77777777" w:rsidTr="00685D82">
        <w:trPr>
          <w:trHeight w:val="301"/>
        </w:trPr>
        <w:tc>
          <w:tcPr>
            <w:tcW w:w="21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537A3" w14:textId="77777777" w:rsidR="000E0395" w:rsidRPr="000E0395" w:rsidRDefault="000E0395" w:rsidP="000E0395">
            <w:pPr>
              <w:spacing w:after="160" w:line="276" w:lineRule="auto"/>
              <w:rPr>
                <w:rFonts w:ascii="Times New Roman" w:eastAsia="Calibri" w:hAnsi="Times New Roman"/>
                <w:sz w:val="20"/>
              </w:rPr>
            </w:pPr>
            <w:r w:rsidRPr="000E0395">
              <w:rPr>
                <w:rFonts w:ascii="Times New Roman" w:eastAsia="Calibri" w:hAnsi="Times New Roman"/>
                <w:sz w:val="20"/>
              </w:rPr>
              <w:t> </w:t>
            </w:r>
          </w:p>
        </w:tc>
        <w:tc>
          <w:tcPr>
            <w:tcW w:w="27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F42163"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Average FE in each bin</w:t>
            </w:r>
          </w:p>
        </w:tc>
        <w:tc>
          <w:tcPr>
            <w:tcW w:w="2700" w:type="dxa"/>
            <w:tcBorders>
              <w:top w:val="single" w:sz="8" w:space="0" w:color="auto"/>
              <w:left w:val="nil"/>
              <w:bottom w:val="single" w:sz="8" w:space="0" w:color="auto"/>
              <w:right w:val="single" w:sz="8" w:space="0" w:color="auto"/>
            </w:tcBorders>
            <w:vAlign w:val="center"/>
          </w:tcPr>
          <w:p w14:paraId="5AB19D24"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 xml:space="preserve">Average heating capacity </w:t>
            </w:r>
            <w:proofErr w:type="spellStart"/>
            <w:r w:rsidRPr="000E0395">
              <w:rPr>
                <w:rFonts w:ascii="Calibri" w:eastAsia="Calibri" w:hAnsi="Calibri"/>
                <w:color w:val="000000"/>
                <w:sz w:val="22"/>
                <w:szCs w:val="22"/>
              </w:rPr>
              <w:t>kBtu</w:t>
            </w:r>
            <w:proofErr w:type="spellEnd"/>
            <w:r w:rsidRPr="000E0395">
              <w:rPr>
                <w:rFonts w:ascii="Calibri" w:eastAsia="Calibri" w:hAnsi="Calibri"/>
                <w:color w:val="000000"/>
                <w:sz w:val="22"/>
                <w:szCs w:val="22"/>
              </w:rPr>
              <w:t>/hr.</w:t>
            </w:r>
          </w:p>
        </w:tc>
      </w:tr>
      <w:tr w:rsidR="000E0395" w:rsidRPr="000E0395" w14:paraId="75479844" w14:textId="77777777" w:rsidTr="00685D82">
        <w:trPr>
          <w:trHeight w:val="301"/>
        </w:trPr>
        <w:tc>
          <w:tcPr>
            <w:tcW w:w="21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1EDD78"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70 to 74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23113F"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71.6</w:t>
            </w:r>
          </w:p>
        </w:tc>
        <w:tc>
          <w:tcPr>
            <w:tcW w:w="2700" w:type="dxa"/>
            <w:tcBorders>
              <w:top w:val="nil"/>
              <w:left w:val="nil"/>
              <w:bottom w:val="single" w:sz="8" w:space="0" w:color="auto"/>
              <w:right w:val="single" w:sz="8" w:space="0" w:color="auto"/>
            </w:tcBorders>
            <w:vAlign w:val="center"/>
          </w:tcPr>
          <w:p w14:paraId="0F5970C3"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71.6</w:t>
            </w:r>
          </w:p>
        </w:tc>
      </w:tr>
      <w:tr w:rsidR="000E0395" w:rsidRPr="000E0395" w14:paraId="146215E7" w14:textId="77777777" w:rsidTr="00685D82">
        <w:trPr>
          <w:trHeight w:val="301"/>
        </w:trPr>
        <w:tc>
          <w:tcPr>
            <w:tcW w:w="21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A96815" w14:textId="77777777" w:rsidR="000E0395" w:rsidRPr="000E0395" w:rsidRDefault="000E0395" w:rsidP="000E0395">
            <w:pPr>
              <w:spacing w:after="160" w:line="276" w:lineRule="auto"/>
              <w:rPr>
                <w:rFonts w:ascii="Calibri" w:eastAsia="Calibri" w:hAnsi="Calibri"/>
                <w:color w:val="000000"/>
                <w:sz w:val="22"/>
                <w:szCs w:val="22"/>
              </w:rPr>
            </w:pPr>
            <w:r w:rsidRPr="000E0395">
              <w:rPr>
                <w:rFonts w:ascii="Calibri" w:eastAsia="Calibri" w:hAnsi="Calibri"/>
                <w:color w:val="000000"/>
                <w:sz w:val="22"/>
                <w:szCs w:val="22"/>
              </w:rPr>
              <w:t>75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ABF60"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77.2</w:t>
            </w:r>
          </w:p>
        </w:tc>
        <w:tc>
          <w:tcPr>
            <w:tcW w:w="2700" w:type="dxa"/>
            <w:tcBorders>
              <w:top w:val="nil"/>
              <w:left w:val="nil"/>
              <w:bottom w:val="single" w:sz="8" w:space="0" w:color="auto"/>
              <w:right w:val="single" w:sz="8" w:space="0" w:color="auto"/>
            </w:tcBorders>
            <w:vAlign w:val="center"/>
          </w:tcPr>
          <w:p w14:paraId="035CA63D" w14:textId="77777777" w:rsidR="000E0395" w:rsidRPr="000E0395" w:rsidRDefault="000E0395" w:rsidP="000E0395">
            <w:pPr>
              <w:spacing w:after="160" w:line="276" w:lineRule="auto"/>
              <w:jc w:val="right"/>
              <w:rPr>
                <w:rFonts w:ascii="Calibri" w:eastAsia="Calibri" w:hAnsi="Calibri"/>
                <w:color w:val="000000"/>
                <w:sz w:val="22"/>
                <w:szCs w:val="22"/>
              </w:rPr>
            </w:pPr>
            <w:r w:rsidRPr="000E0395">
              <w:rPr>
                <w:rFonts w:ascii="Calibri" w:eastAsia="Calibri" w:hAnsi="Calibri"/>
                <w:color w:val="000000"/>
                <w:sz w:val="22"/>
                <w:szCs w:val="22"/>
              </w:rPr>
              <w:t>77.2</w:t>
            </w:r>
          </w:p>
        </w:tc>
      </w:tr>
      <w:tr w:rsidR="000E0395" w:rsidRPr="000E0395" w14:paraId="1F88F249" w14:textId="77777777" w:rsidTr="00685D82">
        <w:trPr>
          <w:trHeight w:val="301"/>
        </w:trPr>
        <w:tc>
          <w:tcPr>
            <w:tcW w:w="21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EF0B0C" w14:textId="77777777" w:rsidR="000E0395" w:rsidRPr="000E0395" w:rsidRDefault="000E0395" w:rsidP="000E0395">
            <w:pPr>
              <w:spacing w:after="160" w:line="276" w:lineRule="auto"/>
              <w:rPr>
                <w:rFonts w:ascii="Calibri" w:eastAsia="Calibri" w:hAnsi="Calibri"/>
                <w:b/>
                <w:bCs/>
                <w:color w:val="000000"/>
                <w:sz w:val="22"/>
                <w:szCs w:val="22"/>
              </w:rPr>
            </w:pPr>
            <w:r w:rsidRPr="000E0395">
              <w:rPr>
                <w:rFonts w:ascii="Calibri" w:eastAsia="Calibri" w:hAnsi="Calibri"/>
                <w:b/>
                <w:bCs/>
                <w:color w:val="000000"/>
                <w:sz w:val="22"/>
                <w:szCs w:val="22"/>
              </w:rPr>
              <w:t>total</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8793D1" w14:textId="77777777" w:rsidR="000E0395" w:rsidRPr="000E0395" w:rsidRDefault="000E0395" w:rsidP="000E0395">
            <w:pPr>
              <w:spacing w:after="160" w:line="276" w:lineRule="auto"/>
              <w:jc w:val="right"/>
              <w:rPr>
                <w:rFonts w:ascii="Calibri" w:eastAsia="Calibri" w:hAnsi="Calibri"/>
                <w:b/>
                <w:bCs/>
                <w:sz w:val="22"/>
                <w:szCs w:val="22"/>
              </w:rPr>
            </w:pPr>
            <w:r w:rsidRPr="000E0395">
              <w:rPr>
                <w:rFonts w:ascii="Calibri" w:eastAsia="Calibri" w:hAnsi="Calibri"/>
                <w:b/>
                <w:bCs/>
                <w:sz w:val="22"/>
                <w:szCs w:val="22"/>
              </w:rPr>
              <w:t>66.8</w:t>
            </w:r>
          </w:p>
        </w:tc>
        <w:tc>
          <w:tcPr>
            <w:tcW w:w="2700" w:type="dxa"/>
            <w:tcBorders>
              <w:top w:val="nil"/>
              <w:left w:val="nil"/>
              <w:bottom w:val="single" w:sz="8" w:space="0" w:color="auto"/>
              <w:right w:val="single" w:sz="8" w:space="0" w:color="auto"/>
            </w:tcBorders>
            <w:vAlign w:val="bottom"/>
          </w:tcPr>
          <w:p w14:paraId="5E3E8534" w14:textId="77777777" w:rsidR="000E0395" w:rsidRPr="000E0395" w:rsidRDefault="000E0395" w:rsidP="000E0395">
            <w:pPr>
              <w:spacing w:after="160" w:line="276" w:lineRule="auto"/>
              <w:jc w:val="right"/>
              <w:rPr>
                <w:rFonts w:ascii="Calibri" w:eastAsia="Calibri" w:hAnsi="Calibri"/>
                <w:b/>
                <w:bCs/>
                <w:sz w:val="22"/>
                <w:szCs w:val="22"/>
              </w:rPr>
            </w:pPr>
            <w:r w:rsidRPr="000E0395">
              <w:rPr>
                <w:rFonts w:ascii="Calibri" w:eastAsia="Calibri" w:hAnsi="Calibri"/>
                <w:b/>
                <w:bCs/>
                <w:sz w:val="22"/>
                <w:szCs w:val="22"/>
              </w:rPr>
              <w:t>66.8</w:t>
            </w:r>
          </w:p>
        </w:tc>
      </w:tr>
    </w:tbl>
    <w:p w14:paraId="63C39E8D" w14:textId="77777777" w:rsidR="000E0395" w:rsidRPr="000E0395" w:rsidRDefault="000E0395" w:rsidP="000E0395">
      <w:pPr>
        <w:spacing w:after="160" w:line="259" w:lineRule="auto"/>
        <w:ind w:left="720"/>
        <w:rPr>
          <w:rFonts w:ascii="Calibri" w:eastAsia="Calibri" w:hAnsi="Calibri"/>
          <w:sz w:val="22"/>
          <w:szCs w:val="22"/>
        </w:rPr>
      </w:pPr>
    </w:p>
    <w:p w14:paraId="62A684BA" w14:textId="77777777" w:rsidR="000E0395" w:rsidRPr="000E0395" w:rsidRDefault="000E0395" w:rsidP="00685D82">
      <w:pPr>
        <w:spacing w:after="160" w:line="259" w:lineRule="auto"/>
        <w:rPr>
          <w:rFonts w:ascii="Calibri" w:eastAsia="Calibri" w:hAnsi="Calibri"/>
          <w:color w:val="44546A"/>
          <w:sz w:val="22"/>
          <w:szCs w:val="22"/>
        </w:rPr>
      </w:pPr>
      <w:r w:rsidRPr="000E0395">
        <w:rPr>
          <w:rFonts w:ascii="Calibri" w:eastAsia="Calibri" w:hAnsi="Calibri"/>
          <w:color w:val="44546A"/>
          <w:sz w:val="22"/>
          <w:szCs w:val="22"/>
        </w:rPr>
        <w:t xml:space="preserve">For the new lower efficient tier (Tier 1, 70-74 FE), the savings are 39.1 annual therms (7.5 hours per week x 40 weeks </w:t>
      </w:r>
      <w:proofErr w:type="gramStart"/>
      <w:r w:rsidRPr="000E0395">
        <w:rPr>
          <w:rFonts w:ascii="Calibri" w:eastAsia="Calibri" w:hAnsi="Calibri"/>
          <w:color w:val="44546A"/>
          <w:sz w:val="22"/>
          <w:szCs w:val="22"/>
        </w:rPr>
        <w:t xml:space="preserve">x 33 </w:t>
      </w:r>
      <w:proofErr w:type="spellStart"/>
      <w:r w:rsidRPr="000E0395">
        <w:rPr>
          <w:rFonts w:ascii="Calibri" w:eastAsia="Calibri" w:hAnsi="Calibri"/>
          <w:color w:val="44546A"/>
          <w:sz w:val="22"/>
          <w:szCs w:val="22"/>
        </w:rPr>
        <w:t>kBtu</w:t>
      </w:r>
      <w:proofErr w:type="spellEnd"/>
      <w:r w:rsidRPr="000E0395">
        <w:rPr>
          <w:rFonts w:ascii="Calibri" w:eastAsia="Calibri" w:hAnsi="Calibri"/>
          <w:color w:val="44546A"/>
          <w:sz w:val="22"/>
          <w:szCs w:val="22"/>
        </w:rPr>
        <w:t>/h x (1 / 55.8 FE – 1 / 71.6 FE)</w:t>
      </w:r>
      <w:proofErr w:type="gramEnd"/>
      <w:r w:rsidRPr="000E0395">
        <w:rPr>
          <w:rFonts w:ascii="Calibri" w:eastAsia="Calibri" w:hAnsi="Calibri"/>
          <w:color w:val="44546A"/>
          <w:sz w:val="22"/>
          <w:szCs w:val="22"/>
        </w:rPr>
        <w:t xml:space="preserve">. For the higher efficient tier (Tier 2, 75+FE), the savings are 38.7 annual therms (7.5 hours per week x 40 weeks x 26 </w:t>
      </w:r>
      <w:proofErr w:type="spellStart"/>
      <w:r w:rsidRPr="000E0395">
        <w:rPr>
          <w:rFonts w:ascii="Calibri" w:eastAsia="Calibri" w:hAnsi="Calibri"/>
          <w:color w:val="44546A"/>
          <w:sz w:val="22"/>
          <w:szCs w:val="22"/>
        </w:rPr>
        <w:t>kBtu</w:t>
      </w:r>
      <w:proofErr w:type="spellEnd"/>
      <w:r w:rsidRPr="000E0395">
        <w:rPr>
          <w:rFonts w:ascii="Calibri" w:eastAsia="Calibri" w:hAnsi="Calibri"/>
          <w:color w:val="44546A"/>
          <w:sz w:val="22"/>
          <w:szCs w:val="22"/>
        </w:rPr>
        <w:t xml:space="preserve">/h x (1 / 55.8 FE – 1 / 77.2 FE). </w:t>
      </w:r>
    </w:p>
    <w:p w14:paraId="293EB6ED" w14:textId="77777777" w:rsidR="000E0395" w:rsidRPr="000E0395" w:rsidRDefault="000E0395" w:rsidP="000E0395">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br w:type="page"/>
      </w:r>
    </w:p>
    <w:p w14:paraId="65FC7664" w14:textId="77777777" w:rsidR="000E0395" w:rsidRPr="000E0395" w:rsidRDefault="000E0395" w:rsidP="000E0395">
      <w:pPr>
        <w:spacing w:after="160" w:line="259" w:lineRule="auto"/>
        <w:ind w:left="720"/>
        <w:rPr>
          <w:rFonts w:ascii="Calibri" w:eastAsia="Calibri" w:hAnsi="Calibri"/>
          <w:b/>
          <w:bCs/>
          <w:color w:val="000000"/>
          <w:sz w:val="22"/>
          <w:szCs w:val="22"/>
        </w:rPr>
      </w:pPr>
    </w:p>
    <w:p w14:paraId="2156C16F"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Energy savings based on intermittent pilot ignition</w:t>
      </w:r>
    </w:p>
    <w:p w14:paraId="18477068"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Intermittent ignition savings are calculated by multiplying the heat input by the number of hours the pilot would otherwise be on and the Net to </w:t>
      </w:r>
      <w:proofErr w:type="gramStart"/>
      <w:r w:rsidRPr="000E0395">
        <w:rPr>
          <w:rFonts w:ascii="Calibri" w:eastAsia="Calibri" w:hAnsi="Calibri"/>
          <w:color w:val="000000"/>
          <w:sz w:val="22"/>
          <w:szCs w:val="22"/>
        </w:rPr>
        <w:t>Gross</w:t>
      </w:r>
      <w:proofErr w:type="gramEnd"/>
      <w:r w:rsidRPr="000E0395">
        <w:rPr>
          <w:rFonts w:ascii="Calibri" w:eastAsia="Calibri" w:hAnsi="Calibri"/>
          <w:color w:val="000000"/>
          <w:sz w:val="22"/>
          <w:szCs w:val="22"/>
        </w:rPr>
        <w:t xml:space="preserve"> ratio (NTG). The heat input is 900 Btu/h, up from the previous version of the measure, based on information that thermostatically controlled and remote controlled fireplaces require pilot lights with higher heat inputs.  The hours are 8760 minus the hours the fireplace is in operation, and NTG is </w:t>
      </w:r>
      <w:r w:rsidRPr="000E0395">
        <w:rPr>
          <w:rFonts w:ascii="Calibri" w:eastAsia="Calibri" w:hAnsi="Calibri"/>
          <w:color w:val="44546A"/>
          <w:sz w:val="22"/>
          <w:szCs w:val="22"/>
        </w:rPr>
        <w:t xml:space="preserve">0.453 based on the percentage of standing pilot lights found in 106 EPS, </w:t>
      </w:r>
      <w:proofErr w:type="spellStart"/>
      <w:r w:rsidRPr="000E0395">
        <w:rPr>
          <w:rFonts w:ascii="Calibri" w:eastAsia="Calibri" w:hAnsi="Calibri"/>
          <w:color w:val="44546A"/>
          <w:sz w:val="22"/>
          <w:szCs w:val="22"/>
        </w:rPr>
        <w:t>EnergyStar</w:t>
      </w:r>
      <w:proofErr w:type="spellEnd"/>
      <w:r w:rsidRPr="000E0395">
        <w:rPr>
          <w:rFonts w:ascii="Calibri" w:eastAsia="Calibri" w:hAnsi="Calibri"/>
          <w:color w:val="44546A"/>
          <w:sz w:val="22"/>
          <w:szCs w:val="22"/>
        </w:rPr>
        <w:t xml:space="preserve"> and code built homes during field data collection from September-August 2014</w:t>
      </w:r>
      <w:r w:rsidRPr="000E0395">
        <w:rPr>
          <w:rFonts w:ascii="Calibri" w:eastAsia="Calibri" w:hAnsi="Calibri"/>
          <w:color w:val="000000"/>
          <w:sz w:val="22"/>
          <w:szCs w:val="22"/>
        </w:rPr>
        <w:t xml:space="preserve">. Savings from the intermittent ignition system are </w:t>
      </w:r>
      <w:r w:rsidRPr="000E0395">
        <w:rPr>
          <w:rFonts w:ascii="Calibri" w:eastAsia="Calibri" w:hAnsi="Calibri"/>
          <w:color w:val="44546A"/>
          <w:sz w:val="22"/>
          <w:szCs w:val="22"/>
        </w:rPr>
        <w:t>34.5 therms ((8760 hours – 40 weeks x 7.5 hours per week) x 0.009 therms / h x 0.453)</w:t>
      </w:r>
      <w:r w:rsidRPr="000E0395">
        <w:rPr>
          <w:rFonts w:ascii="Calibri" w:eastAsia="Calibri" w:hAnsi="Calibri"/>
          <w:color w:val="000000"/>
          <w:sz w:val="22"/>
          <w:szCs w:val="22"/>
        </w:rPr>
        <w:t>.</w:t>
      </w:r>
    </w:p>
    <w:p w14:paraId="07AFF849" w14:textId="77777777" w:rsidR="000E0395" w:rsidRPr="000E0395" w:rsidRDefault="000E0395" w:rsidP="00685D82">
      <w:pPr>
        <w:spacing w:after="160" w:line="259" w:lineRule="auto"/>
        <w:rPr>
          <w:rFonts w:ascii="Calibri" w:eastAsia="Calibri" w:hAnsi="Calibri"/>
          <w:color w:val="000000"/>
          <w:sz w:val="22"/>
          <w:szCs w:val="22"/>
        </w:rPr>
      </w:pPr>
    </w:p>
    <w:p w14:paraId="04D4CC55"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Measure Cost</w:t>
      </w:r>
    </w:p>
    <w:p w14:paraId="72AF9B1D" w14:textId="77777777" w:rsidR="000E0395" w:rsidRPr="000E0395" w:rsidRDefault="000E0395" w:rsidP="00685D82">
      <w:pPr>
        <w:spacing w:after="160" w:line="259" w:lineRule="auto"/>
        <w:rPr>
          <w:rFonts w:ascii="Calibri" w:eastAsia="Calibri" w:hAnsi="Calibri"/>
          <w:b/>
          <w:bCs/>
          <w:color w:val="000000"/>
          <w:sz w:val="22"/>
          <w:szCs w:val="22"/>
        </w:rPr>
      </w:pPr>
    </w:p>
    <w:p w14:paraId="55DE9741"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Table 3: Fireplace Unit Cost by Efficiency Tier - 2013 Program Data</w:t>
      </w:r>
    </w:p>
    <w:tbl>
      <w:tblPr>
        <w:tblW w:w="3420" w:type="dxa"/>
        <w:tblInd w:w="828" w:type="dxa"/>
        <w:tblCellMar>
          <w:left w:w="0" w:type="dxa"/>
          <w:right w:w="0" w:type="dxa"/>
        </w:tblCellMar>
        <w:tblLook w:val="04A0" w:firstRow="1" w:lastRow="0" w:firstColumn="1" w:lastColumn="0" w:noHBand="0" w:noVBand="1"/>
      </w:tblPr>
      <w:tblGrid>
        <w:gridCol w:w="1440"/>
        <w:gridCol w:w="1980"/>
      </w:tblGrid>
      <w:tr w:rsidR="000E0395" w:rsidRPr="000E0395" w14:paraId="2C0AA793" w14:textId="77777777" w:rsidTr="000E0395">
        <w:trPr>
          <w:trHeight w:val="255"/>
        </w:trPr>
        <w:tc>
          <w:tcPr>
            <w:tcW w:w="1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5D6BDC" w14:textId="77777777" w:rsidR="000E0395" w:rsidRPr="000E0395" w:rsidRDefault="000E0395" w:rsidP="000E0395">
            <w:pPr>
              <w:spacing w:after="160" w:line="276" w:lineRule="auto"/>
              <w:rPr>
                <w:rFonts w:eastAsia="Calibri" w:cs="Arial"/>
                <w:b/>
                <w:bCs/>
                <w:sz w:val="20"/>
              </w:rPr>
            </w:pPr>
            <w:r w:rsidRPr="000E0395">
              <w:rPr>
                <w:rFonts w:eastAsia="Calibri" w:cs="Arial"/>
                <w:b/>
                <w:bCs/>
                <w:sz w:val="20"/>
              </w:rPr>
              <w:t>Tier</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FFA932" w14:textId="77777777" w:rsidR="000E0395" w:rsidRPr="000E0395" w:rsidRDefault="000E0395" w:rsidP="000E0395">
            <w:pPr>
              <w:spacing w:after="160" w:line="276" w:lineRule="auto"/>
              <w:jc w:val="right"/>
              <w:rPr>
                <w:rFonts w:eastAsia="Calibri" w:cs="Arial"/>
                <w:b/>
                <w:bCs/>
                <w:sz w:val="20"/>
              </w:rPr>
            </w:pPr>
            <w:r w:rsidRPr="000E0395">
              <w:rPr>
                <w:rFonts w:eastAsia="Calibri" w:cs="Arial"/>
                <w:b/>
                <w:bCs/>
                <w:sz w:val="20"/>
              </w:rPr>
              <w:t>Average cost</w:t>
            </w:r>
          </w:p>
        </w:tc>
      </w:tr>
      <w:tr w:rsidR="000E0395" w:rsidRPr="000E0395" w14:paraId="3A9D1AA1" w14:textId="77777777" w:rsidTr="000E0395">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CB8606" w14:textId="77777777" w:rsidR="000E0395" w:rsidRPr="000E0395" w:rsidRDefault="000E0395" w:rsidP="000E0395">
            <w:pPr>
              <w:spacing w:after="160" w:line="276" w:lineRule="auto"/>
              <w:rPr>
                <w:rFonts w:eastAsia="Calibri" w:cs="Arial"/>
                <w:sz w:val="20"/>
              </w:rPr>
            </w:pPr>
            <w:r w:rsidRPr="000E0395">
              <w:rPr>
                <w:rFonts w:eastAsia="Calibri" w:cs="Arial"/>
                <w:sz w:val="20"/>
              </w:rPr>
              <w:t>67 to 69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162EE" w14:textId="77777777" w:rsidR="000E0395" w:rsidRPr="000E0395" w:rsidRDefault="000E0395" w:rsidP="000E0395">
            <w:pPr>
              <w:spacing w:after="160" w:line="276" w:lineRule="auto"/>
              <w:jc w:val="right"/>
              <w:rPr>
                <w:rFonts w:eastAsia="Calibri" w:cs="Arial"/>
                <w:sz w:val="20"/>
              </w:rPr>
            </w:pPr>
            <w:r w:rsidRPr="000E0395">
              <w:rPr>
                <w:rFonts w:eastAsia="Calibri" w:cs="Arial"/>
                <w:sz w:val="20"/>
              </w:rPr>
              <w:t>$4,553</w:t>
            </w:r>
          </w:p>
        </w:tc>
      </w:tr>
      <w:tr w:rsidR="000E0395" w:rsidRPr="000E0395" w14:paraId="2EC6A12B" w14:textId="77777777" w:rsidTr="000E0395">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1367FB" w14:textId="77777777" w:rsidR="000E0395" w:rsidRPr="000E0395" w:rsidRDefault="000E0395" w:rsidP="000E0395">
            <w:pPr>
              <w:spacing w:after="160" w:line="276" w:lineRule="auto"/>
              <w:rPr>
                <w:rFonts w:eastAsia="Calibri" w:cs="Arial"/>
                <w:sz w:val="20"/>
              </w:rPr>
            </w:pPr>
            <w:r w:rsidRPr="000E0395">
              <w:rPr>
                <w:rFonts w:eastAsia="Calibri" w:cs="Arial"/>
                <w:sz w:val="20"/>
              </w:rPr>
              <w:t>70 to 74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88EBB0" w14:textId="77777777" w:rsidR="000E0395" w:rsidRPr="000E0395" w:rsidRDefault="000E0395" w:rsidP="000E0395">
            <w:pPr>
              <w:spacing w:after="160" w:line="276" w:lineRule="auto"/>
              <w:jc w:val="right"/>
              <w:rPr>
                <w:rFonts w:eastAsia="Calibri" w:cs="Arial"/>
                <w:sz w:val="20"/>
              </w:rPr>
            </w:pPr>
            <w:r w:rsidRPr="000E0395">
              <w:rPr>
                <w:rFonts w:eastAsia="Calibri" w:cs="Arial"/>
                <w:sz w:val="20"/>
              </w:rPr>
              <w:t>$4,067</w:t>
            </w:r>
          </w:p>
        </w:tc>
      </w:tr>
      <w:tr w:rsidR="000E0395" w:rsidRPr="000E0395" w14:paraId="18D1C633" w14:textId="77777777" w:rsidTr="000E0395">
        <w:trPr>
          <w:trHeight w:val="255"/>
        </w:trPr>
        <w:tc>
          <w:tcPr>
            <w:tcW w:w="1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21CD7C" w14:textId="77777777" w:rsidR="000E0395" w:rsidRPr="000E0395" w:rsidRDefault="000E0395" w:rsidP="000E0395">
            <w:pPr>
              <w:spacing w:after="160" w:line="276" w:lineRule="auto"/>
              <w:rPr>
                <w:rFonts w:eastAsia="Calibri" w:cs="Arial"/>
                <w:sz w:val="20"/>
              </w:rPr>
            </w:pPr>
            <w:r w:rsidRPr="000E0395">
              <w:rPr>
                <w:rFonts w:eastAsia="Calibri" w:cs="Arial"/>
                <w:sz w:val="20"/>
              </w:rPr>
              <w:t>75 and up</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D4BFE0" w14:textId="77777777" w:rsidR="000E0395" w:rsidRPr="000E0395" w:rsidRDefault="000E0395" w:rsidP="000E0395">
            <w:pPr>
              <w:spacing w:after="160" w:line="276" w:lineRule="auto"/>
              <w:jc w:val="right"/>
              <w:rPr>
                <w:rFonts w:eastAsia="Calibri" w:cs="Arial"/>
                <w:sz w:val="20"/>
              </w:rPr>
            </w:pPr>
            <w:r w:rsidRPr="000E0395">
              <w:rPr>
                <w:rFonts w:eastAsia="Calibri" w:cs="Arial"/>
                <w:sz w:val="20"/>
              </w:rPr>
              <w:t>$4,241</w:t>
            </w:r>
          </w:p>
        </w:tc>
      </w:tr>
    </w:tbl>
    <w:p w14:paraId="42AD537E" w14:textId="77777777" w:rsidR="000E0395" w:rsidRPr="000E0395" w:rsidRDefault="000E0395" w:rsidP="000E0395">
      <w:pPr>
        <w:spacing w:after="160" w:line="259" w:lineRule="auto"/>
        <w:ind w:left="720"/>
        <w:rPr>
          <w:rFonts w:ascii="Calibri" w:eastAsia="Calibri" w:hAnsi="Calibri"/>
          <w:b/>
          <w:bCs/>
          <w:color w:val="000000"/>
          <w:sz w:val="22"/>
          <w:szCs w:val="22"/>
        </w:rPr>
      </w:pPr>
    </w:p>
    <w:p w14:paraId="0E68CEC3" w14:textId="77777777" w:rsidR="000E0395" w:rsidRPr="000E0395" w:rsidRDefault="000E0395" w:rsidP="00685D82">
      <w:pPr>
        <w:spacing w:after="160" w:line="259" w:lineRule="auto"/>
        <w:rPr>
          <w:rFonts w:ascii="Calibri" w:eastAsia="Calibri" w:hAnsi="Calibri"/>
          <w:color w:val="44546A"/>
          <w:sz w:val="22"/>
          <w:szCs w:val="22"/>
        </w:rPr>
      </w:pPr>
      <w:r w:rsidRPr="000E0395">
        <w:rPr>
          <w:rFonts w:ascii="Calibri" w:eastAsia="Calibri" w:hAnsi="Calibri"/>
          <w:color w:val="44546A"/>
          <w:sz w:val="22"/>
          <w:szCs w:val="22"/>
        </w:rPr>
        <w:t>Cost information for new home fireplace installation is not currently well understood. Existing homes data indicate that incremental costs for more efficient units are typically negligible or negative and are driven by factors other than energy efficiency such as aesthetics.</w:t>
      </w:r>
    </w:p>
    <w:p w14:paraId="65D0B4FA" w14:textId="77777777" w:rsidR="000E0395" w:rsidRPr="000E0395" w:rsidRDefault="000E0395" w:rsidP="00685D82">
      <w:pPr>
        <w:spacing w:after="160" w:line="259" w:lineRule="auto"/>
        <w:rPr>
          <w:rFonts w:ascii="Calibri" w:eastAsia="Calibri" w:hAnsi="Calibri"/>
          <w:b/>
          <w:bCs/>
          <w:color w:val="000000"/>
          <w:sz w:val="22"/>
          <w:szCs w:val="22"/>
          <w:highlight w:val="yellow"/>
        </w:rPr>
      </w:pPr>
      <w:r w:rsidRPr="000E0395">
        <w:rPr>
          <w:rFonts w:ascii="Calibri" w:eastAsia="Calibri" w:hAnsi="Calibri"/>
          <w:b/>
          <w:bCs/>
          <w:color w:val="000000"/>
          <w:sz w:val="22"/>
          <w:szCs w:val="22"/>
          <w:highlight w:val="yellow"/>
        </w:rPr>
        <w:br w:type="page"/>
      </w:r>
    </w:p>
    <w:p w14:paraId="12BBC61F" w14:textId="77777777" w:rsidR="000E0395" w:rsidRPr="000E0395" w:rsidRDefault="000E0395" w:rsidP="000E0395">
      <w:pPr>
        <w:spacing w:after="160" w:line="259" w:lineRule="auto"/>
        <w:ind w:left="720"/>
        <w:rPr>
          <w:rFonts w:ascii="Calibri" w:eastAsia="Calibri" w:hAnsi="Calibri"/>
          <w:b/>
          <w:bCs/>
          <w:color w:val="000000"/>
          <w:sz w:val="22"/>
          <w:szCs w:val="22"/>
          <w:highlight w:val="yellow"/>
        </w:rPr>
      </w:pPr>
    </w:p>
    <w:p w14:paraId="48AC4AEF"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highlight w:val="yellow"/>
        </w:rPr>
        <w:t>Cost Effectiveness Calculator:</w:t>
      </w:r>
      <w:r w:rsidRPr="000E0395">
        <w:rPr>
          <w:rFonts w:ascii="Calibri" w:eastAsia="Calibri" w:hAnsi="Calibri"/>
          <w:b/>
          <w:bCs/>
          <w:color w:val="000000"/>
          <w:sz w:val="22"/>
          <w:szCs w:val="22"/>
        </w:rPr>
        <w:t xml:space="preserve"> </w:t>
      </w:r>
    </w:p>
    <w:p w14:paraId="14C38B18" w14:textId="77777777" w:rsidR="000E0395" w:rsidRPr="000E0395" w:rsidRDefault="000E0395" w:rsidP="000E0395">
      <w:pPr>
        <w:spacing w:after="160" w:line="259" w:lineRule="auto"/>
        <w:ind w:left="720"/>
        <w:rPr>
          <w:rFonts w:ascii="Calibri" w:eastAsia="Calibri" w:hAnsi="Calibri"/>
          <w:b/>
          <w:bCs/>
          <w:color w:val="000000"/>
          <w:sz w:val="22"/>
          <w:szCs w:val="22"/>
        </w:rPr>
      </w:pPr>
    </w:p>
    <w:tbl>
      <w:tblPr>
        <w:tblW w:w="9195" w:type="dxa"/>
        <w:tblInd w:w="108" w:type="dxa"/>
        <w:tblLayout w:type="fixed"/>
        <w:tblLook w:val="04A0" w:firstRow="1" w:lastRow="0" w:firstColumn="1" w:lastColumn="0" w:noHBand="0" w:noVBand="1"/>
      </w:tblPr>
      <w:tblGrid>
        <w:gridCol w:w="1102"/>
        <w:gridCol w:w="1011"/>
        <w:gridCol w:w="1012"/>
        <w:gridCol w:w="1011"/>
        <w:gridCol w:w="1012"/>
        <w:gridCol w:w="1012"/>
        <w:gridCol w:w="1011"/>
        <w:gridCol w:w="1012"/>
        <w:gridCol w:w="1012"/>
      </w:tblGrid>
      <w:tr w:rsidR="000E0395" w:rsidRPr="000E0395" w14:paraId="53170D82" w14:textId="77777777" w:rsidTr="00685D82">
        <w:trPr>
          <w:trHeight w:val="1305"/>
        </w:trPr>
        <w:tc>
          <w:tcPr>
            <w:tcW w:w="1102"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2CBBCA26"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Project </w:t>
            </w:r>
          </w:p>
        </w:tc>
        <w:tc>
          <w:tcPr>
            <w:tcW w:w="1011" w:type="dxa"/>
            <w:tcBorders>
              <w:top w:val="single" w:sz="8" w:space="0" w:color="auto"/>
              <w:left w:val="nil"/>
              <w:bottom w:val="single" w:sz="8" w:space="0" w:color="auto"/>
              <w:right w:val="single" w:sz="8" w:space="0" w:color="auto"/>
            </w:tcBorders>
            <w:shd w:val="clear" w:color="000000" w:fill="CCFFFF"/>
            <w:vAlign w:val="center"/>
            <w:hideMark/>
          </w:tcPr>
          <w:p w14:paraId="3B46D0A6"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Measure Lifetime (Maximum   70 </w:t>
            </w:r>
            <w:proofErr w:type="spellStart"/>
            <w:r w:rsidRPr="000E0395">
              <w:rPr>
                <w:rFonts w:cs="Arial"/>
                <w:b/>
                <w:bCs/>
                <w:color w:val="000000"/>
                <w:sz w:val="20"/>
              </w:rPr>
              <w:t>yrs</w:t>
            </w:r>
            <w:proofErr w:type="spellEnd"/>
            <w:r w:rsidRPr="000E0395">
              <w:rPr>
                <w:rFonts w:cs="Arial"/>
                <w:b/>
                <w:bCs/>
                <w:color w:val="000000"/>
                <w:sz w:val="20"/>
              </w:rPr>
              <w:t>)</w:t>
            </w:r>
          </w:p>
        </w:tc>
        <w:tc>
          <w:tcPr>
            <w:tcW w:w="1012" w:type="dxa"/>
            <w:tcBorders>
              <w:top w:val="single" w:sz="8" w:space="0" w:color="auto"/>
              <w:left w:val="nil"/>
              <w:bottom w:val="single" w:sz="8" w:space="0" w:color="auto"/>
              <w:right w:val="single" w:sz="8" w:space="0" w:color="auto"/>
            </w:tcBorders>
            <w:shd w:val="clear" w:color="000000" w:fill="CCFFFF"/>
            <w:vAlign w:val="center"/>
            <w:hideMark/>
          </w:tcPr>
          <w:p w14:paraId="26BF36AA"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Annual Gas Savings, therm</w:t>
            </w:r>
          </w:p>
        </w:tc>
        <w:tc>
          <w:tcPr>
            <w:tcW w:w="1011" w:type="dxa"/>
            <w:tcBorders>
              <w:top w:val="single" w:sz="8" w:space="0" w:color="auto"/>
              <w:left w:val="nil"/>
              <w:bottom w:val="single" w:sz="8" w:space="0" w:color="auto"/>
              <w:right w:val="single" w:sz="8" w:space="0" w:color="auto"/>
            </w:tcBorders>
            <w:shd w:val="clear" w:color="000000" w:fill="CCFFFF"/>
            <w:vAlign w:val="center"/>
            <w:hideMark/>
          </w:tcPr>
          <w:p w14:paraId="10A0E0BE"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Total Cost</w:t>
            </w:r>
          </w:p>
        </w:tc>
        <w:tc>
          <w:tcPr>
            <w:tcW w:w="1012" w:type="dxa"/>
            <w:tcBorders>
              <w:top w:val="single" w:sz="8" w:space="0" w:color="auto"/>
              <w:left w:val="nil"/>
              <w:bottom w:val="single" w:sz="8" w:space="0" w:color="auto"/>
              <w:right w:val="single" w:sz="8" w:space="0" w:color="auto"/>
            </w:tcBorders>
            <w:shd w:val="clear" w:color="000000" w:fill="FF0000"/>
            <w:vAlign w:val="center"/>
            <w:hideMark/>
          </w:tcPr>
          <w:p w14:paraId="06DA895B"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Max ETO Incentives</w:t>
            </w:r>
          </w:p>
        </w:tc>
        <w:tc>
          <w:tcPr>
            <w:tcW w:w="1012" w:type="dxa"/>
            <w:tcBorders>
              <w:top w:val="double" w:sz="6" w:space="0" w:color="auto"/>
              <w:left w:val="nil"/>
              <w:bottom w:val="single" w:sz="8" w:space="0" w:color="auto"/>
              <w:right w:val="nil"/>
            </w:tcBorders>
            <w:shd w:val="clear" w:color="000000" w:fill="FFCC00"/>
            <w:vAlign w:val="center"/>
            <w:hideMark/>
          </w:tcPr>
          <w:p w14:paraId="08D4219B"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Utility System PV of Benefits</w:t>
            </w:r>
          </w:p>
        </w:tc>
        <w:tc>
          <w:tcPr>
            <w:tcW w:w="1011" w:type="dxa"/>
            <w:tcBorders>
              <w:top w:val="double" w:sz="6" w:space="0" w:color="auto"/>
              <w:left w:val="single" w:sz="8" w:space="0" w:color="auto"/>
              <w:bottom w:val="single" w:sz="8" w:space="0" w:color="auto"/>
              <w:right w:val="double" w:sz="6" w:space="0" w:color="auto"/>
            </w:tcBorders>
            <w:shd w:val="clear" w:color="000000" w:fill="FFCC00"/>
            <w:vAlign w:val="center"/>
            <w:hideMark/>
          </w:tcPr>
          <w:p w14:paraId="4D19FDF7"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Societal PV of Benefits</w:t>
            </w:r>
          </w:p>
        </w:tc>
        <w:tc>
          <w:tcPr>
            <w:tcW w:w="1012" w:type="dxa"/>
            <w:tcBorders>
              <w:top w:val="double" w:sz="6" w:space="0" w:color="auto"/>
              <w:left w:val="nil"/>
              <w:bottom w:val="single" w:sz="8" w:space="0" w:color="auto"/>
              <w:right w:val="nil"/>
            </w:tcBorders>
            <w:shd w:val="clear" w:color="000000" w:fill="FF99CC"/>
            <w:vAlign w:val="center"/>
            <w:hideMark/>
          </w:tcPr>
          <w:p w14:paraId="7930D195"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Combined Utility System BCR</w:t>
            </w:r>
          </w:p>
        </w:tc>
        <w:tc>
          <w:tcPr>
            <w:tcW w:w="1012" w:type="dxa"/>
            <w:tcBorders>
              <w:top w:val="double" w:sz="6" w:space="0" w:color="auto"/>
              <w:left w:val="single" w:sz="8" w:space="0" w:color="auto"/>
              <w:bottom w:val="single" w:sz="8" w:space="0" w:color="auto"/>
              <w:right w:val="double" w:sz="6" w:space="0" w:color="auto"/>
            </w:tcBorders>
            <w:shd w:val="clear" w:color="000000" w:fill="FF99CC"/>
            <w:vAlign w:val="center"/>
            <w:hideMark/>
          </w:tcPr>
          <w:p w14:paraId="60E52DB3"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Combined Societal BCR</w:t>
            </w:r>
          </w:p>
        </w:tc>
      </w:tr>
      <w:tr w:rsidR="000E0395" w:rsidRPr="000E0395" w14:paraId="7C5304DC" w14:textId="77777777" w:rsidTr="00685D82">
        <w:trPr>
          <w:trHeight w:val="1290"/>
        </w:trPr>
        <w:tc>
          <w:tcPr>
            <w:tcW w:w="1102" w:type="dxa"/>
            <w:tcBorders>
              <w:top w:val="nil"/>
              <w:left w:val="single" w:sz="8" w:space="0" w:color="auto"/>
              <w:bottom w:val="single" w:sz="8" w:space="0" w:color="auto"/>
              <w:right w:val="nil"/>
            </w:tcBorders>
            <w:shd w:val="clear" w:color="000000" w:fill="FFFFCC"/>
            <w:vAlign w:val="center"/>
            <w:hideMark/>
          </w:tcPr>
          <w:p w14:paraId="366E1A21"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70 to 74 FE and intermittent ignition</w:t>
            </w:r>
          </w:p>
        </w:tc>
        <w:tc>
          <w:tcPr>
            <w:tcW w:w="1011" w:type="dxa"/>
            <w:tcBorders>
              <w:top w:val="nil"/>
              <w:left w:val="single" w:sz="8" w:space="0" w:color="auto"/>
              <w:bottom w:val="single" w:sz="8" w:space="0" w:color="auto"/>
              <w:right w:val="nil"/>
            </w:tcBorders>
            <w:shd w:val="clear" w:color="000000" w:fill="FFFFCC"/>
            <w:vAlign w:val="center"/>
            <w:hideMark/>
          </w:tcPr>
          <w:p w14:paraId="38ED3F07"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20</w:t>
            </w:r>
          </w:p>
        </w:tc>
        <w:tc>
          <w:tcPr>
            <w:tcW w:w="1012" w:type="dxa"/>
            <w:tcBorders>
              <w:top w:val="nil"/>
              <w:left w:val="single" w:sz="8" w:space="0" w:color="auto"/>
              <w:bottom w:val="single" w:sz="8" w:space="0" w:color="auto"/>
              <w:right w:val="nil"/>
            </w:tcBorders>
            <w:shd w:val="clear" w:color="000000" w:fill="FFFFCC"/>
            <w:vAlign w:val="center"/>
            <w:hideMark/>
          </w:tcPr>
          <w:p w14:paraId="0097BD9F"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73.64</w:t>
            </w:r>
          </w:p>
        </w:tc>
        <w:tc>
          <w:tcPr>
            <w:tcW w:w="1011" w:type="dxa"/>
            <w:tcBorders>
              <w:top w:val="nil"/>
              <w:left w:val="single" w:sz="8" w:space="0" w:color="auto"/>
              <w:bottom w:val="single" w:sz="8" w:space="0" w:color="auto"/>
              <w:right w:val="nil"/>
            </w:tcBorders>
            <w:shd w:val="clear" w:color="000000" w:fill="FFFFCC"/>
            <w:vAlign w:val="center"/>
            <w:hideMark/>
          </w:tcPr>
          <w:p w14:paraId="58523A94"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$1 </w:t>
            </w:r>
          </w:p>
        </w:tc>
        <w:tc>
          <w:tcPr>
            <w:tcW w:w="1012" w:type="dxa"/>
            <w:tcBorders>
              <w:top w:val="nil"/>
              <w:left w:val="single" w:sz="8" w:space="0" w:color="auto"/>
              <w:bottom w:val="single" w:sz="8" w:space="0" w:color="auto"/>
              <w:right w:val="nil"/>
            </w:tcBorders>
            <w:shd w:val="clear" w:color="000000" w:fill="FFFFCC"/>
            <w:vAlign w:val="center"/>
            <w:hideMark/>
          </w:tcPr>
          <w:p w14:paraId="659E13F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$452 </w:t>
            </w:r>
          </w:p>
        </w:tc>
        <w:tc>
          <w:tcPr>
            <w:tcW w:w="1012" w:type="dxa"/>
            <w:tcBorders>
              <w:top w:val="nil"/>
              <w:left w:val="nil"/>
              <w:bottom w:val="single" w:sz="8" w:space="0" w:color="auto"/>
              <w:right w:val="nil"/>
            </w:tcBorders>
            <w:shd w:val="clear" w:color="000000" w:fill="FFCC00"/>
            <w:vAlign w:val="center"/>
            <w:hideMark/>
          </w:tcPr>
          <w:p w14:paraId="7C719624"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$452 </w:t>
            </w:r>
          </w:p>
        </w:tc>
        <w:tc>
          <w:tcPr>
            <w:tcW w:w="1011" w:type="dxa"/>
            <w:tcBorders>
              <w:top w:val="nil"/>
              <w:left w:val="single" w:sz="8" w:space="0" w:color="auto"/>
              <w:bottom w:val="single" w:sz="8" w:space="0" w:color="auto"/>
              <w:right w:val="double" w:sz="6" w:space="0" w:color="auto"/>
            </w:tcBorders>
            <w:shd w:val="clear" w:color="000000" w:fill="FFCC00"/>
            <w:vAlign w:val="center"/>
            <w:hideMark/>
          </w:tcPr>
          <w:p w14:paraId="2C99DCFD"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$452 </w:t>
            </w:r>
          </w:p>
        </w:tc>
        <w:tc>
          <w:tcPr>
            <w:tcW w:w="1012" w:type="dxa"/>
            <w:tcBorders>
              <w:top w:val="nil"/>
              <w:left w:val="nil"/>
              <w:bottom w:val="single" w:sz="8" w:space="0" w:color="auto"/>
              <w:right w:val="nil"/>
            </w:tcBorders>
            <w:shd w:val="clear" w:color="000000" w:fill="FF99CC"/>
            <w:vAlign w:val="center"/>
            <w:hideMark/>
          </w:tcPr>
          <w:p w14:paraId="25BF9DC5"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1</w:t>
            </w:r>
          </w:p>
        </w:tc>
        <w:tc>
          <w:tcPr>
            <w:tcW w:w="1012" w:type="dxa"/>
            <w:tcBorders>
              <w:top w:val="nil"/>
              <w:left w:val="single" w:sz="8" w:space="0" w:color="auto"/>
              <w:bottom w:val="single" w:sz="8" w:space="0" w:color="auto"/>
              <w:right w:val="double" w:sz="6" w:space="0" w:color="auto"/>
            </w:tcBorders>
            <w:shd w:val="clear" w:color="000000" w:fill="FF99CC"/>
            <w:vAlign w:val="center"/>
            <w:hideMark/>
          </w:tcPr>
          <w:p w14:paraId="43144976"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452</w:t>
            </w:r>
          </w:p>
        </w:tc>
      </w:tr>
      <w:tr w:rsidR="000E0395" w:rsidRPr="000E0395" w14:paraId="25869239" w14:textId="77777777" w:rsidTr="00685D82">
        <w:trPr>
          <w:trHeight w:val="1290"/>
        </w:trPr>
        <w:tc>
          <w:tcPr>
            <w:tcW w:w="1102" w:type="dxa"/>
            <w:tcBorders>
              <w:top w:val="nil"/>
              <w:left w:val="single" w:sz="8" w:space="0" w:color="auto"/>
              <w:bottom w:val="single" w:sz="8" w:space="0" w:color="auto"/>
              <w:right w:val="nil"/>
            </w:tcBorders>
            <w:shd w:val="clear" w:color="000000" w:fill="FFFFCC"/>
            <w:vAlign w:val="center"/>
            <w:hideMark/>
          </w:tcPr>
          <w:p w14:paraId="17EE79B0"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75+ FE and intermittent ignition</w:t>
            </w:r>
          </w:p>
        </w:tc>
        <w:tc>
          <w:tcPr>
            <w:tcW w:w="1011" w:type="dxa"/>
            <w:tcBorders>
              <w:top w:val="nil"/>
              <w:left w:val="single" w:sz="8" w:space="0" w:color="auto"/>
              <w:bottom w:val="single" w:sz="8" w:space="0" w:color="auto"/>
              <w:right w:val="nil"/>
            </w:tcBorders>
            <w:shd w:val="clear" w:color="000000" w:fill="FFFFCC"/>
            <w:vAlign w:val="center"/>
            <w:hideMark/>
          </w:tcPr>
          <w:p w14:paraId="32BF21E4"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20</w:t>
            </w:r>
          </w:p>
        </w:tc>
        <w:tc>
          <w:tcPr>
            <w:tcW w:w="1012" w:type="dxa"/>
            <w:tcBorders>
              <w:top w:val="nil"/>
              <w:left w:val="single" w:sz="8" w:space="0" w:color="auto"/>
              <w:bottom w:val="single" w:sz="8" w:space="0" w:color="auto"/>
              <w:right w:val="nil"/>
            </w:tcBorders>
            <w:shd w:val="clear" w:color="000000" w:fill="FFFFCC"/>
            <w:vAlign w:val="center"/>
            <w:hideMark/>
          </w:tcPr>
          <w:p w14:paraId="6983F035"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73.24</w:t>
            </w:r>
          </w:p>
        </w:tc>
        <w:tc>
          <w:tcPr>
            <w:tcW w:w="1011" w:type="dxa"/>
            <w:tcBorders>
              <w:top w:val="nil"/>
              <w:left w:val="single" w:sz="8" w:space="0" w:color="auto"/>
              <w:bottom w:val="single" w:sz="8" w:space="0" w:color="auto"/>
              <w:right w:val="nil"/>
            </w:tcBorders>
            <w:shd w:val="clear" w:color="000000" w:fill="FFFFCC"/>
            <w:vAlign w:val="center"/>
            <w:hideMark/>
          </w:tcPr>
          <w:p w14:paraId="05A30CEE"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$173 </w:t>
            </w:r>
          </w:p>
        </w:tc>
        <w:tc>
          <w:tcPr>
            <w:tcW w:w="1012" w:type="dxa"/>
            <w:tcBorders>
              <w:top w:val="nil"/>
              <w:left w:val="single" w:sz="8" w:space="0" w:color="auto"/>
              <w:bottom w:val="single" w:sz="8" w:space="0" w:color="auto"/>
              <w:right w:val="nil"/>
            </w:tcBorders>
            <w:shd w:val="clear" w:color="000000" w:fill="FFFFCC"/>
            <w:vAlign w:val="center"/>
            <w:hideMark/>
          </w:tcPr>
          <w:p w14:paraId="5B33BA9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$449 </w:t>
            </w:r>
          </w:p>
        </w:tc>
        <w:tc>
          <w:tcPr>
            <w:tcW w:w="1012" w:type="dxa"/>
            <w:tcBorders>
              <w:top w:val="nil"/>
              <w:left w:val="nil"/>
              <w:bottom w:val="single" w:sz="8" w:space="0" w:color="auto"/>
              <w:right w:val="nil"/>
            </w:tcBorders>
            <w:shd w:val="clear" w:color="000000" w:fill="FFCC00"/>
            <w:vAlign w:val="center"/>
            <w:hideMark/>
          </w:tcPr>
          <w:p w14:paraId="6A8ADCB1"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$449 </w:t>
            </w:r>
          </w:p>
        </w:tc>
        <w:tc>
          <w:tcPr>
            <w:tcW w:w="1011" w:type="dxa"/>
            <w:tcBorders>
              <w:top w:val="nil"/>
              <w:left w:val="single" w:sz="8" w:space="0" w:color="auto"/>
              <w:bottom w:val="single" w:sz="8" w:space="0" w:color="auto"/>
              <w:right w:val="double" w:sz="6" w:space="0" w:color="auto"/>
            </w:tcBorders>
            <w:shd w:val="clear" w:color="000000" w:fill="FFCC00"/>
            <w:vAlign w:val="center"/>
            <w:hideMark/>
          </w:tcPr>
          <w:p w14:paraId="6C417353"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$449 </w:t>
            </w:r>
          </w:p>
        </w:tc>
        <w:tc>
          <w:tcPr>
            <w:tcW w:w="1012" w:type="dxa"/>
            <w:tcBorders>
              <w:top w:val="nil"/>
              <w:left w:val="nil"/>
              <w:bottom w:val="single" w:sz="8" w:space="0" w:color="auto"/>
              <w:right w:val="nil"/>
            </w:tcBorders>
            <w:shd w:val="clear" w:color="000000" w:fill="FF99CC"/>
            <w:vAlign w:val="center"/>
            <w:hideMark/>
          </w:tcPr>
          <w:p w14:paraId="25F22F1D"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1</w:t>
            </w:r>
          </w:p>
        </w:tc>
        <w:tc>
          <w:tcPr>
            <w:tcW w:w="1012" w:type="dxa"/>
            <w:tcBorders>
              <w:top w:val="nil"/>
              <w:left w:val="single" w:sz="8" w:space="0" w:color="auto"/>
              <w:bottom w:val="single" w:sz="8" w:space="0" w:color="auto"/>
              <w:right w:val="double" w:sz="6" w:space="0" w:color="auto"/>
            </w:tcBorders>
            <w:shd w:val="clear" w:color="000000" w:fill="FF99CC"/>
            <w:vAlign w:val="center"/>
            <w:hideMark/>
          </w:tcPr>
          <w:p w14:paraId="57063E08"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2.6</w:t>
            </w:r>
          </w:p>
        </w:tc>
      </w:tr>
      <w:tr w:rsidR="000E0395" w:rsidRPr="000E0395" w14:paraId="16215923" w14:textId="77777777" w:rsidTr="00685D82">
        <w:trPr>
          <w:trHeight w:val="1290"/>
        </w:trPr>
        <w:tc>
          <w:tcPr>
            <w:tcW w:w="1102" w:type="dxa"/>
            <w:tcBorders>
              <w:top w:val="nil"/>
              <w:left w:val="single" w:sz="8" w:space="0" w:color="auto"/>
              <w:bottom w:val="single" w:sz="8" w:space="0" w:color="auto"/>
              <w:right w:val="nil"/>
            </w:tcBorders>
            <w:shd w:val="clear" w:color="000000" w:fill="FFFFCC"/>
            <w:vAlign w:val="center"/>
            <w:hideMark/>
          </w:tcPr>
          <w:p w14:paraId="36A45BF7"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Intermittent ignition (65 to 69 FE)</w:t>
            </w:r>
          </w:p>
        </w:tc>
        <w:tc>
          <w:tcPr>
            <w:tcW w:w="1011" w:type="dxa"/>
            <w:tcBorders>
              <w:top w:val="nil"/>
              <w:left w:val="single" w:sz="8" w:space="0" w:color="auto"/>
              <w:bottom w:val="single" w:sz="8" w:space="0" w:color="auto"/>
              <w:right w:val="nil"/>
            </w:tcBorders>
            <w:shd w:val="clear" w:color="000000" w:fill="FFFFCC"/>
            <w:vAlign w:val="center"/>
            <w:hideMark/>
          </w:tcPr>
          <w:p w14:paraId="5A68E29A"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20</w:t>
            </w:r>
          </w:p>
        </w:tc>
        <w:tc>
          <w:tcPr>
            <w:tcW w:w="1012" w:type="dxa"/>
            <w:tcBorders>
              <w:top w:val="nil"/>
              <w:left w:val="single" w:sz="8" w:space="0" w:color="auto"/>
              <w:bottom w:val="single" w:sz="8" w:space="0" w:color="auto"/>
              <w:right w:val="nil"/>
            </w:tcBorders>
            <w:shd w:val="clear" w:color="000000" w:fill="FFFFCC"/>
            <w:vAlign w:val="center"/>
            <w:hideMark/>
          </w:tcPr>
          <w:p w14:paraId="04CA1FEA"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34.5</w:t>
            </w:r>
          </w:p>
        </w:tc>
        <w:tc>
          <w:tcPr>
            <w:tcW w:w="1011" w:type="dxa"/>
            <w:tcBorders>
              <w:top w:val="nil"/>
              <w:left w:val="single" w:sz="8" w:space="0" w:color="auto"/>
              <w:bottom w:val="single" w:sz="8" w:space="0" w:color="auto"/>
              <w:right w:val="nil"/>
            </w:tcBorders>
            <w:shd w:val="clear" w:color="000000" w:fill="FFFFCC"/>
            <w:vAlign w:val="center"/>
            <w:hideMark/>
          </w:tcPr>
          <w:p w14:paraId="5937120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$110 </w:t>
            </w:r>
          </w:p>
        </w:tc>
        <w:tc>
          <w:tcPr>
            <w:tcW w:w="1012" w:type="dxa"/>
            <w:tcBorders>
              <w:top w:val="nil"/>
              <w:left w:val="single" w:sz="8" w:space="0" w:color="auto"/>
              <w:bottom w:val="single" w:sz="8" w:space="0" w:color="auto"/>
              <w:right w:val="nil"/>
            </w:tcBorders>
            <w:shd w:val="clear" w:color="000000" w:fill="FFFFCC"/>
            <w:vAlign w:val="center"/>
            <w:hideMark/>
          </w:tcPr>
          <w:p w14:paraId="30BC3F7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$212 </w:t>
            </w:r>
          </w:p>
        </w:tc>
        <w:tc>
          <w:tcPr>
            <w:tcW w:w="1012" w:type="dxa"/>
            <w:tcBorders>
              <w:top w:val="nil"/>
              <w:left w:val="nil"/>
              <w:bottom w:val="single" w:sz="8" w:space="0" w:color="auto"/>
              <w:right w:val="nil"/>
            </w:tcBorders>
            <w:shd w:val="clear" w:color="000000" w:fill="FFCC00"/>
            <w:vAlign w:val="center"/>
            <w:hideMark/>
          </w:tcPr>
          <w:p w14:paraId="40DC4BD1"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$212 </w:t>
            </w:r>
          </w:p>
        </w:tc>
        <w:tc>
          <w:tcPr>
            <w:tcW w:w="1011" w:type="dxa"/>
            <w:tcBorders>
              <w:top w:val="nil"/>
              <w:left w:val="single" w:sz="8" w:space="0" w:color="auto"/>
              <w:bottom w:val="single" w:sz="8" w:space="0" w:color="auto"/>
              <w:right w:val="double" w:sz="6" w:space="0" w:color="auto"/>
            </w:tcBorders>
            <w:shd w:val="clear" w:color="000000" w:fill="FFCC00"/>
            <w:vAlign w:val="center"/>
            <w:hideMark/>
          </w:tcPr>
          <w:p w14:paraId="5E556D9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 xml:space="preserve">$212 </w:t>
            </w:r>
          </w:p>
        </w:tc>
        <w:tc>
          <w:tcPr>
            <w:tcW w:w="1012" w:type="dxa"/>
            <w:tcBorders>
              <w:top w:val="nil"/>
              <w:left w:val="nil"/>
              <w:bottom w:val="single" w:sz="8" w:space="0" w:color="auto"/>
              <w:right w:val="nil"/>
            </w:tcBorders>
            <w:shd w:val="clear" w:color="000000" w:fill="FF99CC"/>
            <w:vAlign w:val="center"/>
            <w:hideMark/>
          </w:tcPr>
          <w:p w14:paraId="0E5AEDF7"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1</w:t>
            </w:r>
          </w:p>
        </w:tc>
        <w:tc>
          <w:tcPr>
            <w:tcW w:w="1012" w:type="dxa"/>
            <w:tcBorders>
              <w:top w:val="nil"/>
              <w:left w:val="single" w:sz="8" w:space="0" w:color="auto"/>
              <w:bottom w:val="single" w:sz="8" w:space="0" w:color="auto"/>
              <w:right w:val="double" w:sz="6" w:space="0" w:color="auto"/>
            </w:tcBorders>
            <w:shd w:val="clear" w:color="000000" w:fill="FF99CC"/>
            <w:vAlign w:val="center"/>
            <w:hideMark/>
          </w:tcPr>
          <w:p w14:paraId="5167CC9C" w14:textId="77777777" w:rsidR="000E0395" w:rsidRPr="000E0395" w:rsidRDefault="000E0395" w:rsidP="000E0395">
            <w:pPr>
              <w:spacing w:after="160" w:line="259" w:lineRule="auto"/>
              <w:jc w:val="center"/>
              <w:rPr>
                <w:rFonts w:cs="Arial"/>
                <w:b/>
                <w:bCs/>
                <w:color w:val="000000"/>
                <w:sz w:val="20"/>
              </w:rPr>
            </w:pPr>
            <w:r w:rsidRPr="000E0395">
              <w:rPr>
                <w:rFonts w:cs="Arial"/>
                <w:b/>
                <w:bCs/>
                <w:color w:val="000000"/>
                <w:sz w:val="20"/>
              </w:rPr>
              <w:t>1.93</w:t>
            </w:r>
          </w:p>
        </w:tc>
      </w:tr>
    </w:tbl>
    <w:p w14:paraId="18654CBD" w14:textId="77777777" w:rsidR="000E0395" w:rsidRPr="000E0395" w:rsidRDefault="000E0395" w:rsidP="000E0395">
      <w:pPr>
        <w:spacing w:after="160" w:line="259" w:lineRule="auto"/>
        <w:rPr>
          <w:rFonts w:ascii="Calibri" w:eastAsia="Calibri" w:hAnsi="Calibri"/>
          <w:color w:val="000000"/>
          <w:sz w:val="22"/>
          <w:szCs w:val="22"/>
        </w:rPr>
      </w:pPr>
    </w:p>
    <w:p w14:paraId="013DAAE8" w14:textId="77777777" w:rsidR="000E0395" w:rsidRPr="000E0395" w:rsidRDefault="000E0395" w:rsidP="000E0395">
      <w:pPr>
        <w:spacing w:after="160" w:line="259" w:lineRule="auto"/>
        <w:rPr>
          <w:rFonts w:ascii="Calibri" w:eastAsia="Calibri" w:hAnsi="Calibri"/>
          <w:color w:val="000000"/>
          <w:sz w:val="22"/>
          <w:szCs w:val="22"/>
        </w:rPr>
      </w:pPr>
    </w:p>
    <w:p w14:paraId="35D23B42"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5D381690" w14:textId="77777777" w:rsidR="000E0395" w:rsidRPr="000E0395" w:rsidRDefault="000E0395" w:rsidP="000E0395">
      <w:pPr>
        <w:keepNext/>
        <w:keepLines/>
        <w:spacing w:before="40" w:line="259" w:lineRule="auto"/>
        <w:outlineLvl w:val="1"/>
        <w:rPr>
          <w:rFonts w:ascii="Calibri Light" w:hAnsi="Calibri Light"/>
          <w:color w:val="2E74B5"/>
          <w:sz w:val="26"/>
          <w:szCs w:val="26"/>
        </w:rPr>
      </w:pPr>
    </w:p>
    <w:p w14:paraId="4BC67179" w14:textId="77777777" w:rsidR="000E0395" w:rsidRPr="000E0395" w:rsidRDefault="000E0395" w:rsidP="00685D82">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6FBFCA9" w14:textId="77777777" w:rsidR="000E0395" w:rsidRPr="000E0395" w:rsidRDefault="000E0395" w:rsidP="00685D82">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Products</w:t>
      </w:r>
      <w:r w:rsidRPr="000E0395">
        <w:rPr>
          <w:rFonts w:ascii="Calibri Light" w:hAnsi="Calibri Light"/>
          <w:color w:val="1F4D78"/>
          <w:szCs w:val="24"/>
        </w:rPr>
        <w:tab/>
      </w:r>
      <w:r w:rsidRPr="000E0395">
        <w:rPr>
          <w:rFonts w:ascii="Calibri Light" w:hAnsi="Calibri Light"/>
          <w:color w:val="1F4D78"/>
          <w:szCs w:val="24"/>
        </w:rPr>
        <w:tab/>
        <w:t>Clothes Washer MEF 2.4 or higher</w:t>
      </w:r>
      <w:r w:rsidRPr="000E0395">
        <w:rPr>
          <w:rFonts w:ascii="Calibri Light" w:hAnsi="Calibri Light"/>
          <w:color w:val="2E74B5"/>
          <w:sz w:val="26"/>
          <w:szCs w:val="26"/>
        </w:rPr>
        <w:tab/>
      </w:r>
      <w:r w:rsidRPr="000E0395">
        <w:rPr>
          <w:rFonts w:ascii="Calibri Light" w:hAnsi="Calibri Light"/>
          <w:color w:val="2E74B5"/>
          <w:sz w:val="20"/>
          <w:szCs w:val="26"/>
        </w:rPr>
        <w:t xml:space="preserve">Updated MEF, incentive is for customers </w:t>
      </w:r>
    </w:p>
    <w:p w14:paraId="5C18A0BB" w14:textId="77777777" w:rsidR="000E0395" w:rsidRPr="000E0395" w:rsidRDefault="000E0395" w:rsidP="000E0395">
      <w:pPr>
        <w:keepNext/>
        <w:keepLines/>
        <w:spacing w:before="40" w:line="259" w:lineRule="auto"/>
        <w:outlineLvl w:val="1"/>
        <w:rPr>
          <w:rFonts w:ascii="Calibri Light" w:hAnsi="Calibri Light"/>
          <w:color w:val="2E74B5"/>
          <w:sz w:val="20"/>
          <w:szCs w:val="26"/>
        </w:rPr>
      </w:pP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r w:rsidRPr="000E0395">
        <w:rPr>
          <w:rFonts w:ascii="Calibri Light" w:hAnsi="Calibri Light"/>
          <w:color w:val="2E74B5"/>
          <w:sz w:val="20"/>
          <w:szCs w:val="26"/>
        </w:rPr>
        <w:tab/>
      </w:r>
      <w:proofErr w:type="gramStart"/>
      <w:r w:rsidRPr="000E0395">
        <w:rPr>
          <w:rFonts w:ascii="Calibri Light" w:hAnsi="Calibri Light"/>
          <w:color w:val="2E74B5"/>
          <w:sz w:val="20"/>
          <w:szCs w:val="26"/>
        </w:rPr>
        <w:t>with</w:t>
      </w:r>
      <w:proofErr w:type="gramEnd"/>
      <w:r w:rsidRPr="000E0395">
        <w:rPr>
          <w:rFonts w:ascii="Calibri Light" w:hAnsi="Calibri Light"/>
          <w:color w:val="2E74B5"/>
          <w:sz w:val="20"/>
          <w:szCs w:val="26"/>
        </w:rPr>
        <w:t xml:space="preserve"> gas fired dryers.</w:t>
      </w:r>
    </w:p>
    <w:p w14:paraId="37DB0EC2" w14:textId="77777777" w:rsidR="000E0395" w:rsidRPr="000E0395" w:rsidRDefault="000E0395" w:rsidP="000E0395">
      <w:pPr>
        <w:keepNext/>
        <w:keepLines/>
        <w:spacing w:before="40" w:line="259" w:lineRule="auto"/>
        <w:ind w:left="5040" w:firstLine="720"/>
        <w:outlineLvl w:val="1"/>
        <w:rPr>
          <w:rFonts w:ascii="Calibri Light" w:hAnsi="Calibri Light"/>
          <w:color w:val="2E74B5"/>
          <w:sz w:val="20"/>
          <w:szCs w:val="26"/>
        </w:rPr>
      </w:pPr>
      <w:r w:rsidRPr="000E0395">
        <w:rPr>
          <w:rFonts w:ascii="Calibri Light" w:hAnsi="Calibri Light"/>
          <w:color w:val="2E74B5"/>
          <w:sz w:val="20"/>
          <w:szCs w:val="26"/>
        </w:rPr>
        <w:t>Administered in conjunction with Clark PUD</w:t>
      </w:r>
    </w:p>
    <w:p w14:paraId="69D206BC" w14:textId="77777777" w:rsidR="000E0395" w:rsidRPr="000E0395" w:rsidRDefault="000E0395" w:rsidP="000E0395">
      <w:pPr>
        <w:autoSpaceDE w:val="0"/>
        <w:autoSpaceDN w:val="0"/>
        <w:spacing w:after="160" w:line="259" w:lineRule="auto"/>
        <w:rPr>
          <w:rFonts w:ascii="Calibri" w:eastAsia="Calibri" w:hAnsi="Calibri"/>
          <w:b/>
          <w:bCs/>
          <w:sz w:val="22"/>
          <w:szCs w:val="22"/>
        </w:rPr>
      </w:pPr>
    </w:p>
    <w:p w14:paraId="39594778" w14:textId="77777777" w:rsidR="000E0395" w:rsidRPr="000E0395" w:rsidRDefault="000E0395" w:rsidP="00685D82">
      <w:pPr>
        <w:autoSpaceDE w:val="0"/>
        <w:autoSpaceDN w:val="0"/>
        <w:spacing w:after="160" w:line="259" w:lineRule="auto"/>
        <w:ind w:left="-720"/>
        <w:rPr>
          <w:rFonts w:ascii="Calibri" w:eastAsia="Calibri" w:hAnsi="Calibri"/>
          <w:b/>
          <w:bCs/>
          <w:sz w:val="22"/>
          <w:szCs w:val="22"/>
        </w:rPr>
      </w:pPr>
      <w:r w:rsidRPr="000E0395">
        <w:rPr>
          <w:rFonts w:ascii="Calibri" w:eastAsia="Calibri" w:hAnsi="Calibri"/>
          <w:b/>
          <w:bCs/>
          <w:sz w:val="22"/>
          <w:szCs w:val="22"/>
        </w:rPr>
        <w:t>Measure Update:</w:t>
      </w:r>
    </w:p>
    <w:p w14:paraId="31179306" w14:textId="77777777" w:rsidR="000E0395" w:rsidRPr="000E0395" w:rsidRDefault="000E0395" w:rsidP="00685D82">
      <w:pPr>
        <w:autoSpaceDE w:val="0"/>
        <w:autoSpaceDN w:val="0"/>
        <w:spacing w:after="160" w:line="259" w:lineRule="auto"/>
        <w:ind w:left="-720"/>
        <w:rPr>
          <w:rFonts w:ascii="Calibri" w:eastAsia="Calibri" w:hAnsi="Calibri"/>
          <w:bCs/>
          <w:sz w:val="22"/>
          <w:szCs w:val="22"/>
        </w:rPr>
      </w:pPr>
    </w:p>
    <w:p w14:paraId="70700B25"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r w:rsidRPr="000E0395">
        <w:rPr>
          <w:rFonts w:ascii="Calibri" w:eastAsia="Calibri" w:hAnsi="Calibri"/>
          <w:bCs/>
          <w:sz w:val="22"/>
          <w:szCs w:val="22"/>
        </w:rPr>
        <w:t xml:space="preserve">The Energy Trust </w:t>
      </w:r>
      <w:proofErr w:type="gramStart"/>
      <w:r w:rsidRPr="000E0395">
        <w:rPr>
          <w:rFonts w:ascii="Calibri" w:eastAsia="Calibri" w:hAnsi="Calibri"/>
          <w:bCs/>
          <w:sz w:val="22"/>
          <w:szCs w:val="22"/>
        </w:rPr>
        <w:t>Of</w:t>
      </w:r>
      <w:proofErr w:type="gramEnd"/>
      <w:r w:rsidRPr="000E0395">
        <w:rPr>
          <w:rFonts w:ascii="Calibri" w:eastAsia="Calibri" w:hAnsi="Calibri"/>
          <w:bCs/>
          <w:sz w:val="22"/>
          <w:szCs w:val="22"/>
        </w:rPr>
        <w:t xml:space="preserve"> Oregon partners with Clark PUD to offer an incentive on high efficiency clothes washers in SW Washington. The updated minimum MEF for the 2015 program year is 2.4. Energy Trust offers a two-tiered incentive in Oregon, as described below. The savings analysis for Washington assumes the average of both tiers, as the offer in Washington is uniform for any unit with an MEF equal to or greater than 2.4. Energy Trust incentives are applied solely to those units sold with a gas fired dryer. Although the measure is not cost effective as a gas-only measure, it is being offered in 2015 for the purpose of continuing a partnership with Clark PUD, and supporting a regional effort to transition the market to higher efficiency units. It is anticipated that 2015 will be the final year Energy Trust offers a clothes washer incentive, on account of updated federal appliance standards taking effect during March of 2015. </w:t>
      </w:r>
    </w:p>
    <w:p w14:paraId="15686C9A" w14:textId="77777777" w:rsidR="000E0395" w:rsidRPr="000E0395" w:rsidRDefault="000E0395" w:rsidP="000E0395">
      <w:pPr>
        <w:spacing w:after="160" w:line="259" w:lineRule="auto"/>
        <w:rPr>
          <w:rFonts w:ascii="Calibri" w:eastAsia="Calibri" w:hAnsi="Calibri"/>
          <w:color w:val="000000"/>
          <w:sz w:val="22"/>
          <w:szCs w:val="22"/>
        </w:rPr>
      </w:pPr>
    </w:p>
    <w:tbl>
      <w:tblPr>
        <w:tblW w:w="5000" w:type="pct"/>
        <w:tblInd w:w="-342" w:type="dxa"/>
        <w:tblCellMar>
          <w:left w:w="0" w:type="dxa"/>
          <w:right w:w="0" w:type="dxa"/>
        </w:tblCellMar>
        <w:tblLook w:val="04A0" w:firstRow="1" w:lastRow="0" w:firstColumn="1" w:lastColumn="0" w:noHBand="0" w:noVBand="1"/>
      </w:tblPr>
      <w:tblGrid>
        <w:gridCol w:w="2377"/>
        <w:gridCol w:w="1595"/>
        <w:gridCol w:w="1040"/>
        <w:gridCol w:w="694"/>
        <w:gridCol w:w="1195"/>
        <w:gridCol w:w="1007"/>
        <w:gridCol w:w="1194"/>
        <w:gridCol w:w="1194"/>
      </w:tblGrid>
      <w:tr w:rsidR="000E0395" w:rsidRPr="000E0395" w14:paraId="370A9479" w14:textId="77777777" w:rsidTr="00685D82">
        <w:trPr>
          <w:trHeight w:val="1018"/>
        </w:trPr>
        <w:tc>
          <w:tcPr>
            <w:tcW w:w="1155" w:type="pct"/>
            <w:tcBorders>
              <w:top w:val="single" w:sz="12" w:space="0" w:color="auto"/>
              <w:left w:val="single" w:sz="12" w:space="0" w:color="auto"/>
              <w:bottom w:val="single" w:sz="8" w:space="0" w:color="auto"/>
              <w:right w:val="single" w:sz="8" w:space="0" w:color="auto"/>
            </w:tcBorders>
            <w:shd w:val="clear" w:color="auto" w:fill="CCFFFF"/>
            <w:tcMar>
              <w:top w:w="0" w:type="dxa"/>
              <w:left w:w="108" w:type="dxa"/>
              <w:bottom w:w="0" w:type="dxa"/>
              <w:right w:w="108" w:type="dxa"/>
            </w:tcMar>
            <w:hideMark/>
          </w:tcPr>
          <w:p w14:paraId="621B017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Project</w:t>
            </w:r>
          </w:p>
        </w:tc>
        <w:tc>
          <w:tcPr>
            <w:tcW w:w="775" w:type="pct"/>
            <w:tcBorders>
              <w:top w:val="single" w:sz="12"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41145B4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 xml:space="preserve">Measure Lifetime (Maximum   70 </w:t>
            </w:r>
            <w:proofErr w:type="spellStart"/>
            <w:r w:rsidRPr="000E0395">
              <w:rPr>
                <w:rFonts w:eastAsia="Calibri" w:cs="Arial"/>
                <w:b/>
                <w:bCs/>
                <w:color w:val="000000"/>
                <w:sz w:val="20"/>
              </w:rPr>
              <w:t>yrs</w:t>
            </w:r>
            <w:proofErr w:type="spellEnd"/>
            <w:r w:rsidRPr="000E0395">
              <w:rPr>
                <w:rFonts w:eastAsia="Calibri" w:cs="Arial"/>
                <w:b/>
                <w:bCs/>
                <w:color w:val="000000"/>
                <w:sz w:val="20"/>
              </w:rPr>
              <w:t>)</w:t>
            </w:r>
          </w:p>
        </w:tc>
        <w:tc>
          <w:tcPr>
            <w:tcW w:w="505" w:type="pct"/>
            <w:tcBorders>
              <w:top w:val="single" w:sz="12"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44FE378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Annual Gas Savings, therm</w:t>
            </w:r>
          </w:p>
        </w:tc>
        <w:tc>
          <w:tcPr>
            <w:tcW w:w="337" w:type="pct"/>
            <w:tcBorders>
              <w:top w:val="single" w:sz="12"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67A4876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Total Cost</w:t>
            </w:r>
          </w:p>
        </w:tc>
        <w:tc>
          <w:tcPr>
            <w:tcW w:w="580" w:type="pct"/>
            <w:tcBorders>
              <w:top w:val="single" w:sz="12"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2DECAE4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ETO Incentives</w:t>
            </w:r>
          </w:p>
        </w:tc>
        <w:tc>
          <w:tcPr>
            <w:tcW w:w="489" w:type="pct"/>
            <w:tcBorders>
              <w:top w:val="double" w:sz="6" w:space="0" w:color="auto"/>
              <w:left w:val="nil"/>
              <w:bottom w:val="single" w:sz="8" w:space="0" w:color="auto"/>
              <w:right w:val="double" w:sz="6" w:space="0" w:color="auto"/>
            </w:tcBorders>
            <w:shd w:val="clear" w:color="auto" w:fill="CCFFFF"/>
            <w:tcMar>
              <w:top w:w="0" w:type="dxa"/>
              <w:left w:w="108" w:type="dxa"/>
              <w:bottom w:w="0" w:type="dxa"/>
              <w:right w:w="108" w:type="dxa"/>
            </w:tcMar>
            <w:hideMark/>
          </w:tcPr>
          <w:p w14:paraId="6BE6A46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Non Energy Benefits (if any)</w:t>
            </w:r>
          </w:p>
        </w:tc>
        <w:tc>
          <w:tcPr>
            <w:tcW w:w="580" w:type="pct"/>
            <w:tcBorders>
              <w:top w:val="double" w:sz="6" w:space="0" w:color="auto"/>
              <w:left w:val="nil"/>
              <w:bottom w:val="single" w:sz="8" w:space="0" w:color="auto"/>
              <w:right w:val="nil"/>
            </w:tcBorders>
            <w:shd w:val="clear" w:color="auto" w:fill="FF99CC"/>
            <w:tcMar>
              <w:top w:w="0" w:type="dxa"/>
              <w:left w:w="108" w:type="dxa"/>
              <w:bottom w:w="0" w:type="dxa"/>
              <w:right w:w="108" w:type="dxa"/>
            </w:tcMar>
            <w:hideMark/>
          </w:tcPr>
          <w:p w14:paraId="0A3E99C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Combined Utility System BCR</w:t>
            </w:r>
          </w:p>
        </w:tc>
        <w:tc>
          <w:tcPr>
            <w:tcW w:w="580" w:type="pct"/>
            <w:tcBorders>
              <w:top w:val="double" w:sz="6" w:space="0" w:color="auto"/>
              <w:left w:val="single" w:sz="12" w:space="0" w:color="auto"/>
              <w:bottom w:val="single" w:sz="8" w:space="0" w:color="auto"/>
              <w:right w:val="double" w:sz="6" w:space="0" w:color="auto"/>
            </w:tcBorders>
            <w:shd w:val="clear" w:color="auto" w:fill="FF99CC"/>
            <w:tcMar>
              <w:top w:w="0" w:type="dxa"/>
              <w:left w:w="108" w:type="dxa"/>
              <w:bottom w:w="0" w:type="dxa"/>
              <w:right w:w="108" w:type="dxa"/>
            </w:tcMar>
            <w:hideMark/>
          </w:tcPr>
          <w:p w14:paraId="1E9E395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Combined Societal TRC</w:t>
            </w:r>
          </w:p>
        </w:tc>
      </w:tr>
      <w:tr w:rsidR="000E0395" w:rsidRPr="000E0395" w14:paraId="2040DE43" w14:textId="77777777" w:rsidTr="00685D82">
        <w:trPr>
          <w:trHeight w:val="573"/>
        </w:trPr>
        <w:tc>
          <w:tcPr>
            <w:tcW w:w="115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2BEEC5F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MEF 2.4 GAS DHW / GAS DRY / GAS ONLY</w:t>
            </w:r>
          </w:p>
        </w:tc>
        <w:tc>
          <w:tcPr>
            <w:tcW w:w="77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022C7C2E"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14</w:t>
            </w:r>
          </w:p>
        </w:tc>
        <w:tc>
          <w:tcPr>
            <w:tcW w:w="50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7FA4AB1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3.32</w:t>
            </w:r>
          </w:p>
        </w:tc>
        <w:tc>
          <w:tcPr>
            <w:tcW w:w="337"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6B440B3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$132</w:t>
            </w:r>
          </w:p>
        </w:tc>
        <w:tc>
          <w:tcPr>
            <w:tcW w:w="580"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2C6F0B6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$25</w:t>
            </w:r>
          </w:p>
        </w:tc>
        <w:tc>
          <w:tcPr>
            <w:tcW w:w="489"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3B165BB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$116</w:t>
            </w:r>
          </w:p>
        </w:tc>
        <w:tc>
          <w:tcPr>
            <w:tcW w:w="580" w:type="pct"/>
            <w:tcBorders>
              <w:top w:val="nil"/>
              <w:left w:val="double" w:sz="6" w:space="0" w:color="auto"/>
              <w:bottom w:val="single" w:sz="8" w:space="0" w:color="auto"/>
              <w:right w:val="nil"/>
            </w:tcBorders>
            <w:shd w:val="clear" w:color="auto" w:fill="FF0000"/>
            <w:tcMar>
              <w:top w:w="0" w:type="dxa"/>
              <w:left w:w="108" w:type="dxa"/>
              <w:bottom w:w="0" w:type="dxa"/>
              <w:right w:w="108" w:type="dxa"/>
            </w:tcMar>
            <w:hideMark/>
          </w:tcPr>
          <w:p w14:paraId="63C8823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FFFFFF"/>
                <w:sz w:val="20"/>
              </w:rPr>
              <w:t>0.6</w:t>
            </w:r>
          </w:p>
        </w:tc>
        <w:tc>
          <w:tcPr>
            <w:tcW w:w="580" w:type="pct"/>
            <w:tcBorders>
              <w:top w:val="nil"/>
              <w:left w:val="single" w:sz="12" w:space="0" w:color="auto"/>
              <w:bottom w:val="single" w:sz="8" w:space="0" w:color="auto"/>
              <w:right w:val="double" w:sz="6" w:space="0" w:color="auto"/>
            </w:tcBorders>
            <w:shd w:val="clear" w:color="auto" w:fill="FF99CC"/>
            <w:tcMar>
              <w:top w:w="0" w:type="dxa"/>
              <w:left w:w="108" w:type="dxa"/>
              <w:bottom w:w="0" w:type="dxa"/>
              <w:right w:w="108" w:type="dxa"/>
            </w:tcMar>
            <w:hideMark/>
          </w:tcPr>
          <w:p w14:paraId="1E3988C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1.0</w:t>
            </w:r>
          </w:p>
        </w:tc>
      </w:tr>
      <w:tr w:rsidR="000E0395" w:rsidRPr="000E0395" w14:paraId="647C0F75" w14:textId="77777777" w:rsidTr="00685D82">
        <w:trPr>
          <w:trHeight w:val="573"/>
        </w:trPr>
        <w:tc>
          <w:tcPr>
            <w:tcW w:w="115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739B6B0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MEF 2.6 GAS DHW / GAS DRY / GAS ONLY</w:t>
            </w:r>
          </w:p>
        </w:tc>
        <w:tc>
          <w:tcPr>
            <w:tcW w:w="77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2C650E2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14</w:t>
            </w:r>
          </w:p>
        </w:tc>
        <w:tc>
          <w:tcPr>
            <w:tcW w:w="50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3BDDEE7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4.13</w:t>
            </w:r>
          </w:p>
        </w:tc>
        <w:tc>
          <w:tcPr>
            <w:tcW w:w="337"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4C128A2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$165</w:t>
            </w:r>
          </w:p>
        </w:tc>
        <w:tc>
          <w:tcPr>
            <w:tcW w:w="580"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7E4AA6B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$25</w:t>
            </w:r>
          </w:p>
        </w:tc>
        <w:tc>
          <w:tcPr>
            <w:tcW w:w="489"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10EBF08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$128</w:t>
            </w:r>
          </w:p>
        </w:tc>
        <w:tc>
          <w:tcPr>
            <w:tcW w:w="580" w:type="pct"/>
            <w:tcBorders>
              <w:top w:val="nil"/>
              <w:left w:val="double" w:sz="6" w:space="0" w:color="auto"/>
              <w:bottom w:val="single" w:sz="8" w:space="0" w:color="auto"/>
              <w:right w:val="nil"/>
            </w:tcBorders>
            <w:shd w:val="clear" w:color="auto" w:fill="FF0000"/>
            <w:tcMar>
              <w:top w:w="0" w:type="dxa"/>
              <w:left w:w="108" w:type="dxa"/>
              <w:bottom w:w="0" w:type="dxa"/>
              <w:right w:w="108" w:type="dxa"/>
            </w:tcMar>
            <w:hideMark/>
          </w:tcPr>
          <w:p w14:paraId="4676A67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FFFFFF"/>
                <w:sz w:val="20"/>
              </w:rPr>
              <w:t>0.7</w:t>
            </w:r>
          </w:p>
        </w:tc>
        <w:tc>
          <w:tcPr>
            <w:tcW w:w="580" w:type="pct"/>
            <w:tcBorders>
              <w:top w:val="nil"/>
              <w:left w:val="single" w:sz="12" w:space="0" w:color="auto"/>
              <w:bottom w:val="single" w:sz="8" w:space="0" w:color="auto"/>
              <w:right w:val="double" w:sz="6" w:space="0" w:color="auto"/>
            </w:tcBorders>
            <w:shd w:val="clear" w:color="auto" w:fill="FF0000"/>
            <w:tcMar>
              <w:top w:w="0" w:type="dxa"/>
              <w:left w:w="108" w:type="dxa"/>
              <w:bottom w:w="0" w:type="dxa"/>
              <w:right w:w="108" w:type="dxa"/>
            </w:tcMar>
            <w:hideMark/>
          </w:tcPr>
          <w:p w14:paraId="50DDB52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color w:val="FFFFFF"/>
                <w:sz w:val="20"/>
              </w:rPr>
              <w:t>0.9</w:t>
            </w:r>
          </w:p>
        </w:tc>
      </w:tr>
      <w:tr w:rsidR="000E0395" w:rsidRPr="000E0395" w14:paraId="28008450" w14:textId="77777777" w:rsidTr="00685D82">
        <w:trPr>
          <w:trHeight w:val="573"/>
        </w:trPr>
        <w:tc>
          <w:tcPr>
            <w:tcW w:w="115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0669D75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Average</w:t>
            </w:r>
          </w:p>
        </w:tc>
        <w:tc>
          <w:tcPr>
            <w:tcW w:w="77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2577FF2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14</w:t>
            </w:r>
          </w:p>
        </w:tc>
        <w:tc>
          <w:tcPr>
            <w:tcW w:w="505"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0784320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3.73</w:t>
            </w:r>
          </w:p>
        </w:tc>
        <w:tc>
          <w:tcPr>
            <w:tcW w:w="337"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757F9BC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$149</w:t>
            </w:r>
          </w:p>
        </w:tc>
        <w:tc>
          <w:tcPr>
            <w:tcW w:w="580"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3B889A8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$25</w:t>
            </w:r>
          </w:p>
        </w:tc>
        <w:tc>
          <w:tcPr>
            <w:tcW w:w="489" w:type="pct"/>
            <w:tcBorders>
              <w:top w:val="nil"/>
              <w:left w:val="single" w:sz="12" w:space="0" w:color="auto"/>
              <w:bottom w:val="single" w:sz="8" w:space="0" w:color="auto"/>
              <w:right w:val="nil"/>
            </w:tcBorders>
            <w:shd w:val="clear" w:color="auto" w:fill="FFFFCC"/>
            <w:tcMar>
              <w:top w:w="0" w:type="dxa"/>
              <w:left w:w="108" w:type="dxa"/>
              <w:bottom w:w="0" w:type="dxa"/>
              <w:right w:w="108" w:type="dxa"/>
            </w:tcMar>
            <w:hideMark/>
          </w:tcPr>
          <w:p w14:paraId="029C25F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000000"/>
                <w:sz w:val="20"/>
              </w:rPr>
              <w:t>$122</w:t>
            </w:r>
          </w:p>
        </w:tc>
        <w:tc>
          <w:tcPr>
            <w:tcW w:w="580" w:type="pct"/>
            <w:tcBorders>
              <w:top w:val="nil"/>
              <w:left w:val="double" w:sz="6" w:space="0" w:color="auto"/>
              <w:bottom w:val="single" w:sz="8" w:space="0" w:color="auto"/>
              <w:right w:val="nil"/>
            </w:tcBorders>
            <w:shd w:val="clear" w:color="auto" w:fill="FF0000"/>
            <w:tcMar>
              <w:top w:w="0" w:type="dxa"/>
              <w:left w:w="108" w:type="dxa"/>
              <w:bottom w:w="0" w:type="dxa"/>
              <w:right w:w="108" w:type="dxa"/>
            </w:tcMar>
            <w:hideMark/>
          </w:tcPr>
          <w:p w14:paraId="3B68A20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FFFFFF"/>
                <w:sz w:val="20"/>
              </w:rPr>
              <w:t>0.7</w:t>
            </w:r>
          </w:p>
        </w:tc>
        <w:tc>
          <w:tcPr>
            <w:tcW w:w="580" w:type="pct"/>
            <w:tcBorders>
              <w:top w:val="nil"/>
              <w:left w:val="single" w:sz="12" w:space="0" w:color="auto"/>
              <w:bottom w:val="single" w:sz="8" w:space="0" w:color="auto"/>
              <w:right w:val="double" w:sz="6" w:space="0" w:color="auto"/>
            </w:tcBorders>
            <w:shd w:val="clear" w:color="auto" w:fill="FF0000"/>
            <w:tcMar>
              <w:top w:w="0" w:type="dxa"/>
              <w:left w:w="108" w:type="dxa"/>
              <w:bottom w:w="0" w:type="dxa"/>
              <w:right w:w="108" w:type="dxa"/>
            </w:tcMar>
            <w:hideMark/>
          </w:tcPr>
          <w:p w14:paraId="381C128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color w:val="FFFFFF"/>
                <w:sz w:val="20"/>
              </w:rPr>
              <w:t>0.9</w:t>
            </w:r>
          </w:p>
        </w:tc>
      </w:tr>
    </w:tbl>
    <w:p w14:paraId="36E0C9C7"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1F497D"/>
          <w:sz w:val="22"/>
          <w:szCs w:val="22"/>
        </w:rPr>
        <w:t> </w:t>
      </w:r>
    </w:p>
    <w:p w14:paraId="68A9B387" w14:textId="77777777" w:rsidR="000E0395" w:rsidRPr="000E0395" w:rsidRDefault="000E0395" w:rsidP="00685D82">
      <w:pPr>
        <w:spacing w:after="160" w:line="259" w:lineRule="auto"/>
        <w:ind w:left="-720"/>
        <w:rPr>
          <w:rFonts w:ascii="Calibri" w:eastAsia="Calibri" w:hAnsi="Calibri"/>
          <w:color w:val="000000"/>
          <w:sz w:val="22"/>
          <w:szCs w:val="22"/>
        </w:rPr>
      </w:pPr>
      <w:r w:rsidRPr="000E0395">
        <w:rPr>
          <w:rFonts w:ascii="Calibri" w:eastAsia="Calibri" w:hAnsi="Calibri"/>
          <w:color w:val="1F497D"/>
          <w:sz w:val="22"/>
          <w:szCs w:val="22"/>
        </w:rPr>
        <w:t> </w:t>
      </w:r>
      <w:r w:rsidRPr="000E0395">
        <w:rPr>
          <w:rFonts w:ascii="Calibri" w:eastAsia="Calibri" w:hAnsi="Calibri"/>
          <w:b/>
          <w:bCs/>
          <w:sz w:val="22"/>
          <w:szCs w:val="22"/>
        </w:rPr>
        <w:t xml:space="preserve">Measure Analysis </w:t>
      </w:r>
    </w:p>
    <w:p w14:paraId="515932E2"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r w:rsidRPr="000E0395">
        <w:rPr>
          <w:rFonts w:ascii="Calibri" w:eastAsia="Calibri" w:hAnsi="Calibri"/>
          <w:sz w:val="22"/>
          <w:szCs w:val="22"/>
        </w:rPr>
        <w:t xml:space="preserve">This memo moves the retail clothes washer baseline efficiency upward from MEF 1.9.  The new baseline is the median of characteristics of models in the California Energy Commission database, with those washers that do not meet the minimum federal standard removed.  The median MEF is 2.1 cycles/kWh/cubic </w:t>
      </w:r>
      <w:proofErr w:type="spellStart"/>
      <w:r w:rsidRPr="000E0395">
        <w:rPr>
          <w:rFonts w:ascii="Calibri" w:eastAsia="Calibri" w:hAnsi="Calibri"/>
          <w:sz w:val="22"/>
          <w:szCs w:val="22"/>
        </w:rPr>
        <w:t>ft</w:t>
      </w:r>
      <w:proofErr w:type="spellEnd"/>
      <w:r w:rsidRPr="000E0395">
        <w:rPr>
          <w:rFonts w:ascii="Calibri" w:eastAsia="Calibri" w:hAnsi="Calibri"/>
          <w:sz w:val="22"/>
          <w:szCs w:val="22"/>
        </w:rPr>
        <w:t xml:space="preserve">, the median WF is 4.5 gallons/cubic </w:t>
      </w:r>
      <w:proofErr w:type="spellStart"/>
      <w:r w:rsidRPr="000E0395">
        <w:rPr>
          <w:rFonts w:ascii="Calibri" w:eastAsia="Calibri" w:hAnsi="Calibri"/>
          <w:sz w:val="22"/>
          <w:szCs w:val="22"/>
        </w:rPr>
        <w:t>ft</w:t>
      </w:r>
      <w:proofErr w:type="spellEnd"/>
      <w:r w:rsidRPr="000E0395">
        <w:rPr>
          <w:rFonts w:ascii="Calibri" w:eastAsia="Calibri" w:hAnsi="Calibri"/>
          <w:sz w:val="22"/>
          <w:szCs w:val="22"/>
        </w:rPr>
        <w:t>, and the median volume is 3.3 cubic ft.</w:t>
      </w:r>
    </w:p>
    <w:p w14:paraId="6601F712"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p>
    <w:p w14:paraId="747047C0"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r w:rsidRPr="000E0395">
        <w:rPr>
          <w:rFonts w:ascii="Calibri" w:eastAsia="Calibri" w:hAnsi="Calibri"/>
          <w:sz w:val="22"/>
          <w:szCs w:val="22"/>
        </w:rPr>
        <w:t>Incremental costs are based on research conducted by Navigant for the RTF.  The cost data come from three Portland chain retail stores, with the store managers verifying that prices did not vary at locations outside of Portland.</w:t>
      </w:r>
    </w:p>
    <w:p w14:paraId="127D8544" w14:textId="77777777" w:rsidR="000E0395" w:rsidRPr="000E0395" w:rsidRDefault="000E0395" w:rsidP="000E0395">
      <w:pPr>
        <w:autoSpaceDE w:val="0"/>
        <w:autoSpaceDN w:val="0"/>
        <w:spacing w:after="160" w:line="259" w:lineRule="auto"/>
        <w:rPr>
          <w:rFonts w:ascii="Calibri" w:eastAsia="Calibri" w:hAnsi="Calibri"/>
          <w:sz w:val="22"/>
          <w:szCs w:val="22"/>
        </w:rPr>
      </w:pPr>
    </w:p>
    <w:p w14:paraId="746E468F"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r w:rsidRPr="000E0395">
        <w:rPr>
          <w:rFonts w:ascii="Calibri" w:eastAsia="Calibri" w:hAnsi="Calibri"/>
          <w:sz w:val="22"/>
          <w:szCs w:val="22"/>
        </w:rPr>
        <w:lastRenderedPageBreak/>
        <w:t>The other principle factors deemed by the RTF and adopted in this analysis are a 0.157% hot water to total water ratio and 65°F temperature rise at the water heater.  Gas water heat is assumed to have a thermal efficiency of 75%.  These last three factors have not changed since the previous RTF analysis completed in 2010.</w:t>
      </w:r>
    </w:p>
    <w:p w14:paraId="4595D961"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p>
    <w:p w14:paraId="20C13AA1"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r w:rsidRPr="000E0395">
        <w:rPr>
          <w:rFonts w:ascii="Calibri" w:eastAsia="Calibri" w:hAnsi="Calibri"/>
          <w:sz w:val="22"/>
          <w:szCs w:val="22"/>
        </w:rPr>
        <w:t xml:space="preserve">The number of wash cycles per year is provided by the 2012 Residential Building Stock Assessment (while still in draft form).  The regional average annual cycles is 256.  For each model, the amount of laundry was standardized by volume, so that a unit with a small wash compartment would complete more cycles, but the same volume as the average washer in the RBSA. </w:t>
      </w:r>
    </w:p>
    <w:p w14:paraId="2FF2E48B" w14:textId="77777777" w:rsidR="000E0395" w:rsidRPr="000E0395" w:rsidRDefault="000E0395" w:rsidP="00685D82">
      <w:pPr>
        <w:autoSpaceDE w:val="0"/>
        <w:autoSpaceDN w:val="0"/>
        <w:spacing w:after="160" w:line="259" w:lineRule="auto"/>
        <w:ind w:left="-720"/>
        <w:rPr>
          <w:rFonts w:ascii="Calibri" w:eastAsia="Calibri" w:hAnsi="Calibri"/>
          <w:sz w:val="22"/>
          <w:szCs w:val="22"/>
        </w:rPr>
      </w:pPr>
    </w:p>
    <w:p w14:paraId="143668DD"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06619AE3"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697FBD92" w14:textId="77777777" w:rsidR="000E0395" w:rsidRPr="000E0395" w:rsidRDefault="000E0395" w:rsidP="00685D82">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64987256" w14:textId="77777777" w:rsidR="000E0395" w:rsidRPr="000E0395" w:rsidRDefault="000E0395" w:rsidP="00685D82">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New Homes</w:t>
      </w:r>
      <w:r w:rsidRPr="000E0395">
        <w:rPr>
          <w:rFonts w:ascii="Calibri Light" w:hAnsi="Calibri Light"/>
          <w:color w:val="1F4D78"/>
          <w:szCs w:val="24"/>
        </w:rPr>
        <w:tab/>
        <w:t>Washington Energy STAR Performance Path</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Updated to 2012 WA Energy Update</w:t>
      </w:r>
    </w:p>
    <w:p w14:paraId="47674773" w14:textId="77777777" w:rsidR="000E0395" w:rsidRPr="000E0395" w:rsidRDefault="000E0395" w:rsidP="000E0395">
      <w:pPr>
        <w:spacing w:after="160" w:line="259" w:lineRule="auto"/>
        <w:rPr>
          <w:rFonts w:ascii="Calibri" w:eastAsia="Calibri" w:hAnsi="Calibri"/>
          <w:b/>
          <w:bCs/>
          <w:color w:val="000000"/>
          <w:sz w:val="22"/>
          <w:szCs w:val="22"/>
        </w:rPr>
      </w:pPr>
      <w:bookmarkStart w:id="8" w:name="_MailOriginal"/>
    </w:p>
    <w:p w14:paraId="602CEA6E"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BLESSING MEMO FOR 2014 HOMES WITH NW ENERGY</w:t>
      </w:r>
      <w:r w:rsidRPr="000E0395">
        <w:rPr>
          <w:rFonts w:ascii="Calibri" w:eastAsia="Calibri" w:hAnsi="Calibri"/>
          <w:b/>
          <w:bCs/>
          <w:color w:val="1F497D"/>
          <w:sz w:val="22"/>
          <w:szCs w:val="22"/>
        </w:rPr>
        <w:t xml:space="preserve"> </w:t>
      </w:r>
      <w:r w:rsidRPr="000E0395">
        <w:rPr>
          <w:rFonts w:ascii="Calibri" w:eastAsia="Calibri" w:hAnsi="Calibri"/>
          <w:b/>
          <w:bCs/>
          <w:color w:val="000000"/>
          <w:sz w:val="22"/>
          <w:szCs w:val="22"/>
        </w:rPr>
        <w:t>STAR PERFORMANCE PATH IN WASHINGTON</w:t>
      </w:r>
    </w:p>
    <w:p w14:paraId="362A6E21"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End Use</w:t>
      </w:r>
    </w:p>
    <w:p w14:paraId="14CFBE9C" w14:textId="77777777" w:rsidR="000E0395" w:rsidRPr="000E0395" w:rsidRDefault="000E0395" w:rsidP="00685D82">
      <w:pPr>
        <w:ind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New Homes Washington</w:t>
      </w:r>
    </w:p>
    <w:p w14:paraId="00D01941"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w:t>
      </w:r>
    </w:p>
    <w:p w14:paraId="4A657707"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Scope</w:t>
      </w:r>
    </w:p>
    <w:p w14:paraId="31942C06"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Measures are “Blessed” for New Single family construction gas heated homes in Washington.</w:t>
      </w:r>
    </w:p>
    <w:p w14:paraId="1C69B760" w14:textId="77777777" w:rsidR="000E0395" w:rsidRPr="000E0395" w:rsidRDefault="000E0395" w:rsidP="00685D82">
      <w:pPr>
        <w:keepNext/>
        <w:spacing w:after="160" w:line="259" w:lineRule="auto"/>
        <w:rPr>
          <w:rFonts w:ascii="Calibri" w:eastAsia="Calibri" w:hAnsi="Calibri"/>
          <w:color w:val="000000"/>
          <w:sz w:val="22"/>
          <w:szCs w:val="22"/>
        </w:rPr>
      </w:pPr>
      <w:r w:rsidRPr="000E0395">
        <w:rPr>
          <w:rFonts w:ascii="Calibri" w:eastAsia="Calibri" w:hAnsi="Calibri"/>
          <w:b/>
          <w:bCs/>
          <w:color w:val="1F497D"/>
          <w:sz w:val="22"/>
          <w:szCs w:val="22"/>
        </w:rPr>
        <w:t> </w:t>
      </w:r>
    </w:p>
    <w:p w14:paraId="1EACA582" w14:textId="77777777" w:rsidR="000E0395" w:rsidRPr="000E0395" w:rsidRDefault="000E0395" w:rsidP="00685D82">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xml:space="preserve">History </w:t>
      </w:r>
    </w:p>
    <w:p w14:paraId="60563894"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The New Homes program in SW Washington leverages the Northwest Energy Star Homes (NWESH) certification to establish performance criteria for its incentive structure.  The NWESH certification is designed to achieve energy savings to energy performance standards above and beyond that which is mandated by code. Washington State’s updated 2012 residential building energy code was made effective for all new construction permitted after July 1, 2013. New construction permits are valid for up to one year. Homes permitted after July 1, 2013 must be built to the 2012 code standards, whereas homes permitted prior to July 1, 2013 are not subject to the updated code. The 2012 code allows builders to choose between several compliance paths.</w:t>
      </w:r>
    </w:p>
    <w:p w14:paraId="66C56320"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w:t>
      </w:r>
    </w:p>
    <w:p w14:paraId="3D78A8E7" w14:textId="77777777" w:rsidR="000E0395" w:rsidRPr="000E0395" w:rsidRDefault="000E0395" w:rsidP="00685D82">
      <w:pPr>
        <w:autoSpaceDE w:val="0"/>
        <w:autoSpaceDN w:val="0"/>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The transition of the NWESH program from Builder Option Packages </w:t>
      </w:r>
      <w:r w:rsidRPr="000E0395">
        <w:rPr>
          <w:rFonts w:ascii="Calibri" w:eastAsia="Calibri" w:hAnsi="Calibri"/>
          <w:color w:val="1F497D"/>
          <w:sz w:val="22"/>
          <w:szCs w:val="22"/>
        </w:rPr>
        <w:t>(</w:t>
      </w:r>
      <w:r w:rsidRPr="000E0395">
        <w:rPr>
          <w:rFonts w:ascii="Calibri" w:eastAsia="Calibri" w:hAnsi="Calibri"/>
          <w:color w:val="000000"/>
          <w:sz w:val="22"/>
          <w:szCs w:val="22"/>
        </w:rPr>
        <w:t>BOPs</w:t>
      </w:r>
      <w:r w:rsidRPr="000E0395">
        <w:rPr>
          <w:rFonts w:ascii="Calibri" w:eastAsia="Calibri" w:hAnsi="Calibri"/>
          <w:color w:val="1F497D"/>
          <w:sz w:val="22"/>
          <w:szCs w:val="22"/>
        </w:rPr>
        <w:t>)</w:t>
      </w:r>
      <w:r w:rsidRPr="000E0395">
        <w:rPr>
          <w:rFonts w:ascii="Calibri" w:eastAsia="Calibri" w:hAnsi="Calibri"/>
          <w:color w:val="000000"/>
          <w:sz w:val="22"/>
          <w:szCs w:val="22"/>
        </w:rPr>
        <w:t xml:space="preserve"> to a Performance Path coincides with a Washington State building energy code update.  In April 2014, the Regional Technical Forum, RTF, deactivated the measures associated with the 2011 BOPs and convened a subcommittee to explore feasible measure packages that garner significant savings over and above anticipated pathways to reaching code. On August 12, 2014 the RTF approved Performance Path savings based on recommendations made by the New Construction Measure Specification Subcommittee using Simplified Energy Enthalpy Modeling, SEEM. </w:t>
      </w:r>
    </w:p>
    <w:p w14:paraId="58F47D6F" w14:textId="77777777" w:rsidR="000E0395" w:rsidRPr="000E0395" w:rsidRDefault="000E0395" w:rsidP="00685D82">
      <w:pPr>
        <w:autoSpaceDE w:val="0"/>
        <w:autoSpaceDN w:val="0"/>
        <w:spacing w:after="160" w:line="259" w:lineRule="auto"/>
        <w:rPr>
          <w:rFonts w:ascii="Calibri" w:eastAsia="Calibri" w:hAnsi="Calibri"/>
          <w:color w:val="000000"/>
          <w:sz w:val="22"/>
          <w:szCs w:val="22"/>
        </w:rPr>
      </w:pPr>
      <w:r w:rsidRPr="000E0395">
        <w:rPr>
          <w:rFonts w:ascii="Calibri" w:eastAsia="Calibri" w:hAnsi="Calibri"/>
          <w:color w:val="1F497D"/>
          <w:sz w:val="22"/>
          <w:szCs w:val="22"/>
        </w:rPr>
        <w:t> </w:t>
      </w:r>
    </w:p>
    <w:p w14:paraId="367CEB29" w14:textId="77777777" w:rsidR="000E0395" w:rsidRPr="000E0395" w:rsidRDefault="000E0395" w:rsidP="00685D82">
      <w:pPr>
        <w:autoSpaceDE w:val="0"/>
        <w:autoSpaceDN w:val="0"/>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The Performance Path is a compliance method that allows builders to select a custom combination of measures that are equivalent in performance to the corresponding state-level Northwest Energy Star Homes Builder Option Package, also called the Performance Path Reference Home. The Performance Path provides flexibility when designing buildings to qualify for Northwest Energy Star certification, enabling buildings and raters to compare multiple </w:t>
      </w:r>
      <w:proofErr w:type="gramStart"/>
      <w:r w:rsidRPr="000E0395">
        <w:rPr>
          <w:rFonts w:ascii="Calibri" w:eastAsia="Calibri" w:hAnsi="Calibri"/>
          <w:color w:val="000000"/>
          <w:sz w:val="22"/>
          <w:szCs w:val="22"/>
        </w:rPr>
        <w:t>package</w:t>
      </w:r>
      <w:proofErr w:type="gramEnd"/>
      <w:r w:rsidRPr="000E0395">
        <w:rPr>
          <w:rFonts w:ascii="Calibri" w:eastAsia="Calibri" w:hAnsi="Calibri"/>
          <w:color w:val="000000"/>
          <w:sz w:val="22"/>
          <w:szCs w:val="22"/>
        </w:rPr>
        <w:t xml:space="preserve"> to find the most cost-effective options for builders.</w:t>
      </w:r>
      <w:r w:rsidRPr="000E0395">
        <w:rPr>
          <w:rFonts w:ascii="Calibri" w:eastAsia="Calibri" w:hAnsi="Calibri"/>
          <w:color w:val="000000"/>
          <w:sz w:val="22"/>
          <w:szCs w:val="22"/>
          <w:vertAlign w:val="superscript"/>
        </w:rPr>
        <w:t>1</w:t>
      </w:r>
    </w:p>
    <w:p w14:paraId="71564395"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1F497D"/>
          <w:sz w:val="22"/>
          <w:szCs w:val="22"/>
        </w:rPr>
        <w:t> </w:t>
      </w:r>
    </w:p>
    <w:p w14:paraId="156B941B" w14:textId="77777777" w:rsidR="000E0395" w:rsidRPr="000E0395" w:rsidRDefault="000E0395" w:rsidP="00685D82">
      <w:pPr>
        <w:keepNext/>
        <w:spacing w:after="160" w:line="259" w:lineRule="auto"/>
        <w:ind w:left="90"/>
        <w:rPr>
          <w:rFonts w:ascii="Calibri" w:eastAsia="Calibri" w:hAnsi="Calibri"/>
          <w:color w:val="000000"/>
          <w:sz w:val="22"/>
          <w:szCs w:val="22"/>
        </w:rPr>
      </w:pPr>
      <w:r w:rsidRPr="000E0395">
        <w:rPr>
          <w:rFonts w:ascii="Calibri" w:eastAsia="Calibri" w:hAnsi="Calibri"/>
          <w:b/>
          <w:bCs/>
          <w:color w:val="000000"/>
          <w:sz w:val="22"/>
          <w:szCs w:val="22"/>
        </w:rPr>
        <w:t>Cost-Effectiveness</w:t>
      </w:r>
    </w:p>
    <w:p w14:paraId="5B1D95B7"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Table 1 presents the BCR for the NWESH Performance Pathway Specification. In Washington, Energy Trust does not claim electric savings.  The benefits of the electric savings are used in the TRC test, </w:t>
      </w:r>
      <w:r w:rsidRPr="000E0395">
        <w:rPr>
          <w:rFonts w:ascii="Calibri" w:eastAsia="Calibri" w:hAnsi="Calibri"/>
          <w:b/>
          <w:bCs/>
          <w:color w:val="000000"/>
          <w:sz w:val="22"/>
          <w:szCs w:val="22"/>
        </w:rPr>
        <w:t>but not in the utility test</w:t>
      </w:r>
      <w:r w:rsidRPr="000E0395">
        <w:rPr>
          <w:rFonts w:ascii="Calibri" w:eastAsia="Calibri" w:hAnsi="Calibri"/>
          <w:color w:val="000000"/>
          <w:sz w:val="22"/>
          <w:szCs w:val="22"/>
        </w:rPr>
        <w:t xml:space="preserve">. </w:t>
      </w:r>
      <w:r w:rsidRPr="000E0395">
        <w:rPr>
          <w:rFonts w:ascii="Calibri" w:eastAsia="Calibri" w:hAnsi="Calibri"/>
          <w:color w:val="000000"/>
          <w:sz w:val="22"/>
          <w:szCs w:val="22"/>
        </w:rPr>
        <w:lastRenderedPageBreak/>
        <w:t xml:space="preserve">This </w:t>
      </w:r>
      <w:proofErr w:type="gramStart"/>
      <w:r w:rsidRPr="000E0395">
        <w:rPr>
          <w:rFonts w:ascii="Calibri" w:eastAsia="Calibri" w:hAnsi="Calibri"/>
          <w:color w:val="000000"/>
          <w:sz w:val="22"/>
          <w:szCs w:val="22"/>
        </w:rPr>
        <w:t>measures</w:t>
      </w:r>
      <w:proofErr w:type="gramEnd"/>
      <w:r w:rsidRPr="000E0395">
        <w:rPr>
          <w:rFonts w:ascii="Calibri" w:eastAsia="Calibri" w:hAnsi="Calibri"/>
          <w:color w:val="000000"/>
          <w:sz w:val="22"/>
          <w:szCs w:val="22"/>
        </w:rPr>
        <w:t xml:space="preserve"> does not pass the TRC.  This measure is only blessed for use in Washington. In Washington, the WUTC has directed Energy Trust to use the Utility Cost Test as the primary determinant of cost effectiveness, and to monitor the Total Resource Cost.</w:t>
      </w:r>
      <w:r w:rsidRPr="000E0395">
        <w:rPr>
          <w:rFonts w:ascii="Calibri" w:eastAsia="Calibri" w:hAnsi="Calibri"/>
          <w:color w:val="1F497D"/>
          <w:sz w:val="22"/>
          <w:szCs w:val="22"/>
        </w:rPr>
        <w:t>  Furthermore, there is a long history of new home programs leading to market transformation, by increasing building acceptance of advanced practices, leading to lower costs and ultimately to enhanced building codes.  So the long run cost-effectiveness is likely to be far better than that shown here.</w:t>
      </w:r>
    </w:p>
    <w:p w14:paraId="19057961" w14:textId="77777777" w:rsidR="000E0395" w:rsidRPr="000E0395" w:rsidRDefault="000E0395" w:rsidP="000E0395">
      <w:pPr>
        <w:spacing w:after="160" w:line="259" w:lineRule="auto"/>
        <w:ind w:left="720"/>
        <w:rPr>
          <w:rFonts w:ascii="Calibri" w:eastAsia="Calibri" w:hAnsi="Calibri"/>
          <w:color w:val="000000"/>
          <w:sz w:val="22"/>
          <w:szCs w:val="22"/>
        </w:rPr>
      </w:pPr>
      <w:r w:rsidRPr="000E0395">
        <w:rPr>
          <w:rFonts w:ascii="Calibri" w:eastAsia="Calibri" w:hAnsi="Calibri"/>
          <w:color w:val="000000"/>
          <w:sz w:val="22"/>
          <w:szCs w:val="22"/>
        </w:rPr>
        <w:t> </w:t>
      </w:r>
    </w:p>
    <w:p w14:paraId="020E474C"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xml:space="preserve">Table 1 </w:t>
      </w:r>
    </w:p>
    <w:tbl>
      <w:tblPr>
        <w:tblW w:w="10255" w:type="dxa"/>
        <w:tblInd w:w="108" w:type="dxa"/>
        <w:tblCellMar>
          <w:left w:w="0" w:type="dxa"/>
          <w:right w:w="0" w:type="dxa"/>
        </w:tblCellMar>
        <w:tblLook w:val="04A0" w:firstRow="1" w:lastRow="0" w:firstColumn="1" w:lastColumn="0" w:noHBand="0" w:noVBand="1"/>
      </w:tblPr>
      <w:tblGrid>
        <w:gridCol w:w="2012"/>
        <w:gridCol w:w="1035"/>
        <w:gridCol w:w="1173"/>
        <w:gridCol w:w="1039"/>
        <w:gridCol w:w="828"/>
        <w:gridCol w:w="1195"/>
        <w:gridCol w:w="1006"/>
        <w:gridCol w:w="1194"/>
        <w:gridCol w:w="773"/>
      </w:tblGrid>
      <w:tr w:rsidR="000E0395" w:rsidRPr="000E0395" w14:paraId="1398F134" w14:textId="77777777" w:rsidTr="00685D82">
        <w:trPr>
          <w:trHeight w:val="1123"/>
        </w:trPr>
        <w:tc>
          <w:tcPr>
            <w:tcW w:w="201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14:paraId="78D1E5E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Measure</w:t>
            </w:r>
          </w:p>
        </w:tc>
        <w:tc>
          <w:tcPr>
            <w:tcW w:w="1035"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14:paraId="276DD11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Measure Lifetime</w:t>
            </w:r>
          </w:p>
        </w:tc>
        <w:tc>
          <w:tcPr>
            <w:tcW w:w="117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14:paraId="3AFA7D9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Annual Electricity Savings, kWh</w:t>
            </w:r>
          </w:p>
        </w:tc>
        <w:tc>
          <w:tcPr>
            <w:tcW w:w="103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14:paraId="36B048A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Annual Gas Savings, therm</w:t>
            </w:r>
          </w:p>
        </w:tc>
        <w:tc>
          <w:tcPr>
            <w:tcW w:w="82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14:paraId="23E0A0E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Total Cost</w:t>
            </w:r>
          </w:p>
        </w:tc>
        <w:tc>
          <w:tcPr>
            <w:tcW w:w="1195"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7B89EDD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shd w:val="clear" w:color="auto" w:fill="FF0000"/>
              </w:rPr>
              <w:t>MAX</w:t>
            </w:r>
            <w:r w:rsidRPr="000E0395">
              <w:rPr>
                <w:rFonts w:eastAsia="Calibri" w:cs="Arial"/>
                <w:b/>
                <w:bCs/>
                <w:sz w:val="20"/>
              </w:rPr>
              <w:t xml:space="preserve"> ETO Incentives</w:t>
            </w:r>
          </w:p>
        </w:tc>
        <w:tc>
          <w:tcPr>
            <w:tcW w:w="1006" w:type="dxa"/>
            <w:tcBorders>
              <w:top w:val="double" w:sz="6" w:space="0" w:color="auto"/>
              <w:left w:val="nil"/>
              <w:bottom w:val="single" w:sz="8" w:space="0" w:color="auto"/>
              <w:right w:val="double" w:sz="6" w:space="0" w:color="auto"/>
            </w:tcBorders>
            <w:shd w:val="clear" w:color="auto" w:fill="CCFFFF"/>
            <w:tcMar>
              <w:top w:w="0" w:type="dxa"/>
              <w:left w:w="108" w:type="dxa"/>
              <w:bottom w:w="0" w:type="dxa"/>
              <w:right w:w="108" w:type="dxa"/>
            </w:tcMar>
            <w:vAlign w:val="center"/>
            <w:hideMark/>
          </w:tcPr>
          <w:p w14:paraId="75768A8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Non Energy Benefits</w:t>
            </w:r>
          </w:p>
        </w:tc>
        <w:tc>
          <w:tcPr>
            <w:tcW w:w="1194" w:type="dxa"/>
            <w:tcBorders>
              <w:top w:val="double" w:sz="6" w:space="0" w:color="auto"/>
              <w:left w:val="nil"/>
              <w:bottom w:val="single" w:sz="8" w:space="0" w:color="auto"/>
              <w:right w:val="nil"/>
            </w:tcBorders>
            <w:shd w:val="clear" w:color="auto" w:fill="FF99CC"/>
            <w:tcMar>
              <w:top w:w="0" w:type="dxa"/>
              <w:left w:w="108" w:type="dxa"/>
              <w:bottom w:w="0" w:type="dxa"/>
              <w:right w:w="108" w:type="dxa"/>
            </w:tcMar>
            <w:vAlign w:val="center"/>
            <w:hideMark/>
          </w:tcPr>
          <w:p w14:paraId="5FAE32A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Combined Utility System BCR</w:t>
            </w:r>
          </w:p>
        </w:tc>
        <w:tc>
          <w:tcPr>
            <w:tcW w:w="773" w:type="dxa"/>
            <w:tcBorders>
              <w:top w:val="double" w:sz="6" w:space="0" w:color="auto"/>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38D99B5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TRC</w:t>
            </w:r>
          </w:p>
          <w:p w14:paraId="0F282ED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BCR</w:t>
            </w:r>
          </w:p>
        </w:tc>
      </w:tr>
      <w:tr w:rsidR="000E0395" w:rsidRPr="000E0395" w14:paraId="0A0713CA" w14:textId="77777777" w:rsidTr="00685D82">
        <w:trPr>
          <w:trHeight w:val="316"/>
        </w:trPr>
        <w:tc>
          <w:tcPr>
            <w:tcW w:w="2012"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6D6A133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WA Performance Path</w:t>
            </w:r>
          </w:p>
        </w:tc>
        <w:tc>
          <w:tcPr>
            <w:tcW w:w="1035"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970B93E"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28</w:t>
            </w:r>
          </w:p>
        </w:tc>
        <w:tc>
          <w:tcPr>
            <w:tcW w:w="1173"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147F4E4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537</w:t>
            </w:r>
          </w:p>
        </w:tc>
        <w:tc>
          <w:tcPr>
            <w:tcW w:w="1039"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72EAA99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114</w:t>
            </w:r>
          </w:p>
        </w:tc>
        <w:tc>
          <w:tcPr>
            <w:tcW w:w="828"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2F79281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$3,107</w:t>
            </w:r>
          </w:p>
        </w:tc>
        <w:tc>
          <w:tcPr>
            <w:tcW w:w="1195"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603447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$856</w:t>
            </w:r>
          </w:p>
        </w:tc>
        <w:tc>
          <w:tcPr>
            <w:tcW w:w="1006" w:type="dxa"/>
            <w:tcBorders>
              <w:top w:val="nil"/>
              <w:left w:val="single" w:sz="8" w:space="0" w:color="auto"/>
              <w:bottom w:val="single" w:sz="8" w:space="0" w:color="auto"/>
              <w:right w:val="nil"/>
            </w:tcBorders>
            <w:shd w:val="clear" w:color="auto" w:fill="FFFFCC"/>
            <w:tcMar>
              <w:top w:w="0" w:type="dxa"/>
              <w:left w:w="108" w:type="dxa"/>
              <w:bottom w:w="0" w:type="dxa"/>
              <w:right w:w="108" w:type="dxa"/>
            </w:tcMar>
            <w:vAlign w:val="center"/>
            <w:hideMark/>
          </w:tcPr>
          <w:p w14:paraId="56670BE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$183 </w:t>
            </w:r>
          </w:p>
        </w:tc>
        <w:tc>
          <w:tcPr>
            <w:tcW w:w="1194" w:type="dxa"/>
            <w:tcBorders>
              <w:top w:val="nil"/>
              <w:left w:val="nil"/>
              <w:bottom w:val="single" w:sz="8" w:space="0" w:color="auto"/>
              <w:right w:val="nil"/>
            </w:tcBorders>
            <w:shd w:val="clear" w:color="auto" w:fill="FF99CC"/>
            <w:tcMar>
              <w:top w:w="0" w:type="dxa"/>
              <w:left w:w="108" w:type="dxa"/>
              <w:bottom w:w="0" w:type="dxa"/>
              <w:right w:w="108" w:type="dxa"/>
            </w:tcMar>
            <w:vAlign w:val="center"/>
            <w:hideMark/>
          </w:tcPr>
          <w:p w14:paraId="4A3FB7D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0"/>
              </w:rPr>
              <w:t>1.00</w:t>
            </w:r>
          </w:p>
        </w:tc>
        <w:tc>
          <w:tcPr>
            <w:tcW w:w="773" w:type="dxa"/>
            <w:tcBorders>
              <w:top w:val="nil"/>
              <w:left w:val="single" w:sz="8" w:space="0" w:color="auto"/>
              <w:bottom w:val="single" w:sz="8" w:space="0" w:color="auto"/>
              <w:right w:val="double" w:sz="6" w:space="0" w:color="auto"/>
            </w:tcBorders>
            <w:shd w:val="clear" w:color="auto" w:fill="FF99CC"/>
            <w:tcMar>
              <w:top w:w="0" w:type="dxa"/>
              <w:left w:w="108" w:type="dxa"/>
              <w:bottom w:w="0" w:type="dxa"/>
              <w:right w:w="108" w:type="dxa"/>
            </w:tcMar>
            <w:vAlign w:val="center"/>
            <w:hideMark/>
          </w:tcPr>
          <w:p w14:paraId="097C8BA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color w:val="FF0000"/>
                <w:sz w:val="20"/>
              </w:rPr>
              <w:t>0.58</w:t>
            </w:r>
          </w:p>
        </w:tc>
      </w:tr>
    </w:tbl>
    <w:p w14:paraId="4C8ED8BD" w14:textId="77777777" w:rsidR="000E0395" w:rsidRPr="000E0395" w:rsidRDefault="000E0395" w:rsidP="000E0395">
      <w:pPr>
        <w:spacing w:after="160" w:line="259" w:lineRule="auto"/>
        <w:ind w:left="720"/>
        <w:rPr>
          <w:rFonts w:ascii="Calibri" w:eastAsia="Calibri" w:hAnsi="Calibri"/>
          <w:color w:val="000000"/>
          <w:sz w:val="22"/>
          <w:szCs w:val="22"/>
        </w:rPr>
      </w:pPr>
      <w:r w:rsidRPr="000E0395">
        <w:rPr>
          <w:rFonts w:ascii="Calibri" w:eastAsia="Calibri" w:hAnsi="Calibri"/>
          <w:color w:val="000000"/>
          <w:sz w:val="22"/>
          <w:szCs w:val="22"/>
        </w:rPr>
        <w:t xml:space="preserve"> </w:t>
      </w:r>
    </w:p>
    <w:p w14:paraId="1F1DB8E2" w14:textId="77777777" w:rsidR="000E0395" w:rsidRPr="000E0395" w:rsidRDefault="000E0395" w:rsidP="000E0395">
      <w:pPr>
        <w:spacing w:after="160" w:line="259" w:lineRule="auto"/>
        <w:ind w:left="720"/>
        <w:rPr>
          <w:rFonts w:ascii="Calibri" w:eastAsia="Calibri" w:hAnsi="Calibri"/>
          <w:color w:val="000000"/>
          <w:sz w:val="22"/>
          <w:szCs w:val="22"/>
        </w:rPr>
      </w:pPr>
      <w:r w:rsidRPr="000E0395">
        <w:rPr>
          <w:rFonts w:ascii="Calibri" w:eastAsia="Calibri" w:hAnsi="Calibri"/>
          <w:color w:val="1F497D"/>
          <w:sz w:val="22"/>
          <w:szCs w:val="22"/>
        </w:rPr>
        <w:t>  </w:t>
      </w:r>
    </w:p>
    <w:p w14:paraId="524A70FF" w14:textId="77777777" w:rsidR="000E0395" w:rsidRPr="000E0395" w:rsidRDefault="000E0395" w:rsidP="00685D82">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Program Requirements </w:t>
      </w:r>
    </w:p>
    <w:p w14:paraId="0CDDB7A3"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Homes must be heated with gas</w:t>
      </w:r>
    </w:p>
    <w:p w14:paraId="30DAA941"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Builders are required to work with a NW Energy Star Homes qualified HERS Rater who has been certified under RESNET, or</w:t>
      </w:r>
    </w:p>
    <w:p w14:paraId="4F9BEF90"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Earth Advantage Certification is designed to meet or exceed Energy Star Performance Path savings compared to the 2012 code and will be considered an equivalent path.</w:t>
      </w:r>
    </w:p>
    <w:p w14:paraId="2C42560F"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w:t>
      </w:r>
    </w:p>
    <w:p w14:paraId="07EC42C3"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Savings</w:t>
      </w:r>
    </w:p>
    <w:p w14:paraId="0DC9E6FE"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The following analysis uses the RTF approved Performance Path and code pathway modeled prototypes and aligns the weightings with housing attributes found in Northwest Natural’s Southwest Washington service territory. </w:t>
      </w:r>
    </w:p>
    <w:p w14:paraId="15AF61F0"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w:t>
      </w:r>
    </w:p>
    <w:p w14:paraId="044CE87E" w14:textId="77777777" w:rsidR="000E0395" w:rsidRPr="000E0395" w:rsidRDefault="000E0395" w:rsidP="00685D82">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The RTF has developed three code pathway</w:t>
      </w:r>
      <w:r w:rsidRPr="000E0395">
        <w:rPr>
          <w:rFonts w:ascii="Calibri" w:eastAsia="Calibri" w:hAnsi="Calibri"/>
          <w:color w:val="1F497D"/>
          <w:sz w:val="22"/>
          <w:szCs w:val="22"/>
        </w:rPr>
        <w:t>s</w:t>
      </w:r>
      <w:r w:rsidRPr="000E0395">
        <w:rPr>
          <w:rFonts w:ascii="Calibri" w:eastAsia="Calibri" w:hAnsi="Calibri"/>
          <w:color w:val="000000"/>
          <w:sz w:val="22"/>
          <w:szCs w:val="22"/>
        </w:rPr>
        <w:t xml:space="preserve"> for gas heated homes.  The three paths share the majority of shell characteristics but differ on either equipment or duct configurations to achieve the 2012 Washington code. Table 2 presents housing shell and equipment groupings anticipated to be the most common pathways to build to code and the Performance Path.</w:t>
      </w:r>
    </w:p>
    <w:p w14:paraId="157FD503" w14:textId="77777777" w:rsidR="000E0395" w:rsidRPr="000E0395" w:rsidRDefault="000E0395" w:rsidP="00685D82">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t> </w:t>
      </w:r>
    </w:p>
    <w:p w14:paraId="641B8025" w14:textId="77777777" w:rsidR="000E0395" w:rsidRPr="000E0395" w:rsidRDefault="000E0395" w:rsidP="000E0395">
      <w:pPr>
        <w:spacing w:after="160" w:line="259" w:lineRule="auto"/>
        <w:rPr>
          <w:rFonts w:ascii="Calibri" w:eastAsia="Calibri" w:hAnsi="Calibri"/>
          <w:b/>
          <w:bCs/>
          <w:color w:val="000000"/>
          <w:sz w:val="22"/>
          <w:szCs w:val="22"/>
        </w:rPr>
      </w:pPr>
      <w:r w:rsidRPr="000E0395">
        <w:rPr>
          <w:rFonts w:ascii="Calibri" w:eastAsia="Calibri" w:hAnsi="Calibri"/>
          <w:b/>
          <w:bCs/>
          <w:color w:val="000000"/>
          <w:sz w:val="22"/>
          <w:szCs w:val="22"/>
        </w:rPr>
        <w:br w:type="page"/>
      </w:r>
    </w:p>
    <w:p w14:paraId="0E100427" w14:textId="77777777" w:rsidR="000E0395" w:rsidRPr="000E0395" w:rsidRDefault="000E0395" w:rsidP="000E0395">
      <w:pPr>
        <w:spacing w:after="160" w:line="259" w:lineRule="auto"/>
        <w:ind w:left="720"/>
        <w:rPr>
          <w:rFonts w:ascii="Calibri" w:eastAsia="Calibri" w:hAnsi="Calibri"/>
          <w:color w:val="000000"/>
          <w:sz w:val="22"/>
          <w:szCs w:val="22"/>
        </w:rPr>
      </w:pPr>
    </w:p>
    <w:p w14:paraId="177C178C" w14:textId="77777777" w:rsidR="000E0395" w:rsidRPr="000E0395" w:rsidRDefault="000E0395" w:rsidP="008172F3">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Table 2: RTF Code Pathways and Performance Path Housing Attributes</w:t>
      </w:r>
    </w:p>
    <w:tbl>
      <w:tblPr>
        <w:tblW w:w="10159" w:type="dxa"/>
        <w:tblInd w:w="108" w:type="dxa"/>
        <w:tblCellMar>
          <w:left w:w="0" w:type="dxa"/>
          <w:right w:w="0" w:type="dxa"/>
        </w:tblCellMar>
        <w:tblLook w:val="04A0" w:firstRow="1" w:lastRow="0" w:firstColumn="1" w:lastColumn="0" w:noHBand="0" w:noVBand="1"/>
      </w:tblPr>
      <w:tblGrid>
        <w:gridCol w:w="1969"/>
        <w:gridCol w:w="2040"/>
        <w:gridCol w:w="2040"/>
        <w:gridCol w:w="2040"/>
        <w:gridCol w:w="2070"/>
      </w:tblGrid>
      <w:tr w:rsidR="000E0395" w:rsidRPr="000E0395" w14:paraId="31F7C61E" w14:textId="77777777" w:rsidTr="008172F3">
        <w:trPr>
          <w:trHeight w:val="600"/>
        </w:trPr>
        <w:tc>
          <w:tcPr>
            <w:tcW w:w="1969" w:type="dxa"/>
            <w:vMerge w:val="restart"/>
            <w:tcBorders>
              <w:top w:val="single" w:sz="8" w:space="0" w:color="auto"/>
              <w:left w:val="single" w:sz="8" w:space="0" w:color="auto"/>
              <w:bottom w:val="nil"/>
              <w:right w:val="single" w:sz="8" w:space="0" w:color="auto"/>
            </w:tcBorders>
            <w:shd w:val="clear" w:color="auto" w:fill="4BACC6"/>
            <w:tcMar>
              <w:top w:w="0" w:type="dxa"/>
              <w:left w:w="108" w:type="dxa"/>
              <w:bottom w:w="0" w:type="dxa"/>
              <w:right w:w="108" w:type="dxa"/>
            </w:tcMar>
            <w:vAlign w:val="bottom"/>
            <w:hideMark/>
          </w:tcPr>
          <w:p w14:paraId="0EA0255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Housing Attribute</w:t>
            </w:r>
          </w:p>
        </w:tc>
        <w:tc>
          <w:tcPr>
            <w:tcW w:w="6120" w:type="dxa"/>
            <w:gridSpan w:val="3"/>
            <w:tcBorders>
              <w:top w:val="single" w:sz="8" w:space="0" w:color="auto"/>
              <w:left w:val="nil"/>
              <w:bottom w:val="nil"/>
              <w:right w:val="nil"/>
            </w:tcBorders>
            <w:shd w:val="clear" w:color="auto" w:fill="4BACC6"/>
            <w:tcMar>
              <w:top w:w="0" w:type="dxa"/>
              <w:left w:w="108" w:type="dxa"/>
              <w:bottom w:w="0" w:type="dxa"/>
              <w:right w:w="108" w:type="dxa"/>
            </w:tcMar>
            <w:vAlign w:val="bottom"/>
            <w:hideMark/>
          </w:tcPr>
          <w:p w14:paraId="30C6098C"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RTF Code Pathway Homes (Baselines)</w:t>
            </w:r>
          </w:p>
        </w:tc>
        <w:tc>
          <w:tcPr>
            <w:tcW w:w="2070" w:type="dxa"/>
            <w:vMerge w:val="restart"/>
            <w:tcBorders>
              <w:top w:val="single" w:sz="8" w:space="0" w:color="auto"/>
              <w:left w:val="single" w:sz="8" w:space="0" w:color="auto"/>
              <w:bottom w:val="single" w:sz="8" w:space="0" w:color="auto"/>
              <w:right w:val="single" w:sz="8" w:space="0" w:color="auto"/>
            </w:tcBorders>
            <w:shd w:val="clear" w:color="auto" w:fill="4BACC6"/>
            <w:tcMar>
              <w:top w:w="0" w:type="dxa"/>
              <w:left w:w="108" w:type="dxa"/>
              <w:bottom w:w="0" w:type="dxa"/>
              <w:right w:w="108" w:type="dxa"/>
            </w:tcMar>
            <w:vAlign w:val="bottom"/>
            <w:hideMark/>
          </w:tcPr>
          <w:p w14:paraId="38691282"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NWESH v3.1 Performance Path 1</w:t>
            </w:r>
          </w:p>
        </w:tc>
      </w:tr>
      <w:tr w:rsidR="000E0395" w:rsidRPr="000E0395" w14:paraId="481CAD79" w14:textId="77777777" w:rsidTr="008172F3">
        <w:trPr>
          <w:trHeight w:val="600"/>
        </w:trPr>
        <w:tc>
          <w:tcPr>
            <w:tcW w:w="0" w:type="auto"/>
            <w:vMerge/>
            <w:tcBorders>
              <w:top w:val="single" w:sz="8" w:space="0" w:color="auto"/>
              <w:left w:val="single" w:sz="8" w:space="0" w:color="auto"/>
              <w:bottom w:val="nil"/>
              <w:right w:val="single" w:sz="8" w:space="0" w:color="auto"/>
            </w:tcBorders>
            <w:vAlign w:val="center"/>
            <w:hideMark/>
          </w:tcPr>
          <w:p w14:paraId="09782BEB" w14:textId="77777777" w:rsidR="000E0395" w:rsidRPr="000E0395" w:rsidRDefault="000E0395" w:rsidP="000E0395">
            <w:pPr>
              <w:spacing w:after="160" w:line="259" w:lineRule="auto"/>
              <w:rPr>
                <w:rFonts w:ascii="Calibri" w:eastAsia="Calibri" w:hAnsi="Calibri"/>
                <w:sz w:val="22"/>
                <w:szCs w:val="22"/>
              </w:rPr>
            </w:pPr>
          </w:p>
        </w:tc>
        <w:tc>
          <w:tcPr>
            <w:tcW w:w="2040" w:type="dxa"/>
            <w:shd w:val="clear" w:color="auto" w:fill="4BACC6"/>
            <w:tcMar>
              <w:top w:w="0" w:type="dxa"/>
              <w:left w:w="108" w:type="dxa"/>
              <w:bottom w:w="0" w:type="dxa"/>
              <w:right w:w="108" w:type="dxa"/>
            </w:tcMar>
            <w:vAlign w:val="bottom"/>
            <w:hideMark/>
          </w:tcPr>
          <w:p w14:paraId="623980A1"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 xml:space="preserve">Gas </w:t>
            </w:r>
            <w:proofErr w:type="spellStart"/>
            <w:r w:rsidRPr="000E0395">
              <w:rPr>
                <w:rFonts w:ascii="Calibri" w:eastAsia="Calibri" w:hAnsi="Calibri"/>
                <w:color w:val="FFFFFF"/>
                <w:sz w:val="22"/>
                <w:szCs w:val="22"/>
              </w:rPr>
              <w:t>Furn</w:t>
            </w:r>
            <w:proofErr w:type="spellEnd"/>
            <w:r w:rsidRPr="000E0395">
              <w:rPr>
                <w:rFonts w:ascii="Calibri" w:eastAsia="Calibri" w:hAnsi="Calibri"/>
                <w:color w:val="FFFFFF"/>
                <w:sz w:val="22"/>
                <w:szCs w:val="22"/>
              </w:rPr>
              <w:t xml:space="preserve"> 3a 2a 5a</w:t>
            </w:r>
          </w:p>
        </w:tc>
        <w:tc>
          <w:tcPr>
            <w:tcW w:w="2040" w:type="dxa"/>
            <w:shd w:val="clear" w:color="auto" w:fill="4BACC6"/>
            <w:tcMar>
              <w:top w:w="0" w:type="dxa"/>
              <w:left w:w="108" w:type="dxa"/>
              <w:bottom w:w="0" w:type="dxa"/>
              <w:right w:w="108" w:type="dxa"/>
            </w:tcMar>
            <w:vAlign w:val="bottom"/>
            <w:hideMark/>
          </w:tcPr>
          <w:p w14:paraId="53088B69"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 xml:space="preserve">Gas </w:t>
            </w:r>
            <w:proofErr w:type="spellStart"/>
            <w:r w:rsidRPr="000E0395">
              <w:rPr>
                <w:rFonts w:ascii="Calibri" w:eastAsia="Calibri" w:hAnsi="Calibri"/>
                <w:color w:val="FFFFFF"/>
                <w:sz w:val="22"/>
                <w:szCs w:val="22"/>
              </w:rPr>
              <w:t>Furn</w:t>
            </w:r>
            <w:proofErr w:type="spellEnd"/>
            <w:r w:rsidRPr="000E0395">
              <w:rPr>
                <w:rFonts w:ascii="Calibri" w:eastAsia="Calibri" w:hAnsi="Calibri"/>
                <w:color w:val="FFFFFF"/>
                <w:sz w:val="22"/>
                <w:szCs w:val="22"/>
              </w:rPr>
              <w:t xml:space="preserve"> 4 5a</w:t>
            </w:r>
          </w:p>
        </w:tc>
        <w:tc>
          <w:tcPr>
            <w:tcW w:w="2040" w:type="dxa"/>
            <w:shd w:val="clear" w:color="auto" w:fill="4BACC6"/>
            <w:tcMar>
              <w:top w:w="0" w:type="dxa"/>
              <w:left w:w="108" w:type="dxa"/>
              <w:bottom w:w="0" w:type="dxa"/>
              <w:right w:w="108" w:type="dxa"/>
            </w:tcMar>
            <w:vAlign w:val="bottom"/>
            <w:hideMark/>
          </w:tcPr>
          <w:p w14:paraId="09D91CB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 xml:space="preserve">Gas </w:t>
            </w:r>
            <w:proofErr w:type="spellStart"/>
            <w:r w:rsidRPr="000E0395">
              <w:rPr>
                <w:rFonts w:ascii="Calibri" w:eastAsia="Calibri" w:hAnsi="Calibri"/>
                <w:color w:val="FFFFFF"/>
                <w:sz w:val="22"/>
                <w:szCs w:val="22"/>
              </w:rPr>
              <w:t>Furn</w:t>
            </w:r>
            <w:proofErr w:type="spellEnd"/>
            <w:r w:rsidRPr="000E0395">
              <w:rPr>
                <w:rFonts w:ascii="Calibri" w:eastAsia="Calibri" w:hAnsi="Calibri"/>
                <w:color w:val="FFFFFF"/>
                <w:sz w:val="22"/>
                <w:szCs w:val="22"/>
              </w:rPr>
              <w:t xml:space="preserve"> 5b</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92EEBE5" w14:textId="77777777" w:rsidR="000E0395" w:rsidRPr="000E0395" w:rsidRDefault="000E0395" w:rsidP="000E0395">
            <w:pPr>
              <w:spacing w:after="160" w:line="259" w:lineRule="auto"/>
              <w:rPr>
                <w:rFonts w:ascii="Calibri" w:eastAsia="Calibri" w:hAnsi="Calibri"/>
                <w:sz w:val="22"/>
                <w:szCs w:val="22"/>
              </w:rPr>
            </w:pPr>
          </w:p>
        </w:tc>
      </w:tr>
      <w:tr w:rsidR="000E0395" w:rsidRPr="000E0395" w14:paraId="66420C15" w14:textId="77777777" w:rsidTr="008172F3">
        <w:trPr>
          <w:trHeight w:val="300"/>
        </w:trPr>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7C969"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Ceiling</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367B70"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R-49 </w:t>
            </w:r>
            <w:proofErr w:type="spellStart"/>
            <w:r w:rsidRPr="000E0395">
              <w:rPr>
                <w:rFonts w:ascii="Calibri" w:eastAsia="Calibri" w:hAnsi="Calibri"/>
                <w:color w:val="000000"/>
                <w:sz w:val="22"/>
                <w:szCs w:val="22"/>
              </w:rPr>
              <w:t>std</w:t>
            </w:r>
            <w:proofErr w:type="spellEnd"/>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2A5DAA"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R-49 </w:t>
            </w:r>
            <w:proofErr w:type="spellStart"/>
            <w:r w:rsidRPr="000E0395">
              <w:rPr>
                <w:rFonts w:ascii="Calibri" w:eastAsia="Calibri" w:hAnsi="Calibri"/>
                <w:color w:val="000000"/>
                <w:sz w:val="22"/>
                <w:szCs w:val="22"/>
              </w:rPr>
              <w:t>std</w:t>
            </w:r>
            <w:proofErr w:type="spellEnd"/>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824C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R-49 </w:t>
            </w:r>
            <w:proofErr w:type="spellStart"/>
            <w:r w:rsidRPr="000E0395">
              <w:rPr>
                <w:rFonts w:ascii="Calibri" w:eastAsia="Calibri" w:hAnsi="Calibri"/>
                <w:color w:val="000000"/>
                <w:sz w:val="22"/>
                <w:szCs w:val="22"/>
              </w:rPr>
              <w:t>std</w:t>
            </w:r>
            <w:proofErr w:type="spellEnd"/>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73D29"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R-49 + 21 heel</w:t>
            </w:r>
          </w:p>
        </w:tc>
      </w:tr>
      <w:tr w:rsidR="000E0395" w:rsidRPr="000E0395" w14:paraId="7454B09B"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678B1"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Wall</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0E9D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R-21 </w:t>
            </w:r>
            <w:proofErr w:type="spellStart"/>
            <w:r w:rsidRPr="000E0395">
              <w:rPr>
                <w:rFonts w:ascii="Calibri" w:eastAsia="Calibri" w:hAnsi="Calibri"/>
                <w:color w:val="000000"/>
                <w:sz w:val="22"/>
                <w:szCs w:val="22"/>
              </w:rPr>
              <w:t>Int</w:t>
            </w:r>
            <w:proofErr w:type="spellEnd"/>
            <w:r w:rsidRPr="000E0395">
              <w:rPr>
                <w:rFonts w:ascii="Calibri" w:eastAsia="Calibri" w:hAnsi="Calibri"/>
                <w:color w:val="000000"/>
                <w:sz w:val="22"/>
                <w:szCs w:val="22"/>
              </w:rPr>
              <w:t xml:space="preserve"> (U-.054)</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7477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R-21 </w:t>
            </w:r>
            <w:proofErr w:type="spellStart"/>
            <w:r w:rsidRPr="000E0395">
              <w:rPr>
                <w:rFonts w:ascii="Calibri" w:eastAsia="Calibri" w:hAnsi="Calibri"/>
                <w:color w:val="000000"/>
                <w:sz w:val="22"/>
                <w:szCs w:val="22"/>
              </w:rPr>
              <w:t>Int</w:t>
            </w:r>
            <w:proofErr w:type="spellEnd"/>
            <w:r w:rsidRPr="000E0395">
              <w:rPr>
                <w:rFonts w:ascii="Calibri" w:eastAsia="Calibri" w:hAnsi="Calibri"/>
                <w:color w:val="000000"/>
                <w:sz w:val="22"/>
                <w:szCs w:val="22"/>
              </w:rPr>
              <w:t xml:space="preserve"> (U-.054)</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CF40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R-21 </w:t>
            </w:r>
            <w:proofErr w:type="spellStart"/>
            <w:r w:rsidRPr="000E0395">
              <w:rPr>
                <w:rFonts w:ascii="Calibri" w:eastAsia="Calibri" w:hAnsi="Calibri"/>
                <w:color w:val="000000"/>
                <w:sz w:val="22"/>
                <w:szCs w:val="22"/>
              </w:rPr>
              <w:t>Int</w:t>
            </w:r>
            <w:proofErr w:type="spellEnd"/>
            <w:r w:rsidRPr="000E0395">
              <w:rPr>
                <w:rFonts w:ascii="Calibri" w:eastAsia="Calibri" w:hAnsi="Calibri"/>
                <w:color w:val="000000"/>
                <w:sz w:val="22"/>
                <w:szCs w:val="22"/>
              </w:rPr>
              <w:t xml:space="preserve"> (U-.054)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A5D9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R-21 </w:t>
            </w:r>
            <w:proofErr w:type="spellStart"/>
            <w:r w:rsidRPr="000E0395">
              <w:rPr>
                <w:rFonts w:ascii="Calibri" w:eastAsia="Calibri" w:hAnsi="Calibri"/>
                <w:color w:val="000000"/>
                <w:sz w:val="22"/>
                <w:szCs w:val="22"/>
              </w:rPr>
              <w:t>Adv</w:t>
            </w:r>
            <w:proofErr w:type="spellEnd"/>
            <w:r w:rsidRPr="000E0395">
              <w:rPr>
                <w:rFonts w:ascii="Calibri" w:eastAsia="Calibri" w:hAnsi="Calibri"/>
                <w:color w:val="000000"/>
                <w:sz w:val="22"/>
                <w:szCs w:val="22"/>
              </w:rPr>
              <w:t xml:space="preserve"> or R-23 </w:t>
            </w:r>
            <w:proofErr w:type="spellStart"/>
            <w:r w:rsidRPr="000E0395">
              <w:rPr>
                <w:rFonts w:ascii="Calibri" w:eastAsia="Calibri" w:hAnsi="Calibri"/>
                <w:color w:val="000000"/>
                <w:sz w:val="22"/>
                <w:szCs w:val="22"/>
              </w:rPr>
              <w:t>Int</w:t>
            </w:r>
            <w:proofErr w:type="spellEnd"/>
            <w:r w:rsidRPr="000E0395">
              <w:rPr>
                <w:rFonts w:ascii="Calibri" w:eastAsia="Calibri" w:hAnsi="Calibri"/>
                <w:color w:val="000000"/>
                <w:sz w:val="22"/>
                <w:szCs w:val="22"/>
              </w:rPr>
              <w:t xml:space="preserve"> (U-.051)</w:t>
            </w:r>
          </w:p>
        </w:tc>
      </w:tr>
      <w:tr w:rsidR="000E0395" w:rsidRPr="000E0395" w14:paraId="7FD0D51B"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83334"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Floor</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1349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R-30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AA76C"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R-30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A0AA"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R-30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19012"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R-30</w:t>
            </w:r>
          </w:p>
        </w:tc>
      </w:tr>
      <w:tr w:rsidR="000E0395" w:rsidRPr="000E0395" w14:paraId="087345FB"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C7375"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Window U-factor</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612B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0.30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8CDB2"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0.30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80FF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0.30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A2D29"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sz w:val="22"/>
                <w:szCs w:val="22"/>
              </w:rPr>
              <w:t>0.28</w:t>
            </w:r>
          </w:p>
        </w:tc>
      </w:tr>
      <w:tr w:rsidR="000E0395" w:rsidRPr="000E0395" w14:paraId="28D57500"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0579E"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Heating Equip</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E336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95 AFUE</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69238"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80 AFUE</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430BB"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80 AFUE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E4D3A"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sz w:val="22"/>
                <w:szCs w:val="22"/>
              </w:rPr>
              <w:t>94 AFUE</w:t>
            </w:r>
          </w:p>
        </w:tc>
      </w:tr>
      <w:tr w:rsidR="000E0395" w:rsidRPr="000E0395" w14:paraId="2AC5DB44"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64D0E"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DHW</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6D39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Low Flow + .62 Tank</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F7EC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Low Flow + .62 Tank</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0547F"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 xml:space="preserve">.81 </w:t>
            </w:r>
            <w:proofErr w:type="spellStart"/>
            <w:r w:rsidRPr="000E0395">
              <w:rPr>
                <w:rFonts w:ascii="Calibri" w:eastAsia="Calibri" w:hAnsi="Calibri"/>
                <w:color w:val="000000"/>
                <w:sz w:val="22"/>
                <w:szCs w:val="22"/>
              </w:rPr>
              <w:t>Tankless</w:t>
            </w:r>
            <w:proofErr w:type="spellEnd"/>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62D5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Low Flow + .62 Tank</w:t>
            </w:r>
          </w:p>
        </w:tc>
      </w:tr>
      <w:tr w:rsidR="000E0395" w:rsidRPr="000E0395" w14:paraId="42F613DA"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98653"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Lighting</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2D55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75% (.78 w/ft^2)</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F28C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75% (.78 w/ft^2)</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B7AE9"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75% (.78 w/ft^2)</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70DB7"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sz w:val="22"/>
                <w:szCs w:val="22"/>
              </w:rPr>
              <w:t>90% (.59 w/ft^2)</w:t>
            </w:r>
          </w:p>
        </w:tc>
      </w:tr>
      <w:tr w:rsidR="000E0395" w:rsidRPr="000E0395" w14:paraId="526791C7"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45B06"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Infiltration</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4E44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4.0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71FD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5.0</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D219F"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5.0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922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sz w:val="22"/>
                <w:szCs w:val="22"/>
              </w:rPr>
              <w:t>3.0</w:t>
            </w:r>
          </w:p>
        </w:tc>
      </w:tr>
      <w:tr w:rsidR="000E0395" w:rsidRPr="000E0395" w14:paraId="23E87D1C" w14:textId="77777777" w:rsidTr="008172F3">
        <w:trPr>
          <w:trHeight w:val="6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596E"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Ventilation</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3BE82"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Exhaust, High efficacy (2.857 CFM/W)</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04A2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Exhaust, High efficacy (2.857 CFM/W)</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8CA1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Exhaust, "Standard" efficacy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D1EEF"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Exhaust, High efficacy (2.857 CFM/W)</w:t>
            </w:r>
          </w:p>
        </w:tc>
      </w:tr>
      <w:tr w:rsidR="000E0395" w:rsidRPr="000E0395" w14:paraId="473D6089" w14:textId="77777777" w:rsidTr="008172F3">
        <w:trPr>
          <w:trHeight w:val="3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45D2F"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Ducts</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7AEE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6% of CFA @50pa</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D1A00"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Ducts Inside</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B3C2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6% of CFA @50pa</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083CF"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Ducts Inside</w:t>
            </w:r>
          </w:p>
        </w:tc>
      </w:tr>
      <w:tr w:rsidR="000E0395" w:rsidRPr="000E0395" w14:paraId="5FAA42E4" w14:textId="77777777" w:rsidTr="008172F3">
        <w:trPr>
          <w:trHeight w:val="6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D346D"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RTF Proposed Weighting</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C0E61B"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40%</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86F9A"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40%</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EE3FF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20%</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18921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100%</w:t>
            </w:r>
          </w:p>
        </w:tc>
      </w:tr>
      <w:tr w:rsidR="000E0395" w:rsidRPr="000E0395" w14:paraId="066E3B10" w14:textId="77777777" w:rsidTr="008172F3">
        <w:trPr>
          <w:trHeight w:val="600"/>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5154C"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color w:val="000000"/>
                <w:sz w:val="22"/>
                <w:szCs w:val="22"/>
              </w:rPr>
              <w:t>Program Proposed Weighting</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9ED0B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35%</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BAAB1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30%</w:t>
            </w:r>
          </w:p>
        </w:tc>
        <w:tc>
          <w:tcPr>
            <w:tcW w:w="20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436A2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35%</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4D16B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100%</w:t>
            </w:r>
          </w:p>
        </w:tc>
      </w:tr>
    </w:tbl>
    <w:p w14:paraId="4DDC8597" w14:textId="77777777" w:rsidR="000E0395" w:rsidRPr="000E0395" w:rsidRDefault="000E0395" w:rsidP="000E0395">
      <w:pPr>
        <w:spacing w:after="160" w:line="259" w:lineRule="auto"/>
        <w:ind w:left="720"/>
        <w:rPr>
          <w:rFonts w:ascii="Calibri" w:eastAsia="Calibri" w:hAnsi="Calibri"/>
          <w:color w:val="000000"/>
          <w:sz w:val="22"/>
          <w:szCs w:val="22"/>
        </w:rPr>
      </w:pPr>
      <w:r w:rsidRPr="000E0395">
        <w:rPr>
          <w:rFonts w:ascii="Calibri" w:eastAsia="Calibri" w:hAnsi="Calibri"/>
          <w:color w:val="000000"/>
          <w:sz w:val="22"/>
          <w:szCs w:val="22"/>
        </w:rPr>
        <w:t> </w:t>
      </w:r>
    </w:p>
    <w:p w14:paraId="1FFDD536" w14:textId="77777777" w:rsidR="000E0395" w:rsidRPr="000E0395" w:rsidRDefault="000E0395" w:rsidP="008172F3">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The RTF has assigned weights based on expected uptake and prototype housing size.  The code baselines are similar to BOP pathways that were first incented by the program in August 2012 – when the pathways replaced a generic BOP measure. RTF proposed code path weighting differ from the distribution of housing characteristics chosen by builders receiving incentives for BOPs through July 2014. Assuming that the builders in SW Washington will continue to follow similar code compliance pathways to meet Washington’s code, the baseline weighting in SW Washington is:</w:t>
      </w:r>
    </w:p>
    <w:p w14:paraId="67E94CE9" w14:textId="77777777" w:rsidR="000E0395" w:rsidRPr="000E0395" w:rsidRDefault="000E0395" w:rsidP="008172F3">
      <w:pPr>
        <w:ind w:left="90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30% ducts inside code path (RTF baseline Gas </w:t>
      </w:r>
      <w:proofErr w:type="spellStart"/>
      <w:r w:rsidRPr="000E0395">
        <w:rPr>
          <w:rFonts w:ascii="Calibri" w:eastAsia="Calibri" w:hAnsi="Calibri"/>
          <w:color w:val="000000"/>
          <w:sz w:val="22"/>
          <w:szCs w:val="22"/>
        </w:rPr>
        <w:t>Furn</w:t>
      </w:r>
      <w:proofErr w:type="spellEnd"/>
      <w:r w:rsidRPr="000E0395">
        <w:rPr>
          <w:rFonts w:ascii="Calibri" w:eastAsia="Calibri" w:hAnsi="Calibri"/>
          <w:color w:val="000000"/>
          <w:sz w:val="22"/>
          <w:szCs w:val="22"/>
        </w:rPr>
        <w:t xml:space="preserve"> 4 5a)</w:t>
      </w:r>
    </w:p>
    <w:p w14:paraId="7C386DBE" w14:textId="77777777" w:rsidR="000E0395" w:rsidRPr="000E0395" w:rsidRDefault="000E0395" w:rsidP="008172F3">
      <w:pPr>
        <w:ind w:left="90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70% equipment path giving equal weight to the furnace and </w:t>
      </w:r>
      <w:proofErr w:type="spellStart"/>
      <w:r w:rsidRPr="000E0395">
        <w:rPr>
          <w:rFonts w:ascii="Calibri" w:eastAsia="Calibri" w:hAnsi="Calibri"/>
          <w:color w:val="000000"/>
          <w:sz w:val="22"/>
          <w:szCs w:val="22"/>
        </w:rPr>
        <w:t>tankless</w:t>
      </w:r>
      <w:proofErr w:type="spellEnd"/>
      <w:r w:rsidRPr="000E0395">
        <w:rPr>
          <w:rFonts w:ascii="Calibri" w:eastAsia="Calibri" w:hAnsi="Calibri"/>
          <w:color w:val="000000"/>
          <w:sz w:val="22"/>
          <w:szCs w:val="22"/>
        </w:rPr>
        <w:t xml:space="preserve"> pathways:</w:t>
      </w:r>
    </w:p>
    <w:p w14:paraId="1BD70FD5" w14:textId="77777777" w:rsidR="000E0395" w:rsidRPr="000E0395" w:rsidRDefault="000E0395" w:rsidP="008172F3">
      <w:pPr>
        <w:tabs>
          <w:tab w:val="left" w:pos="1440"/>
        </w:tabs>
        <w:ind w:left="1260" w:hanging="360"/>
        <w:rPr>
          <w:rFonts w:ascii="Calibri" w:eastAsia="Calibri" w:hAnsi="Calibri"/>
          <w:color w:val="000000"/>
          <w:sz w:val="22"/>
          <w:szCs w:val="22"/>
        </w:rPr>
      </w:pPr>
      <w:proofErr w:type="gramStart"/>
      <w:r w:rsidRPr="000E0395">
        <w:rPr>
          <w:rFonts w:ascii="Courier New" w:eastAsia="Calibri" w:hAnsi="Courier New" w:cs="Courier New"/>
          <w:color w:val="000000"/>
          <w:sz w:val="22"/>
          <w:szCs w:val="22"/>
        </w:rPr>
        <w:t>o</w:t>
      </w:r>
      <w:proofErr w:type="gramEnd"/>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35% </w:t>
      </w:r>
      <w:proofErr w:type="spellStart"/>
      <w:r w:rsidRPr="000E0395">
        <w:rPr>
          <w:rFonts w:ascii="Calibri" w:eastAsia="Calibri" w:hAnsi="Calibri"/>
          <w:color w:val="000000"/>
          <w:sz w:val="22"/>
          <w:szCs w:val="22"/>
        </w:rPr>
        <w:t>tankless</w:t>
      </w:r>
      <w:proofErr w:type="spellEnd"/>
      <w:r w:rsidRPr="000E0395">
        <w:rPr>
          <w:rFonts w:ascii="Calibri" w:eastAsia="Calibri" w:hAnsi="Calibri"/>
          <w:color w:val="000000"/>
          <w:sz w:val="22"/>
          <w:szCs w:val="22"/>
        </w:rPr>
        <w:t xml:space="preserve"> code path (RTF baseline Gas </w:t>
      </w:r>
      <w:proofErr w:type="spellStart"/>
      <w:r w:rsidRPr="000E0395">
        <w:rPr>
          <w:rFonts w:ascii="Calibri" w:eastAsia="Calibri" w:hAnsi="Calibri"/>
          <w:color w:val="000000"/>
          <w:sz w:val="22"/>
          <w:szCs w:val="22"/>
        </w:rPr>
        <w:t>Furn</w:t>
      </w:r>
      <w:proofErr w:type="spellEnd"/>
      <w:r w:rsidRPr="000E0395">
        <w:rPr>
          <w:rFonts w:ascii="Calibri" w:eastAsia="Calibri" w:hAnsi="Calibri"/>
          <w:color w:val="000000"/>
          <w:sz w:val="22"/>
          <w:szCs w:val="22"/>
        </w:rPr>
        <w:t xml:space="preserve"> 5b)</w:t>
      </w:r>
    </w:p>
    <w:p w14:paraId="248710F5" w14:textId="77777777" w:rsidR="000E0395" w:rsidRPr="000E0395" w:rsidRDefault="000E0395" w:rsidP="008172F3">
      <w:pPr>
        <w:tabs>
          <w:tab w:val="left" w:pos="1440"/>
        </w:tabs>
        <w:ind w:left="1260" w:hanging="360"/>
        <w:rPr>
          <w:rFonts w:ascii="Calibri" w:eastAsia="Calibri" w:hAnsi="Calibri"/>
          <w:color w:val="000000"/>
          <w:sz w:val="22"/>
          <w:szCs w:val="22"/>
        </w:rPr>
      </w:pPr>
      <w:proofErr w:type="gramStart"/>
      <w:r w:rsidRPr="000E0395">
        <w:rPr>
          <w:rFonts w:ascii="Courier New" w:eastAsia="Calibri" w:hAnsi="Courier New" w:cs="Courier New"/>
          <w:color w:val="000000"/>
          <w:sz w:val="22"/>
          <w:szCs w:val="22"/>
        </w:rPr>
        <w:t>o</w:t>
      </w:r>
      <w:proofErr w:type="gramEnd"/>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35% furnace code path (RTF baseline Gas </w:t>
      </w:r>
      <w:proofErr w:type="spellStart"/>
      <w:r w:rsidRPr="000E0395">
        <w:rPr>
          <w:rFonts w:ascii="Calibri" w:eastAsia="Calibri" w:hAnsi="Calibri"/>
          <w:color w:val="000000"/>
          <w:sz w:val="22"/>
          <w:szCs w:val="22"/>
        </w:rPr>
        <w:t>Furn</w:t>
      </w:r>
      <w:proofErr w:type="spellEnd"/>
      <w:r w:rsidRPr="000E0395">
        <w:rPr>
          <w:rFonts w:ascii="Calibri" w:eastAsia="Calibri" w:hAnsi="Calibri"/>
          <w:color w:val="000000"/>
          <w:sz w:val="22"/>
          <w:szCs w:val="22"/>
        </w:rPr>
        <w:t xml:space="preserve"> 3a 2a 5a)</w:t>
      </w:r>
    </w:p>
    <w:p w14:paraId="6CA251C8" w14:textId="77777777" w:rsidR="000E0395" w:rsidRPr="000E0395" w:rsidRDefault="000E0395" w:rsidP="000E0395">
      <w:pPr>
        <w:ind w:left="2160"/>
        <w:rPr>
          <w:rFonts w:ascii="Calibri" w:eastAsia="Calibri" w:hAnsi="Calibri"/>
          <w:color w:val="000000"/>
          <w:sz w:val="22"/>
          <w:szCs w:val="22"/>
        </w:rPr>
      </w:pPr>
      <w:r w:rsidRPr="000E0395">
        <w:rPr>
          <w:rFonts w:ascii="Calibri" w:eastAsia="Calibri" w:hAnsi="Calibri"/>
          <w:color w:val="000000"/>
          <w:sz w:val="22"/>
          <w:szCs w:val="22"/>
        </w:rPr>
        <w:t> </w:t>
      </w:r>
    </w:p>
    <w:p w14:paraId="2A284A23" w14:textId="77777777" w:rsidR="000E0395" w:rsidRPr="000E0395" w:rsidRDefault="000E0395" w:rsidP="008172F3">
      <w:pPr>
        <w:spacing w:after="200" w:line="259" w:lineRule="auto"/>
        <w:rPr>
          <w:rFonts w:ascii="Calibri" w:eastAsia="Calibri" w:hAnsi="Calibri"/>
          <w:color w:val="000000"/>
          <w:sz w:val="22"/>
          <w:szCs w:val="22"/>
        </w:rPr>
      </w:pPr>
      <w:r w:rsidRPr="000E0395">
        <w:rPr>
          <w:rFonts w:ascii="Calibri" w:eastAsia="Calibri" w:hAnsi="Calibri"/>
          <w:color w:val="000000"/>
          <w:sz w:val="22"/>
          <w:szCs w:val="22"/>
        </w:rPr>
        <w:lastRenderedPageBreak/>
        <w:t xml:space="preserve">For the RTF, </w:t>
      </w:r>
      <w:proofErr w:type="spellStart"/>
      <w:r w:rsidRPr="000E0395">
        <w:rPr>
          <w:rFonts w:ascii="Calibri" w:eastAsia="Calibri" w:hAnsi="Calibri"/>
          <w:color w:val="000000"/>
          <w:sz w:val="22"/>
          <w:szCs w:val="22"/>
        </w:rPr>
        <w:t>CLEAResult</w:t>
      </w:r>
      <w:proofErr w:type="spellEnd"/>
      <w:r w:rsidRPr="000E0395">
        <w:rPr>
          <w:rFonts w:ascii="Calibri" w:eastAsia="Calibri" w:hAnsi="Calibri"/>
          <w:color w:val="000000"/>
          <w:sz w:val="22"/>
          <w:szCs w:val="22"/>
        </w:rPr>
        <w:t xml:space="preserve"> modeled these three code paths, at three sizes and at six climate zones and developed a comparison to the NWESH Performance Pathway home. SEEM was used to model the three RTF code pathways and the Performance Path home’s total energy usage and spreadsheet calculations were uses to adjust the DHW savings.  While savings were modeled for both heating zone one and two, this analysis focuses on the heating zone one because Energy Trust will only offer this measure in SW Washington. This analysis assumes an average home size of 2200 sf.  Table 3 presents modeled therm savings of the Performance Path relative to the RTF code pathways using the program’s weights. Based on these weights therm savings for the Performance Path above the weighted baseline is 114 therms.</w:t>
      </w:r>
      <w:r w:rsidRPr="000E0395">
        <w:rPr>
          <w:rFonts w:eastAsia="Calibri" w:cs="Arial"/>
          <w:color w:val="000000"/>
          <w:sz w:val="18"/>
          <w:szCs w:val="18"/>
        </w:rPr>
        <w:t xml:space="preserve"> </w:t>
      </w:r>
    </w:p>
    <w:p w14:paraId="66B0EA84" w14:textId="77777777" w:rsidR="000E0395" w:rsidRPr="000E0395" w:rsidRDefault="000E0395" w:rsidP="008172F3">
      <w:pPr>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Table 3: Performance Path Therm Savings Relative to RTF Baseline Pathways</w:t>
      </w:r>
    </w:p>
    <w:tbl>
      <w:tblPr>
        <w:tblW w:w="8925" w:type="dxa"/>
        <w:tblInd w:w="108" w:type="dxa"/>
        <w:tblCellMar>
          <w:left w:w="0" w:type="dxa"/>
          <w:right w:w="0" w:type="dxa"/>
        </w:tblCellMar>
        <w:tblLook w:val="04A0" w:firstRow="1" w:lastRow="0" w:firstColumn="1" w:lastColumn="0" w:noHBand="0" w:noVBand="1"/>
      </w:tblPr>
      <w:tblGrid>
        <w:gridCol w:w="1565"/>
        <w:gridCol w:w="1472"/>
        <w:gridCol w:w="1472"/>
        <w:gridCol w:w="1472"/>
        <w:gridCol w:w="1472"/>
        <w:gridCol w:w="1472"/>
      </w:tblGrid>
      <w:tr w:rsidR="000E0395" w:rsidRPr="000E0395" w14:paraId="46760EFE" w14:textId="77777777" w:rsidTr="008172F3">
        <w:trPr>
          <w:trHeight w:val="495"/>
        </w:trPr>
        <w:tc>
          <w:tcPr>
            <w:tcW w:w="1565" w:type="dxa"/>
            <w:tcBorders>
              <w:top w:val="single" w:sz="8" w:space="0" w:color="92B7BC"/>
              <w:left w:val="single" w:sz="8" w:space="0" w:color="92B7BC"/>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2C21C6EF"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 </w:t>
            </w:r>
          </w:p>
        </w:tc>
        <w:tc>
          <w:tcPr>
            <w:tcW w:w="1472" w:type="dxa"/>
            <w:tcBorders>
              <w:top w:val="single" w:sz="8" w:space="0" w:color="92B7BC"/>
              <w:left w:val="nil"/>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26D997C4"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 </w:t>
            </w:r>
          </w:p>
          <w:p w14:paraId="04A004FC"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Code SEEM Model</w:t>
            </w:r>
          </w:p>
        </w:tc>
        <w:tc>
          <w:tcPr>
            <w:tcW w:w="1472" w:type="dxa"/>
            <w:tcBorders>
              <w:top w:val="single" w:sz="8" w:space="0" w:color="92B7BC"/>
              <w:left w:val="nil"/>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09EBF5AB"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Baseline Path Weight</w:t>
            </w:r>
          </w:p>
        </w:tc>
        <w:tc>
          <w:tcPr>
            <w:tcW w:w="1472" w:type="dxa"/>
            <w:tcBorders>
              <w:top w:val="single" w:sz="8" w:space="0" w:color="92B7BC"/>
              <w:left w:val="nil"/>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3C3C447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Heating Therm Savings</w:t>
            </w:r>
          </w:p>
        </w:tc>
        <w:tc>
          <w:tcPr>
            <w:tcW w:w="1472" w:type="dxa"/>
            <w:tcBorders>
              <w:top w:val="single" w:sz="8" w:space="0" w:color="92B7BC"/>
              <w:left w:val="nil"/>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6F1C3F0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FFFFFF"/>
                <w:sz w:val="22"/>
                <w:szCs w:val="22"/>
              </w:rPr>
              <w:t>DHW Therm Savings</w:t>
            </w:r>
          </w:p>
        </w:tc>
        <w:tc>
          <w:tcPr>
            <w:tcW w:w="1472" w:type="dxa"/>
            <w:tcBorders>
              <w:top w:val="single" w:sz="8" w:space="0" w:color="92B7BC"/>
              <w:left w:val="nil"/>
              <w:bottom w:val="single" w:sz="8" w:space="0" w:color="92B7BC"/>
              <w:right w:val="single" w:sz="8" w:space="0" w:color="92B7BC"/>
            </w:tcBorders>
            <w:shd w:val="clear" w:color="auto" w:fill="007299"/>
            <w:tcMar>
              <w:top w:w="0" w:type="dxa"/>
              <w:left w:w="108" w:type="dxa"/>
              <w:bottom w:w="0" w:type="dxa"/>
              <w:right w:w="108" w:type="dxa"/>
            </w:tcMar>
            <w:vAlign w:val="center"/>
            <w:hideMark/>
          </w:tcPr>
          <w:p w14:paraId="29ABFF8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i/>
                <w:iCs/>
                <w:color w:val="FFFFFF"/>
                <w:sz w:val="22"/>
                <w:szCs w:val="22"/>
              </w:rPr>
              <w:t>Total Therm Savings</w:t>
            </w:r>
          </w:p>
        </w:tc>
      </w:tr>
      <w:tr w:rsidR="000E0395" w:rsidRPr="000E0395" w14:paraId="03677846" w14:textId="77777777" w:rsidTr="008172F3">
        <w:trPr>
          <w:trHeight w:val="315"/>
        </w:trPr>
        <w:tc>
          <w:tcPr>
            <w:tcW w:w="1565" w:type="dxa"/>
            <w:vMerge w:val="restart"/>
            <w:tcBorders>
              <w:top w:val="nil"/>
              <w:left w:val="single" w:sz="8" w:space="0" w:color="92B7BC"/>
              <w:bottom w:val="single" w:sz="8" w:space="0" w:color="92B7BC"/>
              <w:right w:val="single" w:sz="8" w:space="0" w:color="92B7BC"/>
            </w:tcBorders>
            <w:shd w:val="clear" w:color="auto" w:fill="054B56"/>
            <w:tcMar>
              <w:top w:w="0" w:type="dxa"/>
              <w:left w:w="108" w:type="dxa"/>
              <w:bottom w:w="0" w:type="dxa"/>
              <w:right w:w="108" w:type="dxa"/>
            </w:tcMar>
            <w:vAlign w:val="center"/>
            <w:hideMark/>
          </w:tcPr>
          <w:p w14:paraId="3A2A0E4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FFFFFF"/>
                <w:sz w:val="22"/>
                <w:szCs w:val="22"/>
              </w:rPr>
              <w:t>Northwest Energy Star Home Therm Savings Relative to RTF Baselines</w:t>
            </w: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7A7271C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3a2a5a (Furnace)</w:t>
            </w: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138339FB"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35%</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2C541A7E"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106</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3189121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7288C12B"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106</w:t>
            </w:r>
          </w:p>
        </w:tc>
      </w:tr>
      <w:tr w:rsidR="000E0395" w:rsidRPr="000E0395" w14:paraId="0CE00011" w14:textId="77777777" w:rsidTr="008172F3">
        <w:trPr>
          <w:trHeight w:val="315"/>
        </w:trPr>
        <w:tc>
          <w:tcPr>
            <w:tcW w:w="0" w:type="auto"/>
            <w:vMerge/>
            <w:tcBorders>
              <w:top w:val="nil"/>
              <w:left w:val="single" w:sz="8" w:space="0" w:color="92B7BC"/>
              <w:bottom w:val="single" w:sz="8" w:space="0" w:color="92B7BC"/>
              <w:right w:val="single" w:sz="8" w:space="0" w:color="92B7BC"/>
            </w:tcBorders>
            <w:vAlign w:val="center"/>
            <w:hideMark/>
          </w:tcPr>
          <w:p w14:paraId="337DCD41" w14:textId="77777777" w:rsidR="000E0395" w:rsidRPr="000E0395" w:rsidRDefault="000E0395" w:rsidP="000E0395">
            <w:pPr>
              <w:spacing w:after="160" w:line="259" w:lineRule="auto"/>
              <w:rPr>
                <w:rFonts w:ascii="Calibri" w:eastAsia="Calibri" w:hAnsi="Calibri"/>
                <w:sz w:val="22"/>
                <w:szCs w:val="22"/>
              </w:rPr>
            </w:pP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7C37F67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4 5a (Ducts Inside)</w:t>
            </w: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09F690B1"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30%</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531993F7"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92</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174E5761"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337AE640"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92</w:t>
            </w:r>
          </w:p>
        </w:tc>
      </w:tr>
      <w:tr w:rsidR="000E0395" w:rsidRPr="000E0395" w14:paraId="1253FB4C" w14:textId="77777777" w:rsidTr="008172F3">
        <w:trPr>
          <w:trHeight w:val="315"/>
        </w:trPr>
        <w:tc>
          <w:tcPr>
            <w:tcW w:w="0" w:type="auto"/>
            <w:vMerge/>
            <w:tcBorders>
              <w:top w:val="nil"/>
              <w:left w:val="single" w:sz="8" w:space="0" w:color="92B7BC"/>
              <w:bottom w:val="single" w:sz="8" w:space="0" w:color="92B7BC"/>
              <w:right w:val="single" w:sz="8" w:space="0" w:color="92B7BC"/>
            </w:tcBorders>
            <w:vAlign w:val="center"/>
            <w:hideMark/>
          </w:tcPr>
          <w:p w14:paraId="086F455A" w14:textId="77777777" w:rsidR="000E0395" w:rsidRPr="000E0395" w:rsidRDefault="000E0395" w:rsidP="000E0395">
            <w:pPr>
              <w:spacing w:after="160" w:line="259" w:lineRule="auto"/>
              <w:rPr>
                <w:rFonts w:ascii="Calibri" w:eastAsia="Calibri" w:hAnsi="Calibri"/>
                <w:sz w:val="22"/>
                <w:szCs w:val="22"/>
              </w:rPr>
            </w:pP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2FC43183"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5b (</w:t>
            </w:r>
            <w:proofErr w:type="spellStart"/>
            <w:r w:rsidRPr="000E0395">
              <w:rPr>
                <w:rFonts w:ascii="Calibri" w:eastAsia="Calibri" w:hAnsi="Calibri"/>
                <w:color w:val="000000"/>
                <w:sz w:val="22"/>
                <w:szCs w:val="22"/>
              </w:rPr>
              <w:t>Tankless</w:t>
            </w:r>
            <w:proofErr w:type="spellEnd"/>
            <w:r w:rsidRPr="000E0395">
              <w:rPr>
                <w:rFonts w:ascii="Calibri" w:eastAsia="Calibri" w:hAnsi="Calibri"/>
                <w:color w:val="000000"/>
                <w:sz w:val="22"/>
                <w:szCs w:val="22"/>
              </w:rPr>
              <w:t>)</w:t>
            </w:r>
          </w:p>
        </w:tc>
        <w:tc>
          <w:tcPr>
            <w:tcW w:w="1472" w:type="dxa"/>
            <w:tcBorders>
              <w:top w:val="nil"/>
              <w:left w:val="nil"/>
              <w:bottom w:val="single" w:sz="8" w:space="0" w:color="92B7BC"/>
              <w:right w:val="single" w:sz="8" w:space="0" w:color="92B7BC"/>
            </w:tcBorders>
            <w:tcMar>
              <w:top w:w="0" w:type="dxa"/>
              <w:left w:w="108" w:type="dxa"/>
              <w:bottom w:w="0" w:type="dxa"/>
              <w:right w:w="108" w:type="dxa"/>
            </w:tcMar>
            <w:vAlign w:val="center"/>
            <w:hideMark/>
          </w:tcPr>
          <w:p w14:paraId="14AC41B0"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35%</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2F60C146"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183</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2DE36715"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(43)</w:t>
            </w:r>
          </w:p>
        </w:tc>
        <w:tc>
          <w:tcPr>
            <w:tcW w:w="1472" w:type="dxa"/>
            <w:tcBorders>
              <w:top w:val="nil"/>
              <w:left w:val="nil"/>
              <w:bottom w:val="single" w:sz="8" w:space="0" w:color="92B7BC"/>
              <w:right w:val="single" w:sz="8" w:space="0" w:color="92B7BC"/>
            </w:tcBorders>
            <w:noWrap/>
            <w:tcMar>
              <w:top w:w="0" w:type="dxa"/>
              <w:left w:w="108" w:type="dxa"/>
              <w:bottom w:w="0" w:type="dxa"/>
              <w:right w:w="108" w:type="dxa"/>
            </w:tcMar>
            <w:vAlign w:val="center"/>
            <w:hideMark/>
          </w:tcPr>
          <w:p w14:paraId="07F66381"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color w:val="000000"/>
                <w:sz w:val="22"/>
                <w:szCs w:val="22"/>
              </w:rPr>
              <w:t>140</w:t>
            </w:r>
          </w:p>
        </w:tc>
      </w:tr>
      <w:tr w:rsidR="000E0395" w:rsidRPr="000E0395" w14:paraId="0BD17EB3" w14:textId="77777777" w:rsidTr="008172F3">
        <w:trPr>
          <w:trHeight w:val="315"/>
        </w:trPr>
        <w:tc>
          <w:tcPr>
            <w:tcW w:w="0" w:type="auto"/>
            <w:vMerge/>
            <w:tcBorders>
              <w:top w:val="nil"/>
              <w:left w:val="single" w:sz="8" w:space="0" w:color="92B7BC"/>
              <w:bottom w:val="single" w:sz="8" w:space="0" w:color="92B7BC"/>
              <w:right w:val="single" w:sz="8" w:space="0" w:color="92B7BC"/>
            </w:tcBorders>
            <w:vAlign w:val="center"/>
            <w:hideMark/>
          </w:tcPr>
          <w:p w14:paraId="3ADC4543" w14:textId="77777777" w:rsidR="000E0395" w:rsidRPr="000E0395" w:rsidRDefault="000E0395" w:rsidP="000E0395">
            <w:pPr>
              <w:spacing w:after="160" w:line="259" w:lineRule="auto"/>
              <w:rPr>
                <w:rFonts w:ascii="Calibri" w:eastAsia="Calibri" w:hAnsi="Calibri"/>
                <w:sz w:val="22"/>
                <w:szCs w:val="22"/>
              </w:rPr>
            </w:pPr>
          </w:p>
        </w:tc>
        <w:tc>
          <w:tcPr>
            <w:tcW w:w="1472" w:type="dxa"/>
            <w:tcBorders>
              <w:top w:val="nil"/>
              <w:left w:val="nil"/>
              <w:bottom w:val="single" w:sz="8" w:space="0" w:color="92B7BC"/>
              <w:right w:val="single" w:sz="8" w:space="0" w:color="92B7BC"/>
            </w:tcBorders>
            <w:shd w:val="clear" w:color="auto" w:fill="EFE9E5"/>
            <w:noWrap/>
            <w:tcMar>
              <w:top w:w="0" w:type="dxa"/>
              <w:left w:w="108" w:type="dxa"/>
              <w:bottom w:w="0" w:type="dxa"/>
              <w:right w:w="108" w:type="dxa"/>
            </w:tcMar>
            <w:vAlign w:val="center"/>
            <w:hideMark/>
          </w:tcPr>
          <w:p w14:paraId="2F59ED17"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000000"/>
                <w:sz w:val="22"/>
                <w:szCs w:val="22"/>
              </w:rPr>
              <w:t xml:space="preserve">Weighted </w:t>
            </w:r>
          </w:p>
        </w:tc>
        <w:tc>
          <w:tcPr>
            <w:tcW w:w="1472" w:type="dxa"/>
            <w:tcBorders>
              <w:top w:val="nil"/>
              <w:left w:val="nil"/>
              <w:bottom w:val="single" w:sz="8" w:space="0" w:color="92B7BC"/>
              <w:right w:val="single" w:sz="8" w:space="0" w:color="92B7BC"/>
            </w:tcBorders>
            <w:shd w:val="clear" w:color="auto" w:fill="EFE9E5"/>
            <w:tcMar>
              <w:top w:w="0" w:type="dxa"/>
              <w:left w:w="108" w:type="dxa"/>
              <w:bottom w:w="0" w:type="dxa"/>
              <w:right w:w="108" w:type="dxa"/>
            </w:tcMar>
            <w:vAlign w:val="center"/>
            <w:hideMark/>
          </w:tcPr>
          <w:p w14:paraId="27E9455A"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000000"/>
                <w:sz w:val="22"/>
                <w:szCs w:val="22"/>
              </w:rPr>
              <w:t>100%</w:t>
            </w:r>
          </w:p>
        </w:tc>
        <w:tc>
          <w:tcPr>
            <w:tcW w:w="1472" w:type="dxa"/>
            <w:tcBorders>
              <w:top w:val="nil"/>
              <w:left w:val="nil"/>
              <w:bottom w:val="single" w:sz="8" w:space="0" w:color="92B7BC"/>
              <w:right w:val="single" w:sz="8" w:space="0" w:color="92B7BC"/>
            </w:tcBorders>
            <w:shd w:val="clear" w:color="auto" w:fill="EFE9E5"/>
            <w:noWrap/>
            <w:tcMar>
              <w:top w:w="0" w:type="dxa"/>
              <w:left w:w="108" w:type="dxa"/>
              <w:bottom w:w="0" w:type="dxa"/>
              <w:right w:w="108" w:type="dxa"/>
            </w:tcMar>
            <w:vAlign w:val="center"/>
            <w:hideMark/>
          </w:tcPr>
          <w:p w14:paraId="3B1657CD"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000000"/>
                <w:sz w:val="22"/>
                <w:szCs w:val="22"/>
              </w:rPr>
              <w:t>129</w:t>
            </w:r>
          </w:p>
        </w:tc>
        <w:tc>
          <w:tcPr>
            <w:tcW w:w="1472" w:type="dxa"/>
            <w:tcBorders>
              <w:top w:val="nil"/>
              <w:left w:val="nil"/>
              <w:bottom w:val="single" w:sz="8" w:space="0" w:color="92B7BC"/>
              <w:right w:val="single" w:sz="8" w:space="0" w:color="92B7BC"/>
            </w:tcBorders>
            <w:shd w:val="clear" w:color="auto" w:fill="EFE9E5"/>
            <w:noWrap/>
            <w:tcMar>
              <w:top w:w="0" w:type="dxa"/>
              <w:left w:w="108" w:type="dxa"/>
              <w:bottom w:w="0" w:type="dxa"/>
              <w:right w:w="108" w:type="dxa"/>
            </w:tcMar>
            <w:vAlign w:val="center"/>
            <w:hideMark/>
          </w:tcPr>
          <w:p w14:paraId="63331F99"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000000"/>
                <w:sz w:val="22"/>
                <w:szCs w:val="22"/>
              </w:rPr>
              <w:t>(15)</w:t>
            </w:r>
          </w:p>
        </w:tc>
        <w:tc>
          <w:tcPr>
            <w:tcW w:w="1472" w:type="dxa"/>
            <w:tcBorders>
              <w:top w:val="nil"/>
              <w:left w:val="nil"/>
              <w:bottom w:val="single" w:sz="8" w:space="0" w:color="92B7BC"/>
              <w:right w:val="single" w:sz="8" w:space="0" w:color="92B7BC"/>
            </w:tcBorders>
            <w:shd w:val="clear" w:color="auto" w:fill="EFE9E5"/>
            <w:noWrap/>
            <w:tcMar>
              <w:top w:w="0" w:type="dxa"/>
              <w:left w:w="108" w:type="dxa"/>
              <w:bottom w:w="0" w:type="dxa"/>
              <w:right w:w="108" w:type="dxa"/>
            </w:tcMar>
            <w:vAlign w:val="center"/>
            <w:hideMark/>
          </w:tcPr>
          <w:p w14:paraId="3B501F67" w14:textId="77777777" w:rsidR="000E0395" w:rsidRPr="000E0395" w:rsidRDefault="000E0395" w:rsidP="000E0395">
            <w:pPr>
              <w:spacing w:after="160" w:line="259" w:lineRule="auto"/>
              <w:jc w:val="center"/>
              <w:rPr>
                <w:rFonts w:ascii="Calibri" w:eastAsia="Calibri" w:hAnsi="Calibri"/>
                <w:sz w:val="22"/>
                <w:szCs w:val="22"/>
              </w:rPr>
            </w:pPr>
            <w:r w:rsidRPr="000E0395">
              <w:rPr>
                <w:rFonts w:ascii="Calibri" w:eastAsia="Calibri" w:hAnsi="Calibri"/>
                <w:b/>
                <w:bCs/>
                <w:color w:val="000000"/>
                <w:sz w:val="22"/>
                <w:szCs w:val="22"/>
              </w:rPr>
              <w:t>114</w:t>
            </w:r>
          </w:p>
        </w:tc>
      </w:tr>
    </w:tbl>
    <w:p w14:paraId="7EF6490E" w14:textId="77777777" w:rsidR="000E0395" w:rsidRPr="000E0395" w:rsidRDefault="000E0395" w:rsidP="000E0395">
      <w:pPr>
        <w:spacing w:after="200" w:line="259" w:lineRule="auto"/>
        <w:ind w:left="720"/>
        <w:rPr>
          <w:rFonts w:ascii="Calibri" w:eastAsia="Calibri" w:hAnsi="Calibri"/>
          <w:color w:val="000000"/>
          <w:sz w:val="22"/>
          <w:szCs w:val="22"/>
        </w:rPr>
      </w:pPr>
      <w:r w:rsidRPr="000E0395">
        <w:rPr>
          <w:rFonts w:eastAsia="Calibri" w:cs="Arial"/>
          <w:color w:val="000000"/>
          <w:sz w:val="18"/>
          <w:szCs w:val="18"/>
        </w:rPr>
        <w:t> </w:t>
      </w:r>
    </w:p>
    <w:p w14:paraId="495D887C" w14:textId="77777777" w:rsidR="000E0395" w:rsidRPr="000E0395" w:rsidRDefault="000E0395" w:rsidP="008172F3">
      <w:pPr>
        <w:rPr>
          <w:rFonts w:ascii="Calibri" w:eastAsia="Calibri" w:hAnsi="Calibri"/>
          <w:color w:val="000000"/>
          <w:sz w:val="22"/>
          <w:szCs w:val="22"/>
        </w:rPr>
      </w:pPr>
      <w:r w:rsidRPr="000E0395">
        <w:rPr>
          <w:rFonts w:ascii="Calibri" w:eastAsia="Calibri" w:hAnsi="Calibri"/>
          <w:color w:val="000000"/>
          <w:sz w:val="22"/>
          <w:szCs w:val="22"/>
        </w:rPr>
        <w:t xml:space="preserve">In Washington, Energy Trust does not claim electric savings.  In the cost effectiveness calculator in Table 1, the benefits of the electric savings are used in the TRC test, </w:t>
      </w:r>
      <w:r w:rsidRPr="000E0395">
        <w:rPr>
          <w:rFonts w:ascii="Calibri" w:eastAsia="Calibri" w:hAnsi="Calibri"/>
          <w:b/>
          <w:bCs/>
          <w:color w:val="000000"/>
          <w:sz w:val="22"/>
          <w:szCs w:val="22"/>
        </w:rPr>
        <w:t>but not in the utility test</w:t>
      </w:r>
      <w:r w:rsidRPr="000E0395">
        <w:rPr>
          <w:rFonts w:ascii="Calibri" w:eastAsia="Calibri" w:hAnsi="Calibri"/>
          <w:color w:val="000000"/>
          <w:sz w:val="22"/>
          <w:szCs w:val="22"/>
        </w:rPr>
        <w:t xml:space="preserve">.  Energy Trust will track the electric savings as unclaimed savings and coordinate with electric utilities in the area as needed. SEEM modeling showed weighted electric savings </w:t>
      </w:r>
      <w:proofErr w:type="gramStart"/>
      <w:r w:rsidRPr="000E0395">
        <w:rPr>
          <w:rFonts w:ascii="Calibri" w:eastAsia="Calibri" w:hAnsi="Calibri"/>
          <w:color w:val="000000"/>
          <w:sz w:val="22"/>
          <w:szCs w:val="22"/>
        </w:rPr>
        <w:t>of 537 kwh/year</w:t>
      </w:r>
      <w:proofErr w:type="gramEnd"/>
      <w:r w:rsidRPr="000E0395">
        <w:rPr>
          <w:rFonts w:ascii="Calibri" w:eastAsia="Calibri" w:hAnsi="Calibri"/>
          <w:color w:val="000000"/>
          <w:sz w:val="22"/>
          <w:szCs w:val="22"/>
        </w:rPr>
        <w:t xml:space="preserve"> from the following sources.  </w:t>
      </w:r>
    </w:p>
    <w:p w14:paraId="2449D431"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proofErr w:type="gramStart"/>
      <w:r w:rsidRPr="000E0395">
        <w:rPr>
          <w:rFonts w:ascii="Calibri" w:eastAsia="Calibri" w:hAnsi="Calibri"/>
          <w:color w:val="000000"/>
          <w:sz w:val="22"/>
          <w:szCs w:val="22"/>
        </w:rPr>
        <w:t>Efficient</w:t>
      </w:r>
      <w:proofErr w:type="gramEnd"/>
      <w:r w:rsidRPr="000E0395">
        <w:rPr>
          <w:rFonts w:ascii="Calibri" w:eastAsia="Calibri" w:hAnsi="Calibri"/>
          <w:color w:val="000000"/>
          <w:sz w:val="22"/>
          <w:szCs w:val="22"/>
        </w:rPr>
        <w:t xml:space="preserve"> blower – 272 kwh</w:t>
      </w:r>
    </w:p>
    <w:p w14:paraId="3F5E18CB"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AC upgrade - 21 </w:t>
      </w:r>
      <w:proofErr w:type="gramStart"/>
      <w:r w:rsidRPr="000E0395">
        <w:rPr>
          <w:rFonts w:ascii="Calibri" w:eastAsia="Calibri" w:hAnsi="Calibri"/>
          <w:color w:val="000000"/>
          <w:sz w:val="22"/>
          <w:szCs w:val="22"/>
        </w:rPr>
        <w:t>kwh</w:t>
      </w:r>
      <w:proofErr w:type="gramEnd"/>
    </w:p>
    <w:p w14:paraId="17E9F80B"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Ventilation – 3 </w:t>
      </w:r>
      <w:proofErr w:type="gramStart"/>
      <w:r w:rsidRPr="000E0395">
        <w:rPr>
          <w:rFonts w:ascii="Calibri" w:eastAsia="Calibri" w:hAnsi="Calibri"/>
          <w:color w:val="000000"/>
          <w:sz w:val="22"/>
          <w:szCs w:val="22"/>
        </w:rPr>
        <w:t>kwh</w:t>
      </w:r>
      <w:proofErr w:type="gramEnd"/>
    </w:p>
    <w:p w14:paraId="05DD7EBD"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Lighting -</w:t>
      </w:r>
      <w:proofErr w:type="gramStart"/>
      <w:r w:rsidRPr="000E0395">
        <w:rPr>
          <w:rFonts w:ascii="Calibri" w:eastAsia="Calibri" w:hAnsi="Calibri"/>
          <w:color w:val="000000"/>
          <w:sz w:val="22"/>
          <w:szCs w:val="22"/>
        </w:rPr>
        <w:t>  233</w:t>
      </w:r>
      <w:proofErr w:type="gramEnd"/>
      <w:r w:rsidRPr="000E0395">
        <w:rPr>
          <w:rFonts w:ascii="Calibri" w:eastAsia="Calibri" w:hAnsi="Calibri"/>
          <w:color w:val="000000"/>
          <w:sz w:val="22"/>
          <w:szCs w:val="22"/>
        </w:rPr>
        <w:t xml:space="preserve"> kwh</w:t>
      </w:r>
    </w:p>
    <w:p w14:paraId="1D53C9BE" w14:textId="77777777" w:rsidR="000E0395" w:rsidRPr="000E0395" w:rsidRDefault="000E0395" w:rsidP="008172F3">
      <w:pPr>
        <w:ind w:left="720" w:hanging="360"/>
        <w:rPr>
          <w:rFonts w:ascii="Calibri" w:eastAsia="Calibri" w:hAnsi="Calibri"/>
          <w:color w:val="000000"/>
          <w:sz w:val="22"/>
          <w:szCs w:val="22"/>
        </w:rPr>
      </w:pPr>
      <w:r w:rsidRPr="000E0395">
        <w:rPr>
          <w:rFonts w:ascii="Symbol" w:eastAsia="Calibri" w:hAnsi="Symbol"/>
          <w:color w:val="000000"/>
          <w:sz w:val="22"/>
          <w:szCs w:val="22"/>
        </w:rPr>
        <w:t></w:t>
      </w:r>
      <w:r w:rsidRPr="000E0395">
        <w:rPr>
          <w:rFonts w:ascii="Times New Roman" w:eastAsia="Calibri" w:hAnsi="Times New Roman"/>
          <w:color w:val="000000"/>
          <w:sz w:val="14"/>
          <w:szCs w:val="14"/>
        </w:rPr>
        <w:t xml:space="preserve">         </w:t>
      </w:r>
      <w:r w:rsidRPr="000E0395">
        <w:rPr>
          <w:rFonts w:ascii="Calibri" w:eastAsia="Calibri" w:hAnsi="Calibri"/>
          <w:color w:val="000000"/>
          <w:sz w:val="22"/>
          <w:szCs w:val="22"/>
        </w:rPr>
        <w:t xml:space="preserve">DHW savings- 8 </w:t>
      </w:r>
      <w:proofErr w:type="gramStart"/>
      <w:r w:rsidRPr="000E0395">
        <w:rPr>
          <w:rFonts w:ascii="Calibri" w:eastAsia="Calibri" w:hAnsi="Calibri"/>
          <w:color w:val="000000"/>
          <w:sz w:val="22"/>
          <w:szCs w:val="22"/>
        </w:rPr>
        <w:t>kwh</w:t>
      </w:r>
      <w:proofErr w:type="gramEnd"/>
      <w:r w:rsidRPr="000E0395">
        <w:rPr>
          <w:rFonts w:ascii="Calibri" w:eastAsia="Calibri" w:hAnsi="Calibri"/>
          <w:color w:val="000000"/>
          <w:sz w:val="22"/>
          <w:szCs w:val="22"/>
        </w:rPr>
        <w:t xml:space="preserve"> </w:t>
      </w:r>
    </w:p>
    <w:p w14:paraId="326F3087" w14:textId="77777777" w:rsidR="000E0395" w:rsidRPr="000E0395" w:rsidRDefault="000E0395" w:rsidP="008172F3">
      <w:pPr>
        <w:rPr>
          <w:rFonts w:ascii="Calibri" w:eastAsia="Calibri" w:hAnsi="Calibri"/>
          <w:color w:val="000000"/>
          <w:sz w:val="22"/>
          <w:szCs w:val="22"/>
        </w:rPr>
      </w:pPr>
      <w:r w:rsidRPr="000E0395">
        <w:rPr>
          <w:rFonts w:ascii="Calibri" w:eastAsia="Calibri" w:hAnsi="Calibri"/>
          <w:color w:val="000000"/>
          <w:sz w:val="22"/>
          <w:szCs w:val="22"/>
        </w:rPr>
        <w:t> </w:t>
      </w:r>
    </w:p>
    <w:p w14:paraId="6EA56EDA"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Non Energy Benefits are included in the cost effectiveness calculator in Table 1, based on water savings from low flow aerators and showerheads.  The baseline homes with 0.62 storage water heaters are assumed to have low flow fixtures.  However, low flow fixtures aren’t ideal for use with </w:t>
      </w:r>
      <w:proofErr w:type="spellStart"/>
      <w:r w:rsidRPr="000E0395">
        <w:rPr>
          <w:rFonts w:ascii="Calibri" w:eastAsia="Calibri" w:hAnsi="Calibri"/>
          <w:color w:val="000000"/>
          <w:sz w:val="22"/>
          <w:szCs w:val="22"/>
        </w:rPr>
        <w:t>tankless</w:t>
      </w:r>
      <w:proofErr w:type="spellEnd"/>
      <w:r w:rsidRPr="000E0395">
        <w:rPr>
          <w:rFonts w:ascii="Calibri" w:eastAsia="Calibri" w:hAnsi="Calibri"/>
          <w:color w:val="000000"/>
          <w:sz w:val="22"/>
          <w:szCs w:val="22"/>
        </w:rPr>
        <w:t xml:space="preserve">, and the modeling/weighting in the analysis assumed 35% of baseline homes would use a </w:t>
      </w:r>
      <w:proofErr w:type="spellStart"/>
      <w:r w:rsidRPr="000E0395">
        <w:rPr>
          <w:rFonts w:ascii="Calibri" w:eastAsia="Calibri" w:hAnsi="Calibri"/>
          <w:color w:val="000000"/>
          <w:sz w:val="22"/>
          <w:szCs w:val="22"/>
        </w:rPr>
        <w:t>tankless</w:t>
      </w:r>
      <w:proofErr w:type="spellEnd"/>
      <w:r w:rsidRPr="000E0395">
        <w:rPr>
          <w:rFonts w:ascii="Calibri" w:eastAsia="Calibri" w:hAnsi="Calibri"/>
          <w:color w:val="000000"/>
          <w:sz w:val="22"/>
          <w:szCs w:val="22"/>
        </w:rPr>
        <w:t xml:space="preserve"> - so the water savings for 35% of cases could be included in the NEBs for the Performance Path cost effectiveness screening.</w:t>
      </w:r>
    </w:p>
    <w:p w14:paraId="5B9A89CB"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w:t>
      </w:r>
    </w:p>
    <w:p w14:paraId="52A52077"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Measure life</w:t>
      </w:r>
    </w:p>
    <w:p w14:paraId="23DB4867" w14:textId="77777777" w:rsidR="000E0395" w:rsidRPr="000E0395" w:rsidRDefault="000E0395" w:rsidP="008172F3">
      <w:pPr>
        <w:spacing w:after="20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The measure life is a weighted average of 28 years. </w:t>
      </w:r>
    </w:p>
    <w:p w14:paraId="2E7562B9"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lastRenderedPageBreak/>
        <w:t>Cost</w:t>
      </w:r>
    </w:p>
    <w:p w14:paraId="68591BBC"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Costs in Table 1 are based on the RTF’s measure workbook cost breakdown for individual measures.  Costs of baseline homes were weighted using the same weighting as savings.  Costs are based on a 2200 sf home.</w:t>
      </w:r>
    </w:p>
    <w:p w14:paraId="3D89F4E8"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 </w:t>
      </w:r>
    </w:p>
    <w:p w14:paraId="70853A8D"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b/>
          <w:bCs/>
          <w:color w:val="000000"/>
          <w:sz w:val="22"/>
          <w:szCs w:val="22"/>
        </w:rPr>
        <w:t>Incentive Structure</w:t>
      </w:r>
    </w:p>
    <w:p w14:paraId="42241DFF" w14:textId="77777777" w:rsidR="000E0395" w:rsidRPr="000E0395" w:rsidRDefault="000E0395" w:rsidP="008172F3">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xml:space="preserve">Table 1 lists the maximum cost effective incentive level.  </w:t>
      </w:r>
      <w:r w:rsidRPr="000E0395">
        <w:rPr>
          <w:rFonts w:ascii="Calibri" w:eastAsia="Calibri" w:hAnsi="Calibri"/>
          <w:i/>
          <w:iCs/>
          <w:color w:val="000000"/>
          <w:sz w:val="22"/>
          <w:szCs w:val="22"/>
        </w:rPr>
        <w:t>This is not a suggested incentive and is to be used by the program as a reference only</w:t>
      </w:r>
      <w:r w:rsidRPr="000E0395">
        <w:rPr>
          <w:rFonts w:ascii="Calibri" w:eastAsia="Calibri" w:hAnsi="Calibri"/>
          <w:color w:val="000000"/>
          <w:sz w:val="22"/>
          <w:szCs w:val="22"/>
        </w:rPr>
        <w:t>.   A fixed incentive will be offered for homes that meet or exceed the NWESH certification or Earth Advantage certification.  At this time the incentive is not performance based or on a “sliding scale”.</w:t>
      </w:r>
    </w:p>
    <w:p w14:paraId="7E9F9354" w14:textId="77777777" w:rsidR="000E0395" w:rsidRPr="000E0395" w:rsidRDefault="000E0395" w:rsidP="008172F3">
      <w:pPr>
        <w:keepNext/>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w:t>
      </w:r>
    </w:p>
    <w:p w14:paraId="4AE3F999" w14:textId="77777777" w:rsidR="000E0395" w:rsidRPr="000E0395" w:rsidRDefault="000E0395" w:rsidP="008172F3">
      <w:pPr>
        <w:spacing w:after="160" w:line="259" w:lineRule="auto"/>
        <w:rPr>
          <w:rFonts w:ascii="Calibri" w:eastAsia="Calibri" w:hAnsi="Calibri"/>
          <w:color w:val="000000"/>
          <w:sz w:val="22"/>
          <w:szCs w:val="22"/>
        </w:rPr>
      </w:pPr>
      <w:r w:rsidRPr="000E0395">
        <w:rPr>
          <w:rFonts w:ascii="Calibri" w:eastAsia="Calibri" w:hAnsi="Calibri"/>
          <w:color w:val="000000"/>
          <w:sz w:val="22"/>
          <w:szCs w:val="22"/>
          <w:vertAlign w:val="superscript"/>
        </w:rPr>
        <w:t>1</w:t>
      </w:r>
      <w:hyperlink r:id="rId24" w:tgtFrame="_blank" w:history="1">
        <w:r w:rsidRPr="000E0395">
          <w:rPr>
            <w:rFonts w:ascii="Calibri" w:eastAsia="Calibri" w:hAnsi="Calibri"/>
            <w:color w:val="0000FF"/>
            <w:sz w:val="22"/>
            <w:szCs w:val="22"/>
            <w:u w:val="single"/>
          </w:rPr>
          <w:t>http://www.northwestenergystar.com/sites/default/files/resources/Performance-Path-Fact-Sheet_072913.pdf</w:t>
        </w:r>
      </w:hyperlink>
    </w:p>
    <w:p w14:paraId="26EB34A1"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t> </w:t>
      </w:r>
    </w:p>
    <w:p w14:paraId="284EDA5C" w14:textId="77777777" w:rsidR="000E0395" w:rsidRPr="000E0395" w:rsidRDefault="000E0395" w:rsidP="000E0395">
      <w:pPr>
        <w:spacing w:after="160" w:line="259" w:lineRule="auto"/>
        <w:rPr>
          <w:rFonts w:ascii="Calibri" w:eastAsia="Calibri" w:hAnsi="Calibri"/>
          <w:color w:val="000000"/>
          <w:sz w:val="22"/>
          <w:szCs w:val="22"/>
        </w:rPr>
      </w:pPr>
      <w:r w:rsidRPr="000E0395">
        <w:rPr>
          <w:rFonts w:ascii="Calibri" w:eastAsia="Calibri" w:hAnsi="Calibri"/>
          <w:color w:val="000000"/>
          <w:sz w:val="22"/>
          <w:szCs w:val="22"/>
        </w:rPr>
        <w:br w:type="page"/>
      </w:r>
    </w:p>
    <w:bookmarkEnd w:id="8"/>
    <w:p w14:paraId="3DD8987F" w14:textId="77777777" w:rsidR="000E0395" w:rsidRPr="000E0395" w:rsidRDefault="000E0395" w:rsidP="008172F3">
      <w:pPr>
        <w:keepNext/>
        <w:keepLines/>
        <w:spacing w:before="240" w:line="259" w:lineRule="auto"/>
        <w:ind w:left="-720"/>
        <w:outlineLvl w:val="0"/>
        <w:rPr>
          <w:rFonts w:ascii="Calibri Light" w:hAnsi="Calibri Light"/>
          <w:b/>
          <w:color w:val="2E74B5"/>
          <w:sz w:val="32"/>
          <w:szCs w:val="32"/>
        </w:rPr>
      </w:pPr>
      <w:r w:rsidRPr="000E0395">
        <w:rPr>
          <w:rFonts w:ascii="Calibri Light" w:hAnsi="Calibri Light"/>
          <w:b/>
          <w:color w:val="2E74B5"/>
          <w:sz w:val="32"/>
          <w:szCs w:val="32"/>
        </w:rPr>
        <w:lastRenderedPageBreak/>
        <w:t>COMMERCIAL PROGRAMS</w:t>
      </w:r>
    </w:p>
    <w:p w14:paraId="395F06B8" w14:textId="77777777" w:rsidR="000E0395" w:rsidRPr="000E0395" w:rsidRDefault="000E0395" w:rsidP="008172F3">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0D919EBB" w14:textId="77777777" w:rsidR="000E0395" w:rsidRPr="000E0395" w:rsidRDefault="000E0395" w:rsidP="008172F3">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Existing Buildings</w:t>
      </w:r>
      <w:r w:rsidRPr="000E0395">
        <w:rPr>
          <w:rFonts w:ascii="Calibri Light" w:hAnsi="Calibri Light"/>
          <w:color w:val="1F4D78"/>
          <w:szCs w:val="24"/>
        </w:rPr>
        <w:tab/>
        <w:t>Attic Insulation</w:t>
      </w:r>
      <w:r w:rsidRPr="000E0395">
        <w:rPr>
          <w:rFonts w:ascii="Calibri Light" w:hAnsi="Calibri Light"/>
          <w:color w:val="2E74B5"/>
          <w:sz w:val="26"/>
          <w:szCs w:val="26"/>
        </w:rPr>
        <w:t xml:space="preserve"> </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no existing insulation, must insulate to R19</w:t>
      </w:r>
    </w:p>
    <w:p w14:paraId="26833644"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Attic Insulation R-19 to R-38 gas heat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pre-existing insulation up to R19, must insulate to R38</w:t>
      </w:r>
    </w:p>
    <w:p w14:paraId="12C58960"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Roof Insulation - Gas heating</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no existing insulation, must insulate to R19</w:t>
      </w:r>
    </w:p>
    <w:p w14:paraId="3F33E3F8" w14:textId="77777777" w:rsidR="000E0395" w:rsidRPr="000E0395" w:rsidRDefault="000E0395" w:rsidP="008172F3">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Existing Buildings</w:t>
      </w:r>
      <w:r w:rsidRPr="000E0395">
        <w:rPr>
          <w:rFonts w:ascii="Calibri Light" w:hAnsi="Calibri Light"/>
          <w:color w:val="1F4D78"/>
          <w:szCs w:val="24"/>
        </w:rPr>
        <w:tab/>
        <w:t>Roof Insulation R-5 to R-20 gas heat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pre-existing insulation up to R5, must insulate to R20</w:t>
      </w:r>
    </w:p>
    <w:p w14:paraId="44BD6E7F" w14:textId="77777777" w:rsidR="000E0395" w:rsidRPr="000E0395" w:rsidRDefault="000E0395" w:rsidP="000E0395">
      <w:pPr>
        <w:rPr>
          <w:rFonts w:ascii="Calibri" w:eastAsia="Calibri" w:hAnsi="Calibri"/>
          <w:sz w:val="22"/>
          <w:szCs w:val="22"/>
        </w:rPr>
      </w:pPr>
    </w:p>
    <w:p w14:paraId="3244C9F7" w14:textId="77777777" w:rsidR="000E0395" w:rsidRPr="000E0395" w:rsidRDefault="000E0395" w:rsidP="008172F3">
      <w:pPr>
        <w:spacing w:after="160" w:line="259" w:lineRule="auto"/>
        <w:rPr>
          <w:rFonts w:ascii="Tahoma" w:eastAsia="Calibri" w:hAnsi="Tahoma" w:cs="Tahoma"/>
          <w:b/>
          <w:color w:val="1F497D"/>
          <w:sz w:val="20"/>
        </w:rPr>
      </w:pPr>
      <w:r w:rsidRPr="000E0395">
        <w:rPr>
          <w:rFonts w:ascii="Tahoma" w:eastAsia="Calibri" w:hAnsi="Tahoma" w:cs="Tahoma"/>
          <w:b/>
          <w:sz w:val="20"/>
        </w:rPr>
        <w:t>September 1</w:t>
      </w:r>
      <w:r w:rsidRPr="000E0395">
        <w:rPr>
          <w:rFonts w:ascii="Tahoma" w:eastAsia="Calibri" w:hAnsi="Tahoma" w:cs="Tahoma"/>
          <w:b/>
          <w:color w:val="1F497D"/>
          <w:sz w:val="20"/>
        </w:rPr>
        <w:t>1</w:t>
      </w:r>
      <w:r w:rsidRPr="000E0395">
        <w:rPr>
          <w:rFonts w:ascii="Tahoma" w:eastAsia="Calibri" w:hAnsi="Tahoma" w:cs="Tahoma"/>
          <w:b/>
          <w:sz w:val="20"/>
        </w:rPr>
        <w:t>, 2014</w:t>
      </w:r>
    </w:p>
    <w:p w14:paraId="1404DBAE" w14:textId="77777777" w:rsidR="000E0395" w:rsidRPr="000E0395" w:rsidRDefault="000E0395" w:rsidP="008172F3">
      <w:pPr>
        <w:spacing w:after="160" w:line="259" w:lineRule="auto"/>
        <w:rPr>
          <w:rFonts w:eastAsia="Calibri" w:cs="Arial"/>
          <w:b/>
          <w:bCs/>
          <w:color w:val="000000"/>
          <w:sz w:val="20"/>
        </w:rPr>
      </w:pPr>
      <w:r w:rsidRPr="000E0395">
        <w:rPr>
          <w:rFonts w:eastAsia="Calibri" w:cs="Arial"/>
          <w:b/>
          <w:bCs/>
          <w:color w:val="000000"/>
          <w:sz w:val="20"/>
        </w:rPr>
        <w:t>Addition of Tiered Insulation Levels Blessing Memo for Prescriptive Commercial Insulation</w:t>
      </w:r>
    </w:p>
    <w:p w14:paraId="196C589D" w14:textId="77777777" w:rsidR="000E0395" w:rsidRPr="000E0395" w:rsidRDefault="000E0395" w:rsidP="008172F3">
      <w:pPr>
        <w:spacing w:after="160" w:line="259" w:lineRule="auto"/>
        <w:rPr>
          <w:rFonts w:ascii="Tahoma" w:eastAsia="Calibri" w:hAnsi="Tahoma" w:cs="Tahoma"/>
          <w:color w:val="0070C0"/>
          <w:sz w:val="20"/>
        </w:rPr>
      </w:pPr>
      <w:r w:rsidRPr="000E0395">
        <w:rPr>
          <w:rFonts w:ascii="Tahoma" w:eastAsia="Calibri" w:hAnsi="Tahoma" w:cs="Tahoma"/>
          <w:color w:val="0070C0"/>
          <w:sz w:val="20"/>
        </w:rPr>
        <w:t>Update 9/9/14 – updates in blue</w:t>
      </w:r>
    </w:p>
    <w:p w14:paraId="6C902D90" w14:textId="77777777" w:rsidR="000E0395" w:rsidRPr="000E0395" w:rsidRDefault="000E0395" w:rsidP="008172F3">
      <w:pPr>
        <w:ind w:left="720" w:hanging="360"/>
        <w:rPr>
          <w:rFonts w:ascii="Tahoma" w:eastAsia="Calibri" w:hAnsi="Tahoma" w:cs="Tahoma"/>
          <w:color w:val="0070C0"/>
          <w:sz w:val="20"/>
        </w:rPr>
      </w:pPr>
      <w:r w:rsidRPr="000E0395">
        <w:rPr>
          <w:rFonts w:ascii="Symbol" w:eastAsia="Calibri" w:hAnsi="Symbol"/>
          <w:color w:val="0070C0"/>
          <w:sz w:val="20"/>
        </w:rPr>
        <w:t></w:t>
      </w:r>
      <w:r w:rsidRPr="000E0395">
        <w:rPr>
          <w:rFonts w:ascii="Times New Roman" w:eastAsia="Calibri" w:hAnsi="Times New Roman"/>
          <w:color w:val="0070C0"/>
          <w:sz w:val="14"/>
          <w:szCs w:val="14"/>
        </w:rPr>
        <w:t xml:space="preserve">         </w:t>
      </w:r>
      <w:r w:rsidRPr="000E0395">
        <w:rPr>
          <w:rFonts w:ascii="Tahoma" w:eastAsia="Calibri" w:hAnsi="Tahoma" w:cs="Tahoma"/>
          <w:color w:val="0070C0"/>
          <w:sz w:val="20"/>
        </w:rPr>
        <w:t>Add new measures for existing Roof insulation</w:t>
      </w:r>
      <w:r w:rsidRPr="000E0395">
        <w:rPr>
          <w:rFonts w:ascii="Tahoma" w:eastAsia="Calibri" w:hAnsi="Tahoma" w:cs="Tahoma"/>
          <w:color w:val="1F497D"/>
          <w:sz w:val="20"/>
        </w:rPr>
        <w:t xml:space="preserve"> with pre-existing insulation</w:t>
      </w:r>
      <w:r w:rsidRPr="000E0395">
        <w:rPr>
          <w:rFonts w:ascii="Tahoma" w:eastAsia="Calibri" w:hAnsi="Tahoma" w:cs="Tahoma"/>
          <w:color w:val="0070C0"/>
          <w:sz w:val="20"/>
        </w:rPr>
        <w:t xml:space="preserve"> up to R-5.</w:t>
      </w:r>
    </w:p>
    <w:p w14:paraId="7230E5CB" w14:textId="77777777" w:rsidR="000E0395" w:rsidRPr="000E0395" w:rsidRDefault="000E0395" w:rsidP="008172F3">
      <w:pPr>
        <w:ind w:left="720" w:hanging="360"/>
        <w:rPr>
          <w:rFonts w:ascii="Tahoma" w:eastAsia="Calibri" w:hAnsi="Tahoma" w:cs="Tahoma"/>
          <w:color w:val="0070C0"/>
          <w:sz w:val="20"/>
        </w:rPr>
      </w:pPr>
      <w:r w:rsidRPr="000E0395">
        <w:rPr>
          <w:rFonts w:ascii="Symbol" w:eastAsia="Calibri" w:hAnsi="Symbol"/>
          <w:color w:val="0070C0"/>
          <w:sz w:val="20"/>
        </w:rPr>
        <w:t></w:t>
      </w:r>
      <w:r w:rsidRPr="000E0395">
        <w:rPr>
          <w:rFonts w:ascii="Times New Roman" w:eastAsia="Calibri" w:hAnsi="Times New Roman"/>
          <w:color w:val="0070C0"/>
          <w:sz w:val="14"/>
          <w:szCs w:val="14"/>
        </w:rPr>
        <w:t xml:space="preserve">         </w:t>
      </w:r>
      <w:r w:rsidRPr="000E0395">
        <w:rPr>
          <w:rFonts w:ascii="Tahoma" w:eastAsia="Calibri" w:hAnsi="Tahoma" w:cs="Tahoma"/>
          <w:color w:val="0070C0"/>
          <w:sz w:val="20"/>
        </w:rPr>
        <w:t>Add new measure for existing attic insulation</w:t>
      </w:r>
      <w:r w:rsidRPr="000E0395">
        <w:rPr>
          <w:rFonts w:ascii="Tahoma" w:eastAsia="Calibri" w:hAnsi="Tahoma" w:cs="Tahoma"/>
          <w:color w:val="1F497D"/>
          <w:sz w:val="20"/>
        </w:rPr>
        <w:t xml:space="preserve"> with pre-existing insulation</w:t>
      </w:r>
      <w:r w:rsidRPr="000E0395">
        <w:rPr>
          <w:rFonts w:ascii="Tahoma" w:eastAsia="Calibri" w:hAnsi="Tahoma" w:cs="Tahoma"/>
          <w:color w:val="0070C0"/>
          <w:sz w:val="20"/>
        </w:rPr>
        <w:t xml:space="preserve"> up to R-19 for gas heating buildings in Washington. </w:t>
      </w:r>
    </w:p>
    <w:p w14:paraId="58EC9FF2" w14:textId="77777777" w:rsidR="000E0395" w:rsidRPr="000E0395" w:rsidRDefault="000E0395" w:rsidP="008172F3">
      <w:pPr>
        <w:ind w:left="720" w:hanging="360"/>
        <w:rPr>
          <w:rFonts w:ascii="Tahoma" w:eastAsia="Calibri" w:hAnsi="Tahoma" w:cs="Tahoma"/>
          <w:color w:val="0070C0"/>
          <w:sz w:val="20"/>
        </w:rPr>
      </w:pPr>
      <w:r w:rsidRPr="000E0395">
        <w:rPr>
          <w:rFonts w:ascii="Symbol" w:eastAsia="Calibri" w:hAnsi="Symbol"/>
          <w:color w:val="0070C0"/>
          <w:sz w:val="20"/>
        </w:rPr>
        <w:t></w:t>
      </w:r>
      <w:r w:rsidRPr="000E0395">
        <w:rPr>
          <w:rFonts w:ascii="Times New Roman" w:eastAsia="Calibri" w:hAnsi="Times New Roman"/>
          <w:color w:val="0070C0"/>
          <w:sz w:val="14"/>
          <w:szCs w:val="14"/>
        </w:rPr>
        <w:t xml:space="preserve">         </w:t>
      </w:r>
      <w:r w:rsidRPr="000E0395">
        <w:rPr>
          <w:rFonts w:ascii="Tahoma" w:eastAsia="Calibri" w:hAnsi="Tahoma" w:cs="Tahoma"/>
          <w:color w:val="0070C0"/>
          <w:sz w:val="20"/>
        </w:rPr>
        <w:t>Updated to 2015 CEC avoided costs and discount rate.</w:t>
      </w:r>
    </w:p>
    <w:p w14:paraId="08C0E2DB" w14:textId="77777777" w:rsidR="000E0395" w:rsidRPr="000E0395" w:rsidRDefault="000E0395" w:rsidP="008172F3">
      <w:pPr>
        <w:spacing w:after="160" w:line="259" w:lineRule="auto"/>
        <w:rPr>
          <w:rFonts w:ascii="Tahoma" w:eastAsia="Calibri" w:hAnsi="Tahoma" w:cs="Tahoma"/>
          <w:sz w:val="20"/>
        </w:rPr>
      </w:pPr>
    </w:p>
    <w:p w14:paraId="6ACB9A29"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 </w:t>
      </w:r>
      <w:r w:rsidRPr="000E0395">
        <w:rPr>
          <w:rFonts w:eastAsia="Calibri" w:cs="Arial"/>
          <w:b/>
          <w:bCs/>
          <w:color w:val="000000"/>
          <w:sz w:val="20"/>
        </w:rPr>
        <w:t>End Use</w:t>
      </w:r>
    </w:p>
    <w:p w14:paraId="1FE6165A" w14:textId="77777777" w:rsidR="000E0395" w:rsidRPr="000E0395" w:rsidRDefault="000E0395" w:rsidP="008172F3">
      <w:pPr>
        <w:spacing w:after="160" w:line="259" w:lineRule="auto"/>
        <w:rPr>
          <w:rFonts w:eastAsia="Calibri" w:cs="Arial"/>
          <w:sz w:val="20"/>
        </w:rPr>
      </w:pPr>
      <w:r w:rsidRPr="000E0395">
        <w:rPr>
          <w:rFonts w:eastAsia="Calibri" w:cs="Arial"/>
          <w:sz w:val="20"/>
        </w:rPr>
        <w:t>Wall, roof and attic insulation for existing commercial buildings</w:t>
      </w:r>
    </w:p>
    <w:p w14:paraId="58F42D1F"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 </w:t>
      </w:r>
    </w:p>
    <w:p w14:paraId="2A73E178" w14:textId="77777777" w:rsidR="000E0395" w:rsidRPr="000E0395" w:rsidRDefault="000E0395" w:rsidP="008172F3">
      <w:pPr>
        <w:spacing w:after="160" w:line="259" w:lineRule="auto"/>
        <w:rPr>
          <w:rFonts w:eastAsia="Calibri" w:cs="Arial"/>
          <w:b/>
          <w:bCs/>
          <w:sz w:val="20"/>
        </w:rPr>
      </w:pPr>
      <w:r w:rsidRPr="000E0395">
        <w:rPr>
          <w:rFonts w:eastAsia="Calibri" w:cs="Arial"/>
          <w:b/>
          <w:bCs/>
          <w:sz w:val="20"/>
        </w:rPr>
        <w:t>Scope</w:t>
      </w:r>
    </w:p>
    <w:p w14:paraId="3A9D7EF4" w14:textId="77777777" w:rsidR="000E0395" w:rsidRPr="000E0395" w:rsidRDefault="000E0395" w:rsidP="008172F3">
      <w:pPr>
        <w:spacing w:after="160" w:line="259" w:lineRule="auto"/>
        <w:rPr>
          <w:rFonts w:eastAsia="Calibri" w:cs="Arial"/>
          <w:color w:val="FF0000"/>
          <w:sz w:val="20"/>
        </w:rPr>
      </w:pPr>
      <w:r w:rsidRPr="000E0395">
        <w:rPr>
          <w:rFonts w:eastAsia="Calibri" w:cs="Arial"/>
          <w:sz w:val="20"/>
        </w:rPr>
        <w:t xml:space="preserve">Proposal to review deemed savings for standard prescriptive incentives currently being offered with the following minimum R-values: </w:t>
      </w:r>
    </w:p>
    <w:p w14:paraId="471C1F9F" w14:textId="77777777" w:rsidR="000E0395" w:rsidRPr="000E0395" w:rsidRDefault="000E0395" w:rsidP="008172F3">
      <w:pPr>
        <w:spacing w:after="160" w:line="259" w:lineRule="auto"/>
        <w:ind w:left="720"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Wall R-value: 11</w:t>
      </w:r>
    </w:p>
    <w:p w14:paraId="1CF5ED75" w14:textId="77777777" w:rsidR="000E0395" w:rsidRPr="000E0395" w:rsidRDefault="000E0395" w:rsidP="008172F3">
      <w:pPr>
        <w:spacing w:after="160" w:line="259" w:lineRule="auto"/>
        <w:ind w:left="720"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 xml:space="preserve">Roof R-value: 11 </w:t>
      </w:r>
      <w:r w:rsidRPr="000E0395">
        <w:rPr>
          <w:rFonts w:eastAsia="Calibri" w:cs="Arial"/>
          <w:color w:val="0070C0"/>
          <w:sz w:val="20"/>
        </w:rPr>
        <w:t>or 20 with existing condition of R-5 or less</w:t>
      </w:r>
    </w:p>
    <w:p w14:paraId="21A35B0D" w14:textId="77777777" w:rsidR="000E0395" w:rsidRPr="000E0395" w:rsidRDefault="000E0395" w:rsidP="008172F3">
      <w:pPr>
        <w:spacing w:after="160" w:line="259" w:lineRule="auto"/>
        <w:ind w:left="720" w:hanging="360"/>
        <w:rPr>
          <w:rFonts w:eastAsia="Calibri" w:cs="Arial"/>
          <w:color w:val="0070C0"/>
          <w:sz w:val="20"/>
        </w:rPr>
      </w:pPr>
      <w:r w:rsidRPr="000E0395">
        <w:rPr>
          <w:rFonts w:eastAsia="Calibri" w:cs="Arial"/>
          <w:color w:val="0070C0"/>
          <w:sz w:val="20"/>
        </w:rPr>
        <w:t>-</w:t>
      </w:r>
      <w:r w:rsidRPr="000E0395">
        <w:rPr>
          <w:rFonts w:ascii="Times New Roman" w:eastAsia="Calibri" w:hAnsi="Times New Roman"/>
          <w:color w:val="0070C0"/>
          <w:sz w:val="14"/>
          <w:szCs w:val="14"/>
        </w:rPr>
        <w:t xml:space="preserve">       </w:t>
      </w:r>
      <w:r w:rsidRPr="000E0395">
        <w:rPr>
          <w:rFonts w:eastAsia="Calibri" w:cs="Arial"/>
          <w:sz w:val="20"/>
        </w:rPr>
        <w:t xml:space="preserve">Attic R-value: 19 </w:t>
      </w:r>
      <w:r w:rsidRPr="000E0395">
        <w:rPr>
          <w:rFonts w:eastAsia="Calibri" w:cs="Arial"/>
          <w:color w:val="0070C0"/>
          <w:sz w:val="20"/>
        </w:rPr>
        <w:t>or 38 with existing condition of R-19 or less</w:t>
      </w:r>
    </w:p>
    <w:p w14:paraId="12E8C862" w14:textId="77777777" w:rsidR="000E0395" w:rsidRPr="000E0395" w:rsidRDefault="000E0395" w:rsidP="008172F3">
      <w:pPr>
        <w:spacing w:after="160" w:line="259" w:lineRule="auto"/>
        <w:rPr>
          <w:rFonts w:eastAsia="Calibri" w:cs="Arial"/>
          <w:sz w:val="20"/>
        </w:rPr>
      </w:pPr>
    </w:p>
    <w:p w14:paraId="075C1618" w14:textId="77777777" w:rsidR="000E0395" w:rsidRPr="000E0395" w:rsidRDefault="000E0395" w:rsidP="008172F3">
      <w:pPr>
        <w:spacing w:after="160" w:line="259" w:lineRule="auto"/>
        <w:rPr>
          <w:rFonts w:eastAsia="Calibri" w:cs="Arial"/>
          <w:b/>
          <w:bCs/>
          <w:sz w:val="20"/>
        </w:rPr>
      </w:pPr>
      <w:r w:rsidRPr="000E0395">
        <w:rPr>
          <w:rFonts w:eastAsia="Calibri" w:cs="Arial"/>
          <w:sz w:val="20"/>
        </w:rPr>
        <w:t>Measures are “Blessed” as cost-effective for use in the following market segments:</w:t>
      </w:r>
    </w:p>
    <w:p w14:paraId="72C85CEC" w14:textId="77777777" w:rsidR="000E0395" w:rsidRPr="000E0395" w:rsidRDefault="000E0395" w:rsidP="008172F3">
      <w:pPr>
        <w:numPr>
          <w:ilvl w:val="0"/>
          <w:numId w:val="19"/>
        </w:numPr>
        <w:tabs>
          <w:tab w:val="num" w:pos="1440"/>
        </w:tabs>
        <w:spacing w:after="160" w:line="259" w:lineRule="auto"/>
        <w:rPr>
          <w:rFonts w:cs="Arial"/>
          <w:sz w:val="20"/>
        </w:rPr>
      </w:pPr>
      <w:r w:rsidRPr="000E0395">
        <w:rPr>
          <w:rFonts w:cs="Arial"/>
          <w:sz w:val="20"/>
        </w:rPr>
        <w:t>Retrofit</w:t>
      </w:r>
    </w:p>
    <w:p w14:paraId="0BA1D182"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 </w:t>
      </w:r>
    </w:p>
    <w:p w14:paraId="59EF20CC" w14:textId="77777777" w:rsidR="000E0395" w:rsidRPr="000E0395" w:rsidRDefault="000E0395" w:rsidP="008172F3">
      <w:pPr>
        <w:spacing w:after="160" w:line="259" w:lineRule="auto"/>
        <w:rPr>
          <w:rFonts w:eastAsia="Calibri" w:cs="Arial"/>
          <w:b/>
          <w:bCs/>
          <w:sz w:val="20"/>
        </w:rPr>
      </w:pPr>
      <w:r w:rsidRPr="000E0395">
        <w:rPr>
          <w:rFonts w:eastAsia="Calibri" w:cs="Arial"/>
          <w:b/>
          <w:bCs/>
          <w:sz w:val="20"/>
        </w:rPr>
        <w:t>Program Applicability</w:t>
      </w:r>
    </w:p>
    <w:p w14:paraId="45CA1145" w14:textId="77777777" w:rsidR="000E0395" w:rsidRPr="000E0395" w:rsidRDefault="000E0395" w:rsidP="008172F3">
      <w:pPr>
        <w:spacing w:after="160" w:line="259" w:lineRule="auto"/>
        <w:rPr>
          <w:rFonts w:eastAsia="Calibri" w:cs="Arial"/>
          <w:sz w:val="20"/>
        </w:rPr>
      </w:pPr>
      <w:r w:rsidRPr="000E0395">
        <w:rPr>
          <w:rFonts w:eastAsia="Calibri" w:cs="Arial"/>
          <w:sz w:val="20"/>
        </w:rPr>
        <w:t>Based on the referenced analysis and associated cost-effectiveness screening, the measures described below are “blessed” as cost-effective on a prospective basis for use in the following programs:</w:t>
      </w:r>
    </w:p>
    <w:p w14:paraId="740551C4" w14:textId="77777777" w:rsidR="000E0395" w:rsidRPr="000E0395" w:rsidRDefault="000E0395" w:rsidP="008172F3">
      <w:pPr>
        <w:spacing w:after="160" w:line="259" w:lineRule="auto"/>
        <w:ind w:left="720" w:hanging="360"/>
        <w:rPr>
          <w:rFonts w:eastAsia="Calibri" w:cs="Arial"/>
          <w:sz w:val="20"/>
        </w:rPr>
      </w:pPr>
      <w:proofErr w:type="gramStart"/>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 xml:space="preserve">Existing Buildings </w:t>
      </w:r>
      <w:r w:rsidRPr="000E0395">
        <w:rPr>
          <w:rFonts w:eastAsia="Calibri" w:cs="Arial"/>
          <w:color w:val="0070C0"/>
          <w:sz w:val="20"/>
        </w:rPr>
        <w:t>including WA.</w:t>
      </w:r>
      <w:proofErr w:type="gramEnd"/>
    </w:p>
    <w:p w14:paraId="0B1EB3E8" w14:textId="77777777" w:rsidR="000E0395" w:rsidRPr="000E0395" w:rsidRDefault="000E0395" w:rsidP="008172F3">
      <w:pPr>
        <w:spacing w:after="160" w:line="259" w:lineRule="auto"/>
        <w:ind w:left="720" w:hanging="360"/>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Production Efficiency</w:t>
      </w:r>
    </w:p>
    <w:p w14:paraId="33E88DBE" w14:textId="77777777" w:rsidR="000E0395" w:rsidRPr="000E0395" w:rsidRDefault="000E0395" w:rsidP="000E0395">
      <w:pPr>
        <w:spacing w:after="160" w:line="259" w:lineRule="auto"/>
        <w:ind w:left="720"/>
        <w:rPr>
          <w:rFonts w:eastAsia="Calibri" w:cs="Arial"/>
          <w:sz w:val="20"/>
        </w:rPr>
      </w:pPr>
    </w:p>
    <w:p w14:paraId="7B929048" w14:textId="77777777" w:rsidR="000E0395" w:rsidRPr="000E0395" w:rsidRDefault="000E0395" w:rsidP="008172F3">
      <w:pPr>
        <w:spacing w:after="160" w:line="259" w:lineRule="auto"/>
        <w:rPr>
          <w:rFonts w:eastAsia="Calibri" w:cs="Arial"/>
          <w:strike/>
          <w:sz w:val="20"/>
        </w:rPr>
      </w:pPr>
      <w:r w:rsidRPr="000E0395">
        <w:rPr>
          <w:rFonts w:eastAsia="Calibri" w:cs="Arial"/>
          <w:sz w:val="20"/>
        </w:rPr>
        <w:lastRenderedPageBreak/>
        <w:t>The measure is applicable to any type of commercial or small industrial building, but will be marketed toward small to medium sized businesses no larger than 50,000ft</w:t>
      </w:r>
      <w:r w:rsidRPr="000E0395">
        <w:rPr>
          <w:rFonts w:eastAsia="Calibri" w:cs="Arial"/>
          <w:sz w:val="20"/>
          <w:vertAlign w:val="superscript"/>
        </w:rPr>
        <w:t>2</w:t>
      </w:r>
      <w:r w:rsidRPr="000E0395">
        <w:rPr>
          <w:rFonts w:eastAsia="Calibri" w:cs="Arial"/>
          <w:sz w:val="20"/>
        </w:rPr>
        <w:t>. These measures do not apply to large multi-family buildings, dormitories, assisted living facilities, etc. which typically behave more like a residential structure and have different internal loads.</w:t>
      </w:r>
    </w:p>
    <w:p w14:paraId="40B60754" w14:textId="77777777" w:rsidR="000E0395" w:rsidRPr="000E0395" w:rsidRDefault="000E0395" w:rsidP="008172F3">
      <w:pPr>
        <w:spacing w:after="160" w:line="259" w:lineRule="auto"/>
        <w:ind w:hanging="1440"/>
        <w:rPr>
          <w:rFonts w:eastAsia="Calibri" w:cs="Arial"/>
          <w:sz w:val="20"/>
        </w:rPr>
      </w:pPr>
    </w:p>
    <w:p w14:paraId="2243EE05"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 xml:space="preserve">TABLE </w:t>
      </w:r>
      <w:proofErr w:type="gramStart"/>
      <w:r w:rsidRPr="000E0395">
        <w:rPr>
          <w:rFonts w:eastAsia="Calibri" w:cs="Arial"/>
          <w:color w:val="000000"/>
          <w:sz w:val="20"/>
        </w:rPr>
        <w:t>1 showing cost-effectiveness</w:t>
      </w:r>
      <w:proofErr w:type="gramEnd"/>
      <w:r w:rsidRPr="000E0395">
        <w:rPr>
          <w:rFonts w:eastAsia="Calibri" w:cs="Arial"/>
          <w:color w:val="000000"/>
          <w:sz w:val="20"/>
        </w:rPr>
        <w:t xml:space="preserve"> of various types of insulation for commercial/small industrial buildings depending on heating fuel type </w:t>
      </w:r>
    </w:p>
    <w:p w14:paraId="230EFAC1" w14:textId="77777777" w:rsidR="000E0395" w:rsidRPr="000E0395" w:rsidRDefault="000E0395" w:rsidP="000E0395">
      <w:pPr>
        <w:spacing w:after="160" w:line="259" w:lineRule="auto"/>
        <w:ind w:left="720"/>
        <w:rPr>
          <w:rFonts w:ascii="Calibri" w:eastAsia="Calibri" w:hAnsi="Calibri"/>
          <w:color w:val="1F497D"/>
          <w:sz w:val="22"/>
          <w:szCs w:val="22"/>
        </w:rPr>
      </w:pPr>
    </w:p>
    <w:tbl>
      <w:tblPr>
        <w:tblW w:w="10578" w:type="dxa"/>
        <w:tblInd w:w="18" w:type="dxa"/>
        <w:tblCellMar>
          <w:left w:w="0" w:type="dxa"/>
          <w:right w:w="0" w:type="dxa"/>
        </w:tblCellMar>
        <w:tblLook w:val="04A0" w:firstRow="1" w:lastRow="0" w:firstColumn="1" w:lastColumn="0" w:noHBand="0" w:noVBand="1"/>
      </w:tblPr>
      <w:tblGrid>
        <w:gridCol w:w="947"/>
        <w:gridCol w:w="1107"/>
        <w:gridCol w:w="1107"/>
        <w:gridCol w:w="1077"/>
        <w:gridCol w:w="937"/>
        <w:gridCol w:w="1227"/>
        <w:gridCol w:w="927"/>
        <w:gridCol w:w="1057"/>
        <w:gridCol w:w="1096"/>
        <w:gridCol w:w="1096"/>
      </w:tblGrid>
      <w:tr w:rsidR="000E0395" w:rsidRPr="000E0395" w14:paraId="5B308F0F" w14:textId="77777777" w:rsidTr="008172F3">
        <w:trPr>
          <w:trHeight w:val="2591"/>
        </w:trPr>
        <w:tc>
          <w:tcPr>
            <w:tcW w:w="947" w:type="dxa"/>
            <w:tcBorders>
              <w:top w:val="single" w:sz="8" w:space="0" w:color="auto"/>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10B675CA"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Measure #</w:t>
            </w:r>
          </w:p>
        </w:tc>
        <w:tc>
          <w:tcPr>
            <w:tcW w:w="110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42D17849"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Energy Efficiency Measure Name</w:t>
            </w:r>
          </w:p>
        </w:tc>
        <w:tc>
          <w:tcPr>
            <w:tcW w:w="110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7900614E"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 xml:space="preserve">Measure Lifetime (Maximum 70 </w:t>
            </w:r>
            <w:proofErr w:type="spellStart"/>
            <w:r w:rsidRPr="000E0395">
              <w:rPr>
                <w:rFonts w:eastAsia="Calibri" w:cs="Arial"/>
                <w:b/>
                <w:bCs/>
                <w:sz w:val="18"/>
                <w:szCs w:val="18"/>
              </w:rPr>
              <w:t>yrs</w:t>
            </w:r>
            <w:proofErr w:type="spellEnd"/>
            <w:r w:rsidRPr="000E0395">
              <w:rPr>
                <w:rFonts w:eastAsia="Calibri" w:cs="Arial"/>
                <w:b/>
                <w:bCs/>
                <w:sz w:val="18"/>
                <w:szCs w:val="18"/>
              </w:rPr>
              <w:t>)</w:t>
            </w:r>
          </w:p>
        </w:tc>
        <w:tc>
          <w:tcPr>
            <w:tcW w:w="107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1EA1F6E8"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Annual Electricity Savings (kWh)</w:t>
            </w:r>
          </w:p>
        </w:tc>
        <w:tc>
          <w:tcPr>
            <w:tcW w:w="93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4689E8A4"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Annual Natural Gas Savings (therms)</w:t>
            </w:r>
          </w:p>
        </w:tc>
        <w:tc>
          <w:tcPr>
            <w:tcW w:w="122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33AEA48F"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Total Incremental Cost of Measure</w:t>
            </w:r>
          </w:p>
        </w:tc>
        <w:tc>
          <w:tcPr>
            <w:tcW w:w="927" w:type="dxa"/>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4DEBD8A4"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Annual Non-Energy Benefits $  (if any)</w:t>
            </w:r>
          </w:p>
        </w:tc>
        <w:tc>
          <w:tcPr>
            <w:tcW w:w="1057"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6BE2EB7C" w14:textId="77777777" w:rsidR="000E0395" w:rsidRPr="000E0395" w:rsidRDefault="000E0395" w:rsidP="000E0395">
            <w:pPr>
              <w:spacing w:after="160" w:line="259" w:lineRule="auto"/>
              <w:jc w:val="center"/>
              <w:rPr>
                <w:rFonts w:eastAsia="Calibri" w:cs="Arial"/>
                <w:b/>
                <w:bCs/>
                <w:color w:val="FFFFFF"/>
                <w:sz w:val="18"/>
                <w:szCs w:val="18"/>
              </w:rPr>
            </w:pPr>
            <w:r w:rsidRPr="000E0395">
              <w:rPr>
                <w:rFonts w:eastAsia="Calibri" w:cs="Arial"/>
                <w:b/>
                <w:bCs/>
                <w:color w:val="FFFFFF"/>
                <w:sz w:val="18"/>
                <w:szCs w:val="18"/>
              </w:rPr>
              <w:t>MAX Allowable Incentive</w:t>
            </w:r>
          </w:p>
        </w:tc>
        <w:tc>
          <w:tcPr>
            <w:tcW w:w="1096" w:type="dxa"/>
            <w:tcBorders>
              <w:top w:val="double" w:sz="6" w:space="0" w:color="auto"/>
              <w:left w:val="nil"/>
              <w:bottom w:val="double" w:sz="6" w:space="0" w:color="auto"/>
              <w:right w:val="single" w:sz="8" w:space="0" w:color="auto"/>
            </w:tcBorders>
            <w:shd w:val="clear" w:color="auto" w:fill="42C4DD"/>
            <w:tcMar>
              <w:top w:w="0" w:type="dxa"/>
              <w:left w:w="108" w:type="dxa"/>
              <w:bottom w:w="0" w:type="dxa"/>
              <w:right w:w="108" w:type="dxa"/>
            </w:tcMar>
            <w:vAlign w:val="center"/>
            <w:hideMark/>
          </w:tcPr>
          <w:p w14:paraId="7B70E110"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Combined Utility System BCR</w:t>
            </w:r>
          </w:p>
        </w:tc>
        <w:tc>
          <w:tcPr>
            <w:tcW w:w="1096" w:type="dxa"/>
            <w:tcBorders>
              <w:top w:val="double" w:sz="6" w:space="0" w:color="auto"/>
              <w:left w:val="nil"/>
              <w:bottom w:val="double" w:sz="6" w:space="0" w:color="auto"/>
              <w:right w:val="nil"/>
            </w:tcBorders>
            <w:shd w:val="clear" w:color="auto" w:fill="42C4DD"/>
            <w:tcMar>
              <w:top w:w="0" w:type="dxa"/>
              <w:left w:w="108" w:type="dxa"/>
              <w:bottom w:w="0" w:type="dxa"/>
              <w:right w:w="108" w:type="dxa"/>
            </w:tcMar>
            <w:vAlign w:val="center"/>
            <w:hideMark/>
          </w:tcPr>
          <w:p w14:paraId="34772E1B"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Combined Societal BCR</w:t>
            </w:r>
          </w:p>
        </w:tc>
      </w:tr>
      <w:tr w:rsidR="000E0395" w:rsidRPr="000E0395" w14:paraId="4A749557"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70ED16B3"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CD294"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Wall R-11</w:t>
            </w:r>
            <w:r w:rsidRPr="000E0395">
              <w:rPr>
                <w:rFonts w:eastAsia="Calibri" w:cs="Arial"/>
                <w:sz w:val="18"/>
                <w:szCs w:val="18"/>
              </w:rPr>
              <w:br/>
              <w:t>Gas Heat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753D9"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40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8B51A"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774B"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0.16</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551B5"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C8851"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162CC5"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66C054E3"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1.0</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7B8578B4"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1.0</w:t>
            </w:r>
          </w:p>
        </w:tc>
      </w:tr>
      <w:tr w:rsidR="000E0395" w:rsidRPr="000E0395" w14:paraId="01420E31"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7591FF7F"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2</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3A39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Wall R-11</w:t>
            </w:r>
            <w:r w:rsidRPr="000E0395">
              <w:rPr>
                <w:rFonts w:eastAsia="Calibri" w:cs="Arial"/>
                <w:sz w:val="18"/>
                <w:szCs w:val="18"/>
              </w:rPr>
              <w:br/>
              <w:t>Electric Resistance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8E79A"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40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9B484"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3.72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F274A"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F49C"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EDD6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DFFB34"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6CB4C45E"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4.7</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6DDE391D"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4.7</w:t>
            </w:r>
          </w:p>
        </w:tc>
      </w:tr>
      <w:tr w:rsidR="000E0395" w:rsidRPr="000E0395" w14:paraId="3A24F604"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5E271CA1"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3</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23A7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Wall R-11</w:t>
            </w:r>
            <w:r w:rsidRPr="000E0395">
              <w:rPr>
                <w:rFonts w:eastAsia="Calibri" w:cs="Arial"/>
                <w:sz w:val="18"/>
                <w:szCs w:val="18"/>
              </w:rPr>
              <w:br/>
              <w:t>Heat Pump</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A7ED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40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1B9A1"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1.49</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B2B0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FA28F"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C262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FCC8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$1.41</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6A973422"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1.9</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45B7E04E"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1.9</w:t>
            </w:r>
          </w:p>
        </w:tc>
      </w:tr>
      <w:tr w:rsidR="000E0395" w:rsidRPr="000E0395" w14:paraId="62ADA323"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36FEBD96"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4</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BFDE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Roof R-11</w:t>
            </w:r>
            <w:r w:rsidRPr="000E0395">
              <w:rPr>
                <w:rFonts w:eastAsia="Calibri" w:cs="Arial"/>
                <w:sz w:val="18"/>
                <w:szCs w:val="18"/>
              </w:rPr>
              <w:br/>
              <w:t>Gas Heat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9768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484B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517F6"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0.25</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4EEEA"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E69D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1F26F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5C276F22"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3.1</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6FDF402B"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3.1</w:t>
            </w:r>
          </w:p>
        </w:tc>
      </w:tr>
      <w:tr w:rsidR="000E0395" w:rsidRPr="000E0395" w14:paraId="16CB35E2"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3A5856BF"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5</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4BFD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Roof R-11</w:t>
            </w:r>
            <w:r w:rsidRPr="000E0395">
              <w:rPr>
                <w:rFonts w:eastAsia="Calibri" w:cs="Arial"/>
                <w:sz w:val="18"/>
                <w:szCs w:val="18"/>
              </w:rPr>
              <w:br/>
              <w:t>Electric Resistance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08ED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5CCD6"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5.96</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0270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6FA90"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71BD0"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E2C890"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23353087"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14.3</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4A937A64"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14.3</w:t>
            </w:r>
          </w:p>
        </w:tc>
      </w:tr>
      <w:tr w:rsidR="000E0395" w:rsidRPr="000E0395" w14:paraId="1E9903A1"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0CDED3A1"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6</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987A0"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Roof R-11</w:t>
            </w:r>
            <w:r w:rsidRPr="000E0395">
              <w:rPr>
                <w:rFonts w:eastAsia="Calibri" w:cs="Arial"/>
                <w:sz w:val="18"/>
                <w:szCs w:val="18"/>
              </w:rPr>
              <w:br/>
              <w:t>Heat Pump</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4F18B"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35B54"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2.38</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38CB2"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40B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45ADD"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0E9478"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7E62A4AB"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5.7</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29543599"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5.7</w:t>
            </w:r>
          </w:p>
        </w:tc>
      </w:tr>
      <w:tr w:rsidR="000E0395" w:rsidRPr="000E0395" w14:paraId="0F7001C1"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6F2CF12E"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7</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D6CAC"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Roof R-20</w:t>
            </w:r>
          </w:p>
          <w:p w14:paraId="2BAEB8CF"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Gas Heat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4AB1F"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5C0DF" w14:textId="77777777" w:rsidR="000E0395" w:rsidRPr="000E0395" w:rsidRDefault="000E0395" w:rsidP="000E0395">
            <w:pPr>
              <w:spacing w:after="160" w:line="259" w:lineRule="auto"/>
              <w:jc w:val="center"/>
              <w:rPr>
                <w:rFonts w:eastAsia="Calibri" w:cs="Arial"/>
                <w:color w:val="0070C0"/>
                <w:sz w:val="18"/>
                <w:szCs w:val="18"/>
              </w:rPr>
            </w:pP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4E11D"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0.09</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CCE8E"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D0030" w14:textId="77777777" w:rsidR="000E0395" w:rsidRPr="000E0395" w:rsidRDefault="000E0395" w:rsidP="000E0395">
            <w:pPr>
              <w:spacing w:after="160" w:line="259" w:lineRule="auto"/>
              <w:jc w:val="center"/>
              <w:rPr>
                <w:rFonts w:eastAsia="Calibri" w:cs="Arial"/>
                <w:color w:val="0070C0"/>
                <w:sz w:val="18"/>
                <w:szCs w:val="18"/>
              </w:rPr>
            </w:pP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99D3324"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5EBFAFBD"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1.1</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7AC5C052"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1.1</w:t>
            </w:r>
          </w:p>
        </w:tc>
      </w:tr>
      <w:tr w:rsidR="000E0395" w:rsidRPr="000E0395" w14:paraId="509C7915"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56FFF53F"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8</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04B34"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Roof R-20</w:t>
            </w:r>
          </w:p>
          <w:p w14:paraId="5301D126"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Electric Resistance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16EAF"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FD4D1"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2.10</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413F8" w14:textId="77777777" w:rsidR="000E0395" w:rsidRPr="000E0395" w:rsidRDefault="000E0395" w:rsidP="000E0395">
            <w:pPr>
              <w:spacing w:after="160" w:line="259" w:lineRule="auto"/>
              <w:jc w:val="center"/>
              <w:rPr>
                <w:rFonts w:eastAsia="Calibri" w:cs="Arial"/>
                <w:color w:val="0070C0"/>
                <w:sz w:val="18"/>
                <w:szCs w:val="18"/>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D3DC"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24C54" w14:textId="77777777" w:rsidR="000E0395" w:rsidRPr="000E0395" w:rsidRDefault="000E0395" w:rsidP="000E0395">
            <w:pPr>
              <w:spacing w:after="160" w:line="259" w:lineRule="auto"/>
              <w:jc w:val="center"/>
              <w:rPr>
                <w:rFonts w:eastAsia="Calibri" w:cs="Arial"/>
                <w:color w:val="0070C0"/>
                <w:sz w:val="18"/>
                <w:szCs w:val="18"/>
              </w:rPr>
            </w:pP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8170F33"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57AF0BD1"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5.1</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7165272A"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5.1</w:t>
            </w:r>
          </w:p>
        </w:tc>
      </w:tr>
      <w:tr w:rsidR="000E0395" w:rsidRPr="000E0395" w14:paraId="7C2EFC0F"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1DDDFA04"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9</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D27B2"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Roof R-20</w:t>
            </w:r>
          </w:p>
          <w:p w14:paraId="4478B300"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Heat Pump</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7F0F2"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36DF9"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0.84</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EBF2E" w14:textId="77777777" w:rsidR="000E0395" w:rsidRPr="000E0395" w:rsidRDefault="000E0395" w:rsidP="000E0395">
            <w:pPr>
              <w:spacing w:after="160" w:line="259" w:lineRule="auto"/>
              <w:jc w:val="center"/>
              <w:rPr>
                <w:rFonts w:eastAsia="Calibri" w:cs="Arial"/>
                <w:color w:val="0070C0"/>
                <w:sz w:val="18"/>
                <w:szCs w:val="18"/>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8F365"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E3F8E" w14:textId="77777777" w:rsidR="000E0395" w:rsidRPr="000E0395" w:rsidRDefault="000E0395" w:rsidP="000E0395">
            <w:pPr>
              <w:spacing w:after="160" w:line="259" w:lineRule="auto"/>
              <w:jc w:val="center"/>
              <w:rPr>
                <w:rFonts w:eastAsia="Calibri" w:cs="Arial"/>
                <w:color w:val="0070C0"/>
                <w:sz w:val="18"/>
                <w:szCs w:val="18"/>
              </w:rPr>
            </w:pP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D7930F0"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$0.64</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7D570E85"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2.0</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0FD51262"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2.0</w:t>
            </w:r>
          </w:p>
        </w:tc>
      </w:tr>
      <w:tr w:rsidR="000E0395" w:rsidRPr="000E0395" w14:paraId="5C0BE914"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3188D013"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lastRenderedPageBreak/>
              <w:t>10</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32FB5"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Attic R-19</w:t>
            </w:r>
            <w:r w:rsidRPr="000E0395">
              <w:rPr>
                <w:rFonts w:eastAsia="Calibri" w:cs="Arial"/>
                <w:sz w:val="18"/>
                <w:szCs w:val="18"/>
              </w:rPr>
              <w:br/>
              <w:t>Gas Heat</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A258B"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F29D4"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465D0"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0.25</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28E1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1E4AA"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01E459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245FB687"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2.2</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06EA0D46"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2.1</w:t>
            </w:r>
          </w:p>
        </w:tc>
      </w:tr>
      <w:tr w:rsidR="000E0395" w:rsidRPr="000E0395" w14:paraId="784ED57B" w14:textId="77777777" w:rsidTr="008172F3">
        <w:trPr>
          <w:trHeight w:val="71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4FF99C60"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11</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0EF3C"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Attic R-19</w:t>
            </w:r>
            <w:r w:rsidRPr="000E0395">
              <w:rPr>
                <w:rFonts w:eastAsia="Calibri" w:cs="Arial"/>
                <w:sz w:val="18"/>
                <w:szCs w:val="18"/>
              </w:rPr>
              <w:br/>
              <w:t>Electric Resistance</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69AE6"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15C0C"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5.79</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500D1"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D1E3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C8748"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C8EBFA1"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4B5A61AC"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9.9</w:t>
            </w:r>
          </w:p>
        </w:tc>
        <w:tc>
          <w:tcPr>
            <w:tcW w:w="1096" w:type="dxa"/>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6561E9AF"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9.9</w:t>
            </w:r>
          </w:p>
        </w:tc>
      </w:tr>
      <w:tr w:rsidR="000E0395" w:rsidRPr="000E0395" w14:paraId="72CF61A9" w14:textId="77777777" w:rsidTr="008172F3">
        <w:trPr>
          <w:trHeight w:val="56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0360DA01"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12</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817AE"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Attic R-19</w:t>
            </w:r>
            <w:r w:rsidRPr="000E0395">
              <w:rPr>
                <w:rFonts w:eastAsia="Calibri" w:cs="Arial"/>
                <w:sz w:val="18"/>
                <w:szCs w:val="18"/>
              </w:rPr>
              <w:br/>
              <w:t>Heat Pump</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13458"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1EE68"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2.32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3EED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E6687"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01A43"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 </w:t>
            </w: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2CC78A5" w14:textId="77777777" w:rsidR="000E0395" w:rsidRPr="000E0395" w:rsidRDefault="000E0395" w:rsidP="000E0395">
            <w:pPr>
              <w:spacing w:after="160" w:line="259" w:lineRule="auto"/>
              <w:jc w:val="center"/>
              <w:rPr>
                <w:rFonts w:eastAsia="Calibri" w:cs="Arial"/>
                <w:sz w:val="18"/>
                <w:szCs w:val="18"/>
              </w:rPr>
            </w:pPr>
            <w:r w:rsidRPr="000E0395">
              <w:rPr>
                <w:rFonts w:eastAsia="Calibri" w:cs="Arial"/>
                <w:sz w:val="18"/>
                <w:szCs w:val="18"/>
              </w:rPr>
              <w:t>$0.90</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593D38F7"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4.0</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1CBF5292"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4.0</w:t>
            </w:r>
          </w:p>
        </w:tc>
      </w:tr>
      <w:tr w:rsidR="000E0395" w:rsidRPr="000E0395" w14:paraId="104A6F1E" w14:textId="77777777" w:rsidTr="008172F3">
        <w:trPr>
          <w:trHeight w:val="729"/>
        </w:trPr>
        <w:tc>
          <w:tcPr>
            <w:tcW w:w="947" w:type="dxa"/>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18E27A32" w14:textId="77777777" w:rsidR="000E0395" w:rsidRPr="000E0395" w:rsidRDefault="000E0395" w:rsidP="000E0395">
            <w:pPr>
              <w:spacing w:after="160" w:line="259" w:lineRule="auto"/>
              <w:jc w:val="center"/>
              <w:rPr>
                <w:rFonts w:eastAsia="Calibri" w:cs="Arial"/>
                <w:b/>
                <w:bCs/>
                <w:sz w:val="18"/>
                <w:szCs w:val="18"/>
              </w:rPr>
            </w:pPr>
            <w:r w:rsidRPr="000E0395">
              <w:rPr>
                <w:rFonts w:eastAsia="Calibri" w:cs="Arial"/>
                <w:b/>
                <w:bCs/>
                <w:sz w:val="18"/>
                <w:szCs w:val="18"/>
              </w:rPr>
              <w:t>13</w:t>
            </w:r>
          </w:p>
        </w:tc>
        <w:tc>
          <w:tcPr>
            <w:tcW w:w="1107"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437695EC" w14:textId="77777777" w:rsidR="000E0395" w:rsidRPr="000E0395" w:rsidRDefault="000E0395" w:rsidP="000E0395">
            <w:pPr>
              <w:spacing w:after="160" w:line="259" w:lineRule="auto"/>
              <w:jc w:val="center"/>
              <w:rPr>
                <w:rFonts w:eastAsia="Calibri" w:cs="Arial"/>
                <w:color w:val="FFFFFF"/>
                <w:sz w:val="18"/>
                <w:szCs w:val="18"/>
              </w:rPr>
            </w:pPr>
            <w:r w:rsidRPr="000E0395">
              <w:rPr>
                <w:rFonts w:eastAsia="Calibri" w:cs="Arial"/>
                <w:color w:val="FFFFFF"/>
                <w:sz w:val="18"/>
                <w:szCs w:val="18"/>
              </w:rPr>
              <w:t>Attic R-38</w:t>
            </w:r>
          </w:p>
          <w:p w14:paraId="37625CB2" w14:textId="77777777" w:rsidR="000E0395" w:rsidRPr="000E0395" w:rsidRDefault="000E0395" w:rsidP="000E0395">
            <w:pPr>
              <w:spacing w:after="160" w:line="259" w:lineRule="auto"/>
              <w:jc w:val="center"/>
              <w:rPr>
                <w:rFonts w:eastAsia="Calibri" w:cs="Arial"/>
                <w:color w:val="FFFFFF"/>
                <w:sz w:val="18"/>
                <w:szCs w:val="18"/>
              </w:rPr>
            </w:pPr>
            <w:r w:rsidRPr="000E0395">
              <w:rPr>
                <w:rFonts w:eastAsia="Calibri" w:cs="Arial"/>
                <w:color w:val="FFFFFF"/>
                <w:sz w:val="18"/>
                <w:szCs w:val="18"/>
              </w:rPr>
              <w:t>Gas Heat</w:t>
            </w:r>
          </w:p>
          <w:p w14:paraId="538AE9F6"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FFFFFF"/>
                <w:sz w:val="18"/>
                <w:szCs w:val="18"/>
              </w:rPr>
              <w:t>WA ONLY</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E5F48"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30</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A099F" w14:textId="77777777" w:rsidR="000E0395" w:rsidRPr="000E0395" w:rsidRDefault="000E0395" w:rsidP="000E0395">
            <w:pPr>
              <w:spacing w:after="160" w:line="259" w:lineRule="auto"/>
              <w:jc w:val="center"/>
              <w:rPr>
                <w:rFonts w:eastAsia="Calibri" w:cs="Arial"/>
                <w:color w:val="0070C0"/>
                <w:sz w:val="18"/>
                <w:szCs w:val="18"/>
              </w:rPr>
            </w:pP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00900"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0.05</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648F2"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$0.90</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9672D" w14:textId="77777777" w:rsidR="000E0395" w:rsidRPr="000E0395" w:rsidRDefault="000E0395" w:rsidP="000E0395">
            <w:pPr>
              <w:spacing w:after="160" w:line="259" w:lineRule="auto"/>
              <w:jc w:val="center"/>
              <w:rPr>
                <w:rFonts w:eastAsia="Calibri" w:cs="Arial"/>
                <w:color w:val="0070C0"/>
                <w:sz w:val="18"/>
                <w:szCs w:val="18"/>
              </w:rPr>
            </w:pPr>
          </w:p>
        </w:tc>
        <w:tc>
          <w:tcPr>
            <w:tcW w:w="105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337D52F" w14:textId="77777777" w:rsidR="000E0395" w:rsidRPr="000E0395" w:rsidRDefault="000E0395" w:rsidP="000E0395">
            <w:pPr>
              <w:spacing w:after="160" w:line="259" w:lineRule="auto"/>
              <w:jc w:val="center"/>
              <w:rPr>
                <w:rFonts w:eastAsia="Calibri" w:cs="Arial"/>
                <w:color w:val="0070C0"/>
                <w:sz w:val="18"/>
                <w:szCs w:val="18"/>
              </w:rPr>
            </w:pPr>
            <w:r w:rsidRPr="000E0395">
              <w:rPr>
                <w:rFonts w:eastAsia="Calibri" w:cs="Arial"/>
                <w:color w:val="0070C0"/>
                <w:sz w:val="18"/>
                <w:szCs w:val="18"/>
              </w:rPr>
              <w:t>$0.90</w:t>
            </w:r>
          </w:p>
        </w:tc>
        <w:tc>
          <w:tcPr>
            <w:tcW w:w="1096" w:type="dxa"/>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7FFA2983" w14:textId="77777777" w:rsidR="000E0395" w:rsidRPr="000E0395" w:rsidRDefault="000E0395" w:rsidP="000E0395">
            <w:pPr>
              <w:spacing w:after="160" w:line="259" w:lineRule="auto"/>
              <w:jc w:val="center"/>
              <w:rPr>
                <w:rFonts w:eastAsia="Calibri" w:cs="Arial"/>
                <w:b/>
                <w:bCs/>
                <w:color w:val="0070C0"/>
                <w:sz w:val="18"/>
                <w:szCs w:val="18"/>
              </w:rPr>
            </w:pPr>
            <w:r w:rsidRPr="000E0395">
              <w:rPr>
                <w:rFonts w:eastAsia="Calibri" w:cs="Arial"/>
                <w:b/>
                <w:bCs/>
                <w:color w:val="0070C0"/>
                <w:sz w:val="18"/>
                <w:szCs w:val="18"/>
              </w:rPr>
              <w:t>1.0</w:t>
            </w:r>
          </w:p>
        </w:tc>
        <w:tc>
          <w:tcPr>
            <w:tcW w:w="109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3B1784B2" w14:textId="77777777" w:rsidR="000E0395" w:rsidRPr="000E0395" w:rsidRDefault="000E0395" w:rsidP="000E0395">
            <w:pPr>
              <w:spacing w:after="160" w:line="259" w:lineRule="auto"/>
              <w:jc w:val="center"/>
              <w:rPr>
                <w:rFonts w:eastAsia="Calibri" w:cs="Arial"/>
                <w:b/>
                <w:bCs/>
                <w:color w:val="FFFFFF"/>
                <w:sz w:val="18"/>
                <w:szCs w:val="18"/>
              </w:rPr>
            </w:pPr>
            <w:r w:rsidRPr="000E0395">
              <w:rPr>
                <w:rFonts w:eastAsia="Calibri" w:cs="Arial"/>
                <w:b/>
                <w:bCs/>
                <w:color w:val="FFFFFF"/>
                <w:sz w:val="18"/>
                <w:szCs w:val="18"/>
              </w:rPr>
              <w:t>0.5</w:t>
            </w:r>
          </w:p>
        </w:tc>
      </w:tr>
    </w:tbl>
    <w:p w14:paraId="12958C32" w14:textId="77777777" w:rsidR="000E0395" w:rsidRPr="000E0395" w:rsidRDefault="000E0395" w:rsidP="000E0395">
      <w:pPr>
        <w:spacing w:after="160" w:line="259" w:lineRule="auto"/>
        <w:ind w:left="720"/>
        <w:rPr>
          <w:rFonts w:eastAsia="Calibri" w:cs="Arial"/>
          <w:color w:val="000000"/>
          <w:sz w:val="18"/>
          <w:szCs w:val="18"/>
        </w:rPr>
      </w:pPr>
    </w:p>
    <w:p w14:paraId="0E3019C8" w14:textId="77777777" w:rsidR="000E0395" w:rsidRPr="000E0395" w:rsidRDefault="000E0395" w:rsidP="000E0395">
      <w:pPr>
        <w:spacing w:after="160" w:line="259" w:lineRule="auto"/>
        <w:ind w:left="720"/>
        <w:rPr>
          <w:rFonts w:eastAsia="Calibri" w:cs="Arial"/>
          <w:color w:val="000000"/>
          <w:sz w:val="20"/>
        </w:rPr>
      </w:pPr>
    </w:p>
    <w:p w14:paraId="6659C94C" w14:textId="77777777" w:rsidR="000E0395" w:rsidRPr="000E0395" w:rsidRDefault="000E0395" w:rsidP="008172F3">
      <w:pPr>
        <w:spacing w:after="160" w:line="259" w:lineRule="auto"/>
        <w:rPr>
          <w:rFonts w:eastAsia="Calibri" w:cs="Arial"/>
          <w:b/>
          <w:bCs/>
          <w:color w:val="000000"/>
          <w:sz w:val="20"/>
        </w:rPr>
      </w:pPr>
      <w:r w:rsidRPr="000E0395">
        <w:rPr>
          <w:rFonts w:eastAsia="Calibri" w:cs="Arial"/>
          <w:b/>
          <w:bCs/>
          <w:color w:val="000000"/>
          <w:sz w:val="20"/>
        </w:rPr>
        <w:t>Program requirements</w:t>
      </w:r>
    </w:p>
    <w:p w14:paraId="1D8C58EE" w14:textId="77777777" w:rsidR="000E0395" w:rsidRPr="000E0395" w:rsidRDefault="000E0395" w:rsidP="008172F3">
      <w:pPr>
        <w:numPr>
          <w:ilvl w:val="0"/>
          <w:numId w:val="20"/>
        </w:numPr>
        <w:overflowPunct w:val="0"/>
        <w:textAlignment w:val="baseline"/>
        <w:rPr>
          <w:rFonts w:cs="Arial"/>
          <w:sz w:val="20"/>
        </w:rPr>
      </w:pPr>
      <w:r w:rsidRPr="000E0395">
        <w:rPr>
          <w:rFonts w:cs="Arial"/>
          <w:sz w:val="20"/>
        </w:rPr>
        <w:t>Existing partially insulated walls are not eligible for incentives under this prescriptive offering.</w:t>
      </w:r>
      <w:r w:rsidRPr="000E0395">
        <w:rPr>
          <w:rFonts w:ascii="Calibri" w:hAnsi="Calibri"/>
          <w:sz w:val="22"/>
          <w:szCs w:val="22"/>
        </w:rPr>
        <w:t xml:space="preserve"> </w:t>
      </w:r>
    </w:p>
    <w:p w14:paraId="2C3C60A7" w14:textId="77777777" w:rsidR="000E0395" w:rsidRPr="000E0395" w:rsidRDefault="000E0395" w:rsidP="008172F3">
      <w:pPr>
        <w:numPr>
          <w:ilvl w:val="0"/>
          <w:numId w:val="20"/>
        </w:numPr>
        <w:overflowPunct w:val="0"/>
        <w:textAlignment w:val="baseline"/>
        <w:rPr>
          <w:rFonts w:cs="Arial"/>
          <w:sz w:val="20"/>
        </w:rPr>
      </w:pPr>
      <w:r w:rsidRPr="000E0395">
        <w:rPr>
          <w:rFonts w:cs="Arial"/>
          <w:sz w:val="20"/>
        </w:rPr>
        <w:t>Insulation projects with no existing insulation must meet the minimum R-Values of:</w:t>
      </w:r>
      <w:r w:rsidRPr="000E0395">
        <w:rPr>
          <w:rFonts w:ascii="Calibri" w:hAnsi="Calibri"/>
          <w:sz w:val="22"/>
          <w:szCs w:val="22"/>
        </w:rPr>
        <w:t xml:space="preserve"> </w:t>
      </w:r>
    </w:p>
    <w:p w14:paraId="2354B75E" w14:textId="77777777" w:rsidR="000E0395" w:rsidRPr="000E0395" w:rsidRDefault="000E0395" w:rsidP="008172F3">
      <w:pPr>
        <w:numPr>
          <w:ilvl w:val="1"/>
          <w:numId w:val="20"/>
        </w:numPr>
        <w:overflowPunct w:val="0"/>
        <w:textAlignment w:val="baseline"/>
        <w:rPr>
          <w:rFonts w:cs="Arial"/>
          <w:sz w:val="20"/>
        </w:rPr>
      </w:pPr>
      <w:r w:rsidRPr="000E0395">
        <w:rPr>
          <w:rFonts w:cs="Arial"/>
          <w:sz w:val="20"/>
        </w:rPr>
        <w:t>Wall R-value: 11</w:t>
      </w:r>
      <w:r w:rsidRPr="000E0395">
        <w:rPr>
          <w:rFonts w:ascii="Calibri" w:hAnsi="Calibri"/>
          <w:sz w:val="22"/>
          <w:szCs w:val="22"/>
        </w:rPr>
        <w:t xml:space="preserve"> </w:t>
      </w:r>
    </w:p>
    <w:p w14:paraId="040B5CAE" w14:textId="77777777" w:rsidR="000E0395" w:rsidRPr="000E0395" w:rsidRDefault="000E0395" w:rsidP="008172F3">
      <w:pPr>
        <w:numPr>
          <w:ilvl w:val="1"/>
          <w:numId w:val="20"/>
        </w:numPr>
        <w:overflowPunct w:val="0"/>
        <w:textAlignment w:val="baseline"/>
        <w:rPr>
          <w:rFonts w:cs="Arial"/>
          <w:sz w:val="20"/>
        </w:rPr>
      </w:pPr>
      <w:r w:rsidRPr="000E0395">
        <w:rPr>
          <w:rFonts w:cs="Arial"/>
          <w:sz w:val="20"/>
        </w:rPr>
        <w:t>Roof R-value: 11</w:t>
      </w:r>
      <w:r w:rsidRPr="000E0395">
        <w:rPr>
          <w:rFonts w:ascii="Calibri" w:hAnsi="Calibri"/>
          <w:sz w:val="22"/>
          <w:szCs w:val="22"/>
        </w:rPr>
        <w:t xml:space="preserve"> </w:t>
      </w:r>
    </w:p>
    <w:p w14:paraId="42EF3649" w14:textId="77777777" w:rsidR="000E0395" w:rsidRPr="000E0395" w:rsidRDefault="000E0395" w:rsidP="008172F3">
      <w:pPr>
        <w:numPr>
          <w:ilvl w:val="1"/>
          <w:numId w:val="20"/>
        </w:numPr>
        <w:overflowPunct w:val="0"/>
        <w:textAlignment w:val="baseline"/>
        <w:rPr>
          <w:rFonts w:cs="Arial"/>
          <w:sz w:val="20"/>
        </w:rPr>
      </w:pPr>
      <w:r w:rsidRPr="000E0395">
        <w:rPr>
          <w:rFonts w:cs="Arial"/>
          <w:sz w:val="20"/>
        </w:rPr>
        <w:t>Attic R-value: 19</w:t>
      </w:r>
      <w:r w:rsidRPr="000E0395">
        <w:rPr>
          <w:rFonts w:ascii="Calibri" w:hAnsi="Calibri"/>
          <w:sz w:val="22"/>
          <w:szCs w:val="22"/>
        </w:rPr>
        <w:t xml:space="preserve"> </w:t>
      </w:r>
    </w:p>
    <w:p w14:paraId="6E025566" w14:textId="77777777" w:rsidR="000E0395" w:rsidRPr="000E0395" w:rsidRDefault="000E0395" w:rsidP="008172F3">
      <w:pPr>
        <w:numPr>
          <w:ilvl w:val="0"/>
          <w:numId w:val="20"/>
        </w:numPr>
        <w:tabs>
          <w:tab w:val="num" w:pos="1170"/>
        </w:tabs>
        <w:overflowPunct w:val="0"/>
        <w:textAlignment w:val="baseline"/>
        <w:rPr>
          <w:rFonts w:cs="Arial"/>
          <w:color w:val="0070C0"/>
          <w:sz w:val="20"/>
        </w:rPr>
      </w:pPr>
      <w:r w:rsidRPr="000E0395">
        <w:rPr>
          <w:rFonts w:cs="Arial"/>
          <w:color w:val="0070C0"/>
          <w:sz w:val="20"/>
        </w:rPr>
        <w:t>Insulation project with some existing insulation must meet the minimum R-Values of:</w:t>
      </w:r>
    </w:p>
    <w:p w14:paraId="6A9323D0" w14:textId="77777777" w:rsidR="000E0395" w:rsidRPr="000E0395" w:rsidRDefault="000E0395" w:rsidP="008172F3">
      <w:pPr>
        <w:numPr>
          <w:ilvl w:val="1"/>
          <w:numId w:val="20"/>
        </w:numPr>
        <w:overflowPunct w:val="0"/>
        <w:textAlignment w:val="baseline"/>
        <w:rPr>
          <w:rFonts w:cs="Arial"/>
          <w:color w:val="0070C0"/>
          <w:sz w:val="20"/>
        </w:rPr>
      </w:pPr>
      <w:r w:rsidRPr="000E0395">
        <w:rPr>
          <w:rFonts w:cs="Arial"/>
          <w:color w:val="0070C0"/>
          <w:sz w:val="20"/>
        </w:rPr>
        <w:t>Roof: R-Value 5 or less upgraded to at least 20</w:t>
      </w:r>
    </w:p>
    <w:p w14:paraId="29D1C2D9" w14:textId="77777777" w:rsidR="000E0395" w:rsidRPr="000E0395" w:rsidRDefault="000E0395" w:rsidP="008172F3">
      <w:pPr>
        <w:numPr>
          <w:ilvl w:val="1"/>
          <w:numId w:val="20"/>
        </w:numPr>
        <w:overflowPunct w:val="0"/>
        <w:textAlignment w:val="baseline"/>
        <w:rPr>
          <w:rFonts w:cs="Arial"/>
          <w:color w:val="0070C0"/>
          <w:sz w:val="20"/>
        </w:rPr>
      </w:pPr>
      <w:r w:rsidRPr="000E0395">
        <w:rPr>
          <w:rFonts w:cs="Arial"/>
          <w:color w:val="0070C0"/>
          <w:sz w:val="20"/>
        </w:rPr>
        <w:t>Attic: R-Value of 19 or less upgraded to at least 38 (Washington Only)</w:t>
      </w:r>
    </w:p>
    <w:p w14:paraId="6F2CC1F7" w14:textId="77777777" w:rsidR="000E0395" w:rsidRPr="000E0395" w:rsidRDefault="000E0395" w:rsidP="008172F3">
      <w:pPr>
        <w:numPr>
          <w:ilvl w:val="0"/>
          <w:numId w:val="20"/>
        </w:numPr>
        <w:overflowPunct w:val="0"/>
        <w:textAlignment w:val="baseline"/>
        <w:rPr>
          <w:rFonts w:cs="Arial"/>
          <w:color w:val="0070C0"/>
          <w:sz w:val="20"/>
        </w:rPr>
      </w:pPr>
      <w:r w:rsidRPr="000E0395">
        <w:rPr>
          <w:rFonts w:cs="Arial"/>
          <w:color w:val="0070C0"/>
          <w:sz w:val="20"/>
        </w:rPr>
        <w:t>Projects upgrading from no insulation to the higher tiers of insulation are not eligible for both incentives (for example, a project can’t apply for an incentive to go from R-0 to R-19 and then again from R-19 to R-38.</w:t>
      </w:r>
    </w:p>
    <w:p w14:paraId="231A1758" w14:textId="77777777" w:rsidR="000E0395" w:rsidRPr="000E0395" w:rsidRDefault="000E0395" w:rsidP="008172F3">
      <w:pPr>
        <w:numPr>
          <w:ilvl w:val="0"/>
          <w:numId w:val="20"/>
        </w:numPr>
        <w:overflowPunct w:val="0"/>
        <w:textAlignment w:val="baseline"/>
        <w:rPr>
          <w:rFonts w:cs="Arial"/>
          <w:sz w:val="20"/>
        </w:rPr>
      </w:pPr>
      <w:r w:rsidRPr="000E0395">
        <w:rPr>
          <w:rFonts w:cs="Arial"/>
          <w:sz w:val="20"/>
        </w:rPr>
        <w:t xml:space="preserve">The following is required to be submitted for incentives: </w:t>
      </w:r>
    </w:p>
    <w:p w14:paraId="3AFE5320" w14:textId="77777777" w:rsidR="000E0395" w:rsidRPr="000E0395" w:rsidRDefault="000E0395" w:rsidP="008172F3">
      <w:pPr>
        <w:numPr>
          <w:ilvl w:val="1"/>
          <w:numId w:val="20"/>
        </w:numPr>
        <w:overflowPunct w:val="0"/>
        <w:textAlignment w:val="baseline"/>
        <w:rPr>
          <w:rFonts w:cs="Arial"/>
          <w:sz w:val="20"/>
        </w:rPr>
      </w:pPr>
      <w:r w:rsidRPr="000E0395">
        <w:rPr>
          <w:rFonts w:cs="Arial"/>
          <w:sz w:val="20"/>
        </w:rPr>
        <w:t xml:space="preserve">Invoices </w:t>
      </w:r>
    </w:p>
    <w:p w14:paraId="49C7C964" w14:textId="77777777" w:rsidR="000E0395" w:rsidRPr="000E0395" w:rsidRDefault="000E0395" w:rsidP="008172F3">
      <w:pPr>
        <w:numPr>
          <w:ilvl w:val="1"/>
          <w:numId w:val="20"/>
        </w:numPr>
        <w:overflowPunct w:val="0"/>
        <w:textAlignment w:val="baseline"/>
        <w:rPr>
          <w:rFonts w:cs="Arial"/>
          <w:sz w:val="20"/>
        </w:rPr>
      </w:pPr>
      <w:r w:rsidRPr="000E0395">
        <w:rPr>
          <w:rFonts w:cs="Arial"/>
          <w:sz w:val="20"/>
        </w:rPr>
        <w:t>Insulation specifications</w:t>
      </w:r>
      <w:r w:rsidRPr="000E0395">
        <w:rPr>
          <w:rFonts w:ascii="Calibri" w:hAnsi="Calibri"/>
          <w:sz w:val="22"/>
          <w:szCs w:val="22"/>
        </w:rPr>
        <w:t xml:space="preserve"> </w:t>
      </w:r>
    </w:p>
    <w:p w14:paraId="1085E835" w14:textId="77777777" w:rsidR="000E0395" w:rsidRPr="000E0395" w:rsidRDefault="000E0395" w:rsidP="008172F3">
      <w:pPr>
        <w:numPr>
          <w:ilvl w:val="0"/>
          <w:numId w:val="20"/>
        </w:numPr>
        <w:overflowPunct w:val="0"/>
        <w:ind w:left="810"/>
        <w:textAlignment w:val="baseline"/>
        <w:rPr>
          <w:rFonts w:cs="Arial"/>
          <w:sz w:val="20"/>
        </w:rPr>
      </w:pPr>
      <w:r w:rsidRPr="000E0395">
        <w:rPr>
          <w:rFonts w:cs="Arial"/>
          <w:sz w:val="20"/>
        </w:rPr>
        <w:t>Building size shall be less than 50,000ft</w:t>
      </w:r>
      <w:r w:rsidRPr="000E0395">
        <w:rPr>
          <w:rFonts w:cs="Arial"/>
          <w:sz w:val="20"/>
          <w:vertAlign w:val="superscript"/>
        </w:rPr>
        <w:t>2</w:t>
      </w:r>
      <w:r w:rsidRPr="000E0395">
        <w:rPr>
          <w:rFonts w:ascii="Calibri" w:hAnsi="Calibri"/>
          <w:sz w:val="22"/>
          <w:szCs w:val="22"/>
        </w:rPr>
        <w:t xml:space="preserve"> </w:t>
      </w:r>
    </w:p>
    <w:p w14:paraId="7C29FBC9" w14:textId="77777777" w:rsidR="000E0395" w:rsidRPr="000E0395" w:rsidRDefault="000E0395" w:rsidP="000E0395">
      <w:pPr>
        <w:spacing w:after="160" w:line="259" w:lineRule="auto"/>
        <w:ind w:left="720"/>
        <w:rPr>
          <w:rFonts w:eastAsia="Calibri" w:cs="Arial"/>
          <w:color w:val="000000"/>
          <w:sz w:val="20"/>
        </w:rPr>
      </w:pPr>
    </w:p>
    <w:p w14:paraId="71AD599C" w14:textId="77777777" w:rsidR="000E0395" w:rsidRPr="000E0395" w:rsidRDefault="000E0395" w:rsidP="008172F3">
      <w:pPr>
        <w:spacing w:after="160" w:line="259" w:lineRule="auto"/>
        <w:rPr>
          <w:rFonts w:eastAsia="Calibri" w:cs="Arial"/>
          <w:color w:val="000000"/>
          <w:sz w:val="20"/>
        </w:rPr>
      </w:pPr>
      <w:r w:rsidRPr="000E0395">
        <w:rPr>
          <w:rFonts w:eastAsia="Calibri" w:cs="Arial"/>
          <w:b/>
          <w:bCs/>
          <w:color w:val="000000"/>
          <w:sz w:val="20"/>
        </w:rPr>
        <w:t>Details</w:t>
      </w:r>
    </w:p>
    <w:p w14:paraId="22539ECC" w14:textId="77777777" w:rsidR="000E0395" w:rsidRPr="000E0395" w:rsidRDefault="000E0395" w:rsidP="008172F3">
      <w:pPr>
        <w:autoSpaceDE w:val="0"/>
        <w:autoSpaceDN w:val="0"/>
        <w:spacing w:after="160" w:line="259" w:lineRule="auto"/>
        <w:rPr>
          <w:rFonts w:eastAsia="Calibri" w:cs="Arial"/>
          <w:color w:val="0070C0"/>
          <w:sz w:val="20"/>
        </w:rPr>
      </w:pPr>
      <w:r w:rsidRPr="000E0395">
        <w:rPr>
          <w:rFonts w:eastAsia="Calibri" w:cs="Arial"/>
          <w:sz w:val="20"/>
        </w:rPr>
        <w:t xml:space="preserve">Commercial insulation has been a prescriptive measure for existing buildings and production efficiency for some time, and realizes modest uptake in the small building market where energy modeling is rarely done. An update was needed for this measure because the original analysis was done in 2001, and had little documentation and justification for savings estimates. The proposed deemed savings are based on the same minimum requirements as the previous ones: R-11 for wall and roof, and R-19 for attic, but the analysis was updated using a more integrated method of energy simulation modeling rather than the previous steady-state heat transfer analysis. </w:t>
      </w:r>
      <w:r w:rsidRPr="000E0395">
        <w:rPr>
          <w:rFonts w:eastAsia="Calibri" w:cs="Arial"/>
          <w:color w:val="0070C0"/>
          <w:sz w:val="20"/>
        </w:rPr>
        <w:t>In 2013 the energy models were re-run with existing insulation baselines and more insulation in the efficient case.</w:t>
      </w:r>
    </w:p>
    <w:p w14:paraId="7CFFCBF3" w14:textId="77777777" w:rsidR="000E0395" w:rsidRPr="000E0395" w:rsidRDefault="000E0395" w:rsidP="000E0395">
      <w:pPr>
        <w:spacing w:after="160" w:line="259" w:lineRule="auto"/>
        <w:rPr>
          <w:rFonts w:eastAsia="Calibri" w:cs="Arial"/>
          <w:color w:val="000000"/>
          <w:sz w:val="20"/>
        </w:rPr>
      </w:pPr>
      <w:r w:rsidRPr="000E0395">
        <w:rPr>
          <w:rFonts w:eastAsia="Calibri" w:cs="Arial"/>
          <w:color w:val="000000"/>
          <w:sz w:val="20"/>
        </w:rPr>
        <w:br w:type="page"/>
      </w:r>
    </w:p>
    <w:p w14:paraId="7C40334B" w14:textId="77777777" w:rsidR="000E0395" w:rsidRPr="000E0395" w:rsidRDefault="000E0395" w:rsidP="000E0395">
      <w:pPr>
        <w:spacing w:after="160" w:line="259" w:lineRule="auto"/>
        <w:ind w:left="720"/>
        <w:rPr>
          <w:rFonts w:eastAsia="Calibri" w:cs="Arial"/>
          <w:color w:val="000000"/>
          <w:sz w:val="20"/>
        </w:rPr>
      </w:pPr>
    </w:p>
    <w:p w14:paraId="45FCB46A" w14:textId="77777777" w:rsidR="000E0395" w:rsidRPr="000E0395" w:rsidRDefault="000E0395" w:rsidP="008172F3">
      <w:pPr>
        <w:spacing w:after="160" w:line="259" w:lineRule="auto"/>
        <w:rPr>
          <w:rFonts w:eastAsia="Calibri" w:cs="Arial"/>
          <w:color w:val="000000"/>
          <w:sz w:val="20"/>
        </w:rPr>
      </w:pPr>
      <w:r w:rsidRPr="000E0395">
        <w:rPr>
          <w:rFonts w:eastAsia="Calibri" w:cs="Arial"/>
          <w:b/>
          <w:bCs/>
          <w:color w:val="000000"/>
          <w:sz w:val="20"/>
        </w:rPr>
        <w:t>Savings</w:t>
      </w:r>
      <w:r w:rsidRPr="000E0395">
        <w:rPr>
          <w:rFonts w:eastAsia="Calibri" w:cs="Arial"/>
          <w:color w:val="000000"/>
          <w:sz w:val="20"/>
        </w:rPr>
        <w:t> </w:t>
      </w:r>
    </w:p>
    <w:p w14:paraId="0AA21D34"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Savings were calculated using </w:t>
      </w:r>
      <w:proofErr w:type="spellStart"/>
      <w:r w:rsidRPr="000E0395">
        <w:rPr>
          <w:rFonts w:eastAsia="Calibri" w:cs="Arial"/>
          <w:sz w:val="20"/>
        </w:rPr>
        <w:t>eQuest</w:t>
      </w:r>
      <w:proofErr w:type="spellEnd"/>
      <w:r w:rsidRPr="000E0395">
        <w:rPr>
          <w:rFonts w:eastAsia="Calibri" w:cs="Arial"/>
          <w:sz w:val="20"/>
        </w:rPr>
        <w:t xml:space="preserve"> to simulate three (3) typical building sizes: 10,000 ft</w:t>
      </w:r>
      <w:r w:rsidRPr="000E0395">
        <w:rPr>
          <w:rFonts w:eastAsia="Calibri" w:cs="Arial"/>
          <w:sz w:val="20"/>
          <w:vertAlign w:val="superscript"/>
        </w:rPr>
        <w:t>2</w:t>
      </w:r>
      <w:r w:rsidRPr="000E0395">
        <w:rPr>
          <w:rFonts w:eastAsia="Calibri" w:cs="Arial"/>
          <w:sz w:val="20"/>
        </w:rPr>
        <w:t>, 30,000 ft</w:t>
      </w:r>
      <w:r w:rsidRPr="000E0395">
        <w:rPr>
          <w:rFonts w:eastAsia="Calibri" w:cs="Arial"/>
          <w:sz w:val="20"/>
          <w:vertAlign w:val="superscript"/>
        </w:rPr>
        <w:t>2</w:t>
      </w:r>
      <w:r w:rsidRPr="000E0395">
        <w:rPr>
          <w:rFonts w:eastAsia="Calibri" w:cs="Arial"/>
          <w:sz w:val="20"/>
        </w:rPr>
        <w:t>, and 50,000 ft</w:t>
      </w:r>
      <w:r w:rsidRPr="000E0395">
        <w:rPr>
          <w:rFonts w:eastAsia="Calibri" w:cs="Arial"/>
          <w:sz w:val="20"/>
          <w:vertAlign w:val="superscript"/>
        </w:rPr>
        <w:t>2</w:t>
      </w:r>
      <w:r w:rsidRPr="000E0395">
        <w:rPr>
          <w:rFonts w:eastAsia="Calibri" w:cs="Arial"/>
          <w:sz w:val="20"/>
        </w:rPr>
        <w:t xml:space="preserve">. All three buildings modeled were two-story office buildings, north facing, with window to wall ratios of 40%. Infiltration rates and internal loads were based on the default values generated by </w:t>
      </w:r>
      <w:proofErr w:type="spellStart"/>
      <w:r w:rsidRPr="000E0395">
        <w:rPr>
          <w:rFonts w:eastAsia="Calibri" w:cs="Arial"/>
          <w:sz w:val="20"/>
        </w:rPr>
        <w:t>eQuest</w:t>
      </w:r>
      <w:proofErr w:type="spellEnd"/>
      <w:r w:rsidRPr="000E0395">
        <w:rPr>
          <w:rFonts w:eastAsia="Calibri" w:cs="Arial"/>
          <w:sz w:val="20"/>
        </w:rPr>
        <w:t xml:space="preserve"> for each building size. Baseline insulation values were set to ASHRAE accepted structural values, and models were run for the baseline and upgrade case using each insulation type. Simulations were also performed to compare energy savings between buildings with ducted return systems versus plenum return systems, and buildings with constant air volume (CAV) systems were compared against those with variable air volume (VAV) systems. Programmatic savings were then calculated by averaging the savings from the four different systems that were modeled over the three different building sizes together.</w:t>
      </w:r>
    </w:p>
    <w:p w14:paraId="08470D70" w14:textId="77777777" w:rsidR="000E0395" w:rsidRPr="000E0395" w:rsidRDefault="000E0395" w:rsidP="008172F3">
      <w:pPr>
        <w:spacing w:after="160" w:line="259" w:lineRule="auto"/>
        <w:rPr>
          <w:rFonts w:eastAsia="Calibri" w:cs="Arial"/>
          <w:sz w:val="20"/>
        </w:rPr>
      </w:pPr>
    </w:p>
    <w:p w14:paraId="28DB4859" w14:textId="77777777" w:rsidR="000E0395" w:rsidRPr="000E0395" w:rsidRDefault="000E0395" w:rsidP="008172F3">
      <w:pPr>
        <w:spacing w:after="160" w:line="259" w:lineRule="auto"/>
        <w:rPr>
          <w:rFonts w:eastAsia="Calibri" w:cs="Arial"/>
          <w:i/>
          <w:iCs/>
          <w:sz w:val="20"/>
          <w:u w:val="single"/>
        </w:rPr>
      </w:pPr>
      <w:r w:rsidRPr="000E0395">
        <w:rPr>
          <w:rFonts w:eastAsia="Calibri" w:cs="Arial"/>
          <w:i/>
          <w:iCs/>
          <w:sz w:val="20"/>
          <w:u w:val="single"/>
        </w:rPr>
        <w:t>Natural Gas-Heated Buildings</w:t>
      </w:r>
    </w:p>
    <w:p w14:paraId="7F733CD2" w14:textId="77777777" w:rsidR="000E0395" w:rsidRPr="000E0395" w:rsidRDefault="000E0395" w:rsidP="008172F3">
      <w:pPr>
        <w:spacing w:after="160" w:line="259" w:lineRule="auto"/>
        <w:rPr>
          <w:rFonts w:eastAsia="Calibri" w:cs="Arial"/>
          <w:b/>
          <w:bCs/>
          <w:sz w:val="20"/>
        </w:rPr>
      </w:pPr>
      <w:r w:rsidRPr="000E0395">
        <w:rPr>
          <w:rFonts w:eastAsia="Calibri" w:cs="Arial"/>
          <w:sz w:val="20"/>
        </w:rPr>
        <w:t xml:space="preserve">Each building size modeled used a packaged single zone DX coil with gas furnace HVAC system, using </w:t>
      </w:r>
      <w:proofErr w:type="spellStart"/>
      <w:r w:rsidRPr="000E0395">
        <w:rPr>
          <w:rFonts w:eastAsia="Calibri" w:cs="Arial"/>
          <w:sz w:val="20"/>
        </w:rPr>
        <w:t>eQuest</w:t>
      </w:r>
      <w:proofErr w:type="spellEnd"/>
      <w:r w:rsidRPr="000E0395">
        <w:rPr>
          <w:rFonts w:eastAsia="Calibri" w:cs="Arial"/>
          <w:sz w:val="20"/>
        </w:rPr>
        <w:t xml:space="preserve"> default efficiencies. 80% heating efficiency, and a cooling EER of 9.3 were assumed.</w:t>
      </w:r>
    </w:p>
    <w:p w14:paraId="02F130DD" w14:textId="77777777" w:rsidR="000E0395" w:rsidRPr="000E0395" w:rsidRDefault="000E0395" w:rsidP="008172F3">
      <w:pPr>
        <w:spacing w:after="160" w:line="259" w:lineRule="auto"/>
        <w:rPr>
          <w:rFonts w:eastAsia="Calibri" w:cs="Arial"/>
          <w:i/>
          <w:iCs/>
          <w:sz w:val="20"/>
        </w:rPr>
      </w:pPr>
    </w:p>
    <w:p w14:paraId="79EC4966" w14:textId="77777777" w:rsidR="000E0395" w:rsidRPr="000E0395" w:rsidRDefault="000E0395" w:rsidP="008172F3">
      <w:pPr>
        <w:spacing w:after="160" w:line="259" w:lineRule="auto"/>
        <w:rPr>
          <w:rFonts w:eastAsia="Calibri" w:cs="Arial"/>
          <w:i/>
          <w:iCs/>
          <w:sz w:val="20"/>
          <w:u w:val="single"/>
        </w:rPr>
      </w:pPr>
      <w:r w:rsidRPr="000E0395">
        <w:rPr>
          <w:rFonts w:eastAsia="Calibri" w:cs="Arial"/>
          <w:i/>
          <w:iCs/>
          <w:sz w:val="20"/>
          <w:u w:val="single"/>
        </w:rPr>
        <w:t>Electrically-Heated Buildings</w:t>
      </w:r>
    </w:p>
    <w:p w14:paraId="78C8DA52"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Electric savings for buildings using electric resistance heat were converted from gas savings estimates generated by the natural gas </w:t>
      </w:r>
      <w:proofErr w:type="spellStart"/>
      <w:r w:rsidRPr="000E0395">
        <w:rPr>
          <w:rFonts w:eastAsia="Calibri" w:cs="Arial"/>
          <w:sz w:val="20"/>
        </w:rPr>
        <w:t>eQuest</w:t>
      </w:r>
      <w:proofErr w:type="spellEnd"/>
      <w:r w:rsidRPr="000E0395">
        <w:rPr>
          <w:rFonts w:eastAsia="Calibri" w:cs="Arial"/>
          <w:sz w:val="20"/>
        </w:rPr>
        <w:t xml:space="preserve"> models. Electric savings for buildings using a heat pump system were converted from gas savings values using a COP of 2.5, and the electric resistance systems were assumed to have a COP of 1. </w:t>
      </w:r>
    </w:p>
    <w:p w14:paraId="4C6C6DC1" w14:textId="77777777" w:rsidR="000E0395" w:rsidRPr="000E0395" w:rsidRDefault="000E0395" w:rsidP="008172F3">
      <w:pPr>
        <w:spacing w:after="160" w:line="259" w:lineRule="auto"/>
        <w:rPr>
          <w:rFonts w:eastAsia="Calibri" w:cs="Arial"/>
          <w:sz w:val="20"/>
        </w:rPr>
      </w:pPr>
    </w:p>
    <w:p w14:paraId="76BB6997" w14:textId="77777777" w:rsidR="000E0395" w:rsidRPr="000E0395" w:rsidRDefault="000E0395" w:rsidP="008172F3">
      <w:pPr>
        <w:spacing w:after="160" w:line="259" w:lineRule="auto"/>
        <w:rPr>
          <w:rFonts w:eastAsia="Calibri" w:cs="Arial"/>
          <w:sz w:val="20"/>
        </w:rPr>
      </w:pPr>
      <w:r w:rsidRPr="000E0395">
        <w:rPr>
          <w:rFonts w:eastAsia="Calibri" w:cs="Arial"/>
          <w:sz w:val="20"/>
        </w:rPr>
        <w:t>Several assumptions over building operation were made to keep model runs consistent and reflective of what the program has seen in the past.</w:t>
      </w:r>
    </w:p>
    <w:p w14:paraId="0ECEB5F4" w14:textId="77777777" w:rsidR="000E0395" w:rsidRPr="000E0395" w:rsidRDefault="000E0395" w:rsidP="008172F3">
      <w:pPr>
        <w:spacing w:after="160" w:line="259" w:lineRule="auto"/>
        <w:rPr>
          <w:rFonts w:eastAsia="Calibri" w:cs="Arial"/>
          <w:sz w:val="20"/>
        </w:rPr>
      </w:pPr>
    </w:p>
    <w:p w14:paraId="2B26FAED"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 xml:space="preserve">Room temperature </w:t>
      </w:r>
      <w:proofErr w:type="spellStart"/>
      <w:r w:rsidRPr="000E0395">
        <w:rPr>
          <w:rFonts w:eastAsia="Calibri" w:cs="Arial"/>
          <w:sz w:val="20"/>
        </w:rPr>
        <w:t>setpoints</w:t>
      </w:r>
      <w:proofErr w:type="spellEnd"/>
      <w:r w:rsidRPr="000E0395">
        <w:rPr>
          <w:rFonts w:eastAsia="Calibri" w:cs="Arial"/>
          <w:sz w:val="20"/>
        </w:rPr>
        <w:t xml:space="preserve"> - heating season:   72F (occupied), 69F (unoccupied)</w:t>
      </w:r>
    </w:p>
    <w:p w14:paraId="11753329"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 xml:space="preserve">Room temperature </w:t>
      </w:r>
      <w:proofErr w:type="spellStart"/>
      <w:r w:rsidRPr="000E0395">
        <w:rPr>
          <w:rFonts w:eastAsia="Calibri" w:cs="Arial"/>
          <w:sz w:val="20"/>
        </w:rPr>
        <w:t>setpoints</w:t>
      </w:r>
      <w:proofErr w:type="spellEnd"/>
      <w:r w:rsidRPr="000E0395">
        <w:rPr>
          <w:rFonts w:eastAsia="Calibri" w:cs="Arial"/>
          <w:sz w:val="20"/>
        </w:rPr>
        <w:t xml:space="preserve"> - cooling season:   76F (occupied), 79F (unoccupied)</w:t>
      </w:r>
    </w:p>
    <w:p w14:paraId="5838764C"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Outside temperature for heating/cooling:            60F/65F</w:t>
      </w:r>
    </w:p>
    <w:p w14:paraId="091F299D"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 xml:space="preserve">Occupied Hours:                                               Mon-Sat 8am-5pm, Sun unoccupied (40-48 hours - CBECS Table B3, Census Region, Number of Buildings and </w:t>
      </w:r>
      <w:proofErr w:type="spellStart"/>
      <w:r w:rsidRPr="000E0395">
        <w:rPr>
          <w:rFonts w:eastAsia="Calibri" w:cs="Arial"/>
          <w:sz w:val="20"/>
        </w:rPr>
        <w:t>Floorspace</w:t>
      </w:r>
      <w:proofErr w:type="spellEnd"/>
      <w:r w:rsidRPr="000E0395">
        <w:rPr>
          <w:rFonts w:eastAsia="Calibri" w:cs="Arial"/>
          <w:sz w:val="20"/>
        </w:rPr>
        <w:t xml:space="preserve"> for Non-Mall Buildings, 2003) meant to capture average building operating hours for various building types coming through the program</w:t>
      </w:r>
    </w:p>
    <w:p w14:paraId="0B8C2403"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Holidays:  New Year’s, Memorial, Independence, Labor, Thanksgiving, Day after Thanksgiving, Xmas, MLK, President's, Veterans Day</w:t>
      </w:r>
    </w:p>
    <w:p w14:paraId="1A4E2E81"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Cooling EER:                                                    9.3</w:t>
      </w:r>
    </w:p>
    <w:p w14:paraId="445AD32B"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Gas heating efficiency:                                      80%</w:t>
      </w:r>
    </w:p>
    <w:p w14:paraId="6B63FD53"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Electric resistance COP:                                    1</w:t>
      </w:r>
    </w:p>
    <w:p w14:paraId="75FA37C9"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Heat pump COP:                                               2.5</w:t>
      </w:r>
    </w:p>
    <w:p w14:paraId="1B3B03BF"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w:t>
      </w:r>
      <w:r w:rsidRPr="000E0395">
        <w:rPr>
          <w:rFonts w:ascii="Times New Roman" w:eastAsia="Calibri" w:hAnsi="Times New Roman"/>
          <w:sz w:val="14"/>
          <w:szCs w:val="14"/>
        </w:rPr>
        <w:t xml:space="preserve">       </w:t>
      </w:r>
      <w:r w:rsidRPr="000E0395">
        <w:rPr>
          <w:rFonts w:eastAsia="Calibri" w:cs="Arial"/>
          <w:sz w:val="20"/>
        </w:rPr>
        <w:t xml:space="preserve">Building EUI:                                                     Determined by </w:t>
      </w:r>
      <w:proofErr w:type="spellStart"/>
      <w:r w:rsidRPr="000E0395">
        <w:rPr>
          <w:rFonts w:eastAsia="Calibri" w:cs="Arial"/>
          <w:sz w:val="20"/>
        </w:rPr>
        <w:t>eQuest</w:t>
      </w:r>
      <w:proofErr w:type="spellEnd"/>
      <w:r w:rsidRPr="000E0395">
        <w:rPr>
          <w:rFonts w:eastAsia="Calibri" w:cs="Arial"/>
          <w:sz w:val="20"/>
        </w:rPr>
        <w:t xml:space="preserve"> default values for internal loads and infiltration for office buildings</w:t>
      </w:r>
    </w:p>
    <w:p w14:paraId="420B7540"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lastRenderedPageBreak/>
        <w:t>-</w:t>
      </w:r>
      <w:r w:rsidRPr="000E0395">
        <w:rPr>
          <w:rFonts w:ascii="Times New Roman" w:eastAsia="Calibri" w:hAnsi="Times New Roman"/>
          <w:sz w:val="14"/>
          <w:szCs w:val="14"/>
        </w:rPr>
        <w:t xml:space="preserve">       </w:t>
      </w:r>
      <w:r w:rsidRPr="000E0395">
        <w:rPr>
          <w:rFonts w:eastAsia="Calibri" w:cs="Arial"/>
          <w:sz w:val="20"/>
        </w:rPr>
        <w:t>For a zero insulation baseline condition, ASHRAE accepted R-values for structural components were used resulting in adjusted R-value baseline estimates of:</w:t>
      </w:r>
    </w:p>
    <w:p w14:paraId="4C9E014D"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1.</w:t>
      </w:r>
      <w:r w:rsidRPr="000E0395">
        <w:rPr>
          <w:rFonts w:ascii="Times New Roman" w:eastAsia="Calibri" w:hAnsi="Times New Roman"/>
          <w:sz w:val="14"/>
          <w:szCs w:val="14"/>
        </w:rPr>
        <w:t xml:space="preserve">     </w:t>
      </w:r>
      <w:r w:rsidRPr="000E0395">
        <w:rPr>
          <w:rFonts w:eastAsia="Calibri" w:cs="Arial"/>
          <w:sz w:val="20"/>
        </w:rPr>
        <w:t>Wall: R-4</w:t>
      </w:r>
    </w:p>
    <w:p w14:paraId="64A4B3C6"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2.</w:t>
      </w:r>
      <w:r w:rsidRPr="000E0395">
        <w:rPr>
          <w:rFonts w:ascii="Times New Roman" w:eastAsia="Calibri" w:hAnsi="Times New Roman"/>
          <w:sz w:val="14"/>
          <w:szCs w:val="14"/>
        </w:rPr>
        <w:t xml:space="preserve">     </w:t>
      </w:r>
      <w:r w:rsidRPr="000E0395">
        <w:rPr>
          <w:rFonts w:eastAsia="Calibri" w:cs="Arial"/>
          <w:sz w:val="20"/>
        </w:rPr>
        <w:t>Attic: R-2.2</w:t>
      </w:r>
    </w:p>
    <w:p w14:paraId="1D9193BD" w14:textId="77777777" w:rsidR="000E0395" w:rsidRPr="000E0395" w:rsidRDefault="000E0395" w:rsidP="008172F3">
      <w:pPr>
        <w:spacing w:after="160" w:line="259" w:lineRule="auto"/>
        <w:ind w:hanging="360"/>
        <w:rPr>
          <w:rFonts w:eastAsia="Calibri" w:cs="Arial"/>
          <w:sz w:val="20"/>
        </w:rPr>
      </w:pPr>
      <w:r w:rsidRPr="000E0395">
        <w:rPr>
          <w:rFonts w:eastAsia="Calibri" w:cs="Arial"/>
          <w:sz w:val="20"/>
        </w:rPr>
        <w:t>3.</w:t>
      </w:r>
      <w:r w:rsidRPr="000E0395">
        <w:rPr>
          <w:rFonts w:ascii="Times New Roman" w:eastAsia="Calibri" w:hAnsi="Times New Roman"/>
          <w:sz w:val="14"/>
          <w:szCs w:val="14"/>
        </w:rPr>
        <w:t xml:space="preserve">     </w:t>
      </w:r>
      <w:r w:rsidRPr="000E0395">
        <w:rPr>
          <w:rFonts w:eastAsia="Calibri" w:cs="Arial"/>
          <w:sz w:val="20"/>
        </w:rPr>
        <w:t>Roof: R-2</w:t>
      </w:r>
    </w:p>
    <w:p w14:paraId="74DD8735" w14:textId="77777777" w:rsidR="000E0395" w:rsidRPr="000E0395" w:rsidRDefault="000E0395" w:rsidP="008172F3">
      <w:pPr>
        <w:spacing w:after="160" w:line="259" w:lineRule="auto"/>
        <w:rPr>
          <w:rFonts w:eastAsia="Calibri" w:cs="Arial"/>
          <w:sz w:val="20"/>
        </w:rPr>
      </w:pPr>
    </w:p>
    <w:p w14:paraId="7198FC61" w14:textId="77777777" w:rsidR="000E0395" w:rsidRPr="000E0395" w:rsidRDefault="000E0395" w:rsidP="008172F3">
      <w:pPr>
        <w:autoSpaceDE w:val="0"/>
        <w:autoSpaceDN w:val="0"/>
        <w:spacing w:after="160" w:line="259" w:lineRule="auto"/>
        <w:rPr>
          <w:rFonts w:eastAsia="Calibri" w:cs="Arial"/>
          <w:i/>
          <w:iCs/>
          <w:sz w:val="20"/>
          <w:u w:val="single"/>
        </w:rPr>
      </w:pPr>
      <w:r w:rsidRPr="000E0395">
        <w:rPr>
          <w:rFonts w:eastAsia="Calibri" w:cs="Arial"/>
          <w:i/>
          <w:iCs/>
          <w:sz w:val="20"/>
          <w:u w:val="single"/>
        </w:rPr>
        <w:t>Fan Savings and Cooling Penalties</w:t>
      </w:r>
    </w:p>
    <w:p w14:paraId="1517064F" w14:textId="77777777" w:rsidR="000E0395" w:rsidRPr="000E0395" w:rsidRDefault="000E0395" w:rsidP="008172F3">
      <w:pPr>
        <w:autoSpaceDE w:val="0"/>
        <w:autoSpaceDN w:val="0"/>
        <w:spacing w:after="160" w:line="259" w:lineRule="auto"/>
        <w:rPr>
          <w:rFonts w:eastAsia="Calibri" w:cs="Arial"/>
          <w:sz w:val="20"/>
        </w:rPr>
      </w:pPr>
      <w:r w:rsidRPr="000E0395">
        <w:rPr>
          <w:rFonts w:eastAsia="Calibri" w:cs="Arial"/>
          <w:sz w:val="20"/>
        </w:rPr>
        <w:t>As expected, model results showed that cooling energy increased in all cases with the addition of insulation, as internal heat loads are relatively constant throughout the year and essentially become trapped heat during summer months. Analysis of the 50,000 ft</w:t>
      </w:r>
      <w:r w:rsidRPr="000E0395">
        <w:rPr>
          <w:rFonts w:eastAsia="Calibri" w:cs="Arial"/>
          <w:sz w:val="20"/>
          <w:vertAlign w:val="superscript"/>
        </w:rPr>
        <w:t>2</w:t>
      </w:r>
      <w:r w:rsidRPr="000E0395">
        <w:rPr>
          <w:rFonts w:eastAsia="Calibri" w:cs="Arial"/>
          <w:sz w:val="20"/>
        </w:rPr>
        <w:t xml:space="preserve"> building model revealed significant cooling energy increases with respect to the heating savings realized. It is therefore suggested that insulating buildings 50,000 ft</w:t>
      </w:r>
      <w:r w:rsidRPr="000E0395">
        <w:rPr>
          <w:rFonts w:eastAsia="Calibri" w:cs="Arial"/>
          <w:sz w:val="20"/>
          <w:vertAlign w:val="superscript"/>
        </w:rPr>
        <w:t>2</w:t>
      </w:r>
      <w:r w:rsidRPr="000E0395">
        <w:rPr>
          <w:rFonts w:eastAsia="Calibri" w:cs="Arial"/>
          <w:sz w:val="20"/>
        </w:rPr>
        <w:t xml:space="preserve"> or larger are at risk for non-cost effectiveness. Because larger buildings contain more complex cooling and heating systems, and inherently contain more parameters that affect energy savings, from an implementation perspective insulation savings for these larger buildings are better served through the custom program approach.</w:t>
      </w:r>
    </w:p>
    <w:p w14:paraId="2F59BBEC" w14:textId="77777777" w:rsidR="000E0395" w:rsidRPr="000E0395" w:rsidRDefault="000E0395" w:rsidP="008172F3">
      <w:pPr>
        <w:autoSpaceDE w:val="0"/>
        <w:autoSpaceDN w:val="0"/>
        <w:spacing w:after="160" w:line="259" w:lineRule="auto"/>
        <w:rPr>
          <w:rFonts w:eastAsia="Calibri" w:cs="Arial"/>
          <w:sz w:val="20"/>
        </w:rPr>
      </w:pPr>
    </w:p>
    <w:p w14:paraId="208B218E" w14:textId="77777777" w:rsidR="000E0395" w:rsidRPr="000E0395" w:rsidRDefault="000E0395" w:rsidP="008172F3">
      <w:pPr>
        <w:autoSpaceDE w:val="0"/>
        <w:autoSpaceDN w:val="0"/>
        <w:spacing w:after="160" w:line="259" w:lineRule="auto"/>
        <w:rPr>
          <w:rFonts w:eastAsia="Calibri" w:cs="Arial"/>
          <w:sz w:val="20"/>
        </w:rPr>
      </w:pPr>
      <w:r w:rsidRPr="000E0395">
        <w:rPr>
          <w:rFonts w:eastAsia="Calibri" w:cs="Arial"/>
          <w:sz w:val="20"/>
        </w:rPr>
        <w:t xml:space="preserve">Electric savings from reduced fan load were found when wall or attic insulation was added, and negligible savings were realized when roof insulation was added. On average, positive fan energy savings coupled with a negative cooling energy penalty resulted in an overall electric energy increase for roof and attic insulation, and a net energy decrease for wall insulation. On a </w:t>
      </w:r>
      <w:proofErr w:type="spellStart"/>
      <w:r w:rsidRPr="000E0395">
        <w:rPr>
          <w:rFonts w:eastAsia="Calibri" w:cs="Arial"/>
          <w:sz w:val="20"/>
        </w:rPr>
        <w:t>sqft</w:t>
      </w:r>
      <w:proofErr w:type="spellEnd"/>
      <w:r w:rsidRPr="000E0395">
        <w:rPr>
          <w:rFonts w:eastAsia="Calibri" w:cs="Arial"/>
          <w:sz w:val="20"/>
        </w:rPr>
        <w:t xml:space="preserve"> basis, the kWh impact is small and averages less than -0.3kWh/</w:t>
      </w:r>
      <w:proofErr w:type="spellStart"/>
      <w:r w:rsidRPr="000E0395">
        <w:rPr>
          <w:rFonts w:eastAsia="Calibri" w:cs="Arial"/>
          <w:sz w:val="20"/>
        </w:rPr>
        <w:t>sqft</w:t>
      </w:r>
      <w:proofErr w:type="spellEnd"/>
      <w:r w:rsidRPr="000E0395">
        <w:rPr>
          <w:rFonts w:eastAsia="Calibri" w:cs="Arial"/>
          <w:sz w:val="20"/>
        </w:rPr>
        <w:t xml:space="preserve"> for roof and attic insulation, and a positive 0.02kWh/</w:t>
      </w:r>
      <w:proofErr w:type="spellStart"/>
      <w:r w:rsidRPr="000E0395">
        <w:rPr>
          <w:rFonts w:eastAsia="Calibri" w:cs="Arial"/>
          <w:sz w:val="20"/>
        </w:rPr>
        <w:t>sqft</w:t>
      </w:r>
      <w:proofErr w:type="spellEnd"/>
      <w:r w:rsidRPr="000E0395">
        <w:rPr>
          <w:rFonts w:eastAsia="Calibri" w:cs="Arial"/>
          <w:sz w:val="20"/>
        </w:rPr>
        <w:t xml:space="preserve"> for wall insulation. </w:t>
      </w:r>
    </w:p>
    <w:p w14:paraId="14930FBE" w14:textId="77777777" w:rsidR="000E0395" w:rsidRPr="000E0395" w:rsidRDefault="000E0395" w:rsidP="008172F3">
      <w:pPr>
        <w:autoSpaceDE w:val="0"/>
        <w:autoSpaceDN w:val="0"/>
        <w:spacing w:after="160" w:line="259" w:lineRule="auto"/>
        <w:rPr>
          <w:rFonts w:eastAsia="Calibri" w:cs="Arial"/>
          <w:sz w:val="20"/>
        </w:rPr>
      </w:pPr>
    </w:p>
    <w:p w14:paraId="68CFA69D" w14:textId="77777777" w:rsidR="000E0395" w:rsidRPr="000E0395" w:rsidRDefault="000E0395" w:rsidP="008172F3">
      <w:pPr>
        <w:autoSpaceDE w:val="0"/>
        <w:autoSpaceDN w:val="0"/>
        <w:spacing w:after="160" w:line="259" w:lineRule="auto"/>
        <w:rPr>
          <w:rFonts w:eastAsia="Calibri" w:cs="Arial"/>
          <w:i/>
          <w:iCs/>
          <w:sz w:val="20"/>
          <w:u w:val="single"/>
        </w:rPr>
      </w:pPr>
      <w:r w:rsidRPr="000E0395">
        <w:rPr>
          <w:rFonts w:eastAsia="Calibri" w:cs="Arial"/>
          <w:i/>
          <w:iCs/>
          <w:sz w:val="20"/>
          <w:u w:val="single"/>
        </w:rPr>
        <w:t>System Type and Return Air Path</w:t>
      </w:r>
    </w:p>
    <w:p w14:paraId="0137D6E4" w14:textId="77777777" w:rsidR="000E0395" w:rsidRPr="000E0395" w:rsidRDefault="000E0395" w:rsidP="008172F3">
      <w:pPr>
        <w:autoSpaceDE w:val="0"/>
        <w:autoSpaceDN w:val="0"/>
        <w:spacing w:after="160" w:line="259" w:lineRule="auto"/>
        <w:rPr>
          <w:rFonts w:eastAsia="Calibri" w:cs="Arial"/>
          <w:sz w:val="20"/>
        </w:rPr>
      </w:pPr>
      <w:r w:rsidRPr="000E0395">
        <w:rPr>
          <w:rFonts w:eastAsia="Calibri" w:cs="Arial"/>
          <w:sz w:val="20"/>
        </w:rPr>
        <w:t xml:space="preserve">Deemed savings were calculated by averaging the savings from the four different systems that were modeled over the three different building sizes. The four systems were a CAV duct return system, a VAV duct return system, a CAV plenum return system, and a VAV plenum return system. </w:t>
      </w:r>
      <w:proofErr w:type="gramStart"/>
      <w:r w:rsidRPr="000E0395">
        <w:rPr>
          <w:rFonts w:eastAsia="Calibri" w:cs="Arial"/>
          <w:sz w:val="20"/>
        </w:rPr>
        <w:t>Results from the model showed negligible difference with respect to CAV or VAV systems in terms of fan kWh or heat savings.</w:t>
      </w:r>
      <w:proofErr w:type="gramEnd"/>
      <w:r w:rsidRPr="000E0395">
        <w:rPr>
          <w:rFonts w:eastAsia="Calibri" w:cs="Arial"/>
          <w:sz w:val="20"/>
        </w:rPr>
        <w:t xml:space="preserve"> Therefore the system type is not expected to impact savings estimates and for purposes of the analysis, VAV and CAV systems are essentially treated the same.</w:t>
      </w:r>
    </w:p>
    <w:p w14:paraId="563B93FC" w14:textId="77777777" w:rsidR="000E0395" w:rsidRPr="000E0395" w:rsidRDefault="000E0395" w:rsidP="008172F3">
      <w:pPr>
        <w:autoSpaceDE w:val="0"/>
        <w:autoSpaceDN w:val="0"/>
        <w:spacing w:after="160" w:line="259" w:lineRule="auto"/>
        <w:rPr>
          <w:rFonts w:eastAsia="Calibri" w:cs="Arial"/>
          <w:sz w:val="20"/>
        </w:rPr>
      </w:pPr>
    </w:p>
    <w:p w14:paraId="46A91C5D" w14:textId="77777777" w:rsidR="000E0395" w:rsidRPr="000E0395" w:rsidRDefault="000E0395" w:rsidP="008172F3">
      <w:pPr>
        <w:autoSpaceDE w:val="0"/>
        <w:autoSpaceDN w:val="0"/>
        <w:spacing w:after="160" w:line="259" w:lineRule="auto"/>
        <w:rPr>
          <w:rFonts w:eastAsia="Calibri" w:cs="Arial"/>
          <w:sz w:val="20"/>
        </w:rPr>
      </w:pPr>
      <w:r w:rsidRPr="000E0395">
        <w:rPr>
          <w:rFonts w:eastAsia="Calibri" w:cs="Arial"/>
          <w:sz w:val="20"/>
        </w:rPr>
        <w:t>Results from modeling plenum return systems versus ducted return air systems did however indicate differences in savings estimates for certain insulation cases. Most notably, savings stemming from plenum return systems were consistently higher than savings from ducted return systems, presumably because of the reduced heat loss in the unconditioned plenum space on the return air stream. The only case where this differs is with attic insulation, where only a ducted return system was used in the analysis, since it would not make sense to insulate above a drop ceiling with a plenum return. For purposes of a single deemed estimate for each insulation type, savings estimates were averaged together since the persistence of one return air path over another is not yet known. (See exceptions below)</w:t>
      </w:r>
    </w:p>
    <w:p w14:paraId="60B1FDB7" w14:textId="77777777" w:rsidR="000E0395" w:rsidRPr="000E0395" w:rsidRDefault="000E0395" w:rsidP="000E0395">
      <w:pPr>
        <w:autoSpaceDE w:val="0"/>
        <w:autoSpaceDN w:val="0"/>
        <w:spacing w:after="160" w:line="259" w:lineRule="auto"/>
        <w:ind w:left="720"/>
        <w:rPr>
          <w:rFonts w:eastAsia="Calibri" w:cs="Arial"/>
          <w:sz w:val="20"/>
        </w:rPr>
      </w:pPr>
    </w:p>
    <w:p w14:paraId="275F3ED5" w14:textId="77777777" w:rsidR="000E0395" w:rsidRPr="000E0395" w:rsidRDefault="000E0395" w:rsidP="000E0395">
      <w:pPr>
        <w:autoSpaceDE w:val="0"/>
        <w:autoSpaceDN w:val="0"/>
        <w:spacing w:after="160" w:line="259" w:lineRule="auto"/>
        <w:ind w:left="720"/>
        <w:rPr>
          <w:rFonts w:eastAsia="Calibri" w:cs="Arial"/>
          <w:i/>
          <w:iCs/>
          <w:color w:val="0070C0"/>
          <w:sz w:val="20"/>
          <w:u w:val="single"/>
        </w:rPr>
      </w:pPr>
      <w:r w:rsidRPr="000E0395">
        <w:rPr>
          <w:rFonts w:eastAsia="Calibri" w:cs="Arial"/>
          <w:i/>
          <w:iCs/>
          <w:color w:val="0070C0"/>
          <w:sz w:val="20"/>
          <w:u w:val="single"/>
        </w:rPr>
        <w:t xml:space="preserve">Existing Insulation </w:t>
      </w:r>
    </w:p>
    <w:p w14:paraId="0BFA33B2" w14:textId="77777777" w:rsidR="000E0395" w:rsidRPr="000E0395" w:rsidRDefault="000E0395" w:rsidP="000E0395">
      <w:pPr>
        <w:autoSpaceDE w:val="0"/>
        <w:autoSpaceDN w:val="0"/>
        <w:spacing w:after="160" w:line="259" w:lineRule="auto"/>
        <w:ind w:left="720"/>
        <w:rPr>
          <w:rFonts w:eastAsia="Calibri" w:cs="Arial"/>
          <w:color w:val="0070C0"/>
          <w:sz w:val="20"/>
        </w:rPr>
      </w:pPr>
      <w:r w:rsidRPr="000E0395">
        <w:rPr>
          <w:rFonts w:eastAsia="Calibri" w:cs="Arial"/>
          <w:color w:val="0070C0"/>
          <w:sz w:val="20"/>
        </w:rPr>
        <w:t xml:space="preserve">In 2014, the models were re-run with several new scenarios using the same methods outlined above.  </w:t>
      </w:r>
    </w:p>
    <w:p w14:paraId="189DDDA0" w14:textId="77777777" w:rsidR="000E0395" w:rsidRPr="000E0395" w:rsidRDefault="000E0395" w:rsidP="000E0395">
      <w:pPr>
        <w:autoSpaceDE w:val="0"/>
        <w:autoSpaceDN w:val="0"/>
        <w:spacing w:after="160" w:line="259" w:lineRule="auto"/>
        <w:ind w:left="720"/>
        <w:rPr>
          <w:rFonts w:eastAsia="Calibri" w:cs="Arial"/>
          <w:color w:val="0070C0"/>
          <w:sz w:val="20"/>
        </w:rPr>
      </w:pPr>
    </w:p>
    <w:p w14:paraId="7B4C122C" w14:textId="77777777" w:rsidR="000E0395" w:rsidRPr="000E0395" w:rsidRDefault="000E0395" w:rsidP="008172F3">
      <w:pPr>
        <w:autoSpaceDE w:val="0"/>
        <w:autoSpaceDN w:val="0"/>
        <w:spacing w:after="160" w:line="259" w:lineRule="auto"/>
        <w:rPr>
          <w:rFonts w:eastAsia="Calibri" w:cs="Arial"/>
          <w:color w:val="0070C0"/>
          <w:sz w:val="20"/>
        </w:rPr>
      </w:pPr>
      <w:r w:rsidRPr="000E0395">
        <w:rPr>
          <w:rFonts w:eastAsia="Calibri" w:cs="Arial"/>
          <w:color w:val="0070C0"/>
          <w:sz w:val="20"/>
        </w:rPr>
        <w:lastRenderedPageBreak/>
        <w:t>Baseline models were created with Roof insulation at R-5, which is the former code, and compared to an increase to R-20, which is the Oregon Code. This tiered level of insulation addition proved cost effective for all heating systems.</w:t>
      </w:r>
    </w:p>
    <w:p w14:paraId="30621407" w14:textId="77777777" w:rsidR="000E0395" w:rsidRPr="000E0395" w:rsidRDefault="000E0395" w:rsidP="008172F3">
      <w:pPr>
        <w:autoSpaceDE w:val="0"/>
        <w:autoSpaceDN w:val="0"/>
        <w:spacing w:after="160" w:line="259" w:lineRule="auto"/>
        <w:rPr>
          <w:rFonts w:eastAsia="Calibri" w:cs="Arial"/>
          <w:color w:val="0070C0"/>
          <w:sz w:val="20"/>
        </w:rPr>
      </w:pPr>
    </w:p>
    <w:p w14:paraId="3DA7158D" w14:textId="77777777" w:rsidR="000E0395" w:rsidRPr="000E0395" w:rsidRDefault="000E0395" w:rsidP="008172F3">
      <w:pPr>
        <w:autoSpaceDE w:val="0"/>
        <w:autoSpaceDN w:val="0"/>
        <w:spacing w:after="160" w:line="259" w:lineRule="auto"/>
        <w:rPr>
          <w:rFonts w:eastAsia="Calibri" w:cs="Arial"/>
          <w:color w:val="0070C0"/>
          <w:sz w:val="20"/>
        </w:rPr>
      </w:pPr>
      <w:r w:rsidRPr="000E0395">
        <w:rPr>
          <w:rFonts w:eastAsia="Calibri" w:cs="Arial"/>
          <w:color w:val="0070C0"/>
          <w:sz w:val="20"/>
        </w:rPr>
        <w:t>Baseline models were created with Attic insulation at R-11, and compared to an increase to R-38, which is the current Oregon code. The modeled baseline of R-</w:t>
      </w:r>
      <w:proofErr w:type="gramStart"/>
      <w:r w:rsidRPr="000E0395">
        <w:rPr>
          <w:rFonts w:eastAsia="Calibri" w:cs="Arial"/>
          <w:color w:val="0070C0"/>
          <w:sz w:val="20"/>
        </w:rPr>
        <w:t>11,</w:t>
      </w:r>
      <w:proofErr w:type="gramEnd"/>
      <w:r w:rsidRPr="000E0395">
        <w:rPr>
          <w:rFonts w:eastAsia="Calibri" w:cs="Arial"/>
          <w:color w:val="0070C0"/>
          <w:sz w:val="20"/>
        </w:rPr>
        <w:t xml:space="preserve"> corresponds to a minimum program requirement of R-19, as the program expects to see insulation levels between R-0 and R-19.  R-19 was a code requirement for many years so it is expected that many buildings were built to R-19. However, it is known that in older buildings attic insulation may be damaged or otherwise degraded to have a lower effectiveness.  A minimum requirement of R-19 also allows for buildings that may have differing levels of insulation in different parts of the building to participate easily.  This tiered level of insulation was cost effective only for electric resistance heating.  To avoid confusion, this measure will not be offered in Oregon.  It will be offered in Washington where the TRC is not a requirement.   </w:t>
      </w:r>
    </w:p>
    <w:p w14:paraId="4DF2A73A" w14:textId="77777777" w:rsidR="000E0395" w:rsidRPr="000E0395" w:rsidRDefault="000E0395" w:rsidP="008172F3">
      <w:pPr>
        <w:autoSpaceDE w:val="0"/>
        <w:autoSpaceDN w:val="0"/>
        <w:spacing w:after="160" w:line="259" w:lineRule="auto"/>
        <w:rPr>
          <w:rFonts w:eastAsia="Calibri" w:cs="Arial"/>
          <w:sz w:val="20"/>
        </w:rPr>
      </w:pPr>
    </w:p>
    <w:p w14:paraId="71063036" w14:textId="77777777" w:rsidR="000E0395" w:rsidRPr="000E0395" w:rsidRDefault="000E0395" w:rsidP="008172F3">
      <w:pPr>
        <w:spacing w:after="160" w:line="259" w:lineRule="auto"/>
        <w:rPr>
          <w:rFonts w:eastAsia="Calibri" w:cs="Arial"/>
          <w:color w:val="000000"/>
          <w:sz w:val="20"/>
        </w:rPr>
      </w:pPr>
      <w:r w:rsidRPr="000E0395">
        <w:rPr>
          <w:rFonts w:eastAsia="Calibri" w:cs="Arial"/>
          <w:b/>
          <w:bCs/>
          <w:color w:val="000000"/>
          <w:sz w:val="20"/>
        </w:rPr>
        <w:t>Measure life</w:t>
      </w:r>
    </w:p>
    <w:p w14:paraId="15748726"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To align with the regionally accepted lifetime for commercial weatherization measures, a lifetime of 30 years was used in the cost-effective analysis. This lifetime is shorter than for residential insulation (given a measure life of 45 years) because of the possibility of building turnover, added penetrations, and a higher chance of deterioration within a commercial setting.  Measure life for wall insulation is higher than roof and attic insulation due to less chance for deterioration.</w:t>
      </w:r>
    </w:p>
    <w:p w14:paraId="32717620" w14:textId="77777777" w:rsidR="000E0395" w:rsidRPr="000E0395" w:rsidRDefault="000E0395" w:rsidP="008172F3">
      <w:pPr>
        <w:spacing w:after="160" w:line="259" w:lineRule="auto"/>
        <w:rPr>
          <w:rFonts w:eastAsia="Calibri" w:cs="Arial"/>
          <w:color w:val="000000"/>
          <w:sz w:val="20"/>
        </w:rPr>
      </w:pPr>
    </w:p>
    <w:p w14:paraId="45CD81BE" w14:textId="77777777" w:rsidR="000E0395" w:rsidRPr="000E0395" w:rsidRDefault="000E0395" w:rsidP="008172F3">
      <w:pPr>
        <w:spacing w:after="160" w:line="259" w:lineRule="auto"/>
        <w:rPr>
          <w:rFonts w:eastAsia="Calibri" w:cs="Arial"/>
          <w:b/>
          <w:bCs/>
          <w:color w:val="000000"/>
          <w:sz w:val="20"/>
        </w:rPr>
      </w:pPr>
      <w:r w:rsidRPr="000E0395">
        <w:rPr>
          <w:rFonts w:eastAsia="Calibri" w:cs="Arial"/>
          <w:b/>
          <w:bCs/>
          <w:color w:val="000000"/>
          <w:sz w:val="20"/>
        </w:rPr>
        <w:t>Incentive Structure </w:t>
      </w:r>
    </w:p>
    <w:p w14:paraId="77F720E0" w14:textId="77777777" w:rsidR="000E0395" w:rsidRPr="000E0395" w:rsidRDefault="000E0395" w:rsidP="008172F3">
      <w:pPr>
        <w:spacing w:after="160" w:line="259" w:lineRule="auto"/>
        <w:rPr>
          <w:rFonts w:eastAsia="Calibri" w:cs="Arial"/>
          <w:color w:val="0070C0"/>
          <w:sz w:val="20"/>
        </w:rPr>
      </w:pPr>
      <w:r w:rsidRPr="000E0395">
        <w:rPr>
          <w:rFonts w:eastAsia="Calibri" w:cs="Arial"/>
          <w:color w:val="000000"/>
          <w:sz w:val="20"/>
        </w:rPr>
        <w:t>The present value of the utility benefit for each measure is indicated in the table above.  The maximum incentive is the lesser of the cost of the measures or the amount of the utility benefit.  The program currently plans to offer an incentive of $0.30 per square foot for all of the measures, with a $0.30 per square foot bonus in 2014, exclusive of the multifamily sector, where it is not cost effective.  </w:t>
      </w:r>
      <w:r w:rsidRPr="000E0395">
        <w:rPr>
          <w:rFonts w:eastAsia="Calibri" w:cs="Arial"/>
          <w:color w:val="0070C0"/>
          <w:sz w:val="20"/>
        </w:rPr>
        <w:t>The expected incentive on the tiered insulation measures is $0.30 per square foot.</w:t>
      </w:r>
    </w:p>
    <w:p w14:paraId="5EB51CD2" w14:textId="77777777" w:rsidR="000E0395" w:rsidRPr="000E0395" w:rsidRDefault="000E0395" w:rsidP="008172F3">
      <w:pPr>
        <w:spacing w:after="160" w:line="259" w:lineRule="auto"/>
        <w:rPr>
          <w:rFonts w:eastAsia="Calibri" w:cs="Arial"/>
          <w:color w:val="000000"/>
          <w:sz w:val="20"/>
        </w:rPr>
      </w:pPr>
    </w:p>
    <w:p w14:paraId="651F9042" w14:textId="77777777" w:rsidR="000E0395" w:rsidRPr="000E0395" w:rsidRDefault="000E0395" w:rsidP="008172F3">
      <w:pPr>
        <w:spacing w:after="160" w:line="259" w:lineRule="auto"/>
        <w:rPr>
          <w:rFonts w:eastAsia="Calibri" w:cs="Arial"/>
          <w:color w:val="000000"/>
          <w:sz w:val="20"/>
        </w:rPr>
      </w:pPr>
      <w:r w:rsidRPr="000E0395">
        <w:rPr>
          <w:rFonts w:eastAsia="Calibri" w:cs="Arial"/>
          <w:b/>
          <w:bCs/>
          <w:color w:val="000000"/>
          <w:sz w:val="20"/>
        </w:rPr>
        <w:t>Cost</w:t>
      </w:r>
      <w:r w:rsidRPr="000E0395">
        <w:rPr>
          <w:rFonts w:eastAsia="Calibri" w:cs="Arial"/>
          <w:color w:val="000000"/>
          <w:sz w:val="20"/>
        </w:rPr>
        <w:t> </w:t>
      </w:r>
    </w:p>
    <w:p w14:paraId="06EE2A5E" w14:textId="77777777" w:rsidR="000E0395" w:rsidRPr="000E0395" w:rsidRDefault="000E0395" w:rsidP="008172F3">
      <w:pPr>
        <w:spacing w:after="160" w:line="259" w:lineRule="auto"/>
        <w:rPr>
          <w:rFonts w:eastAsia="Calibri" w:cs="Arial"/>
          <w:b/>
          <w:bCs/>
          <w:color w:val="0070C0"/>
          <w:sz w:val="20"/>
        </w:rPr>
      </w:pPr>
      <w:r w:rsidRPr="000E0395">
        <w:rPr>
          <w:rFonts w:eastAsia="Calibri" w:cs="Arial"/>
          <w:color w:val="000000"/>
          <w:sz w:val="20"/>
        </w:rPr>
        <w:t xml:space="preserve">Data collected from Existing Buildings projects completed in program year 2011 were used in calculating the average installed cost for insulation, and were compared with vendor quotes collected over the past 2 years. In general the costs from trade allies were in very close agreement to the costs collected in FastTrack. These costs, along with the associated R-values, were averaged separately for wall, roof, and attic insulation to arrive at the values shown in the cost-effectiveness table above. </w:t>
      </w:r>
      <w:proofErr w:type="gramStart"/>
      <w:r w:rsidRPr="000E0395">
        <w:rPr>
          <w:rFonts w:eastAsia="Calibri" w:cs="Arial"/>
          <w:color w:val="0070C0"/>
          <w:sz w:val="20"/>
        </w:rPr>
        <w:t>Costs for projects with existing insulation is</w:t>
      </w:r>
      <w:proofErr w:type="gramEnd"/>
      <w:r w:rsidRPr="000E0395">
        <w:rPr>
          <w:rFonts w:eastAsia="Calibri" w:cs="Arial"/>
          <w:color w:val="0070C0"/>
          <w:sz w:val="20"/>
        </w:rPr>
        <w:t xml:space="preserve"> assumed to be the same as projects without insulation.</w:t>
      </w:r>
    </w:p>
    <w:p w14:paraId="79DC0B52" w14:textId="77777777" w:rsidR="000E0395" w:rsidRPr="000E0395" w:rsidRDefault="000E0395" w:rsidP="008172F3">
      <w:pPr>
        <w:spacing w:after="160" w:line="259" w:lineRule="auto"/>
        <w:rPr>
          <w:rFonts w:eastAsia="Calibri" w:cs="Arial"/>
          <w:b/>
          <w:bCs/>
          <w:color w:val="000000"/>
          <w:sz w:val="20"/>
        </w:rPr>
      </w:pPr>
    </w:p>
    <w:p w14:paraId="09AB4B51" w14:textId="77777777" w:rsidR="000E0395" w:rsidRPr="000E0395" w:rsidRDefault="000E0395" w:rsidP="008172F3">
      <w:pPr>
        <w:spacing w:after="160" w:line="259" w:lineRule="auto"/>
        <w:rPr>
          <w:rFonts w:eastAsia="Calibri" w:cs="Arial"/>
          <w:color w:val="000000"/>
          <w:sz w:val="20"/>
        </w:rPr>
      </w:pPr>
      <w:r w:rsidRPr="000E0395">
        <w:rPr>
          <w:rFonts w:eastAsia="Calibri" w:cs="Arial"/>
          <w:b/>
          <w:bCs/>
          <w:color w:val="000000"/>
          <w:sz w:val="20"/>
        </w:rPr>
        <w:t>Exceptions</w:t>
      </w:r>
    </w:p>
    <w:p w14:paraId="0B7525F1"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Although savings differences between plenum return systems and ducted return systems were found, detailed participant data does not exist to indicate which system may be more prevalent in the marketplace. For purposes of developing a single prescriptive offering, a simple average of the two return systems was made. However, because the savings impact can be large in certain cases depending on the return air system type, it is suggested that the program track this as an attribute for roof insulation measures and review the installed measures to determine if one return air system type is more prevalent and adjust the savings as necessary.</w:t>
      </w:r>
    </w:p>
    <w:p w14:paraId="283D34EA" w14:textId="77777777" w:rsidR="000E0395" w:rsidRPr="000E0395" w:rsidRDefault="000E0395" w:rsidP="008172F3">
      <w:pPr>
        <w:spacing w:after="160" w:line="259" w:lineRule="auto"/>
        <w:rPr>
          <w:rFonts w:eastAsia="Calibri" w:cs="Arial"/>
          <w:color w:val="000000"/>
          <w:sz w:val="20"/>
        </w:rPr>
      </w:pPr>
    </w:p>
    <w:p w14:paraId="4F23CED9" w14:textId="77777777" w:rsidR="000E0395" w:rsidRPr="000E0395" w:rsidRDefault="000E0395" w:rsidP="008172F3">
      <w:pPr>
        <w:spacing w:after="160" w:line="259" w:lineRule="auto"/>
        <w:rPr>
          <w:rFonts w:eastAsia="Calibri" w:cs="Arial"/>
          <w:color w:val="000000"/>
          <w:sz w:val="20"/>
        </w:rPr>
      </w:pPr>
      <w:r w:rsidRPr="000E0395">
        <w:rPr>
          <w:rFonts w:eastAsia="Calibri" w:cs="Arial"/>
          <w:color w:val="000000"/>
          <w:sz w:val="20"/>
        </w:rPr>
        <w:t xml:space="preserve">Though past program data suggests that warehouses and retail spaces make-up a significant portion of the building types that have received insulation incentives, because of historical uptake and targeted marketing efforts going forward, these measures are expected to be utilized most often in office buildings. When comparing EUI’s between the three building types, warehouses exhibit the lowest EUI and therefore, the lowest savings potential, Retail has the highest EUI, and therefore the highest savings opportunity, and savings for Office buildings fall between these other two building types. Insulation was shown in a follow-up analysis to be cost-effective even at the lowest estimate of savings associated with a warehouse building. However, because very few insulation jobs occur each year, a tailored offering for different building types is not feasible for the program, and offices fall in the middle of the 3 most prevalent building types to receive this measure historically, a single deemed savings estimate associated with an office space was used in the analysis. If future work indicates that insulation jobs are becoming heavily weighted towards one particular building type, it is suggested that savings be adjusted to reflect that building type specifically instead of an average. </w:t>
      </w:r>
    </w:p>
    <w:p w14:paraId="2BC32C81" w14:textId="77777777" w:rsidR="000E0395" w:rsidRPr="000E0395" w:rsidRDefault="000E0395" w:rsidP="000E0395">
      <w:pPr>
        <w:spacing w:after="160" w:line="259" w:lineRule="auto"/>
        <w:ind w:left="720"/>
        <w:rPr>
          <w:rFonts w:eastAsia="Calibri" w:cs="Arial"/>
          <w:color w:val="000000"/>
          <w:sz w:val="20"/>
        </w:rPr>
      </w:pPr>
    </w:p>
    <w:p w14:paraId="798F2A40" w14:textId="77777777" w:rsidR="000E0395" w:rsidRPr="000E0395" w:rsidRDefault="000E0395" w:rsidP="008172F3">
      <w:pPr>
        <w:spacing w:after="160" w:line="259" w:lineRule="auto"/>
        <w:rPr>
          <w:rFonts w:ascii="Calibri" w:eastAsia="Calibri" w:hAnsi="Calibri"/>
          <w:color w:val="000000"/>
          <w:sz w:val="22"/>
          <w:szCs w:val="22"/>
        </w:rPr>
      </w:pPr>
      <w:r w:rsidRPr="000E0395">
        <w:rPr>
          <w:rFonts w:eastAsia="Calibri" w:cs="Arial"/>
          <w:color w:val="0070C0"/>
          <w:sz w:val="20"/>
        </w:rPr>
        <w:t>The higher tier of attic insulation does not pass the TRC</w:t>
      </w:r>
      <w:r w:rsidRPr="000E0395">
        <w:rPr>
          <w:rFonts w:eastAsia="Calibri" w:cs="Arial"/>
          <w:color w:val="1F497D"/>
          <w:sz w:val="20"/>
        </w:rPr>
        <w:t>.</w:t>
      </w:r>
      <w:r w:rsidRPr="000E0395">
        <w:rPr>
          <w:rFonts w:eastAsia="Calibri" w:cs="Arial"/>
          <w:color w:val="0070C0"/>
          <w:sz w:val="20"/>
        </w:rPr>
        <w:t>  This measure is only blessed for use in Washington</w:t>
      </w:r>
      <w:r w:rsidRPr="000E0395">
        <w:rPr>
          <w:rFonts w:eastAsia="Calibri" w:cs="Arial"/>
          <w:color w:val="1F497D"/>
          <w:sz w:val="20"/>
        </w:rPr>
        <w:t>.</w:t>
      </w:r>
      <w:r w:rsidRPr="000E0395">
        <w:rPr>
          <w:rFonts w:eastAsia="Calibri" w:cs="Arial"/>
          <w:color w:val="0070C0"/>
          <w:sz w:val="20"/>
        </w:rPr>
        <w:t xml:space="preserve"> </w:t>
      </w:r>
      <w:r w:rsidRPr="000E0395">
        <w:rPr>
          <w:rFonts w:ascii="Calibri" w:eastAsia="Calibri" w:hAnsi="Calibri"/>
          <w:color w:val="2E74B5"/>
          <w:sz w:val="22"/>
          <w:szCs w:val="22"/>
        </w:rPr>
        <w:t>In Washington, the WUTC has directed Energy Trust to use the Utility Cost Test as the primary determinant of cost effectiveness, and to monitor the Total Resource Cost.</w:t>
      </w:r>
    </w:p>
    <w:p w14:paraId="0454CDD8" w14:textId="77777777" w:rsidR="000E0395" w:rsidRPr="000E0395" w:rsidRDefault="000E0395" w:rsidP="000E0395">
      <w:pPr>
        <w:rPr>
          <w:rFonts w:ascii="Calibri" w:eastAsia="Calibri" w:hAnsi="Calibri"/>
          <w:sz w:val="22"/>
          <w:szCs w:val="22"/>
        </w:rPr>
      </w:pPr>
    </w:p>
    <w:p w14:paraId="44697CDC" w14:textId="77777777" w:rsidR="000E0395" w:rsidRPr="000E0395" w:rsidRDefault="000E0395" w:rsidP="000E0395">
      <w:pPr>
        <w:rPr>
          <w:rFonts w:ascii="Calibri" w:eastAsia="Calibri" w:hAnsi="Calibri"/>
          <w:sz w:val="22"/>
          <w:szCs w:val="22"/>
        </w:rPr>
      </w:pPr>
    </w:p>
    <w:p w14:paraId="1DE7CFE7"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611F8B6F"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12351C36" w14:textId="77777777" w:rsidR="000E0395" w:rsidRPr="000E0395" w:rsidRDefault="000E0395" w:rsidP="008172F3">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1A87F2E6"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 xml:space="preserve">Boiler &lt; 300 </w:t>
      </w:r>
      <w:proofErr w:type="spellStart"/>
      <w:r w:rsidRPr="000E0395">
        <w:rPr>
          <w:rFonts w:ascii="Calibri Light" w:hAnsi="Calibri Light"/>
          <w:color w:val="1F4D78"/>
          <w:szCs w:val="24"/>
        </w:rPr>
        <w:t>kBtuh</w:t>
      </w:r>
      <w:proofErr w:type="spellEnd"/>
      <w:r w:rsidRPr="000E0395">
        <w:rPr>
          <w:rFonts w:ascii="Calibri Light" w:hAnsi="Calibri Light"/>
          <w:color w:val="1F4D78"/>
          <w:szCs w:val="24"/>
        </w:rPr>
        <w:t xml:space="preserve"> input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Minimum 90% thermal efficiency, with electronic ignition</w:t>
      </w:r>
    </w:p>
    <w:p w14:paraId="6C7E2CA1"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 xml:space="preserve">Boiler &gt; 2,500 </w:t>
      </w:r>
      <w:proofErr w:type="spellStart"/>
      <w:r w:rsidRPr="000E0395">
        <w:rPr>
          <w:rFonts w:ascii="Calibri Light" w:hAnsi="Calibri Light"/>
          <w:color w:val="1F4D78"/>
          <w:szCs w:val="24"/>
        </w:rPr>
        <w:t>kBtuh</w:t>
      </w:r>
      <w:proofErr w:type="spellEnd"/>
      <w:r w:rsidRPr="000E0395">
        <w:rPr>
          <w:rFonts w:ascii="Calibri Light" w:hAnsi="Calibri Light"/>
          <w:color w:val="1F4D78"/>
          <w:szCs w:val="24"/>
        </w:rPr>
        <w:t xml:space="preserve"> input</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Minimum 90% thermal efficiency, with electronic ignition</w:t>
      </w:r>
    </w:p>
    <w:p w14:paraId="3F831CD7"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 xml:space="preserve">Boiler ≥ 300, ≤ 2,500 </w:t>
      </w:r>
      <w:proofErr w:type="spellStart"/>
      <w:r w:rsidRPr="000E0395">
        <w:rPr>
          <w:rFonts w:ascii="Calibri Light" w:hAnsi="Calibri Light"/>
          <w:color w:val="1F4D78"/>
          <w:szCs w:val="24"/>
        </w:rPr>
        <w:t>kBtuh</w:t>
      </w:r>
      <w:proofErr w:type="spellEnd"/>
      <w:r w:rsidRPr="000E0395">
        <w:rPr>
          <w:rFonts w:ascii="Calibri Light" w:hAnsi="Calibri Light"/>
          <w:color w:val="1F4D78"/>
          <w:szCs w:val="24"/>
        </w:rPr>
        <w:t xml:space="preserve"> input</w:t>
      </w:r>
      <w:r w:rsidRPr="000E0395">
        <w:rPr>
          <w:rFonts w:ascii="Calibri Light" w:hAnsi="Calibri Light"/>
          <w:color w:val="2E74B5"/>
          <w:sz w:val="26"/>
          <w:szCs w:val="26"/>
        </w:rPr>
        <w:tab/>
      </w:r>
      <w:r w:rsidRPr="000E0395">
        <w:rPr>
          <w:rFonts w:ascii="Calibri Light" w:hAnsi="Calibri Light"/>
          <w:color w:val="2E74B5"/>
          <w:sz w:val="20"/>
          <w:szCs w:val="26"/>
        </w:rPr>
        <w:t>Minimum 90% thermal efficiency, with electronic ignition</w:t>
      </w:r>
    </w:p>
    <w:p w14:paraId="23F643CA" w14:textId="77777777" w:rsidR="000E0395" w:rsidRPr="000E0395" w:rsidRDefault="000E0395" w:rsidP="000E0395">
      <w:pPr>
        <w:rPr>
          <w:rFonts w:ascii="Calibri" w:eastAsia="Calibri" w:hAnsi="Calibri"/>
          <w:sz w:val="22"/>
          <w:szCs w:val="22"/>
        </w:rPr>
      </w:pPr>
    </w:p>
    <w:p w14:paraId="39937480" w14:textId="77777777" w:rsidR="000E0395" w:rsidRPr="000E0395" w:rsidRDefault="000E0395" w:rsidP="008172F3">
      <w:pPr>
        <w:spacing w:after="160" w:line="259" w:lineRule="auto"/>
        <w:rPr>
          <w:rFonts w:eastAsia="Calibri" w:cs="Arial"/>
          <w:sz w:val="20"/>
        </w:rPr>
      </w:pPr>
      <w:r w:rsidRPr="000E0395">
        <w:rPr>
          <w:rFonts w:eastAsia="Calibri" w:cs="Arial"/>
          <w:sz w:val="20"/>
        </w:rPr>
        <w:t> BLESSING MEMO FOR COMMERCIAL HOT WATER CONDENSING GAS BOILERS</w:t>
      </w:r>
    </w:p>
    <w:p w14:paraId="68E91D5A" w14:textId="77777777" w:rsidR="000E0395" w:rsidRPr="000E0395" w:rsidRDefault="000E0395" w:rsidP="008172F3">
      <w:pPr>
        <w:spacing w:after="160" w:line="259" w:lineRule="auto"/>
        <w:rPr>
          <w:rFonts w:eastAsia="Calibri" w:cs="Arial"/>
          <w:sz w:val="20"/>
        </w:rPr>
      </w:pPr>
      <w:r w:rsidRPr="000E0395">
        <w:rPr>
          <w:rFonts w:eastAsia="Calibri" w:cs="Arial"/>
          <w:color w:val="4F81BD"/>
          <w:sz w:val="20"/>
        </w:rPr>
        <w:t>Updated 6/9/14 – Listed maximum incentive and updated to current avoided costs.  No other changes.</w:t>
      </w:r>
      <w:r w:rsidRPr="000E0395">
        <w:rPr>
          <w:rFonts w:eastAsia="Calibri" w:cs="Arial"/>
          <w:sz w:val="20"/>
        </w:rPr>
        <w:t> </w:t>
      </w:r>
    </w:p>
    <w:p w14:paraId="5217F124"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Updated 9/6/23- Nick and I really struggled to both get a meaningful analysis of this one and to describe it correctly. Please let me know if there are ways this can be clarified.    I’m pretty confident in the analysis, although you could quibble with some of the assumptions; it’s the description that’s gnarly.  Nick figured out a consistent way to look at part load efficiency and part load field conditions for both condensing and non-condensing boilers and I think this improves the reliability of our savings estimates for all sizes of boilers.   </w:t>
      </w:r>
      <w:proofErr w:type="gramStart"/>
      <w:r w:rsidRPr="000E0395">
        <w:rPr>
          <w:rFonts w:eastAsia="Calibri" w:cs="Arial"/>
          <w:sz w:val="20"/>
        </w:rPr>
        <w:t>This</w:t>
      </w:r>
      <w:proofErr w:type="gramEnd"/>
      <w:r w:rsidRPr="000E0395">
        <w:rPr>
          <w:rFonts w:eastAsia="Calibri" w:cs="Arial"/>
          <w:sz w:val="20"/>
        </w:rPr>
        <w:t xml:space="preserve"> both provides savings estimates for small boilers and revises estimates for larger boilers.   Normally we wouldn’t revise the estimates until the beginning of the next year’s program, through the true-up.   So I think maybe we add the small ones now, revise the big ones later.   Does that make sense?</w:t>
      </w:r>
    </w:p>
    <w:p w14:paraId="7B8ADE0C" w14:textId="77777777" w:rsidR="000E0395" w:rsidRPr="000E0395" w:rsidRDefault="000E0395" w:rsidP="008172F3">
      <w:pPr>
        <w:spacing w:after="160" w:line="259" w:lineRule="auto"/>
        <w:rPr>
          <w:rFonts w:ascii="Calibri" w:eastAsia="Calibri" w:hAnsi="Calibri"/>
          <w:sz w:val="22"/>
          <w:szCs w:val="22"/>
        </w:rPr>
      </w:pPr>
    </w:p>
    <w:p w14:paraId="197568C0"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End Use:</w:t>
      </w:r>
      <w:r w:rsidRPr="000E0395">
        <w:rPr>
          <w:rFonts w:eastAsia="Calibri" w:cs="Arial"/>
          <w:sz w:val="20"/>
        </w:rPr>
        <w:t xml:space="preserve"> Gas-Fired Condensing Boilers</w:t>
      </w:r>
    </w:p>
    <w:p w14:paraId="484040ED"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 </w:t>
      </w:r>
    </w:p>
    <w:p w14:paraId="6407A042"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Scope:</w:t>
      </w:r>
      <w:r w:rsidRPr="000E0395">
        <w:rPr>
          <w:rFonts w:eastAsia="Calibri" w:cs="Arial"/>
          <w:sz w:val="20"/>
        </w:rPr>
        <w:t xml:space="preserve"> Measures are “Blessed” in new, and replacement markets for commercial installations using centralized gas-fired condensing boilers. This updates the existing single measure which currently utilizes a prescriptive incentive of $4/</w:t>
      </w:r>
      <w:proofErr w:type="spellStart"/>
      <w:r w:rsidRPr="000E0395">
        <w:rPr>
          <w:rFonts w:eastAsia="Calibri" w:cs="Arial"/>
          <w:sz w:val="20"/>
        </w:rPr>
        <w:t>kbtuh</w:t>
      </w:r>
      <w:proofErr w:type="spellEnd"/>
      <w:r w:rsidRPr="000E0395">
        <w:rPr>
          <w:rFonts w:eastAsia="Calibri" w:cs="Arial"/>
          <w:sz w:val="20"/>
        </w:rPr>
        <w:t xml:space="preserve"> for 500 </w:t>
      </w:r>
      <w:proofErr w:type="spellStart"/>
      <w:r w:rsidRPr="000E0395">
        <w:rPr>
          <w:rFonts w:eastAsia="Calibri" w:cs="Arial"/>
          <w:sz w:val="20"/>
        </w:rPr>
        <w:t>kbtuh</w:t>
      </w:r>
      <w:proofErr w:type="spellEnd"/>
      <w:r w:rsidRPr="000E0395">
        <w:rPr>
          <w:rFonts w:eastAsia="Calibri" w:cs="Arial"/>
          <w:sz w:val="20"/>
        </w:rPr>
        <w:t xml:space="preserve"> and larger condensing boilers.</w:t>
      </w:r>
    </w:p>
    <w:p w14:paraId="139BEDDA"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600090EC"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Program:</w:t>
      </w:r>
      <w:r w:rsidRPr="000E0395">
        <w:rPr>
          <w:rFonts w:eastAsia="Calibri" w:cs="Arial"/>
          <w:sz w:val="20"/>
        </w:rPr>
        <w:t xml:space="preserve"> Based on the referenced analysis and associated cost-effectiveness screening, the 3 measures described below are “blessed” as cost effective on a prospective basis for inclusion in the Existing and New Buildings program.  </w:t>
      </w:r>
    </w:p>
    <w:p w14:paraId="10C48794"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5E91E413"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Details:</w:t>
      </w:r>
      <w:r w:rsidRPr="000E0395">
        <w:rPr>
          <w:rFonts w:eastAsia="Calibri" w:cs="Arial"/>
          <w:sz w:val="20"/>
        </w:rPr>
        <w:t xml:space="preserve"> The current offering for a commercial boiler is based on a 2003 analysis which at the time concluded that the savings from a boiler below 500 </w:t>
      </w:r>
      <w:proofErr w:type="spellStart"/>
      <w:r w:rsidRPr="000E0395">
        <w:rPr>
          <w:rFonts w:eastAsia="Calibri" w:cs="Arial"/>
          <w:sz w:val="20"/>
        </w:rPr>
        <w:t>kbtuh</w:t>
      </w:r>
      <w:proofErr w:type="spellEnd"/>
      <w:r w:rsidRPr="000E0395">
        <w:rPr>
          <w:rFonts w:eastAsia="Calibri" w:cs="Arial"/>
          <w:sz w:val="20"/>
        </w:rPr>
        <w:t xml:space="preserve"> input was not cost-effective because of the large incremental cost relative to savings incurred for smaller sizes. Data from the 2001 DEER database showed that $/</w:t>
      </w:r>
      <w:proofErr w:type="spellStart"/>
      <w:r w:rsidRPr="000E0395">
        <w:rPr>
          <w:rFonts w:eastAsia="Calibri" w:cs="Arial"/>
          <w:sz w:val="20"/>
        </w:rPr>
        <w:t>kbtuh</w:t>
      </w:r>
      <w:proofErr w:type="spellEnd"/>
      <w:r w:rsidRPr="000E0395">
        <w:rPr>
          <w:rFonts w:eastAsia="Calibri" w:cs="Arial"/>
          <w:sz w:val="20"/>
        </w:rPr>
        <w:t xml:space="preserve"> for smaller sized boilers were roughly twice what they were for larger size boilers (500 </w:t>
      </w:r>
      <w:proofErr w:type="spellStart"/>
      <w:r w:rsidRPr="000E0395">
        <w:rPr>
          <w:rFonts w:eastAsia="Calibri" w:cs="Arial"/>
          <w:sz w:val="20"/>
        </w:rPr>
        <w:t>kbtuh</w:t>
      </w:r>
      <w:proofErr w:type="spellEnd"/>
      <w:r w:rsidRPr="000E0395">
        <w:rPr>
          <w:rFonts w:eastAsia="Calibri" w:cs="Arial"/>
          <w:sz w:val="20"/>
        </w:rPr>
        <w:t xml:space="preserve"> and above). Recently however the PMC received requests for prescriptive incentives for smaller size boilers used in a commercial setting, and so they contracted with </w:t>
      </w:r>
      <w:proofErr w:type="spellStart"/>
      <w:r w:rsidRPr="000E0395">
        <w:rPr>
          <w:rFonts w:eastAsia="Calibri" w:cs="Arial"/>
          <w:sz w:val="20"/>
        </w:rPr>
        <w:t>Nexant</w:t>
      </w:r>
      <w:proofErr w:type="spellEnd"/>
      <w:r w:rsidRPr="000E0395">
        <w:rPr>
          <w:rFonts w:eastAsia="Calibri" w:cs="Arial"/>
          <w:sz w:val="20"/>
        </w:rPr>
        <w:t xml:space="preserve"> to update the 2003 analysis using the most recent savings and cost data available from a 2009 DOE analysis.</w:t>
      </w:r>
    </w:p>
    <w:p w14:paraId="1DE7864B"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5617B978"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The previous cost-effectiveness screening relied upon the average estimate of Equivalent Full Load Hours (EFLH) for various building types to calculate savings, as well as the efficiency gain seen when upgrading from an 80% AFUE baseline to a 90% AFUE target. To update this gas boiler analysis and get a better estimate for EFLH, hourly weather data was utilized to determine the seasonal efficiency expected from both a non-condensing and condensing boiler, as well as the potential EFLH for this climate based on expected seasonal run times. (See below under “Explanation of EFLH Analysis”.) The difference between the code and target efficiency levels coupled with the EFLH estimate is the basis for calculating savings.</w:t>
      </w:r>
    </w:p>
    <w:p w14:paraId="673322B5"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lastRenderedPageBreak/>
        <w:t> </w:t>
      </w:r>
    </w:p>
    <w:p w14:paraId="2FC76C19"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Similar to the 2003 analysis, the updated analysis uses a code baseline of 80% AFUE for the smaller boiler size class. Larger boiler sizes are measured in Thermal Efficiency (</w:t>
      </w:r>
      <w:proofErr w:type="gramStart"/>
      <w:r w:rsidRPr="000E0395">
        <w:rPr>
          <w:rFonts w:eastAsia="Calibri" w:cs="Arial"/>
          <w:sz w:val="20"/>
        </w:rPr>
        <w:t>Et</w:t>
      </w:r>
      <w:proofErr w:type="gramEnd"/>
      <w:r w:rsidRPr="000E0395">
        <w:rPr>
          <w:rFonts w:eastAsia="Calibri" w:cs="Arial"/>
          <w:sz w:val="20"/>
        </w:rPr>
        <w:t>) or Combustion Efficiency (</w:t>
      </w:r>
      <w:proofErr w:type="spellStart"/>
      <w:r w:rsidRPr="000E0395">
        <w:rPr>
          <w:rFonts w:eastAsia="Calibri" w:cs="Arial"/>
          <w:sz w:val="20"/>
        </w:rPr>
        <w:t>Ec</w:t>
      </w:r>
      <w:proofErr w:type="spellEnd"/>
      <w:r w:rsidRPr="000E0395">
        <w:rPr>
          <w:rFonts w:eastAsia="Calibri" w:cs="Arial"/>
          <w:sz w:val="20"/>
        </w:rPr>
        <w:t xml:space="preserve">), and the minimum level for these two size classes was set at 0.8 Et and </w:t>
      </w:r>
      <w:proofErr w:type="spellStart"/>
      <w:r w:rsidRPr="000E0395">
        <w:rPr>
          <w:rFonts w:eastAsia="Calibri" w:cs="Arial"/>
          <w:sz w:val="20"/>
        </w:rPr>
        <w:t>Ec</w:t>
      </w:r>
      <w:proofErr w:type="spellEnd"/>
      <w:r w:rsidRPr="000E0395">
        <w:rPr>
          <w:rFonts w:eastAsia="Calibri" w:cs="Arial"/>
          <w:sz w:val="20"/>
        </w:rPr>
        <w:t xml:space="preserve"> as well. (See exceptions below for more detail.) In this update, the measure is broken apart into three size classes to correspond to the current code level requirements in an effort to clarify efficiency ratings among consumers.</w:t>
      </w:r>
    </w:p>
    <w:p w14:paraId="108AB59B" w14:textId="77777777" w:rsidR="000E0395" w:rsidRPr="000E0395" w:rsidRDefault="000E0395" w:rsidP="008172F3">
      <w:pPr>
        <w:spacing w:after="160" w:line="259" w:lineRule="auto"/>
        <w:rPr>
          <w:rFonts w:eastAsia="Calibri" w:cs="Arial"/>
          <w:sz w:val="20"/>
        </w:rPr>
      </w:pPr>
    </w:p>
    <w:p w14:paraId="3465A977"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Nick and I really struggled to both get a meaningful analysis of this one and to describe it correctly. Please let me know if there are ways this can be clarified.    I’m pretty confident in the analysis, although you could quibble with some of the assumptions; it’s the description that’s gnarly.  Nick figured out a consistent way to look at part load efficiency and part load field conditions for both condensing and non-condensing boilers and I think this improves the reliability of our savings estimates for all sizes of boilers.   </w:t>
      </w:r>
      <w:proofErr w:type="gramStart"/>
      <w:r w:rsidRPr="000E0395">
        <w:rPr>
          <w:rFonts w:eastAsia="Calibri" w:cs="Arial"/>
          <w:sz w:val="20"/>
        </w:rPr>
        <w:t>This</w:t>
      </w:r>
      <w:proofErr w:type="gramEnd"/>
      <w:r w:rsidRPr="000E0395">
        <w:rPr>
          <w:rFonts w:eastAsia="Calibri" w:cs="Arial"/>
          <w:sz w:val="20"/>
        </w:rPr>
        <w:t xml:space="preserve"> both provides savings estimates for small boilers and revises estimates for larger boilers.   Normally we wouldn’t revise the estimates until the beginning of the next year’s program, through the true-up.   So I think maybe we add the small ones now, revise the big ones later.   Does that make sense?</w:t>
      </w:r>
    </w:p>
    <w:p w14:paraId="3B230FE0"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4B24CF74"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Incremental cost was also determined using the 2009 DOE study and broken down into $/</w:t>
      </w:r>
      <w:proofErr w:type="spellStart"/>
      <w:r w:rsidRPr="000E0395">
        <w:rPr>
          <w:rFonts w:eastAsia="Calibri" w:cs="Arial"/>
          <w:sz w:val="20"/>
        </w:rPr>
        <w:t>kbtuh</w:t>
      </w:r>
      <w:proofErr w:type="spellEnd"/>
      <w:r w:rsidRPr="000E0395">
        <w:rPr>
          <w:rFonts w:eastAsia="Calibri" w:cs="Arial"/>
          <w:sz w:val="20"/>
        </w:rPr>
        <w:t xml:space="preserve"> for each size class. Initially the PMC sought to provide incentives for a near-condensing 85% AFUE efficient boiler for the smaller size class in an effort to increase market uptake without the added install costs of a condensing boiler. However, the primary issue affecting the installed cost of an 85% AFUE boiler is the venting considerations.  All boilers in the 85%-88% range require a Category III, high-pressure, high-temperature venting arrangement to prevent condensation problems, which costs significantly more than other venting arrangements (i.e. sealed and made from stainless steel).  For condensing boilers 90% and above, a Category IV vent is suitable, which is significantly cheaper since it is a low-pressure, low-temperature venting strategy that can be made from PVC.  As a result, retail costs of the equipment rise with increases in efficiency, but installation costs fall with increases in efficiency. Because of these costs, 85% AFUE near-condensing boilers do not pass cost-effectiveness when compared to the code baseline of 80%.</w:t>
      </w:r>
    </w:p>
    <w:p w14:paraId="5E376F21"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0FAF249A"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Measure life was kept at 20 years to align with the previous measure lives of boilers across programs.</w:t>
      </w:r>
    </w:p>
    <w:p w14:paraId="4D1BD2BB" w14:textId="77777777" w:rsidR="000E0395" w:rsidRPr="000E0395" w:rsidRDefault="000E0395" w:rsidP="000E0395">
      <w:pPr>
        <w:spacing w:after="160" w:line="259" w:lineRule="auto"/>
        <w:ind w:left="720"/>
        <w:rPr>
          <w:rFonts w:ascii="Calibri" w:eastAsia="Calibri" w:hAnsi="Calibri"/>
          <w:sz w:val="22"/>
          <w:szCs w:val="22"/>
        </w:rPr>
      </w:pPr>
      <w:r w:rsidRPr="000E0395">
        <w:rPr>
          <w:rFonts w:ascii="Calibri" w:eastAsia="Calibri" w:hAnsi="Calibri"/>
          <w:sz w:val="22"/>
          <w:szCs w:val="22"/>
        </w:rPr>
        <w:t> </w:t>
      </w:r>
    </w:p>
    <w:p w14:paraId="3F701EE9"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sz w:val="22"/>
          <w:szCs w:val="22"/>
        </w:rPr>
        <w:br w:type="page"/>
      </w:r>
    </w:p>
    <w:p w14:paraId="4B5E955A" w14:textId="77777777" w:rsidR="000E0395" w:rsidRPr="000E0395" w:rsidRDefault="000E0395" w:rsidP="000E0395">
      <w:pPr>
        <w:spacing w:after="160" w:line="259" w:lineRule="auto"/>
        <w:ind w:left="720"/>
        <w:rPr>
          <w:rFonts w:ascii="Calibri" w:eastAsia="Calibri" w:hAnsi="Calibri"/>
          <w:sz w:val="22"/>
          <w:szCs w:val="22"/>
        </w:rPr>
      </w:pPr>
    </w:p>
    <w:p w14:paraId="06948D31"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xml:space="preserve">Using the 2009 analysis from </w:t>
      </w:r>
      <w:proofErr w:type="spellStart"/>
      <w:r w:rsidRPr="000E0395">
        <w:rPr>
          <w:rFonts w:eastAsia="Calibri" w:cs="Arial"/>
          <w:sz w:val="20"/>
        </w:rPr>
        <w:t>Nexant</w:t>
      </w:r>
      <w:proofErr w:type="spellEnd"/>
      <w:r w:rsidRPr="000E0395">
        <w:rPr>
          <w:rFonts w:eastAsia="Calibri" w:cs="Arial"/>
          <w:sz w:val="20"/>
        </w:rPr>
        <w:t xml:space="preserve">, the cost effectiveness screening for the 3 measures is given below based on a per </w:t>
      </w:r>
      <w:proofErr w:type="spellStart"/>
      <w:r w:rsidRPr="000E0395">
        <w:rPr>
          <w:rFonts w:eastAsia="Calibri" w:cs="Arial"/>
          <w:sz w:val="20"/>
        </w:rPr>
        <w:t>kbtuh</w:t>
      </w:r>
      <w:proofErr w:type="spellEnd"/>
      <w:r w:rsidRPr="000E0395">
        <w:rPr>
          <w:rFonts w:eastAsia="Calibri" w:cs="Arial"/>
          <w:sz w:val="20"/>
        </w:rPr>
        <w:t xml:space="preserve"> input. </w:t>
      </w:r>
    </w:p>
    <w:tbl>
      <w:tblPr>
        <w:tblW w:w="9594" w:type="dxa"/>
        <w:tblInd w:w="108" w:type="dxa"/>
        <w:tblCellMar>
          <w:left w:w="0" w:type="dxa"/>
          <w:right w:w="0" w:type="dxa"/>
        </w:tblCellMar>
        <w:tblLook w:val="0000" w:firstRow="0" w:lastRow="0" w:firstColumn="0" w:lastColumn="0" w:noHBand="0" w:noVBand="0"/>
      </w:tblPr>
      <w:tblGrid>
        <w:gridCol w:w="1089"/>
        <w:gridCol w:w="1644"/>
        <w:gridCol w:w="1278"/>
        <w:gridCol w:w="1076"/>
        <w:gridCol w:w="1422"/>
        <w:gridCol w:w="1147"/>
        <w:gridCol w:w="1266"/>
        <w:gridCol w:w="1266"/>
      </w:tblGrid>
      <w:tr w:rsidR="000E0395" w:rsidRPr="000E0395" w14:paraId="19C122E0" w14:textId="77777777" w:rsidTr="008172F3">
        <w:trPr>
          <w:trHeight w:val="1682"/>
        </w:trPr>
        <w:tc>
          <w:tcPr>
            <w:tcW w:w="1110"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0BF94F1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Measure #</w:t>
            </w:r>
          </w:p>
        </w:tc>
        <w:tc>
          <w:tcPr>
            <w:tcW w:w="1679"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765B16D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Energy Efficiency Measure Name</w:t>
            </w:r>
          </w:p>
        </w:tc>
        <w:tc>
          <w:tcPr>
            <w:tcW w:w="1255"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1F8823E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xml:space="preserve">Measure Lifetime (Maximum 70 </w:t>
            </w:r>
            <w:proofErr w:type="spellStart"/>
            <w:r w:rsidRPr="000E0395">
              <w:rPr>
                <w:rFonts w:eastAsia="Calibri" w:cs="Arial"/>
                <w:b/>
                <w:bCs/>
                <w:sz w:val="22"/>
                <w:szCs w:val="22"/>
              </w:rPr>
              <w:t>yrs</w:t>
            </w:r>
            <w:proofErr w:type="spellEnd"/>
            <w:r w:rsidRPr="000E0395">
              <w:rPr>
                <w:rFonts w:eastAsia="Calibri" w:cs="Arial"/>
                <w:b/>
                <w:bCs/>
                <w:sz w:val="22"/>
                <w:szCs w:val="22"/>
              </w:rPr>
              <w:t>)</w:t>
            </w:r>
          </w:p>
        </w:tc>
        <w:tc>
          <w:tcPr>
            <w:tcW w:w="97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4D5264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Annual Natural Gas Savings (therms)</w:t>
            </w:r>
          </w:p>
        </w:tc>
        <w:tc>
          <w:tcPr>
            <w:tcW w:w="127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029A2A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Total Incremental Cost of Measure</w:t>
            </w:r>
          </w:p>
        </w:tc>
        <w:tc>
          <w:tcPr>
            <w:tcW w:w="1033"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18525B2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xml:space="preserve">MAX Potential Incentive </w:t>
            </w:r>
          </w:p>
        </w:tc>
        <w:tc>
          <w:tcPr>
            <w:tcW w:w="113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2A7FC9A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Combined Utility System BCR</w:t>
            </w:r>
          </w:p>
        </w:tc>
        <w:tc>
          <w:tcPr>
            <w:tcW w:w="113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0366CC8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Combined Societal BCR</w:t>
            </w:r>
          </w:p>
        </w:tc>
      </w:tr>
      <w:tr w:rsidR="000E0395" w:rsidRPr="000E0395" w14:paraId="5A210620" w14:textId="77777777" w:rsidTr="008172F3">
        <w:trPr>
          <w:trHeight w:val="806"/>
        </w:trPr>
        <w:tc>
          <w:tcPr>
            <w:tcW w:w="1110" w:type="dxa"/>
            <w:tcBorders>
              <w:top w:val="nil"/>
              <w:left w:val="single" w:sz="8" w:space="0" w:color="auto"/>
              <w:bottom w:val="single" w:sz="8" w:space="0" w:color="auto"/>
              <w:right w:val="nil"/>
            </w:tcBorders>
            <w:shd w:val="clear" w:color="auto" w:fill="99CCFF"/>
            <w:tcMar>
              <w:top w:w="0" w:type="dxa"/>
              <w:left w:w="108" w:type="dxa"/>
              <w:bottom w:w="0" w:type="dxa"/>
              <w:right w:w="108" w:type="dxa"/>
            </w:tcMar>
            <w:vAlign w:val="center"/>
          </w:tcPr>
          <w:p w14:paraId="216397F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1</w:t>
            </w:r>
          </w:p>
        </w:tc>
        <w:tc>
          <w:tcPr>
            <w:tcW w:w="1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C96EC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xml:space="preserve">Condensing Boilers </w:t>
            </w:r>
            <w:r w:rsidRPr="000E0395">
              <w:rPr>
                <w:rFonts w:eastAsia="Calibri" w:cs="Arial"/>
                <w:sz w:val="22"/>
                <w:szCs w:val="22"/>
              </w:rPr>
              <w:br/>
              <w:t xml:space="preserve">&lt; 300 </w:t>
            </w:r>
            <w:proofErr w:type="spellStart"/>
            <w:r w:rsidRPr="000E0395">
              <w:rPr>
                <w:rFonts w:eastAsia="Calibri" w:cs="Arial"/>
                <w:sz w:val="22"/>
                <w:szCs w:val="22"/>
              </w:rPr>
              <w:t>kbtuh</w:t>
            </w:r>
            <w:proofErr w:type="spellEnd"/>
            <w:r w:rsidRPr="000E0395">
              <w:rPr>
                <w:rFonts w:eastAsia="Calibri" w:cs="Arial"/>
                <w:sz w:val="22"/>
                <w:szCs w:val="22"/>
              </w:rPr>
              <w:br/>
              <w:t>0.9 AFUE</w:t>
            </w:r>
          </w:p>
        </w:tc>
        <w:tc>
          <w:tcPr>
            <w:tcW w:w="1255" w:type="dxa"/>
            <w:tcBorders>
              <w:top w:val="nil"/>
              <w:left w:val="nil"/>
              <w:bottom w:val="nil"/>
              <w:right w:val="single" w:sz="8" w:space="0" w:color="auto"/>
            </w:tcBorders>
            <w:tcMar>
              <w:top w:w="0" w:type="dxa"/>
              <w:left w:w="108" w:type="dxa"/>
              <w:bottom w:w="0" w:type="dxa"/>
              <w:right w:w="108" w:type="dxa"/>
            </w:tcMar>
            <w:vAlign w:val="center"/>
          </w:tcPr>
          <w:p w14:paraId="3EAB2A1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AD33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2.21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54EB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$15.99</w:t>
            </w:r>
          </w:p>
        </w:tc>
        <w:tc>
          <w:tcPr>
            <w:tcW w:w="103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CAA116F"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$15.60</w:t>
            </w:r>
          </w:p>
        </w:tc>
        <w:tc>
          <w:tcPr>
            <w:tcW w:w="11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36B9D53"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1.0</w:t>
            </w:r>
          </w:p>
        </w:tc>
        <w:tc>
          <w:tcPr>
            <w:tcW w:w="1137"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327F565D"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0.98</w:t>
            </w:r>
          </w:p>
        </w:tc>
      </w:tr>
      <w:tr w:rsidR="000E0395" w:rsidRPr="000E0395" w14:paraId="321AEBAA" w14:textId="77777777" w:rsidTr="008172F3">
        <w:trPr>
          <w:trHeight w:val="806"/>
        </w:trPr>
        <w:tc>
          <w:tcPr>
            <w:tcW w:w="1110" w:type="dxa"/>
            <w:tcBorders>
              <w:top w:val="nil"/>
              <w:left w:val="single" w:sz="8" w:space="0" w:color="auto"/>
              <w:bottom w:val="single" w:sz="8" w:space="0" w:color="auto"/>
              <w:right w:val="nil"/>
            </w:tcBorders>
            <w:shd w:val="clear" w:color="auto" w:fill="99CCFF"/>
            <w:tcMar>
              <w:top w:w="0" w:type="dxa"/>
              <w:left w:w="108" w:type="dxa"/>
              <w:bottom w:w="0" w:type="dxa"/>
              <w:right w:w="108" w:type="dxa"/>
            </w:tcMar>
            <w:vAlign w:val="center"/>
          </w:tcPr>
          <w:p w14:paraId="3FF4D96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2</w:t>
            </w:r>
          </w:p>
        </w:tc>
        <w:tc>
          <w:tcPr>
            <w:tcW w:w="1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463B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xml:space="preserve">Condensing Boilers </w:t>
            </w:r>
            <w:r w:rsidRPr="000E0395">
              <w:rPr>
                <w:rFonts w:eastAsia="Calibri" w:cs="Arial"/>
                <w:sz w:val="22"/>
                <w:szCs w:val="22"/>
              </w:rPr>
              <w:br/>
              <w:t xml:space="preserve">≥ 300 </w:t>
            </w:r>
            <w:proofErr w:type="spellStart"/>
            <w:r w:rsidRPr="000E0395">
              <w:rPr>
                <w:rFonts w:eastAsia="Calibri" w:cs="Arial"/>
                <w:sz w:val="22"/>
                <w:szCs w:val="22"/>
              </w:rPr>
              <w:t>kbtuh</w:t>
            </w:r>
            <w:proofErr w:type="spellEnd"/>
            <w:r w:rsidRPr="000E0395">
              <w:rPr>
                <w:rFonts w:eastAsia="Calibri" w:cs="Arial"/>
                <w:sz w:val="22"/>
                <w:szCs w:val="22"/>
              </w:rPr>
              <w:t xml:space="preserve">, ≤ 2,500 </w:t>
            </w:r>
            <w:proofErr w:type="spellStart"/>
            <w:r w:rsidRPr="000E0395">
              <w:rPr>
                <w:rFonts w:eastAsia="Calibri" w:cs="Arial"/>
                <w:sz w:val="22"/>
                <w:szCs w:val="22"/>
              </w:rPr>
              <w:t>kbtuh</w:t>
            </w:r>
            <w:proofErr w:type="spellEnd"/>
            <w:r w:rsidRPr="000E0395">
              <w:rPr>
                <w:rFonts w:eastAsia="Calibri" w:cs="Arial"/>
                <w:sz w:val="22"/>
                <w:szCs w:val="22"/>
              </w:rPr>
              <w:br/>
              <w:t>0.9 Et</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B11DA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C14F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2.19</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C4A1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$15.70</w:t>
            </w:r>
          </w:p>
        </w:tc>
        <w:tc>
          <w:tcPr>
            <w:tcW w:w="103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7C2A3A7"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$15.50</w:t>
            </w:r>
          </w:p>
        </w:tc>
        <w:tc>
          <w:tcPr>
            <w:tcW w:w="11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10D14F5"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1.0</w:t>
            </w:r>
          </w:p>
        </w:tc>
        <w:tc>
          <w:tcPr>
            <w:tcW w:w="1137"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1DE9EC4C"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0.99</w:t>
            </w:r>
          </w:p>
        </w:tc>
      </w:tr>
      <w:tr w:rsidR="000E0395" w:rsidRPr="000E0395" w14:paraId="4120A09A" w14:textId="77777777" w:rsidTr="008172F3">
        <w:trPr>
          <w:trHeight w:val="806"/>
        </w:trPr>
        <w:tc>
          <w:tcPr>
            <w:tcW w:w="1110" w:type="dxa"/>
            <w:tcBorders>
              <w:top w:val="nil"/>
              <w:left w:val="single" w:sz="8" w:space="0" w:color="auto"/>
              <w:bottom w:val="single" w:sz="8" w:space="0" w:color="auto"/>
              <w:right w:val="nil"/>
            </w:tcBorders>
            <w:shd w:val="clear" w:color="auto" w:fill="99CCFF"/>
            <w:tcMar>
              <w:top w:w="0" w:type="dxa"/>
              <w:left w:w="108" w:type="dxa"/>
              <w:bottom w:w="0" w:type="dxa"/>
              <w:right w:w="108" w:type="dxa"/>
            </w:tcMar>
            <w:vAlign w:val="center"/>
          </w:tcPr>
          <w:p w14:paraId="4DCF9A3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3</w:t>
            </w:r>
          </w:p>
        </w:tc>
        <w:tc>
          <w:tcPr>
            <w:tcW w:w="16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5D334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xml:space="preserve">Condensing Boilers </w:t>
            </w:r>
            <w:r w:rsidRPr="000E0395">
              <w:rPr>
                <w:rFonts w:eastAsia="Calibri" w:cs="Arial"/>
                <w:sz w:val="22"/>
                <w:szCs w:val="22"/>
              </w:rPr>
              <w:br/>
              <w:t xml:space="preserve">&gt; 2,500 </w:t>
            </w:r>
            <w:proofErr w:type="spellStart"/>
            <w:r w:rsidRPr="000E0395">
              <w:rPr>
                <w:rFonts w:eastAsia="Calibri" w:cs="Arial"/>
                <w:sz w:val="22"/>
                <w:szCs w:val="22"/>
              </w:rPr>
              <w:t>kbtuh</w:t>
            </w:r>
            <w:proofErr w:type="spellEnd"/>
            <w:r w:rsidRPr="000E0395">
              <w:rPr>
                <w:rFonts w:eastAsia="Calibri" w:cs="Arial"/>
                <w:sz w:val="22"/>
                <w:szCs w:val="22"/>
              </w:rPr>
              <w:t xml:space="preserve"> </w:t>
            </w:r>
            <w:r w:rsidRPr="000E0395">
              <w:rPr>
                <w:rFonts w:eastAsia="Calibri" w:cs="Arial"/>
                <w:sz w:val="22"/>
                <w:szCs w:val="22"/>
              </w:rPr>
              <w:br/>
              <w:t xml:space="preserve">0.9 </w:t>
            </w:r>
            <w:proofErr w:type="spellStart"/>
            <w:r w:rsidRPr="000E0395">
              <w:rPr>
                <w:rFonts w:eastAsia="Calibri" w:cs="Arial"/>
                <w:sz w:val="22"/>
                <w:szCs w:val="22"/>
              </w:rPr>
              <w:t>Ec</w:t>
            </w:r>
            <w:proofErr w:type="spellEnd"/>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54D8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C6EB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2.17</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F41B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$12.12</w:t>
            </w:r>
          </w:p>
        </w:tc>
        <w:tc>
          <w:tcPr>
            <w:tcW w:w="103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0F7CF0F"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$15.40</w:t>
            </w:r>
          </w:p>
        </w:tc>
        <w:tc>
          <w:tcPr>
            <w:tcW w:w="11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DCF4F48"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1.0</w:t>
            </w:r>
          </w:p>
        </w:tc>
        <w:tc>
          <w:tcPr>
            <w:tcW w:w="11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5217F62" w14:textId="77777777" w:rsidR="000E0395" w:rsidRPr="000E0395" w:rsidRDefault="000E0395" w:rsidP="000E0395">
            <w:pPr>
              <w:spacing w:after="160" w:line="259" w:lineRule="auto"/>
              <w:jc w:val="center"/>
              <w:rPr>
                <w:rFonts w:ascii="Calibri" w:eastAsia="Calibri" w:hAnsi="Calibri"/>
                <w:color w:val="4F81BD"/>
                <w:sz w:val="22"/>
                <w:szCs w:val="22"/>
              </w:rPr>
            </w:pPr>
            <w:r w:rsidRPr="000E0395">
              <w:rPr>
                <w:rFonts w:eastAsia="Calibri" w:cs="Arial"/>
                <w:color w:val="4F81BD"/>
                <w:sz w:val="22"/>
                <w:szCs w:val="22"/>
              </w:rPr>
              <w:t>1.3</w:t>
            </w:r>
          </w:p>
        </w:tc>
      </w:tr>
      <w:tr w:rsidR="000E0395" w:rsidRPr="000E0395" w14:paraId="26686CBD" w14:textId="77777777" w:rsidTr="008172F3">
        <w:trPr>
          <w:trHeight w:val="372"/>
        </w:trPr>
        <w:tc>
          <w:tcPr>
            <w:tcW w:w="1110" w:type="dxa"/>
            <w:tcBorders>
              <w:top w:val="nil"/>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vAlign w:val="center"/>
          </w:tcPr>
          <w:p w14:paraId="1BBE112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Total</w:t>
            </w:r>
          </w:p>
        </w:tc>
        <w:tc>
          <w:tcPr>
            <w:tcW w:w="1679"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65A503D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w:t>
            </w:r>
          </w:p>
        </w:tc>
        <w:tc>
          <w:tcPr>
            <w:tcW w:w="1255"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069261C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w:t>
            </w:r>
          </w:p>
        </w:tc>
        <w:tc>
          <w:tcPr>
            <w:tcW w:w="970"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38BDA1A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7</w:t>
            </w:r>
          </w:p>
        </w:tc>
        <w:tc>
          <w:tcPr>
            <w:tcW w:w="1273"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5DEF4A6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$44</w:t>
            </w:r>
          </w:p>
        </w:tc>
        <w:tc>
          <w:tcPr>
            <w:tcW w:w="1033"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400616E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$12</w:t>
            </w:r>
          </w:p>
        </w:tc>
        <w:tc>
          <w:tcPr>
            <w:tcW w:w="1137" w:type="dxa"/>
            <w:tcBorders>
              <w:top w:val="nil"/>
              <w:left w:val="nil"/>
              <w:bottom w:val="single" w:sz="8" w:space="0" w:color="auto"/>
              <w:right w:val="nil"/>
            </w:tcBorders>
            <w:shd w:val="clear" w:color="auto" w:fill="99CCFF"/>
            <w:tcMar>
              <w:top w:w="0" w:type="dxa"/>
              <w:left w:w="108" w:type="dxa"/>
              <w:bottom w:w="0" w:type="dxa"/>
              <w:right w:w="108" w:type="dxa"/>
            </w:tcMar>
            <w:vAlign w:val="center"/>
          </w:tcPr>
          <w:p w14:paraId="44A877D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5.3</w:t>
            </w:r>
          </w:p>
        </w:tc>
        <w:tc>
          <w:tcPr>
            <w:tcW w:w="1137"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0E09BB7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1.4</w:t>
            </w:r>
          </w:p>
        </w:tc>
      </w:tr>
    </w:tbl>
    <w:p w14:paraId="0F205938" w14:textId="77777777" w:rsidR="000E0395" w:rsidRPr="000E0395" w:rsidRDefault="000E0395" w:rsidP="000E0395">
      <w:pPr>
        <w:spacing w:after="160" w:line="259" w:lineRule="auto"/>
        <w:ind w:left="720"/>
        <w:rPr>
          <w:rFonts w:ascii="Calibri" w:eastAsia="Calibri" w:hAnsi="Calibri"/>
          <w:sz w:val="22"/>
          <w:szCs w:val="22"/>
        </w:rPr>
      </w:pPr>
      <w:r w:rsidRPr="000E0395">
        <w:rPr>
          <w:rFonts w:eastAsia="Calibri" w:cs="Arial"/>
          <w:sz w:val="20"/>
        </w:rPr>
        <w:t> </w:t>
      </w:r>
    </w:p>
    <w:p w14:paraId="670B628D"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Program Requirements:  </w:t>
      </w:r>
    </w:p>
    <w:p w14:paraId="3AD0B7AE" w14:textId="77777777" w:rsidR="000E0395" w:rsidRPr="000E0395" w:rsidRDefault="000E0395" w:rsidP="008172F3">
      <w:pPr>
        <w:numPr>
          <w:ilvl w:val="0"/>
          <w:numId w:val="23"/>
        </w:numPr>
        <w:tabs>
          <w:tab w:val="num" w:pos="1440"/>
        </w:tabs>
        <w:spacing w:line="259" w:lineRule="auto"/>
        <w:rPr>
          <w:rFonts w:ascii="Calibri" w:eastAsia="Calibri" w:hAnsi="Calibri"/>
          <w:sz w:val="22"/>
          <w:szCs w:val="22"/>
        </w:rPr>
      </w:pPr>
      <w:r w:rsidRPr="000E0395">
        <w:rPr>
          <w:rFonts w:eastAsia="Calibri" w:cs="Arial"/>
          <w:sz w:val="20"/>
        </w:rPr>
        <w:t>The efficiency rating must be the published rating at 130°F return water temperature to qualify for the incentive.</w:t>
      </w:r>
    </w:p>
    <w:p w14:paraId="74235CBC" w14:textId="77777777" w:rsidR="000E0395" w:rsidRPr="000E0395" w:rsidRDefault="000E0395" w:rsidP="008172F3">
      <w:pPr>
        <w:numPr>
          <w:ilvl w:val="0"/>
          <w:numId w:val="23"/>
        </w:numPr>
        <w:tabs>
          <w:tab w:val="num" w:pos="1440"/>
        </w:tabs>
        <w:spacing w:after="120" w:line="259" w:lineRule="auto"/>
        <w:rPr>
          <w:rFonts w:ascii="Calibri" w:eastAsia="Calibri" w:hAnsi="Calibri"/>
          <w:sz w:val="22"/>
          <w:szCs w:val="22"/>
        </w:rPr>
      </w:pPr>
      <w:r w:rsidRPr="000E0395">
        <w:rPr>
          <w:rFonts w:eastAsia="Calibri" w:cs="Arial"/>
          <w:sz w:val="20"/>
        </w:rPr>
        <w:t xml:space="preserve">Rating type (AFUE, </w:t>
      </w:r>
      <w:proofErr w:type="gramStart"/>
      <w:r w:rsidRPr="000E0395">
        <w:rPr>
          <w:rFonts w:eastAsia="Calibri" w:cs="Arial"/>
          <w:sz w:val="20"/>
        </w:rPr>
        <w:t>Et</w:t>
      </w:r>
      <w:proofErr w:type="gramEnd"/>
      <w:r w:rsidRPr="000E0395">
        <w:rPr>
          <w:rFonts w:eastAsia="Calibri" w:cs="Arial"/>
          <w:sz w:val="20"/>
        </w:rPr>
        <w:t xml:space="preserve">, </w:t>
      </w:r>
      <w:proofErr w:type="spellStart"/>
      <w:r w:rsidRPr="000E0395">
        <w:rPr>
          <w:rFonts w:eastAsia="Calibri" w:cs="Arial"/>
          <w:sz w:val="20"/>
        </w:rPr>
        <w:t>Ec</w:t>
      </w:r>
      <w:proofErr w:type="spellEnd"/>
      <w:r w:rsidRPr="000E0395">
        <w:rPr>
          <w:rFonts w:eastAsia="Calibri" w:cs="Arial"/>
          <w:sz w:val="20"/>
        </w:rPr>
        <w:t>) must correspond to ratings established for size class (</w:t>
      </w:r>
      <w:proofErr w:type="spellStart"/>
      <w:r w:rsidRPr="000E0395">
        <w:rPr>
          <w:rFonts w:eastAsia="Calibri" w:cs="Arial"/>
          <w:sz w:val="20"/>
        </w:rPr>
        <w:t>e.x</w:t>
      </w:r>
      <w:proofErr w:type="spellEnd"/>
      <w:r w:rsidRPr="000E0395">
        <w:rPr>
          <w:rFonts w:eastAsia="Calibri" w:cs="Arial"/>
          <w:sz w:val="20"/>
        </w:rPr>
        <w:t xml:space="preserve">. AFUE for boilers under 300 </w:t>
      </w:r>
      <w:proofErr w:type="spellStart"/>
      <w:r w:rsidRPr="000E0395">
        <w:rPr>
          <w:rFonts w:eastAsia="Calibri" w:cs="Arial"/>
          <w:sz w:val="20"/>
        </w:rPr>
        <w:t>kbtuh</w:t>
      </w:r>
      <w:proofErr w:type="spellEnd"/>
      <w:r w:rsidRPr="000E0395">
        <w:rPr>
          <w:rFonts w:eastAsia="Calibri" w:cs="Arial"/>
          <w:sz w:val="20"/>
        </w:rPr>
        <w:t xml:space="preserve"> input, </w:t>
      </w:r>
      <w:proofErr w:type="spellStart"/>
      <w:r w:rsidRPr="000E0395">
        <w:rPr>
          <w:rFonts w:eastAsia="Calibri" w:cs="Arial"/>
          <w:sz w:val="20"/>
        </w:rPr>
        <w:t>Ec</w:t>
      </w:r>
      <w:proofErr w:type="spellEnd"/>
      <w:r w:rsidRPr="000E0395">
        <w:rPr>
          <w:rFonts w:eastAsia="Calibri" w:cs="Arial"/>
          <w:sz w:val="20"/>
        </w:rPr>
        <w:t xml:space="preserve"> for boilers greater than 2,500 </w:t>
      </w:r>
      <w:proofErr w:type="spellStart"/>
      <w:r w:rsidRPr="000E0395">
        <w:rPr>
          <w:rFonts w:eastAsia="Calibri" w:cs="Arial"/>
          <w:sz w:val="20"/>
        </w:rPr>
        <w:t>kbtuh</w:t>
      </w:r>
      <w:proofErr w:type="spellEnd"/>
      <w:r w:rsidRPr="000E0395">
        <w:rPr>
          <w:rFonts w:eastAsia="Calibri" w:cs="Arial"/>
          <w:sz w:val="20"/>
        </w:rPr>
        <w:t>, etc.)</w:t>
      </w:r>
    </w:p>
    <w:p w14:paraId="0BA97FED" w14:textId="77777777" w:rsidR="000E0395" w:rsidRPr="000E0395" w:rsidRDefault="000E0395" w:rsidP="008172F3">
      <w:pPr>
        <w:spacing w:after="120" w:line="259" w:lineRule="auto"/>
        <w:rPr>
          <w:rFonts w:ascii="Calibri" w:eastAsia="Calibri" w:hAnsi="Calibri"/>
          <w:sz w:val="22"/>
          <w:szCs w:val="22"/>
        </w:rPr>
      </w:pPr>
      <w:r w:rsidRPr="000E0395">
        <w:rPr>
          <w:rFonts w:eastAsia="Calibri" w:cs="Arial"/>
          <w:b/>
          <w:bCs/>
          <w:sz w:val="20"/>
        </w:rPr>
        <w:t> </w:t>
      </w:r>
    </w:p>
    <w:p w14:paraId="009D62AB"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Exceptions:</w:t>
      </w:r>
      <w:r w:rsidRPr="000E0395">
        <w:rPr>
          <w:rFonts w:eastAsia="Calibri" w:cs="Arial"/>
          <w:sz w:val="20"/>
        </w:rPr>
        <w:t xml:space="preserve"> </w:t>
      </w:r>
      <w:smartTag w:uri="urn:schemas-microsoft-com:office:smarttags" w:element="State">
        <w:smartTag w:uri="urn:schemas-microsoft-com:office:smarttags" w:element="place">
          <w:r w:rsidRPr="000E0395">
            <w:rPr>
              <w:rFonts w:eastAsia="Calibri" w:cs="Arial"/>
              <w:sz w:val="20"/>
            </w:rPr>
            <w:t>Oregon</w:t>
          </w:r>
        </w:smartTag>
      </w:smartTag>
      <w:r w:rsidRPr="000E0395">
        <w:rPr>
          <w:rFonts w:eastAsia="Calibri" w:cs="Arial"/>
          <w:sz w:val="20"/>
        </w:rPr>
        <w:t xml:space="preserve"> Code requires that boilers that are ≥ 300 </w:t>
      </w:r>
      <w:proofErr w:type="spellStart"/>
      <w:r w:rsidRPr="000E0395">
        <w:rPr>
          <w:rFonts w:eastAsia="Calibri" w:cs="Arial"/>
          <w:sz w:val="20"/>
        </w:rPr>
        <w:t>kbtuh</w:t>
      </w:r>
      <w:proofErr w:type="spellEnd"/>
      <w:r w:rsidRPr="000E0395">
        <w:rPr>
          <w:rFonts w:eastAsia="Calibri" w:cs="Arial"/>
          <w:sz w:val="20"/>
        </w:rPr>
        <w:t xml:space="preserve"> and ≤ 2,500 </w:t>
      </w:r>
      <w:proofErr w:type="spellStart"/>
      <w:r w:rsidRPr="000E0395">
        <w:rPr>
          <w:rFonts w:eastAsia="Calibri" w:cs="Arial"/>
          <w:sz w:val="20"/>
        </w:rPr>
        <w:t>kbtuh</w:t>
      </w:r>
      <w:proofErr w:type="spellEnd"/>
      <w:r w:rsidRPr="000E0395">
        <w:rPr>
          <w:rFonts w:eastAsia="Calibri" w:cs="Arial"/>
          <w:sz w:val="20"/>
        </w:rPr>
        <w:t xml:space="preserve"> have a minimum efficiency level of 0.75 </w:t>
      </w:r>
      <w:proofErr w:type="gramStart"/>
      <w:r w:rsidRPr="000E0395">
        <w:rPr>
          <w:rFonts w:eastAsia="Calibri" w:cs="Arial"/>
          <w:sz w:val="20"/>
        </w:rPr>
        <w:t>Et</w:t>
      </w:r>
      <w:proofErr w:type="gramEnd"/>
      <w:r w:rsidRPr="000E0395">
        <w:rPr>
          <w:rFonts w:eastAsia="Calibri" w:cs="Arial"/>
          <w:sz w:val="20"/>
        </w:rPr>
        <w:t xml:space="preserve">. However as stated above, </w:t>
      </w:r>
      <w:proofErr w:type="spellStart"/>
      <w:r w:rsidRPr="000E0395">
        <w:rPr>
          <w:rFonts w:eastAsia="Calibri" w:cs="Arial"/>
          <w:sz w:val="20"/>
        </w:rPr>
        <w:t>Nexant</w:t>
      </w:r>
      <w:proofErr w:type="spellEnd"/>
      <w:r w:rsidRPr="000E0395">
        <w:rPr>
          <w:rFonts w:eastAsia="Calibri" w:cs="Arial"/>
          <w:sz w:val="20"/>
        </w:rPr>
        <w:t xml:space="preserve"> has used 0.80 </w:t>
      </w:r>
      <w:proofErr w:type="gramStart"/>
      <w:r w:rsidRPr="000E0395">
        <w:rPr>
          <w:rFonts w:eastAsia="Calibri" w:cs="Arial"/>
          <w:sz w:val="20"/>
        </w:rPr>
        <w:t>Et</w:t>
      </w:r>
      <w:proofErr w:type="gramEnd"/>
      <w:r w:rsidRPr="000E0395">
        <w:rPr>
          <w:rFonts w:eastAsia="Calibri" w:cs="Arial"/>
          <w:sz w:val="20"/>
        </w:rPr>
        <w:t xml:space="preserve"> as a baseline for this size class. The assumption behind using this higher baseline is that market data has shown that almost all boilers sold in that size class have a minimum published efficiency level of 0.80 </w:t>
      </w:r>
      <w:proofErr w:type="gramStart"/>
      <w:r w:rsidRPr="000E0395">
        <w:rPr>
          <w:rFonts w:eastAsia="Calibri" w:cs="Arial"/>
          <w:sz w:val="20"/>
        </w:rPr>
        <w:t>Et</w:t>
      </w:r>
      <w:proofErr w:type="gramEnd"/>
      <w:r w:rsidRPr="000E0395">
        <w:rPr>
          <w:rFonts w:eastAsia="Calibri" w:cs="Arial"/>
          <w:sz w:val="20"/>
        </w:rPr>
        <w:t xml:space="preserve">. In addition, DOE regulations proposed to change in 2010 will use 0.80 </w:t>
      </w:r>
      <w:proofErr w:type="gramStart"/>
      <w:r w:rsidRPr="000E0395">
        <w:rPr>
          <w:rFonts w:eastAsia="Calibri" w:cs="Arial"/>
          <w:sz w:val="20"/>
        </w:rPr>
        <w:t>Et</w:t>
      </w:r>
      <w:proofErr w:type="gramEnd"/>
      <w:r w:rsidRPr="000E0395">
        <w:rPr>
          <w:rFonts w:eastAsia="Calibri" w:cs="Arial"/>
          <w:sz w:val="20"/>
        </w:rPr>
        <w:t xml:space="preserve"> as the new baseline for this size class. </w:t>
      </w:r>
    </w:p>
    <w:p w14:paraId="30DEFD1C" w14:textId="77777777" w:rsidR="000E0395" w:rsidRPr="000E0395" w:rsidRDefault="000E0395" w:rsidP="008172F3">
      <w:pPr>
        <w:spacing w:after="120" w:line="259" w:lineRule="auto"/>
        <w:rPr>
          <w:rFonts w:ascii="Calibri" w:eastAsia="Calibri" w:hAnsi="Calibri"/>
          <w:sz w:val="22"/>
          <w:szCs w:val="22"/>
        </w:rPr>
      </w:pPr>
      <w:r w:rsidRPr="000E0395">
        <w:rPr>
          <w:rFonts w:eastAsia="Calibri" w:cs="Arial"/>
          <w:sz w:val="20"/>
        </w:rPr>
        <w:t> </w:t>
      </w:r>
    </w:p>
    <w:p w14:paraId="75A0DD7B"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xml:space="preserve">However, as explained below in the EFLH analysis, a new seasonal efficiency rating was calculated for both a condensing and non-condensing boiler. Because this calculated efficiency level was based on climate only and not on any particular boiler make or size, it is applicable across all boiler size classes (normally, larger boilers are tested differently than smaller boilers and therefore use different metrics to evaluate efficiency, but this does not bear on the EFLH calculation. The calculated seasonal efficiency predicts the operational efficiency of the boiler over a typical heating season rather than a standalone efficiency rating based on specific boiler performance. </w:t>
      </w:r>
      <w:r w:rsidRPr="000E0395">
        <w:rPr>
          <w:rFonts w:eastAsia="Calibri" w:cs="Arial"/>
          <w:sz w:val="20"/>
        </w:rPr>
        <w:lastRenderedPageBreak/>
        <w:t>Therefore to calculate annual savings in the cost-effectiveness test, we used the calculated seasonal efficiency for the non-condensing boiler (closer to 73%) compared to the condensing boiler (closer to 92%) instead of the code level minimums based on size classes. This finding is in sync with the 2006 ASHRAE journal’s finding of seasonal operating efficiencies for boilers, (which is referenced in the analysis) and should yield a more accurate depiction of annual savings over a steady-state test.</w:t>
      </w:r>
    </w:p>
    <w:p w14:paraId="375DB9DF"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21B07DC0"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Explanation of EFLH analysis:</w:t>
      </w:r>
      <w:r w:rsidRPr="000E0395">
        <w:rPr>
          <w:rFonts w:eastAsia="Calibri" w:cs="Arial"/>
          <w:sz w:val="20"/>
        </w:rPr>
        <w:t xml:space="preserve"> In order to estimate the EFLH for a heating season in the </w:t>
      </w:r>
      <w:smartTag w:uri="urn:schemas-microsoft-com:office:smarttags" w:element="State">
        <w:r w:rsidRPr="000E0395">
          <w:rPr>
            <w:rFonts w:eastAsia="Calibri" w:cs="Arial"/>
            <w:sz w:val="20"/>
          </w:rPr>
          <w:t>Oregon</w:t>
        </w:r>
      </w:smartTag>
      <w:r w:rsidRPr="000E0395">
        <w:rPr>
          <w:rFonts w:eastAsia="Calibri" w:cs="Arial"/>
          <w:sz w:val="20"/>
        </w:rPr>
        <w:t xml:space="preserve"> climate, (</w:t>
      </w:r>
      <w:smartTag w:uri="urn:schemas-microsoft-com:office:smarttags" w:element="City">
        <w:smartTag w:uri="urn:schemas-microsoft-com:office:smarttags" w:element="place">
          <w:r w:rsidRPr="000E0395">
            <w:rPr>
              <w:rFonts w:eastAsia="Calibri" w:cs="Arial"/>
              <w:sz w:val="20"/>
            </w:rPr>
            <w:t>Portland</w:t>
          </w:r>
        </w:smartTag>
      </w:smartTag>
      <w:r w:rsidRPr="000E0395">
        <w:rPr>
          <w:rFonts w:eastAsia="Calibri" w:cs="Arial"/>
          <w:sz w:val="20"/>
        </w:rPr>
        <w:t xml:space="preserve"> focused) a calculation was made of seasonal boiler loading and capacity. This was accomplished using charts from ASHRAE journals, presentations, and several papers written about boiler efficiency and its relationship to boiler loading. By determining the relationship between outside air conditions and boiler efficiency, we were able to use annual weather data to predict the overall seasonal efficiency for both a condensing and non-condensing boiler. Then, by relating this efficiency to boiler capacity, (essentially as capacity decreases, so does efficiency, but not linearly) we were able to determine the overall seasonal boiler capacity which indicates the percent of partial loading a boiler would experience in a typical heating season. By dividing the reduced boiler load by the maximum expected seasonal boiler run time, a modified boiler run time percentage can be established which indicates how often the boiler will actually operate. Once this is corrected for expected oversizing (here, assumed to be 10%) this operational reduction percentage is applied to the seasonal hours of operation and a final corrected EFLH estimate can then be determined.</w:t>
      </w:r>
    </w:p>
    <w:p w14:paraId="0AD4EB25"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254DAD5B"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xml:space="preserve">Using this method, the theoretical load hours for the </w:t>
      </w:r>
      <w:smartTag w:uri="urn:schemas-microsoft-com:office:smarttags" w:element="City">
        <w:smartTag w:uri="urn:schemas-microsoft-com:office:smarttags" w:element="place">
          <w:r w:rsidRPr="000E0395">
            <w:rPr>
              <w:rFonts w:eastAsia="Calibri" w:cs="Arial"/>
              <w:sz w:val="20"/>
            </w:rPr>
            <w:t>Portland</w:t>
          </w:r>
        </w:smartTag>
      </w:smartTag>
      <w:r w:rsidRPr="000E0395">
        <w:rPr>
          <w:rFonts w:eastAsia="Calibri" w:cs="Arial"/>
          <w:sz w:val="20"/>
        </w:rPr>
        <w:t xml:space="preserve"> climate would be 2272 hours for the heating season. Using the above capacity and loading reductions, an EFLH estimate was determined to be 766 EFLH for a typical heating season in the </w:t>
      </w:r>
      <w:smartTag w:uri="urn:schemas-microsoft-com:office:smarttags" w:element="City">
        <w:smartTag w:uri="urn:schemas-microsoft-com:office:smarttags" w:element="place">
          <w:r w:rsidRPr="000E0395">
            <w:rPr>
              <w:rFonts w:eastAsia="Calibri" w:cs="Arial"/>
              <w:sz w:val="20"/>
            </w:rPr>
            <w:t>Portland</w:t>
          </w:r>
        </w:smartTag>
      </w:smartTag>
      <w:r w:rsidRPr="000E0395">
        <w:rPr>
          <w:rFonts w:eastAsia="Calibri" w:cs="Arial"/>
          <w:sz w:val="20"/>
        </w:rPr>
        <w:t xml:space="preserve"> area. To arrive at this modified value, several assumptions associated with a typical building were made. They were:</w:t>
      </w:r>
    </w:p>
    <w:p w14:paraId="30003767"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135A3EDD"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70°F occupied temperature</w:t>
      </w:r>
    </w:p>
    <w:p w14:paraId="082A72F7"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60°F unoccupied setback temperature</w:t>
      </w:r>
    </w:p>
    <w:p w14:paraId="5F891691"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Building only operates boiler Sept. – May</w:t>
      </w:r>
    </w:p>
    <w:p w14:paraId="2933924B"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Building occupied hours set at 7am – 7pm</w:t>
      </w:r>
    </w:p>
    <w:p w14:paraId="3A800403"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Building balance point (point where heating above this temp is hot required) was set at 49.999°F</w:t>
      </w:r>
    </w:p>
    <w:p w14:paraId="5C26CCD7" w14:textId="77777777" w:rsidR="000E0395" w:rsidRPr="000E0395" w:rsidRDefault="000E0395" w:rsidP="008172F3">
      <w:pPr>
        <w:spacing w:after="160" w:line="259" w:lineRule="auto"/>
        <w:rPr>
          <w:rFonts w:ascii="Calibri" w:eastAsia="Calibri" w:hAnsi="Calibri"/>
          <w:sz w:val="22"/>
          <w:szCs w:val="22"/>
        </w:rPr>
      </w:pPr>
      <w:r w:rsidRPr="000E0395">
        <w:rPr>
          <w:rFonts w:ascii="Calibri" w:eastAsia="Calibri" w:hAnsi="Calibri"/>
          <w:sz w:val="22"/>
          <w:szCs w:val="22"/>
        </w:rPr>
        <w:t> </w:t>
      </w:r>
    </w:p>
    <w:p w14:paraId="578D4792" w14:textId="77777777" w:rsidR="000E0395" w:rsidRPr="000E0395" w:rsidRDefault="000E0395" w:rsidP="000E0395">
      <w:pPr>
        <w:spacing w:after="160" w:line="259" w:lineRule="auto"/>
        <w:rPr>
          <w:rFonts w:ascii="Calibri" w:eastAsia="Calibri" w:hAnsi="Calibri"/>
          <w:sz w:val="22"/>
          <w:szCs w:val="22"/>
        </w:rPr>
      </w:pPr>
    </w:p>
    <w:p w14:paraId="61FF825B" w14:textId="77777777" w:rsidR="000E0395" w:rsidRPr="000E0395" w:rsidRDefault="000E0395" w:rsidP="000E0395">
      <w:pPr>
        <w:keepNext/>
        <w:keepLines/>
        <w:spacing w:before="40" w:line="259" w:lineRule="auto"/>
        <w:outlineLvl w:val="1"/>
        <w:rPr>
          <w:rFonts w:cs="Arial"/>
          <w:color w:val="2E74B5"/>
          <w:sz w:val="20"/>
        </w:rPr>
      </w:pPr>
      <w:r w:rsidRPr="000E0395">
        <w:rPr>
          <w:rFonts w:cs="Arial"/>
          <w:color w:val="2E74B5"/>
          <w:sz w:val="20"/>
        </w:rPr>
        <w:t> </w:t>
      </w:r>
    </w:p>
    <w:p w14:paraId="2238C07E" w14:textId="77777777" w:rsidR="000E0395" w:rsidRPr="000E0395" w:rsidRDefault="000E0395" w:rsidP="000E0395">
      <w:pPr>
        <w:spacing w:after="160" w:line="259" w:lineRule="auto"/>
        <w:rPr>
          <w:rFonts w:cs="Arial"/>
          <w:color w:val="2E74B5"/>
          <w:sz w:val="20"/>
        </w:rPr>
      </w:pPr>
      <w:r w:rsidRPr="000E0395">
        <w:rPr>
          <w:rFonts w:eastAsia="Calibri" w:cs="Arial"/>
          <w:sz w:val="20"/>
        </w:rPr>
        <w:br w:type="page"/>
      </w:r>
    </w:p>
    <w:p w14:paraId="763D56AB" w14:textId="77777777" w:rsidR="000E0395" w:rsidRPr="000E0395" w:rsidRDefault="000E0395" w:rsidP="000E0395">
      <w:pPr>
        <w:keepNext/>
        <w:keepLines/>
        <w:spacing w:before="40" w:line="259" w:lineRule="auto"/>
        <w:outlineLvl w:val="1"/>
        <w:rPr>
          <w:rFonts w:cs="Arial"/>
          <w:color w:val="2E74B5"/>
          <w:sz w:val="20"/>
        </w:rPr>
      </w:pPr>
    </w:p>
    <w:p w14:paraId="2A32E777" w14:textId="77777777" w:rsidR="000E0395" w:rsidRPr="000E0395" w:rsidRDefault="000E0395" w:rsidP="008172F3">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7DE6981E"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Convection Oven - Gas - Full Size</w:t>
      </w:r>
      <w:r w:rsidRPr="000E0395">
        <w:rPr>
          <w:rFonts w:ascii="Calibri Light" w:hAnsi="Calibri Light"/>
          <w:color w:val="2E74B5"/>
          <w:sz w:val="26"/>
          <w:szCs w:val="26"/>
        </w:rPr>
        <w:tab/>
      </w:r>
      <w:r w:rsidRPr="000E0395">
        <w:rPr>
          <w:rFonts w:ascii="Calibri Light" w:hAnsi="Calibri Light"/>
          <w:color w:val="2E74B5"/>
          <w:sz w:val="20"/>
          <w:szCs w:val="26"/>
        </w:rPr>
        <w:t>Energy STAR</w:t>
      </w:r>
    </w:p>
    <w:p w14:paraId="1266B994"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Gas Combination Ovens</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Energy STAR</w:t>
      </w:r>
    </w:p>
    <w:p w14:paraId="09EA0DDA"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 xml:space="preserve">Gas Fryer </w:t>
      </w:r>
      <w:r w:rsidRPr="000E0395">
        <w:rPr>
          <w:rFonts w:ascii="Calibri Light" w:hAnsi="Calibri Light"/>
          <w:color w:val="1F4D78"/>
          <w:szCs w:val="24"/>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Energy STAR</w:t>
      </w:r>
    </w:p>
    <w:p w14:paraId="732228AD"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Gas Griddle</w:t>
      </w:r>
      <w:r w:rsidRPr="000E0395">
        <w:rPr>
          <w:rFonts w:ascii="Calibri Light" w:hAnsi="Calibri Light"/>
          <w:color w:val="1F4D78"/>
          <w:szCs w:val="24"/>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Energy STAR</w:t>
      </w:r>
    </w:p>
    <w:p w14:paraId="007F75CE" w14:textId="77777777" w:rsidR="000E0395" w:rsidRPr="000E0395" w:rsidRDefault="000E0395" w:rsidP="008172F3">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Steam Cooker – Gas</w:t>
      </w:r>
      <w:r w:rsidRPr="000E0395">
        <w:rPr>
          <w:rFonts w:ascii="Calibri Light" w:hAnsi="Calibri Light"/>
          <w:color w:val="1F4D78"/>
          <w:szCs w:val="24"/>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0"/>
          <w:szCs w:val="26"/>
        </w:rPr>
        <w:t>Energy STAR</w:t>
      </w:r>
    </w:p>
    <w:p w14:paraId="34D7042D" w14:textId="77777777" w:rsidR="000E0395" w:rsidRPr="000E0395" w:rsidRDefault="000E0395" w:rsidP="000E0395">
      <w:pPr>
        <w:rPr>
          <w:rFonts w:ascii="Calibri" w:eastAsia="Calibri" w:hAnsi="Calibri"/>
          <w:sz w:val="22"/>
          <w:szCs w:val="22"/>
        </w:rPr>
      </w:pPr>
    </w:p>
    <w:p w14:paraId="37C80FDC" w14:textId="77777777" w:rsidR="000E0395" w:rsidRPr="000E0395" w:rsidRDefault="000E0395" w:rsidP="008172F3">
      <w:pPr>
        <w:spacing w:after="160" w:line="259" w:lineRule="auto"/>
        <w:rPr>
          <w:rFonts w:ascii="Calibri" w:eastAsia="Calibri" w:hAnsi="Calibri"/>
          <w:b/>
          <w:bCs/>
          <w:color w:val="44546A"/>
          <w:sz w:val="22"/>
          <w:szCs w:val="22"/>
        </w:rPr>
      </w:pPr>
      <w:r w:rsidRPr="000E0395">
        <w:rPr>
          <w:rFonts w:ascii="Calibri" w:eastAsia="Calibri" w:hAnsi="Calibri"/>
          <w:b/>
          <w:bCs/>
          <w:color w:val="44546A"/>
          <w:sz w:val="22"/>
          <w:szCs w:val="22"/>
        </w:rPr>
        <w:t>August 7, 2014</w:t>
      </w:r>
    </w:p>
    <w:p w14:paraId="11154447" w14:textId="77777777" w:rsidR="000E0395" w:rsidRPr="000E0395" w:rsidRDefault="000E0395" w:rsidP="008172F3">
      <w:pPr>
        <w:autoSpaceDE w:val="0"/>
        <w:autoSpaceDN w:val="0"/>
        <w:rPr>
          <w:rFonts w:ascii="Times New Roman" w:hAnsi="Times New Roman"/>
          <w:color w:val="000000"/>
          <w:szCs w:val="24"/>
        </w:rPr>
      </w:pPr>
      <w:r w:rsidRPr="000E0395">
        <w:rPr>
          <w:rFonts w:cs="Arial"/>
          <w:b/>
          <w:bCs/>
          <w:color w:val="4F81BD"/>
          <w:sz w:val="20"/>
        </w:rPr>
        <w:t>UPDATED</w:t>
      </w:r>
      <w:r w:rsidRPr="000E0395">
        <w:rPr>
          <w:rFonts w:cs="Arial"/>
          <w:color w:val="000000"/>
          <w:sz w:val="20"/>
        </w:rPr>
        <w:t xml:space="preserve"> BLESSING MEMO FOR COMMERCIAL FOODSERVICE MEASURES</w:t>
      </w:r>
    </w:p>
    <w:p w14:paraId="77E90F63" w14:textId="77777777" w:rsidR="000E0395" w:rsidRPr="000E0395" w:rsidRDefault="000E0395" w:rsidP="008172F3">
      <w:pPr>
        <w:autoSpaceDE w:val="0"/>
        <w:autoSpaceDN w:val="0"/>
        <w:rPr>
          <w:rFonts w:cs="Arial"/>
          <w:color w:val="1F497D"/>
          <w:sz w:val="20"/>
        </w:rPr>
      </w:pPr>
    </w:p>
    <w:p w14:paraId="430040A0" w14:textId="77777777" w:rsidR="000E0395" w:rsidRPr="000E0395" w:rsidRDefault="000E0395" w:rsidP="008172F3">
      <w:pPr>
        <w:spacing w:after="160" w:line="259" w:lineRule="auto"/>
        <w:rPr>
          <w:rFonts w:eastAsia="Calibri" w:cs="Arial"/>
          <w:color w:val="4F81BD"/>
          <w:sz w:val="20"/>
        </w:rPr>
      </w:pPr>
      <w:r w:rsidRPr="000E0395">
        <w:rPr>
          <w:rFonts w:eastAsia="Calibri" w:cs="Arial"/>
          <w:color w:val="4F81BD"/>
          <w:sz w:val="20"/>
        </w:rPr>
        <w:t>July 2014 updates:</w:t>
      </w:r>
    </w:p>
    <w:p w14:paraId="7BBC171C" w14:textId="77777777" w:rsidR="000E0395" w:rsidRPr="000E0395" w:rsidRDefault="000E0395" w:rsidP="008172F3">
      <w:pPr>
        <w:numPr>
          <w:ilvl w:val="0"/>
          <w:numId w:val="24"/>
        </w:numPr>
        <w:spacing w:after="160" w:line="259" w:lineRule="auto"/>
        <w:rPr>
          <w:rFonts w:eastAsia="Calibri" w:cs="Arial"/>
          <w:color w:val="4F81BD"/>
          <w:sz w:val="20"/>
        </w:rPr>
      </w:pPr>
      <w:r w:rsidRPr="000E0395">
        <w:rPr>
          <w:rFonts w:eastAsia="Calibri" w:cs="Arial"/>
          <w:color w:val="4F81BD"/>
          <w:sz w:val="20"/>
        </w:rPr>
        <w:t>Updated incremental costs for all measures based on Energy Star Documentation.  Many measures’ incremental costs are assumed to be zero</w:t>
      </w:r>
    </w:p>
    <w:p w14:paraId="79CF76F8" w14:textId="77777777" w:rsidR="000E0395" w:rsidRPr="000E0395" w:rsidRDefault="000E0395" w:rsidP="008172F3">
      <w:pPr>
        <w:numPr>
          <w:ilvl w:val="0"/>
          <w:numId w:val="24"/>
        </w:numPr>
        <w:spacing w:after="160" w:line="259" w:lineRule="auto"/>
        <w:rPr>
          <w:rFonts w:eastAsia="Calibri" w:cs="Arial"/>
          <w:color w:val="4F81BD"/>
          <w:sz w:val="20"/>
        </w:rPr>
      </w:pPr>
      <w:r w:rsidRPr="000E0395">
        <w:rPr>
          <w:rFonts w:eastAsia="Calibri" w:cs="Arial"/>
          <w:color w:val="4F81BD"/>
          <w:sz w:val="20"/>
        </w:rPr>
        <w:t>Electric Vat Fryers and Electric Griddles had been not cost effective.  They are now cost effective and newly “blessed”.</w:t>
      </w:r>
    </w:p>
    <w:p w14:paraId="2713F438" w14:textId="77777777" w:rsidR="000E0395" w:rsidRPr="000E0395" w:rsidRDefault="000E0395" w:rsidP="008172F3">
      <w:pPr>
        <w:numPr>
          <w:ilvl w:val="0"/>
          <w:numId w:val="24"/>
        </w:numPr>
        <w:spacing w:after="160" w:line="259" w:lineRule="auto"/>
        <w:rPr>
          <w:rFonts w:eastAsia="Calibri" w:cs="Arial"/>
          <w:color w:val="4F81BD"/>
          <w:sz w:val="20"/>
        </w:rPr>
      </w:pPr>
      <w:r w:rsidRPr="000E0395">
        <w:rPr>
          <w:rFonts w:eastAsia="Calibri" w:cs="Arial"/>
          <w:color w:val="4F81BD"/>
          <w:sz w:val="20"/>
        </w:rPr>
        <w:t>Gas and Electric Combination ovens are a new measure.</w:t>
      </w:r>
    </w:p>
    <w:p w14:paraId="438CC004" w14:textId="77777777" w:rsidR="000E0395" w:rsidRPr="000E0395" w:rsidRDefault="000E0395" w:rsidP="008172F3">
      <w:pPr>
        <w:autoSpaceDE w:val="0"/>
        <w:autoSpaceDN w:val="0"/>
        <w:rPr>
          <w:rFonts w:ascii="Times New Roman" w:hAnsi="Times New Roman"/>
          <w:color w:val="4F81BD"/>
          <w:szCs w:val="24"/>
        </w:rPr>
      </w:pPr>
    </w:p>
    <w:p w14:paraId="09AF31B9"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xml:space="preserve">End Use: </w:t>
      </w:r>
      <w:r w:rsidRPr="000E0395">
        <w:rPr>
          <w:rFonts w:cs="Arial"/>
          <w:sz w:val="20"/>
        </w:rPr>
        <w:t>Energy Star rated electric and gas foodservice cooking equipment</w:t>
      </w:r>
    </w:p>
    <w:p w14:paraId="211338A3"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w:t>
      </w:r>
    </w:p>
    <w:p w14:paraId="7970820E"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xml:space="preserve">Scope: </w:t>
      </w:r>
      <w:r w:rsidRPr="000E0395">
        <w:rPr>
          <w:rFonts w:cs="Arial"/>
          <w:sz w:val="20"/>
        </w:rPr>
        <w:t>These measures are proposed for existing and new commercial kitchen applications, for new use or replacement purchases.</w:t>
      </w:r>
    </w:p>
    <w:p w14:paraId="6C3A3FCE"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w:t>
      </w:r>
    </w:p>
    <w:p w14:paraId="11AEB142"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xml:space="preserve">Program: </w:t>
      </w:r>
      <w:r w:rsidRPr="000E0395">
        <w:rPr>
          <w:rFonts w:cs="Arial"/>
          <w:sz w:val="20"/>
        </w:rPr>
        <w:t xml:space="preserve">Based on the referenced analysis and associated cost-effectiveness screening, the measures described below are “blessed” on a prospective basis for inclusion in the New Buildings and </w:t>
      </w:r>
      <w:proofErr w:type="gramStart"/>
      <w:r w:rsidRPr="000E0395">
        <w:rPr>
          <w:rFonts w:cs="Arial"/>
          <w:sz w:val="20"/>
        </w:rPr>
        <w:t>Existing Buildings</w:t>
      </w:r>
      <w:proofErr w:type="gramEnd"/>
      <w:r w:rsidRPr="000E0395">
        <w:rPr>
          <w:rFonts w:cs="Arial"/>
          <w:sz w:val="20"/>
        </w:rPr>
        <w:t xml:space="preserve"> foodservice programs </w:t>
      </w:r>
      <w:r w:rsidRPr="000E0395">
        <w:rPr>
          <w:rFonts w:cs="Arial"/>
          <w:color w:val="376092"/>
          <w:sz w:val="20"/>
        </w:rPr>
        <w:t>and in the PE and MF programs where these programs serve commercial kitchens</w:t>
      </w:r>
      <w:r w:rsidRPr="000E0395">
        <w:rPr>
          <w:rFonts w:cs="Arial"/>
          <w:sz w:val="20"/>
        </w:rPr>
        <w:t xml:space="preserve">. </w:t>
      </w:r>
    </w:p>
    <w:p w14:paraId="75D2E858"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w:t>
      </w:r>
    </w:p>
    <w:p w14:paraId="37288117" w14:textId="77777777" w:rsidR="000E0395" w:rsidRPr="000E0395" w:rsidRDefault="000E0395" w:rsidP="008172F3">
      <w:pPr>
        <w:autoSpaceDE w:val="0"/>
        <w:autoSpaceDN w:val="0"/>
        <w:rPr>
          <w:rFonts w:ascii="Times New Roman" w:hAnsi="Times New Roman"/>
          <w:szCs w:val="24"/>
        </w:rPr>
      </w:pPr>
      <w:r w:rsidRPr="000E0395">
        <w:rPr>
          <w:rFonts w:cs="Arial"/>
          <w:b/>
          <w:bCs/>
          <w:sz w:val="20"/>
        </w:rPr>
        <w:t>Details:</w:t>
      </w:r>
    </w:p>
    <w:p w14:paraId="27ED1245"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4CE29C69"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xml:space="preserve">Energy Trust contracted with the </w:t>
      </w:r>
      <w:proofErr w:type="spellStart"/>
      <w:r w:rsidRPr="000E0395">
        <w:rPr>
          <w:rFonts w:eastAsia="Calibri" w:cs="Arial"/>
          <w:sz w:val="20"/>
        </w:rPr>
        <w:t>FoodService</w:t>
      </w:r>
      <w:proofErr w:type="spellEnd"/>
      <w:r w:rsidRPr="000E0395">
        <w:rPr>
          <w:rFonts w:eastAsia="Calibri" w:cs="Arial"/>
          <w:sz w:val="20"/>
        </w:rPr>
        <w:t xml:space="preserve"> Technology Center (FSTC) in California to analyze a suite of measures for the commercial kitchens program. The analysis provides an update in savings, cost, and measure lives to the existing foodservice measures already included in the program. Additionally, it aligns our current program offerings with the recently revised Energy Star criteria for select pieces of foodservice equipment.</w:t>
      </w:r>
    </w:p>
    <w:p w14:paraId="2C973C97"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40FC3B88"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Savings were calculated through the FSTC testing of various pieces of baseline and Energy Star rated pieces of equipment. In many cases, the newly established Energy Star qualifications represent the </w:t>
      </w:r>
      <w:r w:rsidRPr="000E0395">
        <w:rPr>
          <w:rFonts w:eastAsia="Calibri" w:cs="Arial"/>
          <w:color w:val="1F497D"/>
          <w:sz w:val="20"/>
        </w:rPr>
        <w:t xml:space="preserve">previous </w:t>
      </w:r>
      <w:r w:rsidRPr="000E0395">
        <w:rPr>
          <w:rFonts w:eastAsia="Calibri" w:cs="Arial"/>
          <w:sz w:val="20"/>
        </w:rPr>
        <w:t xml:space="preserve">target efficiency case over the </w:t>
      </w:r>
      <w:r w:rsidRPr="000E0395">
        <w:rPr>
          <w:rFonts w:eastAsia="Calibri" w:cs="Arial"/>
          <w:color w:val="1F497D"/>
          <w:sz w:val="20"/>
        </w:rPr>
        <w:t xml:space="preserve">older, less efficient ENERGY STAR product specifications.  </w:t>
      </w:r>
      <w:r w:rsidRPr="000E0395">
        <w:rPr>
          <w:rFonts w:eastAsia="Calibri" w:cs="Arial"/>
          <w:sz w:val="20"/>
        </w:rPr>
        <w:t>This adds support to the prior assumption that Energy Star was becoming baseline and a new tier needed to be developed. Workpapers have been written</w:t>
      </w:r>
      <w:r w:rsidRPr="000E0395">
        <w:rPr>
          <w:rFonts w:eastAsia="Calibri" w:cs="Arial"/>
          <w:color w:val="1F497D"/>
          <w:sz w:val="20"/>
        </w:rPr>
        <w:t xml:space="preserve"> by FSTC</w:t>
      </w:r>
      <w:r w:rsidRPr="000E0395">
        <w:rPr>
          <w:rFonts w:eastAsia="Calibri" w:cs="Arial"/>
          <w:sz w:val="20"/>
        </w:rPr>
        <w:t xml:space="preserve"> for each piece of equipment that chronicle baseline energy use, idle energy rate, production capacity, and numerous other equipment attributes in an attempt to establish an average energy consumption rate. These baseline energy consumption rates are then compared to Energy Star energy consumption rates and the savings are calculated as the difference between the two. For the steamer measures, expected annual water savings have also been included and entered into the non-energy benefits column in the cost-effective calculator below.</w:t>
      </w:r>
    </w:p>
    <w:p w14:paraId="27849F9B" w14:textId="77777777" w:rsidR="000E0395" w:rsidRPr="000E0395" w:rsidRDefault="000E0395" w:rsidP="008172F3">
      <w:pPr>
        <w:spacing w:after="160" w:line="259" w:lineRule="auto"/>
        <w:rPr>
          <w:rFonts w:eastAsia="Calibri" w:cs="Arial"/>
          <w:sz w:val="20"/>
        </w:rPr>
      </w:pPr>
    </w:p>
    <w:p w14:paraId="25EBD6ED" w14:textId="77777777" w:rsidR="000E0395" w:rsidRPr="000E0395" w:rsidRDefault="000E0395" w:rsidP="008172F3">
      <w:pPr>
        <w:spacing w:after="160" w:line="259" w:lineRule="auto"/>
        <w:rPr>
          <w:rFonts w:eastAsia="Calibri" w:cs="Arial"/>
          <w:sz w:val="20"/>
        </w:rPr>
      </w:pPr>
      <w:r w:rsidRPr="000E0395">
        <w:rPr>
          <w:rFonts w:eastAsia="Calibri" w:cs="Arial"/>
          <w:sz w:val="20"/>
        </w:rPr>
        <w:t xml:space="preserve">Update 2013: The savings and incentive for Large Gas Fryers has been changed from per fryer to per vat.  In the past, there was concern that split-vat fryers, where a single large vat has a divider and is used as 2 smaller vats, would </w:t>
      </w:r>
      <w:r w:rsidRPr="000E0395">
        <w:rPr>
          <w:rFonts w:eastAsia="Calibri" w:cs="Arial"/>
          <w:color w:val="000000"/>
          <w:sz w:val="20"/>
        </w:rPr>
        <w:t xml:space="preserve">cause confusion in the programs and result in overstating savings.  However, as the programs see more true multi-vat fryers there has been a lost opportunity to claim the increased savings.  The new incentive for gas fryers is cost effective at up to $1500/full size vat, although at this time the programs expect to set the incentive between $500 </w:t>
      </w:r>
      <w:proofErr w:type="gramStart"/>
      <w:r w:rsidRPr="000E0395">
        <w:rPr>
          <w:rFonts w:eastAsia="Calibri" w:cs="Arial"/>
          <w:color w:val="000000"/>
          <w:sz w:val="20"/>
        </w:rPr>
        <w:t>and  $</w:t>
      </w:r>
      <w:proofErr w:type="gramEnd"/>
      <w:r w:rsidRPr="000E0395">
        <w:rPr>
          <w:rFonts w:eastAsia="Calibri" w:cs="Arial"/>
          <w:color w:val="000000"/>
          <w:sz w:val="20"/>
        </w:rPr>
        <w:t>800.  A full size vat is a minimum of 12 inches wide, more typically 14 or 16 inches.  Each split-vat will count as one single vat.  The programs will make this change at their convenience</w:t>
      </w:r>
      <w:r w:rsidRPr="000E0395">
        <w:rPr>
          <w:rFonts w:eastAsia="Calibri" w:cs="Arial"/>
          <w:sz w:val="20"/>
        </w:rPr>
        <w:t>, likely the start of the 2014 program year.</w:t>
      </w:r>
    </w:p>
    <w:p w14:paraId="63A0FEDD" w14:textId="77777777" w:rsidR="000E0395" w:rsidRPr="000E0395" w:rsidRDefault="000E0395" w:rsidP="008172F3">
      <w:pPr>
        <w:spacing w:after="160" w:line="259" w:lineRule="auto"/>
        <w:rPr>
          <w:rFonts w:eastAsia="Calibri" w:cs="Arial"/>
          <w:sz w:val="20"/>
        </w:rPr>
      </w:pPr>
    </w:p>
    <w:p w14:paraId="325E4A0A" w14:textId="77777777" w:rsidR="000E0395" w:rsidRPr="000E0395" w:rsidRDefault="000E0395" w:rsidP="008172F3">
      <w:pPr>
        <w:spacing w:after="160" w:line="259" w:lineRule="auto"/>
        <w:rPr>
          <w:rFonts w:eastAsia="Calibri" w:cs="Arial"/>
          <w:color w:val="0070C0"/>
          <w:sz w:val="20"/>
        </w:rPr>
      </w:pPr>
      <w:r w:rsidRPr="000E0395">
        <w:rPr>
          <w:rFonts w:eastAsia="Calibri" w:cs="Arial"/>
          <w:color w:val="0070C0"/>
          <w:sz w:val="20"/>
        </w:rPr>
        <w:t>Update 2014: As a result of the cost updates mentioned below, Electric Vat Fryers and Electric Griddles are now cost effective and may be included in the programs.  In late 2013, Energy Star released a specification for qualifying combination ovens.  Savings for combination ovens are based on the Energy Star Commercial Cooking Equipment Worksheet and assume operation at 50% in steam mode and 50% in convection mode and 360 days per year operation.  This is a new measure for Energy Trust.</w:t>
      </w:r>
    </w:p>
    <w:p w14:paraId="664B2EBB" w14:textId="77777777" w:rsidR="000E0395" w:rsidRPr="000E0395" w:rsidRDefault="000E0395" w:rsidP="008172F3">
      <w:pPr>
        <w:spacing w:after="160" w:line="259" w:lineRule="auto"/>
        <w:rPr>
          <w:rFonts w:eastAsia="Calibri" w:cs="Arial"/>
          <w:color w:val="0070C0"/>
          <w:sz w:val="20"/>
        </w:rPr>
      </w:pPr>
    </w:p>
    <w:p w14:paraId="6D4CB89D"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Costs and Incentives:</w:t>
      </w:r>
    </w:p>
    <w:p w14:paraId="33534277" w14:textId="77777777" w:rsidR="000E0395" w:rsidRPr="000E0395" w:rsidRDefault="000E0395" w:rsidP="008172F3">
      <w:pPr>
        <w:spacing w:after="160" w:line="259" w:lineRule="auto"/>
        <w:rPr>
          <w:rFonts w:eastAsia="Calibri" w:cs="Arial"/>
          <w:sz w:val="20"/>
        </w:rPr>
      </w:pPr>
      <w:r w:rsidRPr="000E0395">
        <w:rPr>
          <w:rFonts w:ascii="Calibri" w:eastAsia="Calibri" w:hAnsi="Calibri"/>
          <w:sz w:val="22"/>
          <w:szCs w:val="22"/>
        </w:rPr>
        <w:t> </w:t>
      </w:r>
      <w:r w:rsidRPr="000E0395">
        <w:rPr>
          <w:rFonts w:eastAsia="Calibri" w:cs="Arial"/>
          <w:sz w:val="20"/>
        </w:rPr>
        <w:t>Incentives are listed in Table 1 as the maximum cost-effective incentive (defined as an incentive which makes the Utility BCR equal to 1.0 or the incremental or base cost of the measure.)</w:t>
      </w:r>
      <w:r w:rsidRPr="000E0395">
        <w:rPr>
          <w:rFonts w:eastAsia="Calibri" w:cs="Arial"/>
          <w:b/>
          <w:bCs/>
          <w:sz w:val="20"/>
        </w:rPr>
        <w:t>  These incentives are meant to be the maximum possible incentive that a program could provide for the measure, and are NOT representative of actual incentives or incentive recommendations</w:t>
      </w:r>
      <w:r w:rsidRPr="000E0395">
        <w:rPr>
          <w:rFonts w:eastAsia="Calibri" w:cs="Arial"/>
          <w:sz w:val="20"/>
        </w:rPr>
        <w:t xml:space="preserve">.  Planning recommends that the new and existing buildings programs continue to offer the same or similar incentives to each other to avoid market confusion. </w:t>
      </w:r>
    </w:p>
    <w:p w14:paraId="1C29AA92" w14:textId="77777777" w:rsidR="000E0395" w:rsidRPr="000E0395" w:rsidRDefault="000E0395" w:rsidP="008172F3">
      <w:pPr>
        <w:spacing w:after="160" w:line="259" w:lineRule="auto"/>
        <w:rPr>
          <w:rFonts w:eastAsia="Calibri" w:cs="Arial"/>
          <w:sz w:val="20"/>
        </w:rPr>
      </w:pPr>
    </w:p>
    <w:p w14:paraId="058166A1" w14:textId="77777777" w:rsidR="000E0395" w:rsidRPr="000E0395" w:rsidRDefault="000E0395" w:rsidP="008172F3">
      <w:pPr>
        <w:spacing w:after="160" w:line="259" w:lineRule="auto"/>
        <w:rPr>
          <w:rFonts w:eastAsia="Calibri" w:cs="Arial"/>
          <w:sz w:val="20"/>
        </w:rPr>
      </w:pPr>
      <w:r w:rsidRPr="000E0395">
        <w:rPr>
          <w:rFonts w:eastAsia="Calibri" w:cs="Arial"/>
          <w:sz w:val="20"/>
        </w:rPr>
        <w:t>Update 7/13: After finding that average installed gas fryers in the programs were 47% of the costs used in the original cost effectiveness analysis, a new cost study was performed of fryers at five online retailers and the food service equipment cost aggregator aqnet.com and compared to the costs seen by the programs in 2011 and 2012 for efficient fryers. </w:t>
      </w:r>
    </w:p>
    <w:p w14:paraId="504ADBD2" w14:textId="77777777" w:rsidR="000E0395" w:rsidRPr="000E0395" w:rsidRDefault="000E0395" w:rsidP="008172F3">
      <w:pPr>
        <w:spacing w:after="160" w:line="259" w:lineRule="auto"/>
        <w:rPr>
          <w:rFonts w:eastAsia="Calibri" w:cs="Arial"/>
          <w:color w:val="0070C0"/>
          <w:sz w:val="20"/>
        </w:rPr>
      </w:pPr>
    </w:p>
    <w:p w14:paraId="62DFDD01" w14:textId="77777777" w:rsidR="000E0395" w:rsidRPr="000E0395" w:rsidRDefault="000E0395" w:rsidP="008172F3">
      <w:pPr>
        <w:spacing w:after="160" w:line="259" w:lineRule="auto"/>
        <w:rPr>
          <w:rFonts w:eastAsia="Calibri" w:cs="Arial"/>
          <w:color w:val="0070C0"/>
          <w:sz w:val="20"/>
        </w:rPr>
      </w:pPr>
      <w:r w:rsidRPr="000E0395">
        <w:rPr>
          <w:rFonts w:eastAsia="Calibri" w:cs="Arial"/>
          <w:color w:val="0070C0"/>
          <w:sz w:val="20"/>
        </w:rPr>
        <w:t xml:space="preserve">Update 7/14: Further cost research indicates that the cost of commercial cooking equipment is determined by many features in addition to efficiency and Energy Star models may not be more expensive than new baseline models.  Energy Trust used the Energy Star Commercial Cooking Equipment Worksheet to update incremental costs.  The Energy Star data indicates no incremental cost for several measures (listed as $1 in the CEC calculator to avoid errors).  However, we understand that our baseline and efficient cases are not the only options available. Restaurant owners frequently purchase used equipment.  Used equipment is much less expensive than new and our incentives may be necessary to move those customers to efficient equipment, therefore we will continue to offer incentives that appear to be above incremental cost.  Because used equipment is highly variable, savings will continue to be based on a baseline of new </w:t>
      </w:r>
      <w:r w:rsidRPr="000E0395">
        <w:rPr>
          <w:rFonts w:eastAsia="Calibri" w:cs="Arial"/>
          <w:color w:val="1F497D"/>
          <w:sz w:val="20"/>
        </w:rPr>
        <w:t xml:space="preserve">non-Energy Star </w:t>
      </w:r>
      <w:r w:rsidRPr="000E0395">
        <w:rPr>
          <w:rFonts w:eastAsia="Calibri" w:cs="Arial"/>
          <w:color w:val="0070C0"/>
          <w:sz w:val="20"/>
        </w:rPr>
        <w:t>equipment.</w:t>
      </w:r>
    </w:p>
    <w:p w14:paraId="412E67C6"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t> </w:t>
      </w:r>
    </w:p>
    <w:p w14:paraId="2C4FECCD" w14:textId="77777777" w:rsidR="000E0395" w:rsidRPr="000E0395" w:rsidRDefault="000E0395" w:rsidP="008172F3">
      <w:pPr>
        <w:spacing w:after="160" w:line="259" w:lineRule="auto"/>
        <w:rPr>
          <w:rFonts w:ascii="Calibri" w:eastAsia="Calibri" w:hAnsi="Calibri"/>
          <w:sz w:val="22"/>
          <w:szCs w:val="22"/>
        </w:rPr>
      </w:pPr>
      <w:r w:rsidRPr="000E0395">
        <w:rPr>
          <w:rFonts w:eastAsia="Calibri" w:cs="Arial"/>
          <w:b/>
          <w:bCs/>
          <w:sz w:val="20"/>
        </w:rPr>
        <w:t>Measure Life:</w:t>
      </w:r>
    </w:p>
    <w:p w14:paraId="113C2E18" w14:textId="3D4C50DC" w:rsidR="000E0395" w:rsidRPr="000E0395" w:rsidRDefault="000E0395" w:rsidP="008172F3">
      <w:pPr>
        <w:spacing w:after="160" w:line="259" w:lineRule="auto"/>
        <w:rPr>
          <w:rFonts w:eastAsia="Calibri" w:cs="Arial"/>
          <w:sz w:val="20"/>
        </w:rPr>
      </w:pPr>
      <w:r w:rsidRPr="000E0395">
        <w:rPr>
          <w:rFonts w:eastAsia="Calibri" w:cs="Arial"/>
          <w:sz w:val="20"/>
        </w:rPr>
        <w:t>An estimated useful equipment life of 12 years is based on the industry-standard assumption for equipment life span and is consistent with estimates in the California Database for Energy Efficiency Resources (DEER) for commercial cooking equipment.</w:t>
      </w:r>
    </w:p>
    <w:p w14:paraId="4CC11C58" w14:textId="77777777" w:rsidR="000E0395" w:rsidRPr="000E0395" w:rsidRDefault="000E0395" w:rsidP="000E0395">
      <w:pPr>
        <w:spacing w:after="160" w:line="259" w:lineRule="auto"/>
        <w:ind w:left="720"/>
        <w:rPr>
          <w:rFonts w:ascii="Calibri" w:eastAsia="Calibri" w:hAnsi="Calibri"/>
          <w:sz w:val="22"/>
          <w:szCs w:val="22"/>
        </w:rPr>
      </w:pPr>
      <w:r w:rsidRPr="000E0395">
        <w:rPr>
          <w:rFonts w:eastAsia="Calibri" w:cs="Arial"/>
          <w:sz w:val="20"/>
        </w:rPr>
        <w:t> </w:t>
      </w:r>
    </w:p>
    <w:p w14:paraId="0B4A8BFA" w14:textId="71CC909E" w:rsidR="000E0395" w:rsidRPr="000E0395" w:rsidRDefault="000E0395" w:rsidP="008172F3">
      <w:pPr>
        <w:spacing w:after="160" w:line="259" w:lineRule="auto"/>
        <w:rPr>
          <w:rFonts w:ascii="Calibri" w:eastAsia="Calibri" w:hAnsi="Calibri"/>
          <w:sz w:val="22"/>
          <w:szCs w:val="22"/>
        </w:rPr>
      </w:pPr>
      <w:r w:rsidRPr="000E0395">
        <w:rPr>
          <w:rFonts w:eastAsia="Calibri" w:cs="Arial"/>
          <w:sz w:val="20"/>
        </w:rPr>
        <w:lastRenderedPageBreak/>
        <w:t>Table 1 – Benefit / Cost screening showing cost-effectiveness for Electric &amp; Gas Foodservice measures</w:t>
      </w:r>
    </w:p>
    <w:tbl>
      <w:tblPr>
        <w:tblW w:w="5000" w:type="pct"/>
        <w:tblInd w:w="-612" w:type="dxa"/>
        <w:tblLayout w:type="fixed"/>
        <w:tblCellMar>
          <w:left w:w="0" w:type="dxa"/>
          <w:right w:w="0" w:type="dxa"/>
        </w:tblCellMar>
        <w:tblLook w:val="04A0" w:firstRow="1" w:lastRow="0" w:firstColumn="1" w:lastColumn="0" w:noHBand="0" w:noVBand="1"/>
      </w:tblPr>
      <w:tblGrid>
        <w:gridCol w:w="927"/>
        <w:gridCol w:w="1190"/>
        <w:gridCol w:w="925"/>
        <w:gridCol w:w="1048"/>
        <w:gridCol w:w="916"/>
        <w:gridCol w:w="1188"/>
        <w:gridCol w:w="1040"/>
        <w:gridCol w:w="1089"/>
        <w:gridCol w:w="910"/>
        <w:gridCol w:w="1063"/>
      </w:tblGrid>
      <w:tr w:rsidR="000E0395" w:rsidRPr="000E0395" w14:paraId="7FB8A556" w14:textId="77777777" w:rsidTr="008172F3">
        <w:trPr>
          <w:trHeight w:val="1735"/>
        </w:trPr>
        <w:tc>
          <w:tcPr>
            <w:tcW w:w="450" w:type="pct"/>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5E8AD5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Measure #</w:t>
            </w:r>
          </w:p>
        </w:tc>
        <w:tc>
          <w:tcPr>
            <w:tcW w:w="578"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0A4ED34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Energy Efficiency Measure Name</w:t>
            </w:r>
          </w:p>
        </w:tc>
        <w:tc>
          <w:tcPr>
            <w:tcW w:w="449"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0D0CEBA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xml:space="preserve">Measure Lifetime </w:t>
            </w:r>
          </w:p>
        </w:tc>
        <w:tc>
          <w:tcPr>
            <w:tcW w:w="509"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43B8D50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Annual Electricity Savings (kWh)</w:t>
            </w:r>
          </w:p>
        </w:tc>
        <w:tc>
          <w:tcPr>
            <w:tcW w:w="445"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24D187A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Annual Natural Gas Savings (therms)</w:t>
            </w:r>
          </w:p>
        </w:tc>
        <w:tc>
          <w:tcPr>
            <w:tcW w:w="577"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154E9D5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Total Incremental Cost of Measure</w:t>
            </w:r>
          </w:p>
        </w:tc>
        <w:tc>
          <w:tcPr>
            <w:tcW w:w="505"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03F5D90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Annual Non-Energy Benefits $  (if any)</w:t>
            </w:r>
          </w:p>
        </w:tc>
        <w:tc>
          <w:tcPr>
            <w:tcW w:w="529"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0992FE7E"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MAXIMUM Potential Incentive If Measure is Cost-effective</w:t>
            </w:r>
          </w:p>
        </w:tc>
        <w:tc>
          <w:tcPr>
            <w:tcW w:w="442"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6739D64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Combined Utility System BCR</w:t>
            </w:r>
          </w:p>
        </w:tc>
        <w:tc>
          <w:tcPr>
            <w:tcW w:w="516" w:type="pct"/>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30DF407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Combined TRC BCR</w:t>
            </w:r>
          </w:p>
        </w:tc>
      </w:tr>
      <w:tr w:rsidR="000E0395" w:rsidRPr="000E0395" w14:paraId="60EC0483"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69ABD67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1</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F8799"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Electric Large Vat Fryers / Vat</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AF6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3E74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2,249</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D631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FC62B"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44C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D54202"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$1,681</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7523E16"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24B979"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1682</w:t>
            </w:r>
          </w:p>
        </w:tc>
      </w:tr>
      <w:tr w:rsidR="000E0395" w:rsidRPr="000E0395" w14:paraId="1885CA55"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5976003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xml:space="preserve">2 </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303AB"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Electric Griddles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067B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9062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1,860</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E7C2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DF0E2"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EC9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8371235"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$1,331</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C23B52"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D6A77E2"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1391</w:t>
            </w:r>
          </w:p>
        </w:tc>
      </w:tr>
      <w:tr w:rsidR="000E0395" w:rsidRPr="000E0395" w14:paraId="77CBD076" w14:textId="77777777" w:rsidTr="008172F3">
        <w:trPr>
          <w:trHeight w:val="57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5FAFDF51"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3</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7085B"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Electric Convection Ovens</w:t>
            </w:r>
            <w:r w:rsidRPr="000E0395">
              <w:rPr>
                <w:rFonts w:eastAsia="Calibri" w:cs="Arial"/>
                <w:sz w:val="22"/>
                <w:szCs w:val="22"/>
              </w:rPr>
              <w:br/>
              <w:t xml:space="preserve">Full-Size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8746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A27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1,853</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32D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1BE11"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55DE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F613F70"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$1,385</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0CB8C93"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BDC91A3"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1386</w:t>
            </w:r>
          </w:p>
        </w:tc>
      </w:tr>
      <w:tr w:rsidR="000E0395" w:rsidRPr="000E0395" w14:paraId="59CC99E0" w14:textId="77777777" w:rsidTr="008172F3">
        <w:trPr>
          <w:trHeight w:val="57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610937B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4</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A43E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Electric Convection Ovens</w:t>
            </w:r>
            <w:r w:rsidRPr="000E0395">
              <w:rPr>
                <w:rFonts w:eastAsia="Calibri" w:cs="Arial"/>
                <w:sz w:val="22"/>
                <w:szCs w:val="22"/>
              </w:rPr>
              <w:br/>
              <w:t>Half-Size</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C2DD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7760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1,961</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8047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F66B4"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3C05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167EE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$1,465</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80E5D33"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1A30BC"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1466</w:t>
            </w:r>
          </w:p>
        </w:tc>
      </w:tr>
      <w:tr w:rsidR="000E0395" w:rsidRPr="000E0395" w14:paraId="7E9813BE" w14:textId="77777777" w:rsidTr="008172F3">
        <w:trPr>
          <w:trHeight w:val="619"/>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193810B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5</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5733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Hot Food Holding Cabinets</w:t>
            </w:r>
            <w:r w:rsidRPr="000E0395">
              <w:rPr>
                <w:rFonts w:eastAsia="Calibri" w:cs="Arial"/>
                <w:sz w:val="22"/>
                <w:szCs w:val="22"/>
              </w:rPr>
              <w:br/>
              <w:t>Full Size</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1530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A214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5,184</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BB1C8"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00B57"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FDF9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F91C60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$2,529</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65CA8A"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1.5</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17D01E"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3877</w:t>
            </w:r>
          </w:p>
        </w:tc>
      </w:tr>
      <w:tr w:rsidR="000E0395" w:rsidRPr="000E0395" w14:paraId="74AF7A69" w14:textId="77777777" w:rsidTr="008172F3">
        <w:trPr>
          <w:trHeight w:val="57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2B3A622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6</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51F7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Hot Food Holding Cabinets</w:t>
            </w:r>
            <w:r w:rsidRPr="000E0395">
              <w:rPr>
                <w:rFonts w:eastAsia="Calibri" w:cs="Arial"/>
                <w:sz w:val="22"/>
                <w:szCs w:val="22"/>
              </w:rPr>
              <w:br/>
              <w:t>Half Size</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48D7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2FBE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2,592</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663D9"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15401"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0840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456D0D3"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$1,499</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195E9EC"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1.3</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F3BD036"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1938</w:t>
            </w:r>
          </w:p>
        </w:tc>
      </w:tr>
      <w:tr w:rsidR="000E0395" w:rsidRPr="000E0395" w14:paraId="61A1F654" w14:textId="77777777" w:rsidTr="008172F3">
        <w:trPr>
          <w:trHeight w:val="315"/>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0AF80356"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7</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B10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Electric Steam Cookers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7B7D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3FD8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2,652</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2291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02E26"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$630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7683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$1,181</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368603"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$1,982</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6BFEE30"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C21A41E"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20</w:t>
            </w:r>
          </w:p>
        </w:tc>
      </w:tr>
      <w:tr w:rsidR="000E0395" w:rsidRPr="000E0395" w14:paraId="3A645A19"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1D73CFDB"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8</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9C824" w14:textId="77777777" w:rsidR="000E0395" w:rsidRPr="000E0395" w:rsidRDefault="000E0395" w:rsidP="000E0395">
            <w:pPr>
              <w:spacing w:after="160" w:line="259" w:lineRule="auto"/>
              <w:jc w:val="center"/>
              <w:rPr>
                <w:rFonts w:eastAsia="Calibri" w:cs="Arial"/>
                <w:color w:val="1F497D"/>
                <w:sz w:val="22"/>
                <w:szCs w:val="22"/>
              </w:rPr>
            </w:pPr>
            <w:r w:rsidRPr="000E0395">
              <w:rPr>
                <w:rFonts w:eastAsia="Calibri" w:cs="Arial"/>
                <w:color w:val="1F497D"/>
                <w:sz w:val="22"/>
                <w:szCs w:val="22"/>
              </w:rPr>
              <w:t>Electric Combination Ovens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00723"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E9F8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6,139</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A173E" w14:textId="77777777" w:rsidR="000E0395" w:rsidRPr="000E0395" w:rsidRDefault="000E0395" w:rsidP="000E0395">
            <w:pPr>
              <w:spacing w:after="160" w:line="259" w:lineRule="auto"/>
              <w:jc w:val="center"/>
              <w:rPr>
                <w:rFonts w:eastAsia="Calibri" w:cs="Arial"/>
                <w:color w:val="0070C0"/>
                <w:sz w:val="22"/>
                <w:szCs w:val="22"/>
              </w:rPr>
            </w:pP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A7746"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tcPr>
          <w:p w14:paraId="7DFE726C" w14:textId="77777777" w:rsidR="000E0395" w:rsidRPr="000E0395" w:rsidRDefault="000E0395" w:rsidP="000E0395">
            <w:pPr>
              <w:spacing w:after="160" w:line="259" w:lineRule="auto"/>
              <w:jc w:val="center"/>
              <w:rPr>
                <w:rFonts w:eastAsia="Calibri" w:cs="Arial"/>
                <w:sz w:val="22"/>
                <w:szCs w:val="22"/>
              </w:rPr>
            </w:pP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57889B4"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$4591</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478A98"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F9CB8A4"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4592</w:t>
            </w:r>
          </w:p>
        </w:tc>
      </w:tr>
      <w:tr w:rsidR="000E0395" w:rsidRPr="000E0395" w14:paraId="1AF6858E"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36E147ED"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lastRenderedPageBreak/>
              <w:t>9</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11693" w14:textId="77777777" w:rsidR="000E0395" w:rsidRPr="000E0395" w:rsidRDefault="000E0395" w:rsidP="000E0395">
            <w:pPr>
              <w:spacing w:after="160" w:line="259" w:lineRule="auto"/>
              <w:jc w:val="center"/>
              <w:rPr>
                <w:rFonts w:ascii="Calibri" w:eastAsia="Calibri" w:hAnsi="Calibri"/>
                <w:color w:val="1F497D"/>
                <w:sz w:val="22"/>
                <w:szCs w:val="22"/>
              </w:rPr>
            </w:pPr>
            <w:r w:rsidRPr="000E0395">
              <w:rPr>
                <w:rFonts w:eastAsia="Calibri" w:cs="Arial"/>
                <w:sz w:val="22"/>
                <w:szCs w:val="22"/>
              </w:rPr>
              <w:t>Gas Large Vat Fryers / Vat</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C108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8A2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67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569</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79720"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$1,120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D636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EBAD914"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$1,502</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126C7BC"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1.8</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7C92754"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2.4</w:t>
            </w:r>
          </w:p>
        </w:tc>
      </w:tr>
      <w:tr w:rsidR="000E0395" w:rsidRPr="000E0395" w14:paraId="48C16C29"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7E6E495C"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10</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5823"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Gas Griddles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F316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5F09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C8E7A"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147</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2B742"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$360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D501F"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A87736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$688</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96219F7"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38B0EBE"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1.9</w:t>
            </w:r>
          </w:p>
        </w:tc>
      </w:tr>
      <w:tr w:rsidR="000E0395" w:rsidRPr="000E0395" w14:paraId="35688C41" w14:textId="77777777" w:rsidTr="008172F3">
        <w:trPr>
          <w:trHeight w:val="57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3F5F3244"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11</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83E95"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Gas Convection Ovens</w:t>
            </w:r>
            <w:r w:rsidRPr="000E0395">
              <w:rPr>
                <w:rFonts w:eastAsia="Calibri" w:cs="Arial"/>
                <w:sz w:val="22"/>
                <w:szCs w:val="22"/>
              </w:rPr>
              <w:br/>
              <w:t xml:space="preserve">Full-Size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5B8D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0DA5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5D57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302</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BDCA0"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BB32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7F4AE84"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$1,011</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0D7E582"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58C60C0"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1012</w:t>
            </w:r>
          </w:p>
        </w:tc>
      </w:tr>
      <w:tr w:rsidR="000E0395" w:rsidRPr="000E0395" w14:paraId="23C97018"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06D95FAD"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12</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81CF4"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Gas Steam Cookers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A3D0"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86757"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 </w:t>
            </w: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22FC"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1,308</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80819" w14:textId="77777777" w:rsidR="000E0395" w:rsidRPr="000E0395" w:rsidRDefault="000E0395" w:rsidP="000E0395">
            <w:pPr>
              <w:spacing w:after="160" w:line="259" w:lineRule="auto"/>
              <w:jc w:val="center"/>
              <w:rPr>
                <w:rFonts w:ascii="Calibri" w:eastAsia="Calibri" w:hAnsi="Calibri"/>
                <w:color w:val="0070C0"/>
                <w:sz w:val="22"/>
                <w:szCs w:val="22"/>
              </w:rPr>
            </w:pPr>
            <w:r w:rsidRPr="000E0395">
              <w:rPr>
                <w:rFonts w:eastAsia="Calibri" w:cs="Arial"/>
                <w:color w:val="0070C0"/>
                <w:sz w:val="22"/>
                <w:szCs w:val="22"/>
              </w:rPr>
              <w:t>$870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B65C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sz w:val="22"/>
                <w:szCs w:val="22"/>
              </w:rPr>
              <w:t>$1,181</w:t>
            </w: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3D1E38"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$6,148</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5BD45C1"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29CDD1"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19</w:t>
            </w:r>
          </w:p>
        </w:tc>
      </w:tr>
      <w:tr w:rsidR="000E0395" w:rsidRPr="000E0395" w14:paraId="1982CF1C" w14:textId="77777777" w:rsidTr="008172F3">
        <w:trPr>
          <w:trHeight w:val="300"/>
        </w:trPr>
        <w:tc>
          <w:tcPr>
            <w:tcW w:w="450"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01DDFFCC"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13</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AD5A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Gas Combination Ovens</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54E4"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12</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tcPr>
          <w:p w14:paraId="200F5951" w14:textId="77777777" w:rsidR="000E0395" w:rsidRPr="000E0395" w:rsidRDefault="000E0395" w:rsidP="000E0395">
            <w:pPr>
              <w:spacing w:after="160" w:line="259" w:lineRule="auto"/>
              <w:jc w:val="center"/>
              <w:rPr>
                <w:rFonts w:eastAsia="Calibri" w:cs="Arial"/>
                <w:color w:val="0070C0"/>
                <w:sz w:val="22"/>
                <w:szCs w:val="22"/>
              </w:rPr>
            </w:pPr>
          </w:p>
        </w:tc>
        <w:tc>
          <w:tcPr>
            <w:tcW w:w="4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22B88"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290</w:t>
            </w:r>
          </w:p>
        </w:tc>
        <w:tc>
          <w:tcPr>
            <w:tcW w:w="5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CBABE"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tcPr>
          <w:p w14:paraId="1F84BAF1" w14:textId="77777777" w:rsidR="000E0395" w:rsidRPr="000E0395" w:rsidRDefault="000E0395" w:rsidP="000E0395">
            <w:pPr>
              <w:spacing w:after="160" w:line="259" w:lineRule="auto"/>
              <w:jc w:val="center"/>
              <w:rPr>
                <w:rFonts w:eastAsia="Calibri" w:cs="Arial"/>
                <w:color w:val="0070C0"/>
                <w:sz w:val="22"/>
                <w:szCs w:val="22"/>
              </w:rPr>
            </w:pPr>
          </w:p>
        </w:tc>
        <w:tc>
          <w:tcPr>
            <w:tcW w:w="529"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2047C51" w14:textId="77777777" w:rsidR="000E0395" w:rsidRPr="000E0395" w:rsidRDefault="000E0395" w:rsidP="000E0395">
            <w:pPr>
              <w:spacing w:after="160" w:line="259" w:lineRule="auto"/>
              <w:jc w:val="center"/>
              <w:rPr>
                <w:rFonts w:eastAsia="Calibri" w:cs="Arial"/>
                <w:color w:val="0070C0"/>
                <w:sz w:val="22"/>
                <w:szCs w:val="22"/>
              </w:rPr>
            </w:pPr>
            <w:r w:rsidRPr="000E0395">
              <w:rPr>
                <w:rFonts w:eastAsia="Calibri" w:cs="Arial"/>
                <w:color w:val="0070C0"/>
                <w:sz w:val="22"/>
                <w:szCs w:val="22"/>
              </w:rPr>
              <w:t>$1363</w:t>
            </w:r>
          </w:p>
        </w:tc>
        <w:tc>
          <w:tcPr>
            <w:tcW w:w="44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121F991"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1.0</w:t>
            </w:r>
          </w:p>
        </w:tc>
        <w:tc>
          <w:tcPr>
            <w:tcW w:w="516"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701281" w14:textId="77777777" w:rsidR="000E0395" w:rsidRPr="000E0395" w:rsidRDefault="000E0395" w:rsidP="000E0395">
            <w:pPr>
              <w:spacing w:after="160" w:line="259" w:lineRule="auto"/>
              <w:jc w:val="center"/>
              <w:rPr>
                <w:rFonts w:eastAsia="Calibri" w:cs="Arial"/>
                <w:b/>
                <w:bCs/>
                <w:color w:val="0070C0"/>
                <w:sz w:val="22"/>
                <w:szCs w:val="22"/>
              </w:rPr>
            </w:pPr>
            <w:r w:rsidRPr="000E0395">
              <w:rPr>
                <w:rFonts w:eastAsia="Calibri" w:cs="Arial"/>
                <w:b/>
                <w:bCs/>
                <w:color w:val="0070C0"/>
                <w:sz w:val="22"/>
                <w:szCs w:val="22"/>
              </w:rPr>
              <w:t>1364</w:t>
            </w:r>
          </w:p>
        </w:tc>
      </w:tr>
      <w:tr w:rsidR="000E0395" w:rsidRPr="000E0395" w14:paraId="1CEB1896" w14:textId="77777777" w:rsidTr="008172F3">
        <w:trPr>
          <w:trHeight w:val="315"/>
        </w:trPr>
        <w:tc>
          <w:tcPr>
            <w:tcW w:w="450" w:type="pct"/>
            <w:tcBorders>
              <w:top w:val="nil"/>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vAlign w:val="center"/>
            <w:hideMark/>
          </w:tcPr>
          <w:p w14:paraId="4A501C65" w14:textId="77777777" w:rsidR="000E0395" w:rsidRPr="000E0395" w:rsidRDefault="000E0395" w:rsidP="000E0395">
            <w:pPr>
              <w:spacing w:after="160" w:line="259" w:lineRule="auto"/>
              <w:rPr>
                <w:rFonts w:ascii="Calibri" w:eastAsia="Calibri" w:hAnsi="Calibri"/>
                <w:sz w:val="20"/>
              </w:rPr>
            </w:pPr>
          </w:p>
        </w:tc>
        <w:tc>
          <w:tcPr>
            <w:tcW w:w="578" w:type="pct"/>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hideMark/>
          </w:tcPr>
          <w:p w14:paraId="7E5E2382"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w:t>
            </w:r>
          </w:p>
        </w:tc>
        <w:tc>
          <w:tcPr>
            <w:tcW w:w="449" w:type="pct"/>
            <w:tcBorders>
              <w:top w:val="nil"/>
              <w:left w:val="nil"/>
              <w:bottom w:val="single" w:sz="8" w:space="0" w:color="auto"/>
              <w:right w:val="nil"/>
            </w:tcBorders>
            <w:shd w:val="clear" w:color="auto" w:fill="99CCFF"/>
            <w:noWrap/>
            <w:tcMar>
              <w:top w:w="0" w:type="dxa"/>
              <w:left w:w="108" w:type="dxa"/>
              <w:bottom w:w="0" w:type="dxa"/>
              <w:right w:w="108" w:type="dxa"/>
            </w:tcMar>
            <w:vAlign w:val="center"/>
            <w:hideMark/>
          </w:tcPr>
          <w:p w14:paraId="7C8523BD" w14:textId="77777777" w:rsidR="000E0395" w:rsidRPr="000E0395" w:rsidRDefault="000E0395" w:rsidP="000E0395">
            <w:pPr>
              <w:spacing w:after="160" w:line="259" w:lineRule="auto"/>
              <w:jc w:val="center"/>
              <w:rPr>
                <w:rFonts w:ascii="Calibri" w:eastAsia="Calibri" w:hAnsi="Calibri"/>
                <w:sz w:val="22"/>
                <w:szCs w:val="22"/>
              </w:rPr>
            </w:pPr>
            <w:r w:rsidRPr="000E0395">
              <w:rPr>
                <w:rFonts w:eastAsia="Calibri" w:cs="Arial"/>
                <w:b/>
                <w:bCs/>
                <w:sz w:val="22"/>
                <w:szCs w:val="22"/>
              </w:rPr>
              <w:t> </w:t>
            </w:r>
          </w:p>
        </w:tc>
        <w:tc>
          <w:tcPr>
            <w:tcW w:w="509" w:type="pct"/>
            <w:tcBorders>
              <w:top w:val="nil"/>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vAlign w:val="center"/>
          </w:tcPr>
          <w:p w14:paraId="1AB9110F" w14:textId="77777777" w:rsidR="000E0395" w:rsidRPr="000E0395" w:rsidRDefault="000E0395" w:rsidP="000E0395">
            <w:pPr>
              <w:spacing w:after="160" w:line="259" w:lineRule="auto"/>
              <w:jc w:val="center"/>
              <w:rPr>
                <w:rFonts w:ascii="Calibri" w:eastAsia="Calibri" w:hAnsi="Calibri"/>
                <w:sz w:val="22"/>
                <w:szCs w:val="22"/>
              </w:rPr>
            </w:pPr>
          </w:p>
        </w:tc>
        <w:tc>
          <w:tcPr>
            <w:tcW w:w="445" w:type="pct"/>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48D0289E" w14:textId="77777777" w:rsidR="000E0395" w:rsidRPr="000E0395" w:rsidRDefault="000E0395" w:rsidP="000E0395">
            <w:pPr>
              <w:spacing w:after="160" w:line="259" w:lineRule="auto"/>
              <w:jc w:val="center"/>
              <w:rPr>
                <w:rFonts w:ascii="Calibri" w:eastAsia="Calibri" w:hAnsi="Calibri"/>
                <w:sz w:val="22"/>
                <w:szCs w:val="22"/>
              </w:rPr>
            </w:pPr>
          </w:p>
        </w:tc>
        <w:tc>
          <w:tcPr>
            <w:tcW w:w="577" w:type="pct"/>
            <w:tcBorders>
              <w:top w:val="nil"/>
              <w:left w:val="nil"/>
              <w:bottom w:val="single" w:sz="8" w:space="0" w:color="auto"/>
              <w:right w:val="single" w:sz="8" w:space="0" w:color="auto"/>
            </w:tcBorders>
            <w:shd w:val="clear" w:color="auto" w:fill="99CCFF"/>
            <w:noWrap/>
            <w:tcMar>
              <w:top w:w="0" w:type="dxa"/>
              <w:left w:w="108" w:type="dxa"/>
              <w:bottom w:w="0" w:type="dxa"/>
              <w:right w:w="108" w:type="dxa"/>
            </w:tcMar>
            <w:vAlign w:val="center"/>
          </w:tcPr>
          <w:p w14:paraId="74B309C4" w14:textId="77777777" w:rsidR="000E0395" w:rsidRPr="000E0395" w:rsidRDefault="000E0395" w:rsidP="000E0395">
            <w:pPr>
              <w:spacing w:after="160" w:line="259" w:lineRule="auto"/>
              <w:jc w:val="center"/>
              <w:rPr>
                <w:rFonts w:ascii="Calibri" w:eastAsia="Calibri" w:hAnsi="Calibri"/>
                <w:sz w:val="22"/>
                <w:szCs w:val="22"/>
              </w:rPr>
            </w:pPr>
          </w:p>
        </w:tc>
        <w:tc>
          <w:tcPr>
            <w:tcW w:w="505" w:type="pct"/>
            <w:tcBorders>
              <w:top w:val="nil"/>
              <w:left w:val="nil"/>
              <w:bottom w:val="single" w:sz="8" w:space="0" w:color="auto"/>
              <w:right w:val="nil"/>
            </w:tcBorders>
            <w:shd w:val="clear" w:color="auto" w:fill="99CCFF"/>
            <w:noWrap/>
            <w:tcMar>
              <w:top w:w="0" w:type="dxa"/>
              <w:left w:w="108" w:type="dxa"/>
              <w:bottom w:w="0" w:type="dxa"/>
              <w:right w:w="108" w:type="dxa"/>
            </w:tcMar>
            <w:vAlign w:val="center"/>
          </w:tcPr>
          <w:p w14:paraId="138A9247" w14:textId="77777777" w:rsidR="000E0395" w:rsidRPr="000E0395" w:rsidRDefault="000E0395" w:rsidP="000E0395">
            <w:pPr>
              <w:spacing w:after="160" w:line="259" w:lineRule="auto"/>
              <w:jc w:val="center"/>
              <w:rPr>
                <w:rFonts w:ascii="Calibri" w:eastAsia="Calibri" w:hAnsi="Calibri"/>
                <w:sz w:val="22"/>
                <w:szCs w:val="22"/>
              </w:rPr>
            </w:pPr>
          </w:p>
        </w:tc>
        <w:tc>
          <w:tcPr>
            <w:tcW w:w="529" w:type="pct"/>
            <w:tcBorders>
              <w:top w:val="nil"/>
              <w:left w:val="single" w:sz="12" w:space="0" w:color="auto"/>
              <w:bottom w:val="single" w:sz="8" w:space="0" w:color="auto"/>
              <w:right w:val="single" w:sz="8" w:space="0" w:color="auto"/>
            </w:tcBorders>
            <w:shd w:val="clear" w:color="auto" w:fill="99CCFF"/>
            <w:noWrap/>
            <w:tcMar>
              <w:top w:w="0" w:type="dxa"/>
              <w:left w:w="108" w:type="dxa"/>
              <w:bottom w:w="0" w:type="dxa"/>
              <w:right w:w="108" w:type="dxa"/>
            </w:tcMar>
            <w:vAlign w:val="center"/>
          </w:tcPr>
          <w:p w14:paraId="461A5AD3" w14:textId="77777777" w:rsidR="000E0395" w:rsidRPr="000E0395" w:rsidRDefault="000E0395" w:rsidP="000E0395">
            <w:pPr>
              <w:spacing w:after="160" w:line="259" w:lineRule="auto"/>
              <w:jc w:val="center"/>
              <w:rPr>
                <w:rFonts w:ascii="Calibri" w:eastAsia="Calibri" w:hAnsi="Calibri"/>
                <w:sz w:val="22"/>
                <w:szCs w:val="22"/>
              </w:rPr>
            </w:pPr>
          </w:p>
        </w:tc>
        <w:tc>
          <w:tcPr>
            <w:tcW w:w="442" w:type="pct"/>
            <w:tcBorders>
              <w:top w:val="nil"/>
              <w:left w:val="nil"/>
              <w:bottom w:val="single" w:sz="8" w:space="0" w:color="auto"/>
              <w:right w:val="nil"/>
            </w:tcBorders>
            <w:shd w:val="clear" w:color="auto" w:fill="99CCFF"/>
            <w:tcMar>
              <w:top w:w="0" w:type="dxa"/>
              <w:left w:w="108" w:type="dxa"/>
              <w:bottom w:w="0" w:type="dxa"/>
              <w:right w:w="108" w:type="dxa"/>
            </w:tcMar>
            <w:vAlign w:val="center"/>
          </w:tcPr>
          <w:p w14:paraId="7C1B30DB" w14:textId="77777777" w:rsidR="000E0395" w:rsidRPr="000E0395" w:rsidRDefault="000E0395" w:rsidP="000E0395">
            <w:pPr>
              <w:spacing w:after="160" w:line="259" w:lineRule="auto"/>
              <w:jc w:val="center"/>
              <w:rPr>
                <w:rFonts w:ascii="Calibri" w:eastAsia="Calibri" w:hAnsi="Calibri"/>
                <w:sz w:val="22"/>
                <w:szCs w:val="22"/>
              </w:rPr>
            </w:pPr>
          </w:p>
        </w:tc>
        <w:tc>
          <w:tcPr>
            <w:tcW w:w="516" w:type="pc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3A2E4A74" w14:textId="77777777" w:rsidR="000E0395" w:rsidRPr="000E0395" w:rsidRDefault="000E0395" w:rsidP="000E0395">
            <w:pPr>
              <w:spacing w:after="160" w:line="259" w:lineRule="auto"/>
              <w:jc w:val="center"/>
              <w:rPr>
                <w:rFonts w:ascii="Calibri" w:eastAsia="Calibri" w:hAnsi="Calibri"/>
                <w:sz w:val="22"/>
                <w:szCs w:val="22"/>
              </w:rPr>
            </w:pPr>
          </w:p>
        </w:tc>
      </w:tr>
    </w:tbl>
    <w:p w14:paraId="021B012C" w14:textId="77777777" w:rsidR="000E0395" w:rsidRPr="000E0395" w:rsidRDefault="000E0395" w:rsidP="000E0395">
      <w:pPr>
        <w:spacing w:after="160" w:line="259" w:lineRule="auto"/>
        <w:ind w:left="720"/>
        <w:rPr>
          <w:rFonts w:ascii="Calibri" w:eastAsia="Calibri" w:hAnsi="Calibri"/>
          <w:sz w:val="22"/>
          <w:szCs w:val="22"/>
        </w:rPr>
      </w:pPr>
      <w:r w:rsidRPr="000E0395">
        <w:rPr>
          <w:rFonts w:eastAsia="Calibri" w:cs="Arial"/>
          <w:sz w:val="20"/>
        </w:rPr>
        <w:t> </w:t>
      </w:r>
    </w:p>
    <w:p w14:paraId="61089DD2" w14:textId="77777777" w:rsidR="000E0395" w:rsidRPr="000E0395" w:rsidRDefault="000E0395" w:rsidP="000E0395">
      <w:pPr>
        <w:spacing w:after="160" w:line="259" w:lineRule="auto"/>
        <w:ind w:left="720"/>
        <w:rPr>
          <w:rFonts w:eastAsia="Calibri" w:cs="Arial"/>
          <w:sz w:val="20"/>
        </w:rPr>
      </w:pPr>
    </w:p>
    <w:p w14:paraId="229B5AE8" w14:textId="77777777" w:rsidR="000E0395" w:rsidRPr="000E0395" w:rsidRDefault="000E0395" w:rsidP="008172F3">
      <w:pPr>
        <w:autoSpaceDE w:val="0"/>
        <w:autoSpaceDN w:val="0"/>
        <w:rPr>
          <w:rFonts w:ascii="Times New Roman" w:hAnsi="Times New Roman"/>
          <w:szCs w:val="24"/>
        </w:rPr>
      </w:pPr>
      <w:r w:rsidRPr="000E0395">
        <w:rPr>
          <w:rFonts w:cs="Arial"/>
          <w:b/>
          <w:bCs/>
          <w:sz w:val="20"/>
        </w:rPr>
        <w:t xml:space="preserve">Measure Requirements: </w:t>
      </w:r>
    </w:p>
    <w:p w14:paraId="3CFB4A0D" w14:textId="77777777" w:rsidR="000E0395" w:rsidRPr="000E0395" w:rsidRDefault="000E0395" w:rsidP="000E0395">
      <w:pPr>
        <w:autoSpaceDE w:val="0"/>
        <w:autoSpaceDN w:val="0"/>
        <w:ind w:left="720"/>
        <w:rPr>
          <w:rFonts w:ascii="Times New Roman" w:hAnsi="Times New Roman"/>
          <w:szCs w:val="24"/>
        </w:rPr>
      </w:pPr>
      <w:r w:rsidRPr="000E0395">
        <w:rPr>
          <w:rFonts w:ascii="Times New Roman" w:hAnsi="Times New Roman"/>
          <w:szCs w:val="24"/>
        </w:rPr>
        <w:t> </w:t>
      </w:r>
    </w:p>
    <w:p w14:paraId="0F54B16A" w14:textId="77777777" w:rsidR="000E0395" w:rsidRPr="000E0395" w:rsidRDefault="000E0395" w:rsidP="008172F3">
      <w:pPr>
        <w:numPr>
          <w:ilvl w:val="0"/>
          <w:numId w:val="25"/>
        </w:numPr>
        <w:autoSpaceDE w:val="0"/>
        <w:autoSpaceDN w:val="0"/>
        <w:spacing w:after="160" w:line="259" w:lineRule="auto"/>
        <w:rPr>
          <w:rFonts w:cs="Arial"/>
          <w:sz w:val="20"/>
        </w:rPr>
      </w:pPr>
      <w:r w:rsidRPr="000E0395">
        <w:rPr>
          <w:rFonts w:cs="Arial"/>
          <w:sz w:val="20"/>
        </w:rPr>
        <w:t>Product must appear on the most current Energy Star criteria list under the Commercial Foodservice Equipment program or meet criteria listed in Energy Star specifications.</w:t>
      </w:r>
    </w:p>
    <w:p w14:paraId="3F26D712" w14:textId="77777777" w:rsidR="000E0395" w:rsidRPr="000E0395" w:rsidRDefault="000E0395" w:rsidP="008172F3">
      <w:pPr>
        <w:numPr>
          <w:ilvl w:val="0"/>
          <w:numId w:val="25"/>
        </w:numPr>
        <w:autoSpaceDE w:val="0"/>
        <w:autoSpaceDN w:val="0"/>
        <w:spacing w:after="160" w:line="259" w:lineRule="auto"/>
        <w:rPr>
          <w:rFonts w:cs="Arial"/>
          <w:sz w:val="20"/>
        </w:rPr>
      </w:pPr>
      <w:r w:rsidRPr="000E0395">
        <w:rPr>
          <w:rFonts w:cs="Arial"/>
          <w:sz w:val="20"/>
        </w:rPr>
        <w:t>Fryer vat must be a minimum of 12 inches wide. Smaller vats are likely split vats, with 2 sections constituting a single large vat.</w:t>
      </w:r>
    </w:p>
    <w:p w14:paraId="5015A3C8" w14:textId="77777777" w:rsidR="000E0395" w:rsidRPr="000E0395" w:rsidRDefault="000E0395" w:rsidP="000E0395">
      <w:pPr>
        <w:spacing w:after="160" w:line="259" w:lineRule="auto"/>
        <w:ind w:left="720"/>
        <w:rPr>
          <w:rFonts w:ascii="Calibri" w:eastAsia="Calibri" w:hAnsi="Calibri"/>
          <w:sz w:val="22"/>
          <w:szCs w:val="22"/>
        </w:rPr>
      </w:pPr>
      <w:r w:rsidRPr="000E0395">
        <w:rPr>
          <w:rFonts w:eastAsia="Calibri" w:cs="Arial"/>
          <w:sz w:val="20"/>
        </w:rPr>
        <w:t> </w:t>
      </w:r>
    </w:p>
    <w:p w14:paraId="69390C1E" w14:textId="77777777" w:rsidR="000E0395" w:rsidRPr="000E0395" w:rsidRDefault="000E0395" w:rsidP="000E0395">
      <w:pPr>
        <w:spacing w:after="160" w:line="259" w:lineRule="auto"/>
        <w:ind w:left="720"/>
        <w:rPr>
          <w:rFonts w:ascii="Calibri" w:eastAsia="Calibri" w:hAnsi="Calibri"/>
          <w:sz w:val="22"/>
          <w:szCs w:val="22"/>
        </w:rPr>
      </w:pPr>
      <w:r w:rsidRPr="000E0395">
        <w:rPr>
          <w:rFonts w:eastAsia="Calibri" w:cs="Arial"/>
          <w:sz w:val="20"/>
        </w:rPr>
        <w:t> </w:t>
      </w:r>
    </w:p>
    <w:p w14:paraId="4C92BA48" w14:textId="77777777" w:rsidR="000E0395" w:rsidRPr="000E0395" w:rsidRDefault="000E0395" w:rsidP="000E0395">
      <w:pPr>
        <w:spacing w:after="160" w:line="259" w:lineRule="auto"/>
        <w:rPr>
          <w:rFonts w:ascii="Calibri" w:eastAsia="Calibri" w:hAnsi="Calibri"/>
          <w:color w:val="1F497D"/>
          <w:sz w:val="22"/>
          <w:szCs w:val="22"/>
        </w:rPr>
      </w:pPr>
    </w:p>
    <w:p w14:paraId="34013EC3" w14:textId="77777777" w:rsidR="000E0395" w:rsidRPr="000E0395" w:rsidRDefault="000E0395" w:rsidP="000E0395">
      <w:pPr>
        <w:spacing w:after="160" w:line="259" w:lineRule="auto"/>
        <w:rPr>
          <w:rFonts w:ascii="Calibri" w:eastAsia="Calibri" w:hAnsi="Calibri"/>
          <w:sz w:val="22"/>
          <w:szCs w:val="22"/>
        </w:rPr>
      </w:pPr>
    </w:p>
    <w:p w14:paraId="2ED19A2E"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3A149A4C" w14:textId="77777777" w:rsidR="000E0395" w:rsidRPr="000E0395" w:rsidRDefault="000E0395" w:rsidP="00487279">
      <w:pPr>
        <w:keepNext/>
        <w:keepLines/>
        <w:spacing w:before="40" w:line="259" w:lineRule="auto"/>
        <w:ind w:left="-720"/>
        <w:outlineLvl w:val="1"/>
        <w:rPr>
          <w:rFonts w:ascii="Calibri Light" w:hAnsi="Calibri Light"/>
          <w:b/>
          <w:color w:val="2E74B5"/>
          <w:sz w:val="26"/>
          <w:szCs w:val="26"/>
          <w:u w:val="single"/>
        </w:rPr>
      </w:pPr>
    </w:p>
    <w:p w14:paraId="4370294E" w14:textId="77777777" w:rsidR="000E0395" w:rsidRPr="000E0395" w:rsidRDefault="000E0395" w:rsidP="00487279">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40ED6B0E" w14:textId="77777777" w:rsidR="000E0395" w:rsidRPr="000E0395" w:rsidRDefault="000E0395" w:rsidP="00487279">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MF Domestic Tank Water Heaters</w:t>
      </w:r>
      <w:r w:rsidRPr="000E0395">
        <w:rPr>
          <w:rFonts w:ascii="Calibri Light" w:hAnsi="Calibri Light"/>
          <w:color w:val="2E74B5"/>
          <w:sz w:val="26"/>
          <w:szCs w:val="26"/>
        </w:rPr>
        <w:tab/>
      </w:r>
      <w:r w:rsidRPr="000E0395">
        <w:rPr>
          <w:rFonts w:ascii="Calibri Light" w:hAnsi="Calibri Light"/>
          <w:color w:val="2E74B5"/>
          <w:sz w:val="20"/>
          <w:szCs w:val="26"/>
        </w:rPr>
        <w:t>Minimum 91 percent AFUE</w:t>
      </w:r>
    </w:p>
    <w:p w14:paraId="6F30CA21" w14:textId="77777777" w:rsidR="000E0395" w:rsidRPr="000E0395" w:rsidRDefault="000E0395" w:rsidP="000E0395">
      <w:pPr>
        <w:rPr>
          <w:rFonts w:ascii="Calibri" w:eastAsia="Calibri" w:hAnsi="Calibri"/>
          <w:sz w:val="22"/>
          <w:szCs w:val="22"/>
        </w:rPr>
      </w:pPr>
    </w:p>
    <w:p w14:paraId="3DC75038" w14:textId="77777777" w:rsidR="000E0395" w:rsidRPr="000E0395" w:rsidRDefault="000E0395" w:rsidP="00487279">
      <w:pPr>
        <w:spacing w:after="160" w:line="259" w:lineRule="auto"/>
        <w:rPr>
          <w:rFonts w:ascii="Calibri" w:eastAsia="Calibri" w:hAnsi="Calibri"/>
          <w:sz w:val="22"/>
          <w:szCs w:val="22"/>
        </w:rPr>
      </w:pPr>
      <w:r w:rsidRPr="000E0395">
        <w:rPr>
          <w:rFonts w:eastAsia="Calibri" w:cs="Arial"/>
          <w:sz w:val="20"/>
        </w:rPr>
        <w:t>BLESSING MEMO FOR BOILER AND WATER HEATER MEASURES FOR MULTI-FAMILY</w:t>
      </w:r>
    </w:p>
    <w:p w14:paraId="225D5454" w14:textId="6A0288EF" w:rsidR="000E0395" w:rsidRPr="000E0395" w:rsidRDefault="000E0395" w:rsidP="00487279">
      <w:pPr>
        <w:spacing w:after="160" w:line="259" w:lineRule="auto"/>
        <w:rPr>
          <w:rFonts w:ascii="Calibri" w:eastAsia="Calibri" w:hAnsi="Calibri"/>
          <w:sz w:val="22"/>
          <w:szCs w:val="22"/>
        </w:rPr>
      </w:pPr>
      <w:r w:rsidRPr="000E0395">
        <w:rPr>
          <w:rFonts w:eastAsia="Calibri" w:cs="Arial"/>
          <w:b/>
          <w:bCs/>
          <w:sz w:val="20"/>
        </w:rPr>
        <w:t>End Use:</w:t>
      </w:r>
      <w:r w:rsidRPr="000E0395">
        <w:rPr>
          <w:rFonts w:eastAsia="Calibri" w:cs="Arial"/>
          <w:sz w:val="20"/>
        </w:rPr>
        <w:t xml:space="preserve"> Gas-Fired Boilers, Gas-Fired Tank and Gas-Fired </w:t>
      </w:r>
      <w:proofErr w:type="spellStart"/>
      <w:r w:rsidRPr="000E0395">
        <w:rPr>
          <w:rFonts w:eastAsia="Calibri" w:cs="Arial"/>
          <w:sz w:val="20"/>
        </w:rPr>
        <w:t>Tankless</w:t>
      </w:r>
      <w:proofErr w:type="spellEnd"/>
      <w:r w:rsidRPr="000E0395">
        <w:rPr>
          <w:rFonts w:eastAsia="Calibri" w:cs="Arial"/>
          <w:sz w:val="20"/>
        </w:rPr>
        <w:t xml:space="preserve"> Water Heaters</w:t>
      </w:r>
    </w:p>
    <w:p w14:paraId="7178E823" w14:textId="77777777" w:rsidR="000E0395" w:rsidRPr="000E0395" w:rsidRDefault="000E0395" w:rsidP="00487279">
      <w:pPr>
        <w:spacing w:after="160" w:line="259" w:lineRule="auto"/>
        <w:rPr>
          <w:rFonts w:ascii="Calibri" w:eastAsia="Calibri" w:hAnsi="Calibri"/>
          <w:sz w:val="22"/>
          <w:szCs w:val="22"/>
        </w:rPr>
      </w:pPr>
      <w:r w:rsidRPr="000E0395">
        <w:rPr>
          <w:rFonts w:eastAsia="Calibri" w:cs="Arial"/>
          <w:b/>
          <w:bCs/>
          <w:sz w:val="20"/>
        </w:rPr>
        <w:t>Scope:</w:t>
      </w:r>
      <w:r w:rsidRPr="000E0395">
        <w:rPr>
          <w:rFonts w:eastAsia="Calibri" w:cs="Arial"/>
          <w:sz w:val="20"/>
        </w:rPr>
        <w:t xml:space="preserve"> Measure is “Blessed” in new, replacement, and retrofit markets for multi-family installations using centralized gas-fired boilers, tank-type and </w:t>
      </w:r>
      <w:proofErr w:type="spellStart"/>
      <w:r w:rsidRPr="000E0395">
        <w:rPr>
          <w:rFonts w:eastAsia="Calibri" w:cs="Arial"/>
          <w:sz w:val="20"/>
        </w:rPr>
        <w:t>tankless</w:t>
      </w:r>
      <w:proofErr w:type="spellEnd"/>
      <w:r w:rsidRPr="000E0395">
        <w:rPr>
          <w:rFonts w:eastAsia="Calibri" w:cs="Arial"/>
          <w:sz w:val="20"/>
        </w:rPr>
        <w:t xml:space="preserve"> water heaters. This updates the existing measures which currently utilize the prescriptive incentive structure of single family installations.</w:t>
      </w:r>
    </w:p>
    <w:p w14:paraId="466E8DCF" w14:textId="77777777" w:rsidR="000E0395" w:rsidRPr="000E0395" w:rsidRDefault="000E0395" w:rsidP="00487279">
      <w:pPr>
        <w:spacing w:after="160" w:line="259" w:lineRule="auto"/>
        <w:rPr>
          <w:rFonts w:ascii="Calibri" w:eastAsia="Calibri" w:hAnsi="Calibri"/>
          <w:sz w:val="22"/>
          <w:szCs w:val="22"/>
        </w:rPr>
      </w:pPr>
      <w:r w:rsidRPr="000E0395">
        <w:rPr>
          <w:rFonts w:eastAsia="Calibri" w:cs="Arial"/>
          <w:sz w:val="20"/>
        </w:rPr>
        <w:t> </w:t>
      </w:r>
    </w:p>
    <w:p w14:paraId="1A432B39" w14:textId="77777777" w:rsidR="000E0395" w:rsidRPr="000E0395" w:rsidRDefault="000E0395" w:rsidP="00487279">
      <w:pPr>
        <w:spacing w:after="160" w:line="259" w:lineRule="auto"/>
        <w:rPr>
          <w:rFonts w:ascii="Calibri" w:eastAsia="Calibri" w:hAnsi="Calibri"/>
          <w:sz w:val="22"/>
          <w:szCs w:val="22"/>
        </w:rPr>
      </w:pPr>
      <w:r w:rsidRPr="000E0395">
        <w:rPr>
          <w:rFonts w:eastAsia="Calibri" w:cs="Arial"/>
          <w:b/>
          <w:bCs/>
          <w:sz w:val="20"/>
        </w:rPr>
        <w:t>Program:</w:t>
      </w:r>
      <w:r w:rsidRPr="000E0395">
        <w:rPr>
          <w:rFonts w:eastAsia="Calibri" w:cs="Arial"/>
          <w:sz w:val="20"/>
        </w:rPr>
        <w:t xml:space="preserve"> Based on the referenced analysis and associated cost-effectiveness screening, the 3 measures described below are “blessed” as cost effective on a prospective basis for inclusion in the Existing and New Multi-Family buildings program.  </w:t>
      </w:r>
    </w:p>
    <w:p w14:paraId="1DDDE833" w14:textId="77777777" w:rsidR="000E0395" w:rsidRPr="000E0395" w:rsidRDefault="000E0395" w:rsidP="00487279">
      <w:pPr>
        <w:spacing w:after="160" w:line="259" w:lineRule="auto"/>
        <w:rPr>
          <w:rFonts w:ascii="Calibri" w:eastAsia="Calibri" w:hAnsi="Calibri"/>
          <w:sz w:val="22"/>
          <w:szCs w:val="22"/>
        </w:rPr>
      </w:pPr>
      <w:r w:rsidRPr="000E0395">
        <w:rPr>
          <w:rFonts w:eastAsia="Calibri" w:cs="Arial"/>
          <w:sz w:val="20"/>
        </w:rPr>
        <w:t> </w:t>
      </w:r>
    </w:p>
    <w:p w14:paraId="6521B2BC" w14:textId="77777777" w:rsidR="000E0395" w:rsidRPr="000E0395" w:rsidRDefault="000E0395" w:rsidP="00487279">
      <w:pPr>
        <w:spacing w:after="160" w:line="259" w:lineRule="auto"/>
        <w:rPr>
          <w:rFonts w:eastAsia="Calibri" w:cs="Arial"/>
          <w:sz w:val="20"/>
        </w:rPr>
      </w:pPr>
      <w:r w:rsidRPr="000E0395">
        <w:rPr>
          <w:rFonts w:eastAsia="Calibri" w:cs="Arial"/>
          <w:b/>
          <w:bCs/>
          <w:sz w:val="20"/>
        </w:rPr>
        <w:t>Details:</w:t>
      </w:r>
      <w:r w:rsidRPr="000E0395">
        <w:rPr>
          <w:rFonts w:eastAsia="Calibri" w:cs="Arial"/>
          <w:sz w:val="20"/>
        </w:rPr>
        <w:t xml:space="preserve"> Currently the savings and incentives structure for multi-family is set up to use the same path as single family installations. However, some multi-family properties utilize a centralized hot water or heating distribution system, and in these cases single family incentives and savings are not reflective of expected costs and the higher usage associated with a larger centralized system. Because of their size, these installs tend to require commercial grade equipment, and are therefore more expensive than residential grade units. The lower incentives that are based off single family homes are not reflective of the larger upfront cost required to purchase or operate a commercial grade unit and so the commercial incentive structure provides a better opportunity to capture expected cost and savings for the larger, centralized distribution systems.</w:t>
      </w:r>
    </w:p>
    <w:p w14:paraId="58D2B7B4" w14:textId="77777777" w:rsidR="000E0395" w:rsidRPr="000E0395" w:rsidRDefault="000E0395" w:rsidP="00487279">
      <w:pPr>
        <w:spacing w:after="160" w:line="259" w:lineRule="auto"/>
        <w:rPr>
          <w:rFonts w:eastAsia="Calibri" w:cs="Arial"/>
          <w:sz w:val="20"/>
        </w:rPr>
      </w:pPr>
    </w:p>
    <w:p w14:paraId="26DE5354" w14:textId="77777777" w:rsidR="000E0395" w:rsidRPr="000E0395" w:rsidRDefault="000E0395" w:rsidP="00487279">
      <w:pPr>
        <w:spacing w:after="160" w:line="259" w:lineRule="auto"/>
        <w:rPr>
          <w:rFonts w:eastAsia="Calibri" w:cs="Arial"/>
          <w:sz w:val="20"/>
        </w:rPr>
      </w:pPr>
      <w:r w:rsidRPr="000E0395">
        <w:rPr>
          <w:rFonts w:eastAsia="Calibri" w:cs="Arial"/>
          <w:sz w:val="20"/>
        </w:rPr>
        <w:t xml:space="preserve">To screen multi-family installs for cost effectiveness using commercial savings estimates, we referred to the commercial gas savings analysis done in 2003 by Jim </w:t>
      </w:r>
      <w:proofErr w:type="spellStart"/>
      <w:r w:rsidRPr="000E0395">
        <w:rPr>
          <w:rFonts w:eastAsia="Calibri" w:cs="Arial"/>
          <w:sz w:val="20"/>
        </w:rPr>
        <w:t>Volkman</w:t>
      </w:r>
      <w:proofErr w:type="spellEnd"/>
      <w:r w:rsidRPr="000E0395">
        <w:rPr>
          <w:rFonts w:eastAsia="Calibri" w:cs="Arial"/>
          <w:sz w:val="20"/>
        </w:rPr>
        <w:t xml:space="preserve"> of </w:t>
      </w:r>
      <w:smartTag w:uri="urn:schemas-microsoft-com:office:smarttags" w:element="place">
        <w:r w:rsidRPr="000E0395">
          <w:rPr>
            <w:rFonts w:eastAsia="Calibri" w:cs="Arial"/>
            <w:sz w:val="20"/>
          </w:rPr>
          <w:t>Aspen</w:t>
        </w:r>
      </w:smartTag>
      <w:r w:rsidRPr="000E0395">
        <w:rPr>
          <w:rFonts w:eastAsia="Calibri" w:cs="Arial"/>
          <w:sz w:val="20"/>
        </w:rPr>
        <w:t xml:space="preserve"> systems. The 2003 analysis relied upon Full Load Hours (FLH) of different building types to determine savings estimates (which are numbers </w:t>
      </w:r>
      <w:proofErr w:type="spellStart"/>
      <w:r w:rsidRPr="000E0395">
        <w:rPr>
          <w:rFonts w:eastAsia="Calibri" w:cs="Arial"/>
          <w:sz w:val="20"/>
        </w:rPr>
        <w:t>Ecotope</w:t>
      </w:r>
      <w:proofErr w:type="spellEnd"/>
      <w:r w:rsidRPr="000E0395">
        <w:rPr>
          <w:rFonts w:eastAsia="Calibri" w:cs="Arial"/>
          <w:sz w:val="20"/>
        </w:rPr>
        <w:t xml:space="preserve"> has established for use in equipment sizing). This analysis was modified to reflect a reduction in FLH from common commercial building types to that of a motel building, which was seen as an equivalent comparison to a multi-family installation. This reduction to 468 FLH for each measure more accurately depicts the usage of the multi-family property, as opposed to a single family residence or a common commercial building.</w:t>
      </w:r>
    </w:p>
    <w:p w14:paraId="3A2F7650" w14:textId="77777777" w:rsidR="000E0395" w:rsidRPr="000E0395" w:rsidRDefault="000E0395" w:rsidP="00487279">
      <w:pPr>
        <w:spacing w:after="160" w:line="259" w:lineRule="auto"/>
        <w:rPr>
          <w:rFonts w:eastAsia="Calibri" w:cs="Arial"/>
          <w:sz w:val="20"/>
        </w:rPr>
      </w:pPr>
    </w:p>
    <w:p w14:paraId="49DAA8C3" w14:textId="77777777" w:rsidR="000E0395" w:rsidRPr="000E0395" w:rsidRDefault="000E0395" w:rsidP="00487279">
      <w:pPr>
        <w:spacing w:after="160" w:line="259" w:lineRule="auto"/>
        <w:rPr>
          <w:rFonts w:eastAsia="Calibri" w:cs="Arial"/>
          <w:sz w:val="20"/>
        </w:rPr>
      </w:pPr>
      <w:r w:rsidRPr="000E0395">
        <w:rPr>
          <w:rFonts w:eastAsia="Calibri" w:cs="Arial"/>
          <w:sz w:val="20"/>
        </w:rPr>
        <w:t xml:space="preserve">Using the 2003 analysis and reducing the FLH as described above, the cost effectiveness screening for the 3 measures is given below based on a per </w:t>
      </w:r>
      <w:proofErr w:type="spellStart"/>
      <w:r w:rsidRPr="000E0395">
        <w:rPr>
          <w:rFonts w:eastAsia="Calibri" w:cs="Arial"/>
          <w:sz w:val="20"/>
        </w:rPr>
        <w:t>btuh</w:t>
      </w:r>
      <w:proofErr w:type="spellEnd"/>
      <w:r w:rsidRPr="000E0395">
        <w:rPr>
          <w:rFonts w:eastAsia="Calibri" w:cs="Arial"/>
          <w:sz w:val="20"/>
        </w:rPr>
        <w:t xml:space="preserve"> input:</w:t>
      </w:r>
    </w:p>
    <w:p w14:paraId="6489288A" w14:textId="77777777" w:rsidR="000E0395" w:rsidRPr="000E0395" w:rsidRDefault="000E0395" w:rsidP="000E0395">
      <w:pPr>
        <w:spacing w:after="160" w:line="259" w:lineRule="auto"/>
        <w:rPr>
          <w:rFonts w:eastAsia="Calibri" w:cs="Arial"/>
          <w:sz w:val="20"/>
        </w:rPr>
      </w:pPr>
      <w:r w:rsidRPr="000E0395">
        <w:rPr>
          <w:rFonts w:eastAsia="Calibri" w:cs="Arial"/>
          <w:sz w:val="20"/>
        </w:rPr>
        <w:br w:type="page"/>
      </w:r>
    </w:p>
    <w:p w14:paraId="7CE51EF4" w14:textId="77777777" w:rsidR="000E0395" w:rsidRPr="000E0395" w:rsidRDefault="000E0395" w:rsidP="000E0395">
      <w:pPr>
        <w:spacing w:after="160" w:line="259" w:lineRule="auto"/>
        <w:ind w:left="720"/>
        <w:rPr>
          <w:rFonts w:eastAsia="Calibri" w:cs="Arial"/>
          <w:sz w:val="20"/>
        </w:rPr>
      </w:pPr>
    </w:p>
    <w:tbl>
      <w:tblPr>
        <w:tblW w:w="10535" w:type="dxa"/>
        <w:tblInd w:w="-162" w:type="dxa"/>
        <w:tblCellMar>
          <w:left w:w="0" w:type="dxa"/>
          <w:right w:w="0" w:type="dxa"/>
        </w:tblCellMar>
        <w:tblLook w:val="0000" w:firstRow="0" w:lastRow="0" w:firstColumn="0" w:lastColumn="0" w:noHBand="0" w:noVBand="0"/>
      </w:tblPr>
      <w:tblGrid>
        <w:gridCol w:w="1109"/>
        <w:gridCol w:w="1391"/>
        <w:gridCol w:w="1733"/>
        <w:gridCol w:w="1097"/>
        <w:gridCol w:w="1451"/>
        <w:gridCol w:w="1170"/>
        <w:gridCol w:w="1292"/>
        <w:gridCol w:w="1292"/>
      </w:tblGrid>
      <w:tr w:rsidR="000E0395" w:rsidRPr="000E0395" w14:paraId="0E18BB67" w14:textId="77777777" w:rsidTr="00487279">
        <w:trPr>
          <w:trHeight w:val="2094"/>
        </w:trPr>
        <w:tc>
          <w:tcPr>
            <w:tcW w:w="110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7CE17B43"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Measure #</w:t>
            </w:r>
          </w:p>
        </w:tc>
        <w:tc>
          <w:tcPr>
            <w:tcW w:w="1391"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7142A682"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Energy Efficiency Measure Name</w:t>
            </w:r>
          </w:p>
        </w:tc>
        <w:tc>
          <w:tcPr>
            <w:tcW w:w="173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24FABC18"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 xml:space="preserve">Measure Lifetime (Maximum   70 </w:t>
            </w:r>
            <w:proofErr w:type="spellStart"/>
            <w:r w:rsidRPr="000E0395">
              <w:rPr>
                <w:rFonts w:eastAsia="Calibri" w:cs="Arial"/>
                <w:b/>
                <w:bCs/>
                <w:sz w:val="22"/>
                <w:szCs w:val="22"/>
              </w:rPr>
              <w:t>yrs</w:t>
            </w:r>
            <w:proofErr w:type="spellEnd"/>
            <w:r w:rsidRPr="000E0395">
              <w:rPr>
                <w:rFonts w:eastAsia="Calibri" w:cs="Arial"/>
                <w:b/>
                <w:bCs/>
                <w:sz w:val="22"/>
                <w:szCs w:val="22"/>
              </w:rPr>
              <w:t>)</w:t>
            </w:r>
          </w:p>
        </w:tc>
        <w:tc>
          <w:tcPr>
            <w:tcW w:w="109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20EA9BA"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Annual Natural Gas Savings (therms)</w:t>
            </w:r>
          </w:p>
        </w:tc>
        <w:tc>
          <w:tcPr>
            <w:tcW w:w="1451"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7922993"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Total Incremental Cost of Measure</w:t>
            </w:r>
          </w:p>
        </w:tc>
        <w:tc>
          <w:tcPr>
            <w:tcW w:w="117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D51C08C"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Total Potential Incentive If Measure is Cost-effective</w:t>
            </w:r>
          </w:p>
        </w:tc>
        <w:tc>
          <w:tcPr>
            <w:tcW w:w="129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54549406"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Combined Utility System BCR</w:t>
            </w:r>
          </w:p>
        </w:tc>
        <w:tc>
          <w:tcPr>
            <w:tcW w:w="129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4BBF89DD"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Combined Societal BCR</w:t>
            </w:r>
          </w:p>
        </w:tc>
      </w:tr>
      <w:tr w:rsidR="000E0395" w:rsidRPr="000E0395" w14:paraId="68849145" w14:textId="77777777" w:rsidTr="00487279">
        <w:trPr>
          <w:trHeight w:val="692"/>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65DA2945"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2783"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Condensing Tank WH</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EB891"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B3C69"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0.644</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968A7"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$6.06</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6F0A6B5"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9385801"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2.4</w:t>
            </w:r>
          </w:p>
        </w:tc>
        <w:tc>
          <w:tcPr>
            <w:tcW w:w="129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2194E792" w14:textId="77777777" w:rsidR="000E0395" w:rsidRPr="000E0395" w:rsidRDefault="000E0395" w:rsidP="000E0395">
            <w:pPr>
              <w:spacing w:after="160" w:line="259" w:lineRule="auto"/>
              <w:jc w:val="center"/>
              <w:rPr>
                <w:rFonts w:eastAsia="Calibri" w:cs="Arial"/>
                <w:b/>
                <w:bCs/>
                <w:color w:val="FFFFFF"/>
                <w:sz w:val="22"/>
                <w:szCs w:val="22"/>
              </w:rPr>
            </w:pPr>
            <w:r w:rsidRPr="000E0395">
              <w:rPr>
                <w:rFonts w:eastAsia="Calibri" w:cs="Arial"/>
                <w:b/>
                <w:bCs/>
                <w:color w:val="FFFFFF"/>
                <w:sz w:val="22"/>
                <w:szCs w:val="22"/>
              </w:rPr>
              <w:t>0.990</w:t>
            </w:r>
          </w:p>
        </w:tc>
      </w:tr>
      <w:tr w:rsidR="000E0395" w:rsidRPr="000E0395" w14:paraId="19FB9502" w14:textId="77777777" w:rsidTr="00487279">
        <w:trPr>
          <w:trHeight w:val="692"/>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40C5FDFA"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2</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D279B"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Condensing Boiler</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5193C"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5E7EA"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0.585</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EE309"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$5.07</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A28A0D1"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$4</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3AE55E2"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2217E6B"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1.183</w:t>
            </w:r>
          </w:p>
        </w:tc>
      </w:tr>
      <w:tr w:rsidR="000E0395" w:rsidRPr="000E0395" w14:paraId="41AEB483" w14:textId="77777777" w:rsidTr="00487279">
        <w:trPr>
          <w:trHeight w:val="692"/>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639021CD"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3</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9888" w14:textId="77777777" w:rsidR="000E0395" w:rsidRPr="000E0395" w:rsidRDefault="000E0395" w:rsidP="000E0395">
            <w:pPr>
              <w:spacing w:after="160" w:line="259" w:lineRule="auto"/>
              <w:jc w:val="center"/>
              <w:rPr>
                <w:rFonts w:eastAsia="Calibri" w:cs="Arial"/>
                <w:sz w:val="22"/>
                <w:szCs w:val="22"/>
              </w:rPr>
            </w:pPr>
            <w:proofErr w:type="spellStart"/>
            <w:r w:rsidRPr="000E0395">
              <w:rPr>
                <w:rFonts w:eastAsia="Calibri" w:cs="Arial"/>
                <w:sz w:val="22"/>
                <w:szCs w:val="22"/>
              </w:rPr>
              <w:t>Tankless</w:t>
            </w:r>
            <w:proofErr w:type="spellEnd"/>
            <w:r w:rsidRPr="000E0395">
              <w:rPr>
                <w:rFonts w:eastAsia="Calibri" w:cs="Arial"/>
                <w:sz w:val="22"/>
                <w:szCs w:val="22"/>
              </w:rPr>
              <w:t xml:space="preserve"> WH</w:t>
            </w:r>
            <w:r w:rsidRPr="000E0395">
              <w:rPr>
                <w:rFonts w:eastAsia="Calibri" w:cs="Arial"/>
                <w:sz w:val="22"/>
                <w:szCs w:val="22"/>
              </w:rPr>
              <w:br/>
              <w:t>(Electronic Ignition)</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151D4"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18</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D033D"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0.780</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2111A"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$4.00</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AB6F965"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88A8790"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3.5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57F5A0E"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1.8</w:t>
            </w:r>
          </w:p>
        </w:tc>
      </w:tr>
    </w:tbl>
    <w:p w14:paraId="664FCEDE" w14:textId="77777777" w:rsidR="000E0395" w:rsidRPr="000E0395" w:rsidRDefault="000E0395" w:rsidP="000E0395">
      <w:pPr>
        <w:spacing w:after="160" w:line="259" w:lineRule="auto"/>
        <w:ind w:left="720"/>
        <w:rPr>
          <w:rFonts w:ascii="Calibri" w:eastAsia="Calibri" w:hAnsi="Calibri"/>
          <w:sz w:val="22"/>
          <w:szCs w:val="22"/>
        </w:rPr>
      </w:pPr>
    </w:p>
    <w:p w14:paraId="1EC00D37" w14:textId="77777777" w:rsidR="000E0395" w:rsidRPr="000E0395" w:rsidRDefault="000E0395" w:rsidP="00487279">
      <w:pPr>
        <w:spacing w:after="160" w:line="259" w:lineRule="auto"/>
        <w:rPr>
          <w:rFonts w:eastAsia="Calibri" w:cs="Arial"/>
          <w:sz w:val="20"/>
        </w:rPr>
      </w:pPr>
      <w:r w:rsidRPr="000E0395">
        <w:rPr>
          <w:rFonts w:eastAsia="Calibri" w:cs="Arial"/>
          <w:sz w:val="20"/>
        </w:rPr>
        <w:t>As can be seen, based on the predicted gas savings, the condensing tank type water heater is slightly non-cost effective. However, as stated above, this is based off 2003 full load hours of expected use in a motel, and may not be exactly reflective of an actual multi-family installation of full time residents. Additionally, levelized costs are expected to increase in January 2009 at which point this measure will pass the cost-effective societal test.</w:t>
      </w:r>
      <w:r w:rsidRPr="000E0395">
        <w:rPr>
          <w:rFonts w:eastAsia="Calibri" w:cs="Arial"/>
          <w:color w:val="000080"/>
          <w:sz w:val="20"/>
        </w:rPr>
        <w:t xml:space="preserve"> It is therefore recommended to include condensing type WH in the multi-family program to maintain consistency with offerings in the commercial program.</w:t>
      </w:r>
    </w:p>
    <w:p w14:paraId="48C7C667" w14:textId="77777777" w:rsidR="000E0395" w:rsidRPr="000E0395" w:rsidRDefault="000E0395" w:rsidP="00487279">
      <w:pPr>
        <w:spacing w:after="160" w:line="259" w:lineRule="auto"/>
        <w:rPr>
          <w:rFonts w:eastAsia="Calibri" w:cs="Arial"/>
          <w:sz w:val="20"/>
        </w:rPr>
      </w:pPr>
    </w:p>
    <w:p w14:paraId="33134BF0" w14:textId="77777777" w:rsidR="000E0395" w:rsidRPr="000E0395" w:rsidRDefault="000E0395" w:rsidP="00487279">
      <w:pPr>
        <w:spacing w:after="160" w:line="259" w:lineRule="auto"/>
        <w:rPr>
          <w:rFonts w:eastAsia="Calibri" w:cs="Arial"/>
          <w:sz w:val="20"/>
        </w:rPr>
      </w:pPr>
      <w:r w:rsidRPr="000E0395">
        <w:rPr>
          <w:rFonts w:eastAsia="Calibri" w:cs="Arial"/>
          <w:b/>
          <w:bCs/>
          <w:sz w:val="20"/>
        </w:rPr>
        <w:t xml:space="preserve">Additional Steps: </w:t>
      </w:r>
      <w:r w:rsidRPr="000E0395">
        <w:rPr>
          <w:rFonts w:eastAsia="Calibri" w:cs="Arial"/>
          <w:sz w:val="20"/>
        </w:rPr>
        <w:t xml:space="preserve">It is suggested that because of upcoming requirements in the </w:t>
      </w:r>
      <w:proofErr w:type="spellStart"/>
      <w:r w:rsidRPr="000E0395">
        <w:rPr>
          <w:rFonts w:eastAsia="Calibri" w:cs="Arial"/>
          <w:sz w:val="20"/>
        </w:rPr>
        <w:t>EnergyStar</w:t>
      </w:r>
      <w:proofErr w:type="spellEnd"/>
      <w:r w:rsidRPr="000E0395">
        <w:rPr>
          <w:rFonts w:eastAsia="Calibri" w:cs="Arial"/>
          <w:sz w:val="20"/>
        </w:rPr>
        <w:t xml:space="preserve"> code, as well as the advent of new technologies since 2003, that the water heating analysis be updated to reflect more current and future costs and savings estimates. If it is determined through this updated analysis that FLH or costs for multi-family installations have decreased from those used above, the measures will be revisited to determine if they are still cost-effective.   We should also double-check to makes sure avoided costs go up as strongly expected sometime early next year.</w:t>
      </w:r>
    </w:p>
    <w:p w14:paraId="06550CF5" w14:textId="77777777" w:rsidR="000E0395" w:rsidRPr="000E0395" w:rsidRDefault="000E0395" w:rsidP="000E0395">
      <w:pPr>
        <w:spacing w:after="160" w:line="259" w:lineRule="auto"/>
        <w:rPr>
          <w:rFonts w:ascii="Calibri" w:eastAsia="Calibri" w:hAnsi="Calibri"/>
          <w:sz w:val="22"/>
          <w:szCs w:val="22"/>
        </w:rPr>
      </w:pPr>
      <w:r w:rsidRPr="000E0395">
        <w:rPr>
          <w:rFonts w:ascii="Calibri" w:eastAsia="Calibri" w:hAnsi="Calibri"/>
          <w:sz w:val="22"/>
          <w:szCs w:val="22"/>
        </w:rPr>
        <w:t> </w:t>
      </w:r>
    </w:p>
    <w:p w14:paraId="07DED385" w14:textId="77777777" w:rsidR="000E0395" w:rsidRPr="000E0395" w:rsidRDefault="000E0395" w:rsidP="000E0395">
      <w:pPr>
        <w:rPr>
          <w:rFonts w:ascii="Calibri" w:eastAsia="Calibri" w:hAnsi="Calibri"/>
          <w:sz w:val="22"/>
          <w:szCs w:val="22"/>
        </w:rPr>
      </w:pPr>
    </w:p>
    <w:p w14:paraId="0A6557DB"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6CE82B6C"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21D6B749" w14:textId="77777777" w:rsidR="000E0395" w:rsidRPr="000E0395" w:rsidRDefault="000E0395" w:rsidP="00487279">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45423852" w14:textId="77777777" w:rsidR="000E0395" w:rsidRPr="000E0395" w:rsidRDefault="000E0395" w:rsidP="00487279">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Existing Buildings</w:t>
      </w:r>
      <w:r w:rsidRPr="000E0395">
        <w:rPr>
          <w:rFonts w:ascii="Calibri Light" w:hAnsi="Calibri Light"/>
          <w:color w:val="1F4D78"/>
          <w:szCs w:val="24"/>
        </w:rPr>
        <w:tab/>
        <w:t>Thermostatic Radiator Valves (TRVs), central hydronic or steam systems only (MF only)</w:t>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r w:rsidRPr="000E0395">
        <w:rPr>
          <w:rFonts w:ascii="Calibri Light" w:hAnsi="Calibri Light"/>
          <w:color w:val="2E74B5"/>
          <w:sz w:val="26"/>
          <w:szCs w:val="26"/>
        </w:rPr>
        <w:tab/>
      </w:r>
      <w:proofErr w:type="gramStart"/>
      <w:r w:rsidRPr="000E0395">
        <w:rPr>
          <w:rFonts w:ascii="Calibri Light" w:hAnsi="Calibri Light"/>
          <w:color w:val="2E74B5"/>
          <w:sz w:val="20"/>
          <w:szCs w:val="26"/>
        </w:rPr>
        <w:t>Replace</w:t>
      </w:r>
      <w:proofErr w:type="gramEnd"/>
      <w:r w:rsidRPr="000E0395">
        <w:rPr>
          <w:rFonts w:ascii="Calibri Light" w:hAnsi="Calibri Light"/>
          <w:color w:val="2E74B5"/>
          <w:sz w:val="20"/>
          <w:szCs w:val="26"/>
        </w:rPr>
        <w:t xml:space="preserve"> manual, non-thermostatically controlled valves at dwelling unit radiators</w:t>
      </w:r>
    </w:p>
    <w:p w14:paraId="18778299" w14:textId="77777777" w:rsidR="000E0395" w:rsidRPr="000E0395" w:rsidRDefault="000E0395" w:rsidP="000E0395">
      <w:pPr>
        <w:rPr>
          <w:rFonts w:ascii="Calibri" w:eastAsia="Calibri" w:hAnsi="Calibri"/>
          <w:sz w:val="22"/>
          <w:szCs w:val="22"/>
        </w:rPr>
      </w:pPr>
    </w:p>
    <w:p w14:paraId="3BD9F522"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sz w:val="20"/>
        </w:rPr>
        <w:t>BLESSING MEMO FOR BOILER AND WATER HEATER MEASURES FOR MULTI-FAMILY</w:t>
      </w:r>
    </w:p>
    <w:p w14:paraId="339DF31E"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b/>
          <w:bCs/>
          <w:sz w:val="20"/>
        </w:rPr>
        <w:t>End Use:</w:t>
      </w:r>
      <w:r w:rsidRPr="000E0395">
        <w:rPr>
          <w:rFonts w:eastAsia="Calibri" w:cs="Arial"/>
          <w:sz w:val="20"/>
        </w:rPr>
        <w:t xml:space="preserve"> Gas-Fired Boilers, Gas-Fired Tank and Gas-Fired </w:t>
      </w:r>
      <w:proofErr w:type="spellStart"/>
      <w:r w:rsidRPr="000E0395">
        <w:rPr>
          <w:rFonts w:eastAsia="Calibri" w:cs="Arial"/>
          <w:sz w:val="20"/>
        </w:rPr>
        <w:t>Tankless</w:t>
      </w:r>
      <w:proofErr w:type="spellEnd"/>
      <w:r w:rsidRPr="000E0395">
        <w:rPr>
          <w:rFonts w:eastAsia="Calibri" w:cs="Arial"/>
          <w:sz w:val="20"/>
        </w:rPr>
        <w:t xml:space="preserve"> Water Heaters</w:t>
      </w:r>
    </w:p>
    <w:p w14:paraId="4D84909A"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b/>
          <w:bCs/>
          <w:sz w:val="20"/>
        </w:rPr>
        <w:t>Scope:</w:t>
      </w:r>
      <w:r w:rsidRPr="000E0395">
        <w:rPr>
          <w:rFonts w:eastAsia="Calibri" w:cs="Arial"/>
          <w:sz w:val="20"/>
        </w:rPr>
        <w:t xml:space="preserve"> Measure is “Blessed” in new, replacement, and retrofit markets for multi-family installations using centralized gas-fired boilers, tank-type and </w:t>
      </w:r>
      <w:proofErr w:type="spellStart"/>
      <w:r w:rsidRPr="000E0395">
        <w:rPr>
          <w:rFonts w:eastAsia="Calibri" w:cs="Arial"/>
          <w:sz w:val="20"/>
        </w:rPr>
        <w:t>tankless</w:t>
      </w:r>
      <w:proofErr w:type="spellEnd"/>
      <w:r w:rsidRPr="000E0395">
        <w:rPr>
          <w:rFonts w:eastAsia="Calibri" w:cs="Arial"/>
          <w:sz w:val="20"/>
        </w:rPr>
        <w:t xml:space="preserve"> water heaters. This updates the existing measures which currently utilize the prescriptive incentive structure of single family installations.</w:t>
      </w:r>
    </w:p>
    <w:p w14:paraId="71AC4174"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sz w:val="20"/>
        </w:rPr>
        <w:t> </w:t>
      </w:r>
    </w:p>
    <w:p w14:paraId="7857F35A"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b/>
          <w:bCs/>
          <w:sz w:val="20"/>
        </w:rPr>
        <w:t>Program:</w:t>
      </w:r>
      <w:r w:rsidRPr="000E0395">
        <w:rPr>
          <w:rFonts w:eastAsia="Calibri" w:cs="Arial"/>
          <w:sz w:val="20"/>
        </w:rPr>
        <w:t xml:space="preserve"> Based on the referenced analysis and associated cost-effectiveness screening, the 3 measures described below are “blessed” as cost effective on a prospective basis for inclusion in the Existing and New Multi-Family buildings program.  </w:t>
      </w:r>
    </w:p>
    <w:p w14:paraId="611FB968" w14:textId="77777777" w:rsidR="000E0395" w:rsidRPr="000E0395" w:rsidRDefault="000E0395" w:rsidP="007B472C">
      <w:pPr>
        <w:spacing w:after="160" w:line="259" w:lineRule="auto"/>
        <w:rPr>
          <w:rFonts w:ascii="Calibri" w:eastAsia="Calibri" w:hAnsi="Calibri"/>
          <w:sz w:val="22"/>
          <w:szCs w:val="22"/>
        </w:rPr>
      </w:pPr>
      <w:r w:rsidRPr="000E0395">
        <w:rPr>
          <w:rFonts w:eastAsia="Calibri" w:cs="Arial"/>
          <w:sz w:val="20"/>
        </w:rPr>
        <w:t> </w:t>
      </w:r>
    </w:p>
    <w:p w14:paraId="1918B269" w14:textId="77777777" w:rsidR="000E0395" w:rsidRPr="000E0395" w:rsidRDefault="000E0395" w:rsidP="007B472C">
      <w:pPr>
        <w:spacing w:after="160" w:line="259" w:lineRule="auto"/>
        <w:rPr>
          <w:rFonts w:eastAsia="Calibri" w:cs="Arial"/>
          <w:sz w:val="20"/>
        </w:rPr>
      </w:pPr>
      <w:r w:rsidRPr="000E0395">
        <w:rPr>
          <w:rFonts w:eastAsia="Calibri" w:cs="Arial"/>
          <w:b/>
          <w:bCs/>
          <w:sz w:val="20"/>
        </w:rPr>
        <w:t>Details:</w:t>
      </w:r>
      <w:r w:rsidRPr="000E0395">
        <w:rPr>
          <w:rFonts w:eastAsia="Calibri" w:cs="Arial"/>
          <w:sz w:val="20"/>
        </w:rPr>
        <w:t xml:space="preserve"> Currently the savings and incentives structure for multi-family is set up to use the same path as single family installations. However, some multi-family properties utilize a centralized hot water or heating distribution system, and in these cases single family incentives and savings are not reflective of expected costs and the higher usage associated with a larger centralized system. Because of their size, these installs tend to require commercial grade equipment, and are therefore more expensive than residential grade units. The lower incentives that are based off single family homes are not reflective of the larger upfront cost required to purchase or operate a commercial grade unit and so the commercial incentive structure provides a better opportunity to capture expected cost and savings for the larger, centralized distribution systems.</w:t>
      </w:r>
    </w:p>
    <w:p w14:paraId="638121A3" w14:textId="77777777" w:rsidR="000E0395" w:rsidRPr="000E0395" w:rsidRDefault="000E0395" w:rsidP="007B472C">
      <w:pPr>
        <w:spacing w:after="160" w:line="259" w:lineRule="auto"/>
        <w:rPr>
          <w:rFonts w:eastAsia="Calibri" w:cs="Arial"/>
          <w:sz w:val="20"/>
        </w:rPr>
      </w:pPr>
    </w:p>
    <w:p w14:paraId="6BF44C98" w14:textId="77777777" w:rsidR="000E0395" w:rsidRPr="000E0395" w:rsidRDefault="000E0395" w:rsidP="007B472C">
      <w:pPr>
        <w:spacing w:after="160" w:line="259" w:lineRule="auto"/>
        <w:rPr>
          <w:rFonts w:eastAsia="Calibri" w:cs="Arial"/>
          <w:sz w:val="20"/>
        </w:rPr>
      </w:pPr>
      <w:r w:rsidRPr="000E0395">
        <w:rPr>
          <w:rFonts w:eastAsia="Calibri" w:cs="Arial"/>
          <w:sz w:val="20"/>
        </w:rPr>
        <w:t xml:space="preserve">To screen multi-family installs for cost effectiveness using commercial savings estimates, we referred to the commercial gas savings analysis done in 2003 by Jim </w:t>
      </w:r>
      <w:proofErr w:type="spellStart"/>
      <w:r w:rsidRPr="000E0395">
        <w:rPr>
          <w:rFonts w:eastAsia="Calibri" w:cs="Arial"/>
          <w:sz w:val="20"/>
        </w:rPr>
        <w:t>Volkman</w:t>
      </w:r>
      <w:proofErr w:type="spellEnd"/>
      <w:r w:rsidRPr="000E0395">
        <w:rPr>
          <w:rFonts w:eastAsia="Calibri" w:cs="Arial"/>
          <w:sz w:val="20"/>
        </w:rPr>
        <w:t xml:space="preserve"> of </w:t>
      </w:r>
      <w:smartTag w:uri="urn:schemas-microsoft-com:office:smarttags" w:element="place">
        <w:r w:rsidRPr="000E0395">
          <w:rPr>
            <w:rFonts w:eastAsia="Calibri" w:cs="Arial"/>
            <w:sz w:val="20"/>
          </w:rPr>
          <w:t>Aspen</w:t>
        </w:r>
      </w:smartTag>
      <w:r w:rsidRPr="000E0395">
        <w:rPr>
          <w:rFonts w:eastAsia="Calibri" w:cs="Arial"/>
          <w:sz w:val="20"/>
        </w:rPr>
        <w:t xml:space="preserve"> systems. The 2003 analysis relied upon Full Load Hours (FLH) of different building types to determine savings estimates (which are numbers </w:t>
      </w:r>
      <w:proofErr w:type="spellStart"/>
      <w:r w:rsidRPr="000E0395">
        <w:rPr>
          <w:rFonts w:eastAsia="Calibri" w:cs="Arial"/>
          <w:sz w:val="20"/>
        </w:rPr>
        <w:t>Ecotope</w:t>
      </w:r>
      <w:proofErr w:type="spellEnd"/>
      <w:r w:rsidRPr="000E0395">
        <w:rPr>
          <w:rFonts w:eastAsia="Calibri" w:cs="Arial"/>
          <w:sz w:val="20"/>
        </w:rPr>
        <w:t xml:space="preserve"> has established for use in equipment sizing). This analysis was modified to reflect a reduction in FLH from common commercial building types to that of a motel building, which was seen as an equivalent comparison to a multi-family installation. This reduction to 468 FLH for each measure more accurately depicts the usage of the multi-family property, as opposed to a single family residence or a common commercial building.</w:t>
      </w:r>
    </w:p>
    <w:p w14:paraId="162B5004" w14:textId="77777777" w:rsidR="000E0395" w:rsidRPr="000E0395" w:rsidRDefault="000E0395" w:rsidP="007B472C">
      <w:pPr>
        <w:spacing w:after="160" w:line="259" w:lineRule="auto"/>
        <w:rPr>
          <w:rFonts w:eastAsia="Calibri" w:cs="Arial"/>
          <w:sz w:val="20"/>
        </w:rPr>
      </w:pPr>
    </w:p>
    <w:p w14:paraId="16A97968" w14:textId="77777777" w:rsidR="000E0395" w:rsidRPr="000E0395" w:rsidRDefault="000E0395" w:rsidP="007B472C">
      <w:pPr>
        <w:spacing w:after="160" w:line="259" w:lineRule="auto"/>
        <w:rPr>
          <w:rFonts w:eastAsia="Calibri" w:cs="Arial"/>
          <w:sz w:val="20"/>
        </w:rPr>
      </w:pPr>
      <w:r w:rsidRPr="000E0395">
        <w:rPr>
          <w:rFonts w:eastAsia="Calibri" w:cs="Arial"/>
          <w:sz w:val="20"/>
        </w:rPr>
        <w:t xml:space="preserve">Using the 2003 analysis and reducing the FLH as described above, the cost effectiveness screening for the 3 measures is given below based on a per </w:t>
      </w:r>
      <w:proofErr w:type="spellStart"/>
      <w:r w:rsidRPr="000E0395">
        <w:rPr>
          <w:rFonts w:eastAsia="Calibri" w:cs="Arial"/>
          <w:sz w:val="20"/>
        </w:rPr>
        <w:t>btuh</w:t>
      </w:r>
      <w:proofErr w:type="spellEnd"/>
      <w:r w:rsidRPr="000E0395">
        <w:rPr>
          <w:rFonts w:eastAsia="Calibri" w:cs="Arial"/>
          <w:sz w:val="20"/>
        </w:rPr>
        <w:t xml:space="preserve"> input:</w:t>
      </w:r>
    </w:p>
    <w:p w14:paraId="7EA336FC" w14:textId="77777777" w:rsidR="000E0395" w:rsidRPr="000E0395" w:rsidRDefault="000E0395" w:rsidP="000E0395">
      <w:pPr>
        <w:spacing w:after="160" w:line="259" w:lineRule="auto"/>
        <w:rPr>
          <w:rFonts w:eastAsia="Calibri" w:cs="Arial"/>
          <w:sz w:val="20"/>
        </w:rPr>
      </w:pPr>
      <w:r w:rsidRPr="000E0395">
        <w:rPr>
          <w:rFonts w:eastAsia="Calibri" w:cs="Arial"/>
          <w:sz w:val="20"/>
        </w:rPr>
        <w:br w:type="page"/>
      </w:r>
    </w:p>
    <w:p w14:paraId="56816831" w14:textId="77777777" w:rsidR="000E0395" w:rsidRPr="000E0395" w:rsidRDefault="000E0395" w:rsidP="000E0395">
      <w:pPr>
        <w:spacing w:after="160" w:line="259" w:lineRule="auto"/>
        <w:ind w:left="720"/>
        <w:rPr>
          <w:rFonts w:eastAsia="Calibri" w:cs="Arial"/>
          <w:sz w:val="20"/>
        </w:rPr>
      </w:pPr>
    </w:p>
    <w:tbl>
      <w:tblPr>
        <w:tblW w:w="10535" w:type="dxa"/>
        <w:tblInd w:w="-162" w:type="dxa"/>
        <w:tblCellMar>
          <w:left w:w="0" w:type="dxa"/>
          <w:right w:w="0" w:type="dxa"/>
        </w:tblCellMar>
        <w:tblLook w:val="0000" w:firstRow="0" w:lastRow="0" w:firstColumn="0" w:lastColumn="0" w:noHBand="0" w:noVBand="0"/>
      </w:tblPr>
      <w:tblGrid>
        <w:gridCol w:w="1109"/>
        <w:gridCol w:w="1391"/>
        <w:gridCol w:w="1733"/>
        <w:gridCol w:w="1097"/>
        <w:gridCol w:w="1451"/>
        <w:gridCol w:w="1170"/>
        <w:gridCol w:w="1292"/>
        <w:gridCol w:w="1292"/>
      </w:tblGrid>
      <w:tr w:rsidR="000E0395" w:rsidRPr="000E0395" w14:paraId="1D1144BD" w14:textId="77777777" w:rsidTr="007B472C">
        <w:trPr>
          <w:trHeight w:val="1908"/>
        </w:trPr>
        <w:tc>
          <w:tcPr>
            <w:tcW w:w="110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3D870960"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Measure #</w:t>
            </w:r>
          </w:p>
        </w:tc>
        <w:tc>
          <w:tcPr>
            <w:tcW w:w="1391"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007F7F19"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Energy Efficiency Measure Name</w:t>
            </w:r>
          </w:p>
        </w:tc>
        <w:tc>
          <w:tcPr>
            <w:tcW w:w="173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363B7FAE"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 xml:space="preserve">Measure Lifetime (Maximum   70 </w:t>
            </w:r>
            <w:proofErr w:type="spellStart"/>
            <w:r w:rsidRPr="000E0395">
              <w:rPr>
                <w:rFonts w:eastAsia="Calibri" w:cs="Arial"/>
                <w:b/>
                <w:bCs/>
                <w:sz w:val="22"/>
                <w:szCs w:val="22"/>
              </w:rPr>
              <w:t>yrs</w:t>
            </w:r>
            <w:proofErr w:type="spellEnd"/>
            <w:r w:rsidRPr="000E0395">
              <w:rPr>
                <w:rFonts w:eastAsia="Calibri" w:cs="Arial"/>
                <w:b/>
                <w:bCs/>
                <w:sz w:val="22"/>
                <w:szCs w:val="22"/>
              </w:rPr>
              <w:t>)</w:t>
            </w:r>
          </w:p>
        </w:tc>
        <w:tc>
          <w:tcPr>
            <w:tcW w:w="109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239E0663"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Annual Natural Gas Savings (therms)</w:t>
            </w:r>
          </w:p>
        </w:tc>
        <w:tc>
          <w:tcPr>
            <w:tcW w:w="1451"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0067D08C"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Total Incremental Cost of Measure</w:t>
            </w:r>
          </w:p>
        </w:tc>
        <w:tc>
          <w:tcPr>
            <w:tcW w:w="117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29B83066"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Total Potential Incentive If Measure is Cost-effective</w:t>
            </w:r>
          </w:p>
        </w:tc>
        <w:tc>
          <w:tcPr>
            <w:tcW w:w="129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1A2592F9"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Combined Utility System BCR</w:t>
            </w:r>
          </w:p>
        </w:tc>
        <w:tc>
          <w:tcPr>
            <w:tcW w:w="129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tcPr>
          <w:p w14:paraId="2E841B1F"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Combined Societal BCR</w:t>
            </w:r>
          </w:p>
        </w:tc>
      </w:tr>
      <w:tr w:rsidR="000E0395" w:rsidRPr="000E0395" w14:paraId="5C3C0FF2" w14:textId="77777777" w:rsidTr="007B472C">
        <w:trPr>
          <w:trHeight w:val="630"/>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3A86BD49"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1</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85CF4"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Condensing Tank WH</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2E8C3"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85ECD"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0.644</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79AFC5"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$6.06</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458F57A"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3CE2C27"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2.4</w:t>
            </w:r>
          </w:p>
        </w:tc>
        <w:tc>
          <w:tcPr>
            <w:tcW w:w="129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tcPr>
          <w:p w14:paraId="37809E0C" w14:textId="77777777" w:rsidR="000E0395" w:rsidRPr="000E0395" w:rsidRDefault="000E0395" w:rsidP="000E0395">
            <w:pPr>
              <w:spacing w:after="160" w:line="259" w:lineRule="auto"/>
              <w:jc w:val="center"/>
              <w:rPr>
                <w:rFonts w:eastAsia="Calibri" w:cs="Arial"/>
                <w:b/>
                <w:bCs/>
                <w:color w:val="FFFFFF"/>
                <w:sz w:val="22"/>
                <w:szCs w:val="22"/>
              </w:rPr>
            </w:pPr>
            <w:r w:rsidRPr="000E0395">
              <w:rPr>
                <w:rFonts w:eastAsia="Calibri" w:cs="Arial"/>
                <w:b/>
                <w:bCs/>
                <w:color w:val="FFFFFF"/>
                <w:sz w:val="22"/>
                <w:szCs w:val="22"/>
              </w:rPr>
              <w:t>0.990</w:t>
            </w:r>
          </w:p>
        </w:tc>
      </w:tr>
      <w:tr w:rsidR="000E0395" w:rsidRPr="000E0395" w14:paraId="670D8159" w14:textId="77777777" w:rsidTr="007B472C">
        <w:trPr>
          <w:trHeight w:val="630"/>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073C8BBD"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2</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97673"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Condensing Boiler</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1FABD"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CD9C9"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0.585</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BC58B"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$5.07</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C2630F2"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$4</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030B0BE"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6F95A64"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1.183</w:t>
            </w:r>
          </w:p>
        </w:tc>
      </w:tr>
      <w:tr w:rsidR="000E0395" w:rsidRPr="000E0395" w14:paraId="17275EA7" w14:textId="77777777" w:rsidTr="007B472C">
        <w:trPr>
          <w:trHeight w:val="630"/>
        </w:trPr>
        <w:tc>
          <w:tcPr>
            <w:tcW w:w="110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tcPr>
          <w:p w14:paraId="0C281711" w14:textId="77777777" w:rsidR="000E0395" w:rsidRPr="000E0395" w:rsidRDefault="000E0395" w:rsidP="000E0395">
            <w:pPr>
              <w:spacing w:after="160" w:line="259" w:lineRule="auto"/>
              <w:jc w:val="center"/>
              <w:rPr>
                <w:rFonts w:eastAsia="Calibri" w:cs="Arial"/>
                <w:b/>
                <w:bCs/>
                <w:sz w:val="22"/>
                <w:szCs w:val="22"/>
              </w:rPr>
            </w:pPr>
            <w:r w:rsidRPr="000E0395">
              <w:rPr>
                <w:rFonts w:eastAsia="Calibri" w:cs="Arial"/>
                <w:b/>
                <w:bCs/>
                <w:sz w:val="22"/>
                <w:szCs w:val="22"/>
              </w:rPr>
              <w:t>3</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99195" w14:textId="77777777" w:rsidR="000E0395" w:rsidRPr="000E0395" w:rsidRDefault="000E0395" w:rsidP="000E0395">
            <w:pPr>
              <w:spacing w:after="160" w:line="259" w:lineRule="auto"/>
              <w:jc w:val="center"/>
              <w:rPr>
                <w:rFonts w:eastAsia="Calibri" w:cs="Arial"/>
                <w:sz w:val="22"/>
                <w:szCs w:val="22"/>
              </w:rPr>
            </w:pPr>
            <w:proofErr w:type="spellStart"/>
            <w:r w:rsidRPr="000E0395">
              <w:rPr>
                <w:rFonts w:eastAsia="Calibri" w:cs="Arial"/>
                <w:sz w:val="22"/>
                <w:szCs w:val="22"/>
              </w:rPr>
              <w:t>Tankless</w:t>
            </w:r>
            <w:proofErr w:type="spellEnd"/>
            <w:r w:rsidRPr="000E0395">
              <w:rPr>
                <w:rFonts w:eastAsia="Calibri" w:cs="Arial"/>
                <w:sz w:val="22"/>
                <w:szCs w:val="22"/>
              </w:rPr>
              <w:t xml:space="preserve"> WH</w:t>
            </w:r>
            <w:r w:rsidRPr="000E0395">
              <w:rPr>
                <w:rFonts w:eastAsia="Calibri" w:cs="Arial"/>
                <w:sz w:val="22"/>
                <w:szCs w:val="22"/>
              </w:rPr>
              <w:br/>
              <w:t>(Electronic Ignition)</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2F9FC"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18</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D384C"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0.780</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5B045"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$4.00</w:t>
            </w:r>
          </w:p>
        </w:tc>
        <w:tc>
          <w:tcPr>
            <w:tcW w:w="11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B084039"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$2</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694BFF9"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3.5</w:t>
            </w:r>
          </w:p>
        </w:tc>
        <w:tc>
          <w:tcPr>
            <w:tcW w:w="12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3957147" w14:textId="77777777" w:rsidR="000E0395" w:rsidRPr="000E0395" w:rsidRDefault="000E0395" w:rsidP="000E0395">
            <w:pPr>
              <w:spacing w:after="160" w:line="259" w:lineRule="auto"/>
              <w:jc w:val="center"/>
              <w:rPr>
                <w:rFonts w:eastAsia="Calibri" w:cs="Arial"/>
                <w:sz w:val="22"/>
                <w:szCs w:val="22"/>
              </w:rPr>
            </w:pPr>
            <w:r w:rsidRPr="000E0395">
              <w:rPr>
                <w:rFonts w:eastAsia="Calibri" w:cs="Arial"/>
                <w:sz w:val="22"/>
                <w:szCs w:val="22"/>
              </w:rPr>
              <w:t>1.8</w:t>
            </w:r>
          </w:p>
        </w:tc>
      </w:tr>
    </w:tbl>
    <w:p w14:paraId="5C66E670" w14:textId="77777777" w:rsidR="000E0395" w:rsidRPr="000E0395" w:rsidRDefault="000E0395" w:rsidP="000E0395">
      <w:pPr>
        <w:spacing w:after="160" w:line="259" w:lineRule="auto"/>
        <w:ind w:left="720"/>
        <w:rPr>
          <w:rFonts w:ascii="Calibri" w:eastAsia="Calibri" w:hAnsi="Calibri"/>
          <w:sz w:val="22"/>
          <w:szCs w:val="22"/>
        </w:rPr>
      </w:pPr>
    </w:p>
    <w:p w14:paraId="72A3323F" w14:textId="77777777" w:rsidR="000E0395" w:rsidRPr="000E0395" w:rsidRDefault="000E0395" w:rsidP="007B472C">
      <w:pPr>
        <w:spacing w:after="160" w:line="259" w:lineRule="auto"/>
        <w:rPr>
          <w:rFonts w:eastAsia="Calibri" w:cs="Arial"/>
          <w:sz w:val="20"/>
        </w:rPr>
      </w:pPr>
      <w:r w:rsidRPr="000E0395">
        <w:rPr>
          <w:rFonts w:eastAsia="Calibri" w:cs="Arial"/>
          <w:sz w:val="20"/>
        </w:rPr>
        <w:t>As can be seen, based on the predicted gas savings, the condensing tank type water heater is slightly non-cost effective. However, as stated above, this is based off 2003 full load hours of expected use in a motel, and may not be exactly reflective of an actual multi-family installation of full time residents. Additionally, levelized costs are expected to increase in January 2009 at which point this measure will pass the cost-effective societal test.</w:t>
      </w:r>
      <w:r w:rsidRPr="000E0395">
        <w:rPr>
          <w:rFonts w:eastAsia="Calibri" w:cs="Arial"/>
          <w:color w:val="000080"/>
          <w:sz w:val="20"/>
        </w:rPr>
        <w:t xml:space="preserve"> It is therefore recommended to include condensing type WH in the multi-family program to maintain consistency with offerings in the commercial program.</w:t>
      </w:r>
    </w:p>
    <w:p w14:paraId="79CB99BD" w14:textId="77777777" w:rsidR="000E0395" w:rsidRPr="000E0395" w:rsidRDefault="000E0395" w:rsidP="007B472C">
      <w:pPr>
        <w:spacing w:after="160" w:line="259" w:lineRule="auto"/>
        <w:rPr>
          <w:rFonts w:eastAsia="Calibri" w:cs="Arial"/>
          <w:sz w:val="20"/>
        </w:rPr>
      </w:pPr>
    </w:p>
    <w:p w14:paraId="12D5D56F" w14:textId="77777777" w:rsidR="000E0395" w:rsidRPr="000E0395" w:rsidRDefault="000E0395" w:rsidP="007B472C">
      <w:pPr>
        <w:spacing w:after="160" w:line="259" w:lineRule="auto"/>
        <w:rPr>
          <w:rFonts w:eastAsia="Calibri" w:cs="Arial"/>
          <w:sz w:val="20"/>
        </w:rPr>
      </w:pPr>
      <w:r w:rsidRPr="000E0395">
        <w:rPr>
          <w:rFonts w:eastAsia="Calibri" w:cs="Arial"/>
          <w:b/>
          <w:bCs/>
          <w:sz w:val="20"/>
        </w:rPr>
        <w:t xml:space="preserve">Additional Steps: </w:t>
      </w:r>
      <w:r w:rsidRPr="000E0395">
        <w:rPr>
          <w:rFonts w:eastAsia="Calibri" w:cs="Arial"/>
          <w:sz w:val="20"/>
        </w:rPr>
        <w:t xml:space="preserve">It is suggested that because of upcoming requirements in the </w:t>
      </w:r>
      <w:proofErr w:type="spellStart"/>
      <w:r w:rsidRPr="000E0395">
        <w:rPr>
          <w:rFonts w:eastAsia="Calibri" w:cs="Arial"/>
          <w:sz w:val="20"/>
        </w:rPr>
        <w:t>EnergyStar</w:t>
      </w:r>
      <w:proofErr w:type="spellEnd"/>
      <w:r w:rsidRPr="000E0395">
        <w:rPr>
          <w:rFonts w:eastAsia="Calibri" w:cs="Arial"/>
          <w:sz w:val="20"/>
        </w:rPr>
        <w:t xml:space="preserve"> code, as well as the advent of new technologies since 2003, that the water heating analysis be updated to reflect more current and future costs and savings estimates. If it is determined through this updated analysis that FLH or costs for multi-family installations have decreased from those used above, the measures will be revisited to determine if they are still cost-effective.   We should also double-check to makes sure avoided costs go up as strongly expected sometime early next year.</w:t>
      </w:r>
    </w:p>
    <w:p w14:paraId="3069BAD9" w14:textId="77777777" w:rsidR="000E0395" w:rsidRPr="000E0395" w:rsidRDefault="000E0395" w:rsidP="000E0395">
      <w:pPr>
        <w:rPr>
          <w:rFonts w:ascii="Calibri" w:eastAsia="Calibri" w:hAnsi="Calibri"/>
          <w:sz w:val="22"/>
          <w:szCs w:val="22"/>
        </w:rPr>
      </w:pPr>
    </w:p>
    <w:p w14:paraId="6331E129" w14:textId="77777777" w:rsidR="000E0395" w:rsidRPr="000E0395" w:rsidRDefault="000E0395" w:rsidP="000E0395">
      <w:pPr>
        <w:rPr>
          <w:rFonts w:ascii="Calibri" w:eastAsia="Calibri" w:hAnsi="Calibri"/>
          <w:sz w:val="22"/>
          <w:szCs w:val="22"/>
        </w:rPr>
      </w:pPr>
    </w:p>
    <w:p w14:paraId="0B97C2EE"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581DE08D"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0D3C74FE" w14:textId="77777777" w:rsidR="000E0395" w:rsidRPr="000E0395" w:rsidRDefault="000E0395" w:rsidP="007B472C">
      <w:pPr>
        <w:keepNext/>
        <w:keepLines/>
        <w:spacing w:before="40" w:line="259" w:lineRule="auto"/>
        <w:ind w:left="-81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6360D9BC" w14:textId="77777777" w:rsidR="000E0395" w:rsidRPr="000E0395" w:rsidRDefault="000E0395" w:rsidP="007B472C">
      <w:pPr>
        <w:keepNext/>
        <w:keepLines/>
        <w:spacing w:before="40" w:line="259" w:lineRule="auto"/>
        <w:ind w:left="-81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Greenhouse controllers</w:t>
      </w:r>
      <w:r w:rsidRPr="000E0395">
        <w:rPr>
          <w:rFonts w:ascii="Calibri Light" w:hAnsi="Calibri Light"/>
          <w:color w:val="2E74B5"/>
          <w:sz w:val="26"/>
          <w:szCs w:val="26"/>
        </w:rPr>
        <w:tab/>
      </w:r>
      <w:proofErr w:type="gramStart"/>
      <w:r w:rsidRPr="000E0395">
        <w:rPr>
          <w:rFonts w:ascii="Calibri Light" w:hAnsi="Calibri Light"/>
          <w:color w:val="2E74B5"/>
          <w:sz w:val="20"/>
          <w:szCs w:val="26"/>
        </w:rPr>
        <w:t>Per</w:t>
      </w:r>
      <w:proofErr w:type="gramEnd"/>
      <w:r w:rsidRPr="000E0395">
        <w:rPr>
          <w:rFonts w:ascii="Calibri Light" w:hAnsi="Calibri Light"/>
          <w:color w:val="2E74B5"/>
          <w:sz w:val="20"/>
          <w:szCs w:val="26"/>
        </w:rPr>
        <w:t xml:space="preserve"> square foot, max greenhouse size 15,000 </w:t>
      </w:r>
      <w:proofErr w:type="spellStart"/>
      <w:r w:rsidRPr="000E0395">
        <w:rPr>
          <w:rFonts w:ascii="Calibri Light" w:hAnsi="Calibri Light"/>
          <w:color w:val="2E74B5"/>
          <w:sz w:val="20"/>
          <w:szCs w:val="26"/>
        </w:rPr>
        <w:t>Sq</w:t>
      </w:r>
      <w:proofErr w:type="spellEnd"/>
      <w:r w:rsidRPr="000E0395">
        <w:rPr>
          <w:rFonts w:ascii="Calibri Light" w:hAnsi="Calibri Light"/>
          <w:color w:val="2E74B5"/>
          <w:sz w:val="20"/>
          <w:szCs w:val="26"/>
        </w:rPr>
        <w:t xml:space="preserve"> </w:t>
      </w:r>
      <w:proofErr w:type="spellStart"/>
      <w:r w:rsidRPr="000E0395">
        <w:rPr>
          <w:rFonts w:ascii="Calibri Light" w:hAnsi="Calibri Light"/>
          <w:color w:val="2E74B5"/>
          <w:sz w:val="20"/>
          <w:szCs w:val="26"/>
        </w:rPr>
        <w:t>ft</w:t>
      </w:r>
      <w:proofErr w:type="spellEnd"/>
    </w:p>
    <w:p w14:paraId="158DFA9C" w14:textId="77777777" w:rsidR="000E0395" w:rsidRPr="000E0395" w:rsidRDefault="000E0395" w:rsidP="000E0395">
      <w:pPr>
        <w:rPr>
          <w:rFonts w:ascii="Calibri" w:eastAsia="Calibri" w:hAnsi="Calibri"/>
          <w:sz w:val="22"/>
          <w:szCs w:val="22"/>
        </w:rPr>
      </w:pPr>
    </w:p>
    <w:p w14:paraId="02D3E913" w14:textId="77777777" w:rsidR="000E0395" w:rsidRPr="000E0395" w:rsidRDefault="000E0395" w:rsidP="007B472C">
      <w:pPr>
        <w:rPr>
          <w:rFonts w:ascii="Calibri" w:eastAsia="Calibri" w:hAnsi="Calibri" w:cs="Calibri"/>
          <w:sz w:val="22"/>
          <w:szCs w:val="22"/>
        </w:rPr>
      </w:pPr>
      <w:r w:rsidRPr="000E0395">
        <w:rPr>
          <w:rFonts w:ascii="Calibri" w:eastAsia="Calibri" w:hAnsi="Calibri" w:cs="Calibri"/>
          <w:color w:val="1F497D"/>
          <w:sz w:val="22"/>
          <w:szCs w:val="22"/>
        </w:rPr>
        <w:t> June 30, 2014</w:t>
      </w:r>
    </w:p>
    <w:p w14:paraId="16A12C70" w14:textId="77777777" w:rsidR="000E0395" w:rsidRPr="000E0395" w:rsidRDefault="000E0395" w:rsidP="007B472C">
      <w:pPr>
        <w:rPr>
          <w:rFonts w:ascii="Calibri" w:eastAsia="Calibri" w:hAnsi="Calibri" w:cs="Calibri"/>
          <w:sz w:val="22"/>
          <w:szCs w:val="22"/>
        </w:rPr>
      </w:pPr>
      <w:r w:rsidRPr="000E0395">
        <w:rPr>
          <w:rFonts w:eastAsia="Calibri" w:cs="Arial"/>
          <w:sz w:val="20"/>
        </w:rPr>
        <w:t> </w:t>
      </w:r>
    </w:p>
    <w:p w14:paraId="40327073" w14:textId="77777777" w:rsidR="000E0395" w:rsidRPr="000E0395" w:rsidRDefault="000E0395" w:rsidP="007B472C">
      <w:pPr>
        <w:rPr>
          <w:rFonts w:ascii="Calibri" w:eastAsia="Calibri" w:hAnsi="Calibri" w:cs="Calibri"/>
          <w:sz w:val="22"/>
          <w:szCs w:val="22"/>
        </w:rPr>
      </w:pPr>
      <w:r w:rsidRPr="000E0395">
        <w:rPr>
          <w:rFonts w:eastAsia="Calibri" w:cs="Arial"/>
          <w:sz w:val="20"/>
        </w:rPr>
        <w:t>BLESSING MEMO FOR GREENHOUSE CONTROLLER</w:t>
      </w:r>
    </w:p>
    <w:p w14:paraId="6A10B940" w14:textId="77777777" w:rsidR="000E0395" w:rsidRPr="000E0395" w:rsidRDefault="000E0395" w:rsidP="007B472C">
      <w:pPr>
        <w:rPr>
          <w:rFonts w:ascii="Calibri" w:eastAsia="Calibri" w:hAnsi="Calibri" w:cs="Calibri"/>
          <w:sz w:val="22"/>
          <w:szCs w:val="22"/>
        </w:rPr>
      </w:pPr>
      <w:r w:rsidRPr="000E0395">
        <w:rPr>
          <w:rFonts w:eastAsia="Calibri" w:cs="Arial"/>
          <w:color w:val="376092"/>
          <w:sz w:val="20"/>
        </w:rPr>
        <w:t>Updated 6/27/2014 – updates in blue</w:t>
      </w:r>
    </w:p>
    <w:p w14:paraId="1E9FC569" w14:textId="77777777" w:rsidR="000E0395" w:rsidRPr="000E0395" w:rsidRDefault="000E0395" w:rsidP="007B472C">
      <w:pPr>
        <w:numPr>
          <w:ilvl w:val="0"/>
          <w:numId w:val="28"/>
        </w:numPr>
        <w:spacing w:line="259" w:lineRule="auto"/>
        <w:rPr>
          <w:rFonts w:ascii="Calibri" w:eastAsia="Calibri" w:hAnsi="Calibri" w:cs="Calibri"/>
          <w:sz w:val="22"/>
          <w:szCs w:val="22"/>
        </w:rPr>
      </w:pPr>
      <w:r w:rsidRPr="000E0395">
        <w:rPr>
          <w:rFonts w:eastAsia="Calibri" w:cs="Arial"/>
          <w:color w:val="376092"/>
          <w:sz w:val="20"/>
        </w:rPr>
        <w:t>Updated CEC with current avoided costs</w:t>
      </w:r>
      <w:r w:rsidRPr="000E0395">
        <w:rPr>
          <w:rFonts w:ascii="Calibri" w:eastAsia="Calibri" w:hAnsi="Calibri"/>
          <w:sz w:val="22"/>
          <w:szCs w:val="22"/>
        </w:rPr>
        <w:t xml:space="preserve"> </w:t>
      </w:r>
    </w:p>
    <w:p w14:paraId="72651BF7" w14:textId="77777777" w:rsidR="000E0395" w:rsidRPr="000E0395" w:rsidRDefault="000E0395" w:rsidP="007B472C">
      <w:pPr>
        <w:numPr>
          <w:ilvl w:val="0"/>
          <w:numId w:val="28"/>
        </w:numPr>
        <w:spacing w:line="259" w:lineRule="auto"/>
        <w:rPr>
          <w:rFonts w:ascii="Calibri" w:eastAsia="Calibri" w:hAnsi="Calibri" w:cs="Calibri"/>
          <w:sz w:val="22"/>
          <w:szCs w:val="22"/>
        </w:rPr>
      </w:pPr>
      <w:r w:rsidRPr="000E0395">
        <w:rPr>
          <w:rFonts w:eastAsia="Calibri" w:cs="Arial"/>
          <w:color w:val="376092"/>
          <w:sz w:val="20"/>
        </w:rPr>
        <w:t>Added Existing Buildings Washington to Program Applicability</w:t>
      </w:r>
      <w:r w:rsidRPr="000E0395">
        <w:rPr>
          <w:rFonts w:ascii="Calibri" w:eastAsia="Calibri" w:hAnsi="Calibri"/>
          <w:sz w:val="22"/>
          <w:szCs w:val="22"/>
        </w:rPr>
        <w:t xml:space="preserve"> </w:t>
      </w:r>
    </w:p>
    <w:p w14:paraId="2BEED63B" w14:textId="77777777" w:rsidR="000E0395" w:rsidRPr="000E0395" w:rsidRDefault="000E0395" w:rsidP="007B472C">
      <w:pPr>
        <w:numPr>
          <w:ilvl w:val="0"/>
          <w:numId w:val="28"/>
        </w:numPr>
        <w:spacing w:line="259" w:lineRule="auto"/>
        <w:rPr>
          <w:rFonts w:ascii="Calibri" w:eastAsia="Calibri" w:hAnsi="Calibri" w:cs="Calibri"/>
          <w:sz w:val="22"/>
          <w:szCs w:val="22"/>
        </w:rPr>
      </w:pPr>
      <w:r w:rsidRPr="000E0395">
        <w:rPr>
          <w:rFonts w:eastAsia="Calibri" w:cs="Arial"/>
          <w:color w:val="376092"/>
          <w:sz w:val="20"/>
        </w:rPr>
        <w:t>Included Max Potential Incentive in the cost effectiveness table and discussion in Incentive Structure section</w:t>
      </w:r>
      <w:r w:rsidRPr="000E0395">
        <w:rPr>
          <w:rFonts w:ascii="Calibri" w:eastAsia="Calibri" w:hAnsi="Calibri"/>
          <w:sz w:val="22"/>
          <w:szCs w:val="22"/>
        </w:rPr>
        <w:t xml:space="preserve"> </w:t>
      </w:r>
    </w:p>
    <w:p w14:paraId="049D66E2" w14:textId="77777777" w:rsidR="000E0395" w:rsidRPr="000E0395" w:rsidRDefault="000E0395" w:rsidP="007B472C">
      <w:pPr>
        <w:rPr>
          <w:rFonts w:ascii="Calibri" w:eastAsia="Calibri" w:hAnsi="Calibri" w:cs="Calibri"/>
          <w:sz w:val="22"/>
          <w:szCs w:val="22"/>
        </w:rPr>
      </w:pPr>
      <w:r w:rsidRPr="000E0395">
        <w:rPr>
          <w:rFonts w:eastAsia="Calibri" w:cs="Arial"/>
          <w:color w:val="376092"/>
          <w:sz w:val="20"/>
        </w:rPr>
        <w:t> </w:t>
      </w:r>
    </w:p>
    <w:p w14:paraId="2580B097" w14:textId="77777777" w:rsidR="000E0395" w:rsidRPr="000E0395" w:rsidRDefault="000E0395" w:rsidP="007B472C">
      <w:pPr>
        <w:rPr>
          <w:rFonts w:ascii="Calibri" w:eastAsia="Calibri" w:hAnsi="Calibri" w:cs="Calibri"/>
          <w:sz w:val="22"/>
          <w:szCs w:val="22"/>
        </w:rPr>
      </w:pPr>
      <w:r w:rsidRPr="000E0395">
        <w:rPr>
          <w:rFonts w:eastAsia="Calibri" w:cs="Arial"/>
          <w:b/>
          <w:bCs/>
          <w:sz w:val="20"/>
        </w:rPr>
        <w:t>End Use</w:t>
      </w:r>
    </w:p>
    <w:p w14:paraId="55034514" w14:textId="77777777" w:rsidR="000E0395" w:rsidRPr="000E0395" w:rsidRDefault="000E0395" w:rsidP="007B472C">
      <w:pPr>
        <w:rPr>
          <w:rFonts w:ascii="Calibri" w:eastAsia="Calibri" w:hAnsi="Calibri" w:cs="Calibri"/>
          <w:sz w:val="22"/>
          <w:szCs w:val="22"/>
        </w:rPr>
      </w:pPr>
      <w:proofErr w:type="gramStart"/>
      <w:r w:rsidRPr="000E0395">
        <w:rPr>
          <w:rFonts w:eastAsia="Calibri" w:cs="Arial"/>
          <w:sz w:val="20"/>
        </w:rPr>
        <w:t>Installation of greenhouse controllers where none exist presently to coordinate multiple HVAC equipment schedules and implement night setback.</w:t>
      </w:r>
      <w:proofErr w:type="gramEnd"/>
    </w:p>
    <w:p w14:paraId="797E0141" w14:textId="77777777" w:rsidR="000E0395" w:rsidRPr="000E0395" w:rsidRDefault="000E0395" w:rsidP="007B472C">
      <w:pPr>
        <w:rPr>
          <w:rFonts w:ascii="Calibri" w:eastAsia="Calibri" w:hAnsi="Calibri" w:cs="Calibri"/>
          <w:sz w:val="22"/>
          <w:szCs w:val="22"/>
        </w:rPr>
      </w:pPr>
      <w:r w:rsidRPr="000E0395">
        <w:rPr>
          <w:rFonts w:eastAsia="Calibri" w:cs="Arial"/>
          <w:sz w:val="20"/>
        </w:rPr>
        <w:t> </w:t>
      </w:r>
    </w:p>
    <w:p w14:paraId="72031784" w14:textId="77777777" w:rsidR="000E0395" w:rsidRPr="000E0395" w:rsidRDefault="000E0395" w:rsidP="007B472C">
      <w:pPr>
        <w:rPr>
          <w:rFonts w:ascii="Calibri" w:eastAsia="Calibri" w:hAnsi="Calibri" w:cs="Calibri"/>
          <w:sz w:val="22"/>
          <w:szCs w:val="22"/>
        </w:rPr>
      </w:pPr>
      <w:r w:rsidRPr="000E0395">
        <w:rPr>
          <w:rFonts w:eastAsia="Calibri" w:cs="Arial"/>
          <w:b/>
          <w:bCs/>
          <w:sz w:val="20"/>
        </w:rPr>
        <w:t>Scope</w:t>
      </w:r>
    </w:p>
    <w:p w14:paraId="7BAA1B5C" w14:textId="77777777" w:rsidR="000E0395" w:rsidRPr="000E0395" w:rsidRDefault="000E0395" w:rsidP="007B472C">
      <w:pPr>
        <w:rPr>
          <w:rFonts w:ascii="Calibri" w:eastAsia="Calibri" w:hAnsi="Calibri" w:cs="Calibri"/>
          <w:sz w:val="22"/>
          <w:szCs w:val="22"/>
        </w:rPr>
      </w:pPr>
      <w:r w:rsidRPr="000E0395">
        <w:rPr>
          <w:rFonts w:eastAsia="Calibri" w:cs="Arial"/>
          <w:sz w:val="20"/>
        </w:rPr>
        <w:t>Measures are “Blessed” as cost-effective for use in the following market segments:</w:t>
      </w:r>
    </w:p>
    <w:p w14:paraId="47E894BA"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Retrofit</w:t>
      </w:r>
    </w:p>
    <w:p w14:paraId="409E8A99" w14:textId="77777777" w:rsidR="000E0395" w:rsidRPr="000E0395" w:rsidRDefault="000E0395" w:rsidP="000E0395">
      <w:pPr>
        <w:ind w:left="720"/>
        <w:rPr>
          <w:rFonts w:ascii="Calibri" w:eastAsia="Calibri" w:hAnsi="Calibri" w:cs="Calibri"/>
          <w:sz w:val="22"/>
          <w:szCs w:val="22"/>
        </w:rPr>
      </w:pPr>
      <w:r w:rsidRPr="000E0395">
        <w:rPr>
          <w:rFonts w:eastAsia="Calibri" w:cs="Arial"/>
          <w:sz w:val="20"/>
        </w:rPr>
        <w:t> </w:t>
      </w:r>
    </w:p>
    <w:p w14:paraId="1D37E00F" w14:textId="77777777" w:rsidR="000E0395" w:rsidRPr="000E0395" w:rsidRDefault="000E0395" w:rsidP="007B472C">
      <w:pPr>
        <w:rPr>
          <w:rFonts w:ascii="Calibri" w:eastAsia="Calibri" w:hAnsi="Calibri" w:cs="Calibri"/>
          <w:sz w:val="22"/>
          <w:szCs w:val="22"/>
        </w:rPr>
      </w:pPr>
      <w:r w:rsidRPr="000E0395">
        <w:rPr>
          <w:rFonts w:eastAsia="Calibri" w:cs="Arial"/>
          <w:b/>
          <w:bCs/>
          <w:sz w:val="20"/>
        </w:rPr>
        <w:t>Program Applicability</w:t>
      </w:r>
    </w:p>
    <w:p w14:paraId="039B5613" w14:textId="77777777" w:rsidR="000E0395" w:rsidRPr="000E0395" w:rsidRDefault="000E0395" w:rsidP="007B472C">
      <w:pPr>
        <w:rPr>
          <w:rFonts w:ascii="Calibri" w:eastAsia="Calibri" w:hAnsi="Calibri" w:cs="Calibri"/>
          <w:sz w:val="22"/>
          <w:szCs w:val="22"/>
        </w:rPr>
      </w:pPr>
      <w:r w:rsidRPr="000E0395">
        <w:rPr>
          <w:rFonts w:eastAsia="Calibri" w:cs="Arial"/>
          <w:sz w:val="20"/>
        </w:rPr>
        <w:t>Based on the referenced analysis and associated cost-effectiveness screening, the measures described below are “blessed” as cost-effective on a prospective basis for use in the following programs:</w:t>
      </w:r>
    </w:p>
    <w:p w14:paraId="7941DA56" w14:textId="77777777" w:rsidR="000E0395" w:rsidRPr="000E0395" w:rsidRDefault="000E0395" w:rsidP="007B472C">
      <w:pPr>
        <w:numPr>
          <w:ilvl w:val="0"/>
          <w:numId w:val="29"/>
        </w:numPr>
        <w:spacing w:line="259" w:lineRule="auto"/>
        <w:ind w:left="720"/>
        <w:rPr>
          <w:rFonts w:ascii="Calibri" w:eastAsia="Calibri" w:hAnsi="Calibri" w:cs="Calibri"/>
          <w:sz w:val="22"/>
          <w:szCs w:val="22"/>
        </w:rPr>
      </w:pPr>
      <w:r w:rsidRPr="000E0395">
        <w:rPr>
          <w:rFonts w:eastAsia="Calibri" w:cs="Arial"/>
          <w:sz w:val="20"/>
        </w:rPr>
        <w:t>Production Efficiency</w:t>
      </w:r>
    </w:p>
    <w:p w14:paraId="6E62015C" w14:textId="77777777" w:rsidR="000E0395" w:rsidRPr="000E0395" w:rsidRDefault="000E0395" w:rsidP="007B472C">
      <w:pPr>
        <w:numPr>
          <w:ilvl w:val="0"/>
          <w:numId w:val="29"/>
        </w:numPr>
        <w:spacing w:line="259" w:lineRule="auto"/>
        <w:ind w:left="720"/>
        <w:rPr>
          <w:rFonts w:ascii="Calibri" w:eastAsia="Calibri" w:hAnsi="Calibri" w:cs="Calibri"/>
          <w:sz w:val="22"/>
          <w:szCs w:val="22"/>
        </w:rPr>
      </w:pPr>
      <w:r w:rsidRPr="000E0395">
        <w:rPr>
          <w:rFonts w:eastAsia="Calibri" w:cs="Arial"/>
          <w:color w:val="376092"/>
          <w:sz w:val="20"/>
        </w:rPr>
        <w:t xml:space="preserve">Existing Buildings Washington </w:t>
      </w:r>
    </w:p>
    <w:p w14:paraId="40DB2AD2" w14:textId="77777777" w:rsidR="000E0395" w:rsidRPr="000E0395" w:rsidRDefault="000E0395" w:rsidP="000E0395">
      <w:pPr>
        <w:ind w:left="1440" w:hanging="300"/>
        <w:rPr>
          <w:rFonts w:ascii="Calibri" w:eastAsia="Calibri" w:hAnsi="Calibri" w:cs="Calibri"/>
          <w:sz w:val="22"/>
          <w:szCs w:val="22"/>
        </w:rPr>
      </w:pPr>
      <w:r w:rsidRPr="000E0395">
        <w:rPr>
          <w:rFonts w:eastAsia="Calibri" w:cs="Arial"/>
          <w:sz w:val="20"/>
        </w:rPr>
        <w:t> </w:t>
      </w:r>
    </w:p>
    <w:p w14:paraId="330692A1" w14:textId="77777777" w:rsidR="000E0395" w:rsidRPr="000E0395" w:rsidRDefault="000E0395" w:rsidP="007B472C">
      <w:pPr>
        <w:rPr>
          <w:rFonts w:ascii="Calibri" w:eastAsia="Calibri" w:hAnsi="Calibri" w:cs="Calibri"/>
          <w:sz w:val="22"/>
          <w:szCs w:val="22"/>
        </w:rPr>
      </w:pPr>
      <w:r w:rsidRPr="000E0395">
        <w:rPr>
          <w:rFonts w:eastAsia="Calibri" w:cs="Arial"/>
          <w:sz w:val="20"/>
        </w:rPr>
        <w:t xml:space="preserve">Within this market segment, applicability to the following building types </w:t>
      </w:r>
      <w:proofErr w:type="gramStart"/>
      <w:r w:rsidRPr="000E0395">
        <w:rPr>
          <w:rFonts w:eastAsia="Calibri" w:cs="Arial"/>
          <w:sz w:val="20"/>
        </w:rPr>
        <w:t>are</w:t>
      </w:r>
      <w:proofErr w:type="gramEnd"/>
      <w:r w:rsidRPr="000E0395">
        <w:rPr>
          <w:rFonts w:eastAsia="Calibri" w:cs="Arial"/>
          <w:sz w:val="20"/>
        </w:rPr>
        <w:t xml:space="preserve"> expected:</w:t>
      </w:r>
    </w:p>
    <w:p w14:paraId="1E340A40"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Greenhouses</w:t>
      </w:r>
    </w:p>
    <w:p w14:paraId="4D79F1F8" w14:textId="77777777" w:rsidR="000E0395" w:rsidRPr="000E0395" w:rsidRDefault="000E0395" w:rsidP="000E0395">
      <w:pPr>
        <w:ind w:left="720"/>
        <w:rPr>
          <w:rFonts w:ascii="Calibri" w:eastAsia="Calibri" w:hAnsi="Calibri" w:cs="Calibri"/>
          <w:sz w:val="22"/>
          <w:szCs w:val="22"/>
        </w:rPr>
      </w:pPr>
      <w:r w:rsidRPr="000E0395">
        <w:rPr>
          <w:rFonts w:eastAsia="Calibri" w:cs="Arial"/>
          <w:sz w:val="20"/>
        </w:rPr>
        <w:t> </w:t>
      </w:r>
    </w:p>
    <w:p w14:paraId="5A44A430" w14:textId="77777777" w:rsidR="000E0395" w:rsidRPr="000E0395" w:rsidRDefault="000E0395" w:rsidP="007B472C">
      <w:pPr>
        <w:rPr>
          <w:rFonts w:ascii="Calibri" w:eastAsia="Calibri" w:hAnsi="Calibri" w:cs="Calibri"/>
          <w:sz w:val="22"/>
          <w:szCs w:val="22"/>
        </w:rPr>
      </w:pPr>
      <w:r w:rsidRPr="000E0395">
        <w:rPr>
          <w:rFonts w:eastAsia="Calibri" w:cs="Arial"/>
          <w:sz w:val="20"/>
        </w:rPr>
        <w:t>TABLE 1 – Table showing cost-effectiveness of installing temperature controllers in a weighted average sized greenhouse.</w:t>
      </w:r>
    </w:p>
    <w:tbl>
      <w:tblPr>
        <w:tblW w:w="4984" w:type="pct"/>
        <w:tblInd w:w="18" w:type="dxa"/>
        <w:tblCellMar>
          <w:left w:w="0" w:type="dxa"/>
          <w:right w:w="0" w:type="dxa"/>
        </w:tblCellMar>
        <w:tblLook w:val="04A0" w:firstRow="1" w:lastRow="0" w:firstColumn="1" w:lastColumn="0" w:noHBand="0" w:noVBand="1"/>
      </w:tblPr>
      <w:tblGrid>
        <w:gridCol w:w="1109"/>
        <w:gridCol w:w="1549"/>
        <w:gridCol w:w="1304"/>
        <w:gridCol w:w="1097"/>
        <w:gridCol w:w="1451"/>
        <w:gridCol w:w="1170"/>
        <w:gridCol w:w="1292"/>
        <w:gridCol w:w="1292"/>
      </w:tblGrid>
      <w:tr w:rsidR="000E0395" w:rsidRPr="000E0395" w14:paraId="1BD45E8E" w14:textId="77777777" w:rsidTr="007B472C">
        <w:trPr>
          <w:trHeight w:val="1170"/>
        </w:trPr>
        <w:tc>
          <w:tcPr>
            <w:tcW w:w="540" w:type="pct"/>
            <w:tcBorders>
              <w:top w:val="single" w:sz="8" w:space="0" w:color="auto"/>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165BB143"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Measure #</w:t>
            </w:r>
          </w:p>
        </w:tc>
        <w:tc>
          <w:tcPr>
            <w:tcW w:w="755" w:type="pct"/>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56AC196D"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Energy Efficiency Measure Name</w:t>
            </w:r>
          </w:p>
        </w:tc>
        <w:tc>
          <w:tcPr>
            <w:tcW w:w="635" w:type="pct"/>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23584C62"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 xml:space="preserve">Measure Lifetime (Maximum 70 </w:t>
            </w:r>
            <w:proofErr w:type="spellStart"/>
            <w:r w:rsidRPr="000E0395">
              <w:rPr>
                <w:rFonts w:eastAsia="Calibri" w:cs="Arial"/>
                <w:b/>
                <w:bCs/>
                <w:sz w:val="22"/>
                <w:szCs w:val="22"/>
              </w:rPr>
              <w:t>yrs</w:t>
            </w:r>
            <w:proofErr w:type="spellEnd"/>
            <w:r w:rsidRPr="000E0395">
              <w:rPr>
                <w:rFonts w:eastAsia="Calibri" w:cs="Arial"/>
                <w:b/>
                <w:bCs/>
                <w:sz w:val="22"/>
                <w:szCs w:val="22"/>
              </w:rPr>
              <w:t>)</w:t>
            </w:r>
          </w:p>
        </w:tc>
        <w:tc>
          <w:tcPr>
            <w:tcW w:w="534" w:type="pct"/>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0D7700A7"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Annual Natural Gas Savings (therms)</w:t>
            </w:r>
          </w:p>
        </w:tc>
        <w:tc>
          <w:tcPr>
            <w:tcW w:w="707" w:type="pct"/>
            <w:tcBorders>
              <w:top w:val="single" w:sz="8" w:space="0" w:color="auto"/>
              <w:left w:val="nil"/>
              <w:bottom w:val="single" w:sz="8" w:space="0" w:color="auto"/>
              <w:right w:val="single" w:sz="8" w:space="0" w:color="auto"/>
            </w:tcBorders>
            <w:shd w:val="clear" w:color="auto" w:fill="42C4DD"/>
            <w:tcMar>
              <w:top w:w="0" w:type="dxa"/>
              <w:left w:w="108" w:type="dxa"/>
              <w:bottom w:w="0" w:type="dxa"/>
              <w:right w:w="108" w:type="dxa"/>
            </w:tcMar>
            <w:vAlign w:val="center"/>
            <w:hideMark/>
          </w:tcPr>
          <w:p w14:paraId="2960D139"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Total Incremental Cost of Measure</w:t>
            </w:r>
          </w:p>
        </w:tc>
        <w:tc>
          <w:tcPr>
            <w:tcW w:w="57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02474749"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 xml:space="preserve">MAX Potential Incentive </w:t>
            </w:r>
          </w:p>
        </w:tc>
        <w:tc>
          <w:tcPr>
            <w:tcW w:w="629" w:type="pct"/>
            <w:tcBorders>
              <w:top w:val="double" w:sz="6" w:space="0" w:color="auto"/>
              <w:left w:val="nil"/>
              <w:bottom w:val="double" w:sz="6" w:space="0" w:color="auto"/>
              <w:right w:val="single" w:sz="8" w:space="0" w:color="auto"/>
            </w:tcBorders>
            <w:shd w:val="clear" w:color="auto" w:fill="42C4DD"/>
            <w:tcMar>
              <w:top w:w="0" w:type="dxa"/>
              <w:left w:w="108" w:type="dxa"/>
              <w:bottom w:w="0" w:type="dxa"/>
              <w:right w:w="108" w:type="dxa"/>
            </w:tcMar>
            <w:vAlign w:val="center"/>
            <w:hideMark/>
          </w:tcPr>
          <w:p w14:paraId="03866B41"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Combined Utility System BCR</w:t>
            </w:r>
          </w:p>
        </w:tc>
        <w:tc>
          <w:tcPr>
            <w:tcW w:w="629" w:type="pct"/>
            <w:tcBorders>
              <w:top w:val="double" w:sz="6" w:space="0" w:color="auto"/>
              <w:left w:val="nil"/>
              <w:bottom w:val="double" w:sz="6" w:space="0" w:color="auto"/>
              <w:right w:val="single" w:sz="8" w:space="0" w:color="auto"/>
            </w:tcBorders>
            <w:shd w:val="clear" w:color="auto" w:fill="42C4DD"/>
            <w:tcMar>
              <w:top w:w="0" w:type="dxa"/>
              <w:left w:w="108" w:type="dxa"/>
              <w:bottom w:w="0" w:type="dxa"/>
              <w:right w:w="108" w:type="dxa"/>
            </w:tcMar>
            <w:vAlign w:val="center"/>
            <w:hideMark/>
          </w:tcPr>
          <w:p w14:paraId="56CD44C7"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Combined Societal BCR</w:t>
            </w:r>
          </w:p>
        </w:tc>
      </w:tr>
      <w:tr w:rsidR="000E0395" w:rsidRPr="000E0395" w14:paraId="4B04876D" w14:textId="77777777" w:rsidTr="007B472C">
        <w:trPr>
          <w:trHeight w:val="585"/>
        </w:trPr>
        <w:tc>
          <w:tcPr>
            <w:tcW w:w="540" w:type="pct"/>
            <w:tcBorders>
              <w:top w:val="nil"/>
              <w:left w:val="single" w:sz="8" w:space="0" w:color="auto"/>
              <w:bottom w:val="single" w:sz="8" w:space="0" w:color="auto"/>
              <w:right w:val="single" w:sz="8" w:space="0" w:color="auto"/>
            </w:tcBorders>
            <w:shd w:val="clear" w:color="auto" w:fill="42C4DD"/>
            <w:tcMar>
              <w:top w:w="0" w:type="dxa"/>
              <w:left w:w="108" w:type="dxa"/>
              <w:bottom w:w="0" w:type="dxa"/>
              <w:right w:w="108" w:type="dxa"/>
            </w:tcMar>
            <w:vAlign w:val="center"/>
            <w:hideMark/>
          </w:tcPr>
          <w:p w14:paraId="3D3C3EBC" w14:textId="77777777" w:rsidR="000E0395" w:rsidRPr="000E0395" w:rsidRDefault="000E0395" w:rsidP="000E0395">
            <w:pPr>
              <w:jc w:val="center"/>
              <w:rPr>
                <w:rFonts w:ascii="Calibri" w:eastAsia="Calibri" w:hAnsi="Calibri" w:cs="Calibri"/>
                <w:sz w:val="22"/>
                <w:szCs w:val="22"/>
              </w:rPr>
            </w:pPr>
            <w:r w:rsidRPr="000E0395">
              <w:rPr>
                <w:rFonts w:eastAsia="Calibri" w:cs="Arial"/>
                <w:b/>
                <w:bCs/>
                <w:sz w:val="22"/>
                <w:szCs w:val="22"/>
              </w:rPr>
              <w:t>7</w:t>
            </w:r>
          </w:p>
        </w:tc>
        <w:tc>
          <w:tcPr>
            <w:tcW w:w="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F8145" w14:textId="77777777" w:rsidR="000E0395" w:rsidRPr="000E0395" w:rsidRDefault="000E0395" w:rsidP="000E0395">
            <w:pPr>
              <w:jc w:val="center"/>
              <w:rPr>
                <w:rFonts w:ascii="Calibri" w:eastAsia="Calibri" w:hAnsi="Calibri" w:cs="Calibri"/>
                <w:sz w:val="22"/>
                <w:szCs w:val="22"/>
              </w:rPr>
            </w:pPr>
            <w:r w:rsidRPr="000E0395">
              <w:rPr>
                <w:rFonts w:eastAsia="Calibri" w:cs="Arial"/>
                <w:sz w:val="22"/>
                <w:szCs w:val="22"/>
              </w:rPr>
              <w:t>Greenhouse Controller</w:t>
            </w:r>
            <w:r w:rsidRPr="000E0395">
              <w:rPr>
                <w:rFonts w:eastAsia="Calibri" w:cs="Arial"/>
                <w:sz w:val="22"/>
                <w:szCs w:val="22"/>
              </w:rPr>
              <w:br/>
              <w:t xml:space="preserve">Weighted average size/schedule </w:t>
            </w:r>
            <w:r w:rsidRPr="000E0395">
              <w:rPr>
                <w:rFonts w:eastAsia="Calibri" w:cs="Arial"/>
                <w:color w:val="376092"/>
                <w:sz w:val="22"/>
                <w:szCs w:val="22"/>
              </w:rPr>
              <w:t>(per square foot)</w:t>
            </w:r>
          </w:p>
        </w:tc>
        <w:tc>
          <w:tcPr>
            <w:tcW w:w="6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F1F23" w14:textId="77777777" w:rsidR="000E0395" w:rsidRPr="000E0395" w:rsidRDefault="000E0395" w:rsidP="000E0395">
            <w:pPr>
              <w:jc w:val="center"/>
              <w:rPr>
                <w:rFonts w:ascii="Calibri" w:eastAsia="Calibri" w:hAnsi="Calibri" w:cs="Calibri"/>
                <w:sz w:val="22"/>
                <w:szCs w:val="22"/>
              </w:rPr>
            </w:pPr>
            <w:r w:rsidRPr="000E0395">
              <w:rPr>
                <w:rFonts w:eastAsia="Calibri" w:cs="Arial"/>
                <w:sz w:val="22"/>
                <w:szCs w:val="22"/>
              </w:rPr>
              <w:t>15</w:t>
            </w:r>
          </w:p>
        </w:tc>
        <w:tc>
          <w:tcPr>
            <w:tcW w:w="5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A7136" w14:textId="77777777" w:rsidR="000E0395" w:rsidRPr="000E0395" w:rsidRDefault="000E0395" w:rsidP="000E0395">
            <w:pPr>
              <w:jc w:val="center"/>
              <w:rPr>
                <w:rFonts w:ascii="Calibri" w:eastAsia="Calibri" w:hAnsi="Calibri" w:cs="Calibri"/>
                <w:sz w:val="22"/>
                <w:szCs w:val="22"/>
              </w:rPr>
            </w:pPr>
            <w:r w:rsidRPr="000E0395">
              <w:rPr>
                <w:rFonts w:eastAsia="Calibri" w:cs="Arial"/>
                <w:sz w:val="22"/>
                <w:szCs w:val="22"/>
              </w:rPr>
              <w:t>0.28</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5E2E2" w14:textId="77777777" w:rsidR="000E0395" w:rsidRPr="000E0395" w:rsidRDefault="000E0395" w:rsidP="000E0395">
            <w:pPr>
              <w:jc w:val="center"/>
              <w:rPr>
                <w:rFonts w:ascii="Calibri" w:eastAsia="Calibri" w:hAnsi="Calibri" w:cs="Calibri"/>
                <w:sz w:val="22"/>
                <w:szCs w:val="22"/>
              </w:rPr>
            </w:pPr>
            <w:r w:rsidRPr="000E0395">
              <w:rPr>
                <w:rFonts w:eastAsia="Calibri" w:cs="Arial"/>
                <w:sz w:val="22"/>
                <w:szCs w:val="22"/>
              </w:rPr>
              <w:t>$0.58</w:t>
            </w:r>
          </w:p>
        </w:tc>
        <w:tc>
          <w:tcPr>
            <w:tcW w:w="57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5DCFC5" w14:textId="77777777" w:rsidR="000E0395" w:rsidRPr="000E0395" w:rsidRDefault="000E0395" w:rsidP="000E0395">
            <w:pPr>
              <w:jc w:val="center"/>
              <w:rPr>
                <w:rFonts w:ascii="Calibri" w:eastAsia="Calibri" w:hAnsi="Calibri" w:cs="Calibri"/>
                <w:sz w:val="22"/>
                <w:szCs w:val="22"/>
              </w:rPr>
            </w:pPr>
            <w:r w:rsidRPr="000E0395">
              <w:rPr>
                <w:rFonts w:eastAsia="Calibri" w:cs="Arial"/>
                <w:sz w:val="22"/>
                <w:szCs w:val="22"/>
              </w:rPr>
              <w:t>$1.64</w:t>
            </w:r>
          </w:p>
        </w:tc>
        <w:tc>
          <w:tcPr>
            <w:tcW w:w="629" w:type="pct"/>
            <w:tcBorders>
              <w:top w:val="nil"/>
              <w:left w:val="nil"/>
              <w:bottom w:val="single" w:sz="8" w:space="0" w:color="auto"/>
              <w:right w:val="single" w:sz="8" w:space="0" w:color="auto"/>
            </w:tcBorders>
            <w:shd w:val="clear" w:color="auto" w:fill="FCB715"/>
            <w:tcMar>
              <w:top w:w="0" w:type="dxa"/>
              <w:left w:w="108" w:type="dxa"/>
              <w:bottom w:w="0" w:type="dxa"/>
              <w:right w:w="108" w:type="dxa"/>
            </w:tcMar>
            <w:vAlign w:val="center"/>
            <w:hideMark/>
          </w:tcPr>
          <w:p w14:paraId="52F87FF9" w14:textId="77777777" w:rsidR="000E0395" w:rsidRPr="000E0395" w:rsidRDefault="000E0395" w:rsidP="000E0395">
            <w:pPr>
              <w:jc w:val="center"/>
              <w:rPr>
                <w:rFonts w:ascii="Calibri" w:eastAsia="Calibri" w:hAnsi="Calibri" w:cs="Calibri"/>
                <w:sz w:val="22"/>
                <w:szCs w:val="22"/>
              </w:rPr>
            </w:pPr>
            <w:r w:rsidRPr="000E0395">
              <w:rPr>
                <w:rFonts w:eastAsia="Calibri" w:cs="Arial"/>
                <w:b/>
                <w:bCs/>
                <w:color w:val="376092"/>
                <w:sz w:val="22"/>
                <w:szCs w:val="22"/>
              </w:rPr>
              <w:t>1.0</w:t>
            </w:r>
          </w:p>
        </w:tc>
        <w:tc>
          <w:tcPr>
            <w:tcW w:w="629" w:type="pct"/>
            <w:tcBorders>
              <w:top w:val="nil"/>
              <w:left w:val="nil"/>
              <w:bottom w:val="single" w:sz="8" w:space="0" w:color="auto"/>
              <w:right w:val="nil"/>
            </w:tcBorders>
            <w:shd w:val="clear" w:color="auto" w:fill="FCB715"/>
            <w:tcMar>
              <w:top w:w="0" w:type="dxa"/>
              <w:left w:w="108" w:type="dxa"/>
              <w:bottom w:w="0" w:type="dxa"/>
              <w:right w:w="108" w:type="dxa"/>
            </w:tcMar>
            <w:vAlign w:val="center"/>
            <w:hideMark/>
          </w:tcPr>
          <w:p w14:paraId="22525145" w14:textId="77777777" w:rsidR="000E0395" w:rsidRPr="000E0395" w:rsidRDefault="000E0395" w:rsidP="000E0395">
            <w:pPr>
              <w:jc w:val="center"/>
              <w:rPr>
                <w:rFonts w:ascii="Calibri" w:eastAsia="Calibri" w:hAnsi="Calibri" w:cs="Calibri"/>
                <w:sz w:val="22"/>
                <w:szCs w:val="22"/>
              </w:rPr>
            </w:pPr>
            <w:r w:rsidRPr="000E0395">
              <w:rPr>
                <w:rFonts w:eastAsia="Calibri" w:cs="Arial"/>
                <w:b/>
                <w:bCs/>
                <w:color w:val="376092"/>
                <w:sz w:val="22"/>
                <w:szCs w:val="22"/>
              </w:rPr>
              <w:t>2.9</w:t>
            </w:r>
          </w:p>
        </w:tc>
      </w:tr>
    </w:tbl>
    <w:p w14:paraId="07CC45C1" w14:textId="77777777" w:rsidR="000E0395" w:rsidRPr="000E0395" w:rsidRDefault="000E0395" w:rsidP="000E0395">
      <w:pPr>
        <w:ind w:left="720"/>
        <w:rPr>
          <w:rFonts w:ascii="Calibri" w:eastAsia="Calibri" w:hAnsi="Calibri" w:cs="Calibri"/>
          <w:sz w:val="22"/>
          <w:szCs w:val="22"/>
        </w:rPr>
      </w:pPr>
      <w:r w:rsidRPr="000E0395">
        <w:rPr>
          <w:rFonts w:eastAsia="Calibri" w:cs="Arial"/>
          <w:sz w:val="20"/>
        </w:rPr>
        <w:t> </w:t>
      </w:r>
    </w:p>
    <w:p w14:paraId="429CB8D5" w14:textId="77777777" w:rsidR="000E0395" w:rsidRPr="000E0395" w:rsidRDefault="000E0395" w:rsidP="007B472C">
      <w:pPr>
        <w:rPr>
          <w:rFonts w:ascii="Calibri" w:eastAsia="Calibri" w:hAnsi="Calibri" w:cs="Calibri"/>
          <w:sz w:val="20"/>
        </w:rPr>
      </w:pPr>
      <w:r w:rsidRPr="000E0395">
        <w:rPr>
          <w:rFonts w:eastAsia="Calibri" w:cs="Arial"/>
          <w:b/>
          <w:bCs/>
          <w:sz w:val="20"/>
        </w:rPr>
        <w:t>Program requirements</w:t>
      </w:r>
    </w:p>
    <w:p w14:paraId="116B944E"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use a single sensor or an average of multiple sensors</w:t>
      </w:r>
    </w:p>
    <w:p w14:paraId="67252E67"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Must have a minimum of two temperature stages in a 24 hour period (i.e. allow for night setback)</w:t>
      </w:r>
    </w:p>
    <w:p w14:paraId="18721CDB"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Heating and ventilation appliances must be controlled by the same sensor or same average sensor value if multiple sensors are used</w:t>
      </w:r>
    </w:p>
    <w:p w14:paraId="6CC9C590"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Must allow for a dead-band zone of 5°F or greater between heating and ventilation events</w:t>
      </w:r>
    </w:p>
    <w:p w14:paraId="13AD1482"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lastRenderedPageBreak/>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force a delay between heating and ventilation events</w:t>
      </w:r>
    </w:p>
    <w:p w14:paraId="71F887FB"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have the ability to temporarily override set program temperatures</w:t>
      </w:r>
    </w:p>
    <w:p w14:paraId="66859055"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control all active heating devices in the given greenhouse including all fans and automated ventilation systems when applicable</w:t>
      </w:r>
    </w:p>
    <w:p w14:paraId="2CFEF927"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 xml:space="preserve">Limited to a maximum size of 15,000 </w:t>
      </w:r>
      <w:proofErr w:type="spellStart"/>
      <w:r w:rsidRPr="000E0395">
        <w:rPr>
          <w:rFonts w:eastAsia="Calibri" w:cs="Arial"/>
          <w:sz w:val="20"/>
        </w:rPr>
        <w:t>sqft</w:t>
      </w:r>
      <w:proofErr w:type="spellEnd"/>
      <w:r w:rsidRPr="000E0395">
        <w:rPr>
          <w:rFonts w:eastAsia="Calibri" w:cs="Arial"/>
          <w:sz w:val="20"/>
        </w:rPr>
        <w:t xml:space="preserve">. </w:t>
      </w:r>
      <w:proofErr w:type="gramStart"/>
      <w:r w:rsidRPr="000E0395">
        <w:rPr>
          <w:rFonts w:eastAsia="Calibri" w:cs="Arial"/>
          <w:sz w:val="20"/>
        </w:rPr>
        <w:t>per</w:t>
      </w:r>
      <w:proofErr w:type="gramEnd"/>
      <w:r w:rsidRPr="000E0395">
        <w:rPr>
          <w:rFonts w:eastAsia="Calibri" w:cs="Arial"/>
          <w:sz w:val="20"/>
        </w:rPr>
        <w:t xml:space="preserve"> controller</w:t>
      </w:r>
    </w:p>
    <w:p w14:paraId="4CA912B3" w14:textId="77777777" w:rsidR="000E0395" w:rsidRPr="000E0395" w:rsidRDefault="000E0395" w:rsidP="007B472C">
      <w:pPr>
        <w:ind w:left="720" w:hanging="360"/>
        <w:rPr>
          <w:rFonts w:ascii="Calibri" w:eastAsia="Calibri" w:hAnsi="Calibri" w:cs="Calibri"/>
          <w:sz w:val="22"/>
          <w:szCs w:val="22"/>
        </w:rPr>
      </w:pPr>
      <w:r w:rsidRPr="000E0395">
        <w:rPr>
          <w:rFonts w:ascii="Symbol" w:eastAsia="Calibri" w:hAnsi="Symbol" w:cs="Calibri"/>
          <w:sz w:val="20"/>
        </w:rPr>
        <w:t></w:t>
      </w:r>
      <w:r w:rsidRPr="000E0395">
        <w:rPr>
          <w:rFonts w:ascii="Times New Roman" w:eastAsia="Calibri" w:hAnsi="Times New Roman"/>
          <w:sz w:val="14"/>
          <w:szCs w:val="14"/>
        </w:rPr>
        <w:t xml:space="preserve">         </w:t>
      </w:r>
      <w:r w:rsidRPr="000E0395">
        <w:rPr>
          <w:rFonts w:eastAsia="Calibri" w:cs="Arial"/>
          <w:sz w:val="20"/>
        </w:rPr>
        <w:t>House must be heated to at least 50 degrees for 30 or more days in a year</w:t>
      </w:r>
    </w:p>
    <w:p w14:paraId="0D3F4C73" w14:textId="77777777" w:rsidR="000E0395" w:rsidRPr="000E0395" w:rsidRDefault="000E0395" w:rsidP="007B472C">
      <w:pPr>
        <w:ind w:left="720"/>
        <w:rPr>
          <w:rFonts w:ascii="Calibri" w:eastAsia="Calibri" w:hAnsi="Calibri" w:cs="Calibri"/>
          <w:sz w:val="22"/>
          <w:szCs w:val="22"/>
        </w:rPr>
      </w:pPr>
      <w:r w:rsidRPr="000E0395">
        <w:rPr>
          <w:rFonts w:eastAsia="Calibri" w:cs="Arial"/>
          <w:sz w:val="20"/>
        </w:rPr>
        <w:t> </w:t>
      </w:r>
    </w:p>
    <w:p w14:paraId="50648F13" w14:textId="77777777" w:rsidR="000E0395" w:rsidRPr="000E0395" w:rsidRDefault="000E0395" w:rsidP="007B472C">
      <w:pPr>
        <w:rPr>
          <w:rFonts w:ascii="Calibri" w:eastAsia="Calibri" w:hAnsi="Calibri" w:cs="Calibri"/>
          <w:sz w:val="22"/>
          <w:szCs w:val="22"/>
        </w:rPr>
      </w:pPr>
      <w:r w:rsidRPr="000E0395">
        <w:rPr>
          <w:rFonts w:eastAsia="Calibri" w:cs="Arial"/>
          <w:b/>
          <w:bCs/>
          <w:sz w:val="20"/>
        </w:rPr>
        <w:t>Details</w:t>
      </w:r>
    </w:p>
    <w:p w14:paraId="3CD1A7B1" w14:textId="77777777" w:rsidR="000E0395" w:rsidRPr="000E0395" w:rsidRDefault="000E0395" w:rsidP="007B472C">
      <w:pPr>
        <w:rPr>
          <w:rFonts w:ascii="Calibri" w:eastAsia="Calibri" w:hAnsi="Calibri" w:cs="Calibri"/>
          <w:sz w:val="22"/>
          <w:szCs w:val="22"/>
        </w:rPr>
      </w:pPr>
      <w:r w:rsidRPr="000E0395">
        <w:rPr>
          <w:rFonts w:eastAsia="Calibri" w:cs="Arial"/>
          <w:sz w:val="20"/>
        </w:rPr>
        <w:t xml:space="preserve">Heated greenhouses are often controlled by mechanical thermostats which are manually set to maintain the desired temperature in the greenhouse at all times. Often, there are three separate thermostats in a greenhouse controlling the heater, the ventilation fans, and the rooftop vents. This setup is problematic for two primary reasons: </w:t>
      </w:r>
    </w:p>
    <w:p w14:paraId="521AF855" w14:textId="77777777" w:rsidR="000E0395" w:rsidRPr="000E0395" w:rsidRDefault="000E0395" w:rsidP="007B472C">
      <w:pPr>
        <w:ind w:left="720" w:hanging="360"/>
        <w:rPr>
          <w:rFonts w:ascii="Calibri" w:eastAsia="Calibri" w:hAnsi="Calibri" w:cs="Calibri"/>
          <w:sz w:val="22"/>
          <w:szCs w:val="22"/>
        </w:rPr>
      </w:pPr>
      <w:r w:rsidRPr="000E0395">
        <w:rPr>
          <w:rFonts w:eastAsia="Calibri" w:cs="Arial"/>
          <w:sz w:val="20"/>
        </w:rPr>
        <w:t>1.</w:t>
      </w:r>
      <w:r w:rsidRPr="000E0395">
        <w:rPr>
          <w:rFonts w:ascii="Times New Roman" w:eastAsia="Calibri" w:hAnsi="Times New Roman"/>
          <w:sz w:val="14"/>
          <w:szCs w:val="14"/>
        </w:rPr>
        <w:t xml:space="preserve">     </w:t>
      </w:r>
      <w:r w:rsidRPr="000E0395">
        <w:rPr>
          <w:rFonts w:eastAsia="Calibri" w:cs="Arial"/>
          <w:sz w:val="20"/>
        </w:rPr>
        <w:t>The three thermostats can easily be out of calibration, commonly allowing the heat to be “on” while the ventilation fan is running, or an overhead vent is open.</w:t>
      </w:r>
    </w:p>
    <w:p w14:paraId="6FB5B635" w14:textId="77777777" w:rsidR="000E0395" w:rsidRPr="000E0395" w:rsidRDefault="000E0395" w:rsidP="007B472C">
      <w:pPr>
        <w:ind w:left="720" w:hanging="360"/>
        <w:rPr>
          <w:rFonts w:ascii="Calibri" w:eastAsia="Calibri" w:hAnsi="Calibri" w:cs="Calibri"/>
          <w:sz w:val="22"/>
          <w:szCs w:val="22"/>
        </w:rPr>
      </w:pPr>
      <w:r w:rsidRPr="000E0395">
        <w:rPr>
          <w:rFonts w:eastAsia="Calibri" w:cs="Arial"/>
          <w:sz w:val="20"/>
        </w:rPr>
        <w:t>2.</w:t>
      </w:r>
      <w:r w:rsidRPr="000E0395">
        <w:rPr>
          <w:rFonts w:ascii="Times New Roman" w:eastAsia="Calibri" w:hAnsi="Times New Roman"/>
          <w:sz w:val="14"/>
          <w:szCs w:val="14"/>
        </w:rPr>
        <w:t xml:space="preserve">     </w:t>
      </w:r>
      <w:r w:rsidRPr="000E0395">
        <w:rPr>
          <w:rFonts w:eastAsia="Calibri" w:cs="Arial"/>
          <w:sz w:val="20"/>
        </w:rPr>
        <w:t xml:space="preserve">The space temperature is fixed, even though plants require less heat at night. </w:t>
      </w:r>
    </w:p>
    <w:p w14:paraId="291C0D96" w14:textId="77777777" w:rsidR="000E0395" w:rsidRPr="000E0395" w:rsidRDefault="000E0395" w:rsidP="007B472C">
      <w:pPr>
        <w:rPr>
          <w:rFonts w:ascii="Calibri" w:eastAsia="Calibri" w:hAnsi="Calibri" w:cs="Calibri"/>
          <w:sz w:val="22"/>
          <w:szCs w:val="22"/>
        </w:rPr>
      </w:pPr>
      <w:r w:rsidRPr="000E0395">
        <w:rPr>
          <w:rFonts w:eastAsia="Calibri" w:cs="Arial"/>
          <w:sz w:val="20"/>
        </w:rPr>
        <w:t> </w:t>
      </w:r>
    </w:p>
    <w:p w14:paraId="3441F069" w14:textId="77777777" w:rsidR="000E0395" w:rsidRPr="000E0395" w:rsidRDefault="000E0395" w:rsidP="007B472C">
      <w:pPr>
        <w:rPr>
          <w:rFonts w:ascii="Calibri" w:eastAsia="Calibri" w:hAnsi="Calibri" w:cs="Calibri"/>
          <w:sz w:val="22"/>
          <w:szCs w:val="22"/>
        </w:rPr>
      </w:pPr>
      <w:r w:rsidRPr="000E0395">
        <w:rPr>
          <w:rFonts w:eastAsia="Calibri" w:cs="Arial"/>
          <w:sz w:val="20"/>
        </w:rPr>
        <w:t>The purpose of this measure is to offer an incentive for greenhouse controllers that operate from a single control temperature (which could come from one temperature sensor or more than one sensor where the multiple temps are averaged). These relatively simple controllers would control heaters, fans, and vents and also allow for an automatic night-setback temperature.</w:t>
      </w:r>
    </w:p>
    <w:p w14:paraId="60B0B978" w14:textId="77777777" w:rsidR="000E0395" w:rsidRPr="000E0395" w:rsidRDefault="000E0395" w:rsidP="007B472C">
      <w:pPr>
        <w:rPr>
          <w:rFonts w:ascii="Calibri" w:eastAsia="Calibri" w:hAnsi="Calibri" w:cs="Calibri"/>
          <w:sz w:val="20"/>
        </w:rPr>
      </w:pPr>
      <w:r w:rsidRPr="000E0395">
        <w:rPr>
          <w:rFonts w:eastAsia="Calibri" w:cs="Arial"/>
          <w:sz w:val="20"/>
        </w:rPr>
        <w:t> </w:t>
      </w:r>
    </w:p>
    <w:p w14:paraId="76C81BD0" w14:textId="77777777" w:rsidR="000E0395" w:rsidRPr="000E0395" w:rsidRDefault="000E0395" w:rsidP="007B472C">
      <w:pPr>
        <w:rPr>
          <w:rFonts w:ascii="Calibri" w:eastAsia="Calibri" w:hAnsi="Calibri" w:cs="Calibri"/>
          <w:sz w:val="22"/>
          <w:szCs w:val="22"/>
        </w:rPr>
      </w:pPr>
      <w:r w:rsidRPr="000E0395">
        <w:rPr>
          <w:rFonts w:eastAsia="Calibri" w:cs="Arial"/>
          <w:b/>
          <w:bCs/>
          <w:sz w:val="20"/>
        </w:rPr>
        <w:t>Savings</w:t>
      </w:r>
      <w:r w:rsidRPr="000E0395">
        <w:rPr>
          <w:rFonts w:eastAsia="Calibri" w:cs="Arial"/>
          <w:sz w:val="20"/>
        </w:rPr>
        <w:t> </w:t>
      </w:r>
    </w:p>
    <w:p w14:paraId="75DFF7FD" w14:textId="77777777" w:rsidR="000E0395" w:rsidRPr="000E0395" w:rsidRDefault="000E0395" w:rsidP="007B472C">
      <w:pPr>
        <w:rPr>
          <w:rFonts w:eastAsia="Calibri" w:cs="Arial"/>
          <w:sz w:val="20"/>
        </w:rPr>
      </w:pPr>
      <w:r w:rsidRPr="000E0395">
        <w:rPr>
          <w:rFonts w:eastAsia="Calibri" w:cs="Arial"/>
          <w:sz w:val="20"/>
        </w:rPr>
        <w:t>To determine savings from installing a greenhouse controller, three greenhouse sizes and three heating schedules were defined, based on an analysis from the Program Delivery Contractor’s local greenhouse expert. They are separated out as:</w:t>
      </w:r>
    </w:p>
    <w:p w14:paraId="2C39A7A9" w14:textId="77777777" w:rsidR="000E0395" w:rsidRPr="000E0395" w:rsidRDefault="000E0395" w:rsidP="007B472C">
      <w:pPr>
        <w:rPr>
          <w:rFonts w:ascii="Calibri" w:eastAsia="Calibri" w:hAnsi="Calibri" w:cs="Calibri"/>
          <w:sz w:val="22"/>
          <w:szCs w:val="22"/>
        </w:rPr>
      </w:pPr>
    </w:p>
    <w:p w14:paraId="3AE1D6E3" w14:textId="77777777" w:rsidR="000E0395" w:rsidRPr="000E0395" w:rsidRDefault="000E0395" w:rsidP="007B472C">
      <w:pPr>
        <w:rPr>
          <w:rFonts w:ascii="Calibri" w:eastAsia="Calibri" w:hAnsi="Calibri" w:cs="Calibri"/>
          <w:sz w:val="22"/>
          <w:szCs w:val="22"/>
        </w:rPr>
      </w:pPr>
      <w:r w:rsidRPr="000E0395">
        <w:rPr>
          <w:rFonts w:eastAsia="Calibri" w:cs="Arial"/>
          <w:i/>
          <w:iCs/>
          <w:sz w:val="20"/>
        </w:rPr>
        <w:t>Greenhouse Sizes:</w:t>
      </w:r>
    </w:p>
    <w:p w14:paraId="04FD89CD" w14:textId="77777777" w:rsidR="000E0395" w:rsidRPr="000E0395" w:rsidRDefault="000E0395" w:rsidP="007B472C">
      <w:pPr>
        <w:rPr>
          <w:rFonts w:ascii="Calibri" w:eastAsia="Calibri" w:hAnsi="Calibri" w:cs="Calibri"/>
          <w:sz w:val="22"/>
          <w:szCs w:val="22"/>
        </w:rPr>
      </w:pPr>
      <w:r w:rsidRPr="000E0395">
        <w:rPr>
          <w:rFonts w:eastAsia="Calibri" w:cs="Arial"/>
          <w:sz w:val="20"/>
        </w:rPr>
        <w:t>Small: 20’ x 96’ (1920 ft^2)</w:t>
      </w:r>
    </w:p>
    <w:p w14:paraId="0D9C2DF4" w14:textId="77777777" w:rsidR="000E0395" w:rsidRPr="000E0395" w:rsidRDefault="000E0395" w:rsidP="007B472C">
      <w:pPr>
        <w:rPr>
          <w:rFonts w:ascii="Calibri" w:eastAsia="Calibri" w:hAnsi="Calibri" w:cs="Calibri"/>
          <w:sz w:val="22"/>
          <w:szCs w:val="22"/>
        </w:rPr>
      </w:pPr>
      <w:r w:rsidRPr="000E0395">
        <w:rPr>
          <w:rFonts w:eastAsia="Calibri" w:cs="Arial"/>
          <w:sz w:val="20"/>
        </w:rPr>
        <w:t>Medium: 30’ x 96’ (2880 ft^2)</w:t>
      </w:r>
    </w:p>
    <w:p w14:paraId="3B9BB11F" w14:textId="77777777" w:rsidR="000E0395" w:rsidRPr="000E0395" w:rsidRDefault="000E0395" w:rsidP="007B472C">
      <w:pPr>
        <w:rPr>
          <w:rFonts w:ascii="Calibri" w:eastAsia="Calibri" w:hAnsi="Calibri" w:cs="Calibri"/>
          <w:sz w:val="22"/>
          <w:szCs w:val="22"/>
        </w:rPr>
      </w:pPr>
      <w:r w:rsidRPr="000E0395">
        <w:rPr>
          <w:rFonts w:eastAsia="Calibri" w:cs="Arial"/>
          <w:sz w:val="20"/>
        </w:rPr>
        <w:t>Large: 60’ x 96’ (5760 ft^2)</w:t>
      </w:r>
    </w:p>
    <w:p w14:paraId="5EE6D70A" w14:textId="77777777" w:rsidR="000E0395" w:rsidRPr="000E0395" w:rsidRDefault="000E0395" w:rsidP="007B472C">
      <w:pPr>
        <w:rPr>
          <w:rFonts w:ascii="Calibri" w:eastAsia="Calibri" w:hAnsi="Calibri" w:cs="Calibri"/>
          <w:sz w:val="22"/>
          <w:szCs w:val="22"/>
        </w:rPr>
      </w:pPr>
      <w:r w:rsidRPr="000E0395">
        <w:rPr>
          <w:rFonts w:eastAsia="Calibri" w:cs="Arial"/>
          <w:sz w:val="20"/>
        </w:rPr>
        <w:t> </w:t>
      </w:r>
    </w:p>
    <w:p w14:paraId="58D4803C" w14:textId="77777777" w:rsidR="000E0395" w:rsidRPr="000E0395" w:rsidRDefault="000E0395" w:rsidP="007B472C">
      <w:pPr>
        <w:rPr>
          <w:rFonts w:ascii="Calibri" w:eastAsia="Calibri" w:hAnsi="Calibri" w:cs="Calibri"/>
          <w:sz w:val="22"/>
          <w:szCs w:val="22"/>
        </w:rPr>
      </w:pPr>
      <w:r w:rsidRPr="000E0395">
        <w:rPr>
          <w:rFonts w:eastAsia="Calibri" w:cs="Arial"/>
          <w:i/>
          <w:iCs/>
          <w:sz w:val="20"/>
        </w:rPr>
        <w:t>Heating Schedules:</w:t>
      </w:r>
    </w:p>
    <w:p w14:paraId="6B486353" w14:textId="77777777" w:rsidR="000E0395" w:rsidRPr="000E0395" w:rsidRDefault="000E0395" w:rsidP="007B472C">
      <w:pPr>
        <w:rPr>
          <w:rFonts w:ascii="Calibri" w:eastAsia="Calibri" w:hAnsi="Calibri" w:cs="Calibri"/>
          <w:sz w:val="22"/>
          <w:szCs w:val="22"/>
        </w:rPr>
      </w:pPr>
      <w:r w:rsidRPr="000E0395">
        <w:rPr>
          <w:rFonts w:eastAsia="Calibri" w:cs="Arial"/>
          <w:sz w:val="20"/>
        </w:rPr>
        <w:t>Minimum: 50 degrees, January only</w:t>
      </w:r>
    </w:p>
    <w:p w14:paraId="531745B6" w14:textId="77777777" w:rsidR="000E0395" w:rsidRPr="000E0395" w:rsidRDefault="000E0395" w:rsidP="007B472C">
      <w:pPr>
        <w:rPr>
          <w:rFonts w:ascii="Calibri" w:eastAsia="Calibri" w:hAnsi="Calibri" w:cs="Calibri"/>
          <w:sz w:val="22"/>
          <w:szCs w:val="22"/>
        </w:rPr>
      </w:pPr>
      <w:r w:rsidRPr="000E0395">
        <w:rPr>
          <w:rFonts w:eastAsia="Calibri" w:cs="Arial"/>
          <w:sz w:val="20"/>
        </w:rPr>
        <w:t>Medium: 65 degrees, February thru May</w:t>
      </w:r>
    </w:p>
    <w:p w14:paraId="3EDA39CC" w14:textId="77777777" w:rsidR="000E0395" w:rsidRPr="000E0395" w:rsidRDefault="000E0395" w:rsidP="007B472C">
      <w:pPr>
        <w:rPr>
          <w:rFonts w:ascii="Calibri" w:eastAsia="Calibri" w:hAnsi="Calibri" w:cs="Calibri"/>
          <w:sz w:val="22"/>
          <w:szCs w:val="22"/>
        </w:rPr>
      </w:pPr>
      <w:r w:rsidRPr="000E0395">
        <w:rPr>
          <w:rFonts w:eastAsia="Calibri" w:cs="Arial"/>
          <w:sz w:val="20"/>
        </w:rPr>
        <w:t>Maximum: 70 degrees, Year Round</w:t>
      </w:r>
    </w:p>
    <w:p w14:paraId="54E8296A" w14:textId="77777777" w:rsidR="000E0395" w:rsidRPr="000E0395" w:rsidRDefault="000E0395" w:rsidP="007B472C">
      <w:pPr>
        <w:spacing w:line="276" w:lineRule="auto"/>
        <w:rPr>
          <w:rFonts w:ascii="Calibri" w:eastAsia="Calibri" w:hAnsi="Calibri" w:cs="Calibri"/>
          <w:sz w:val="22"/>
          <w:szCs w:val="22"/>
        </w:rPr>
      </w:pPr>
      <w:r w:rsidRPr="000E0395">
        <w:rPr>
          <w:rFonts w:eastAsia="Calibri" w:cs="Arial"/>
          <w:b/>
          <w:bCs/>
          <w:sz w:val="20"/>
        </w:rPr>
        <w:t> </w:t>
      </w:r>
    </w:p>
    <w:p w14:paraId="6989AD55" w14:textId="77777777" w:rsidR="000E0395" w:rsidRPr="000E0395" w:rsidRDefault="000E0395" w:rsidP="007B472C">
      <w:pPr>
        <w:rPr>
          <w:rFonts w:ascii="Calibri" w:eastAsia="Calibri" w:hAnsi="Calibri" w:cs="Calibri"/>
          <w:sz w:val="22"/>
          <w:szCs w:val="22"/>
        </w:rPr>
      </w:pPr>
      <w:r w:rsidRPr="000E0395">
        <w:rPr>
          <w:rFonts w:eastAsia="Calibri" w:cs="Arial"/>
          <w:sz w:val="20"/>
        </w:rPr>
        <w:t xml:space="preserve">Assuming the grower implemented night setback, an estimate of natural gas savings was found for each size and heating schedule. For this analysis, a 5 degree temperature difference was used to represent a reasonable set point that would not be considered detrimental to plant growth. In essence, the controller would use a time clock to automatically decide when to reduce the greenhouse temperature by 5 degrees at night, and then automatically return to the daytime set point in the morning. For this analysis, the assumption was that the temperature would be set </w:t>
      </w:r>
      <w:proofErr w:type="gramStart"/>
      <w:r w:rsidRPr="000E0395">
        <w:rPr>
          <w:rFonts w:eastAsia="Calibri" w:cs="Arial"/>
          <w:sz w:val="20"/>
        </w:rPr>
        <w:t>back</w:t>
      </w:r>
      <w:proofErr w:type="gramEnd"/>
      <w:r w:rsidRPr="000E0395">
        <w:rPr>
          <w:rFonts w:eastAsia="Calibri" w:cs="Arial"/>
          <w:sz w:val="20"/>
        </w:rPr>
        <w:t xml:space="preserve"> starting at 8pm and return to normal operating temperature at 8am.</w:t>
      </w:r>
    </w:p>
    <w:p w14:paraId="61CB904F" w14:textId="77777777" w:rsidR="000E0395" w:rsidRPr="000E0395" w:rsidRDefault="000E0395" w:rsidP="007B472C">
      <w:pPr>
        <w:spacing w:line="276" w:lineRule="auto"/>
        <w:rPr>
          <w:rFonts w:ascii="Calibri" w:eastAsia="Calibri" w:hAnsi="Calibri" w:cs="Calibri"/>
          <w:sz w:val="22"/>
          <w:szCs w:val="22"/>
        </w:rPr>
      </w:pPr>
      <w:r w:rsidRPr="000E0395">
        <w:rPr>
          <w:rFonts w:eastAsia="Calibri" w:cs="Arial"/>
          <w:b/>
          <w:bCs/>
          <w:sz w:val="20"/>
        </w:rPr>
        <w:t> </w:t>
      </w:r>
    </w:p>
    <w:p w14:paraId="596C1F42" w14:textId="77777777" w:rsidR="000E0395" w:rsidRPr="000E0395" w:rsidRDefault="000E0395" w:rsidP="007B472C">
      <w:pPr>
        <w:rPr>
          <w:rFonts w:ascii="Calibri" w:eastAsia="Calibri" w:hAnsi="Calibri" w:cs="Calibri"/>
          <w:sz w:val="22"/>
          <w:szCs w:val="22"/>
        </w:rPr>
      </w:pPr>
      <w:r w:rsidRPr="000E0395">
        <w:rPr>
          <w:rFonts w:eastAsia="Calibri" w:cs="Arial"/>
          <w:sz w:val="20"/>
        </w:rPr>
        <w:t>To determine the overall expected savings given the population of greenhouses within Energy Trust’s service territory, an assumption over the mix of greenhouse sizes needs to be made. The analyst estimated that in Oregon, 30% of the greenhouses were small, 45% were medium, and 25% were large. However, because small to medium-sized greenhouses are considered the primary targets of this measure (larger greenhouses are more likely to use complex control systems) only the population of small-medium size greenhouses needed to be quantified. Based on the overall population of greenhouses within those size classes, 40% were found to be small and 60% were found to be medium.</w:t>
      </w:r>
    </w:p>
    <w:p w14:paraId="23F80AC8" w14:textId="77777777" w:rsidR="000E0395" w:rsidRPr="000E0395" w:rsidRDefault="000E0395" w:rsidP="000E0395">
      <w:pPr>
        <w:ind w:left="720"/>
        <w:rPr>
          <w:rFonts w:ascii="Calibri" w:eastAsia="Calibri" w:hAnsi="Calibri" w:cs="Calibri"/>
          <w:sz w:val="22"/>
          <w:szCs w:val="22"/>
        </w:rPr>
      </w:pPr>
      <w:r w:rsidRPr="000E0395">
        <w:rPr>
          <w:rFonts w:eastAsia="Calibri" w:cs="Arial"/>
          <w:sz w:val="20"/>
        </w:rPr>
        <w:t> </w:t>
      </w:r>
    </w:p>
    <w:p w14:paraId="7DC27265" w14:textId="77777777" w:rsidR="000E0395" w:rsidRPr="000E0395" w:rsidRDefault="000E0395" w:rsidP="007B472C">
      <w:pPr>
        <w:rPr>
          <w:rFonts w:ascii="Calibri" w:eastAsia="Calibri" w:hAnsi="Calibri" w:cs="Calibri"/>
          <w:sz w:val="22"/>
          <w:szCs w:val="22"/>
        </w:rPr>
      </w:pPr>
      <w:r w:rsidRPr="000E0395">
        <w:rPr>
          <w:rFonts w:eastAsia="Calibri" w:cs="Arial"/>
          <w:sz w:val="20"/>
        </w:rPr>
        <w:t xml:space="preserve">To predict an average heating schedule for this measure, the analyst assumed from field knowledge that the distribution of greenhouse heating schedules would be around 40% heating to the minimum schedule, 35% to the medium schedule, and 25% to the maximum schedule. However, because it is more common to use smaller greenhouses for high temperature plant propagation, and then move those plants to larger (somewhat cooler) houses later on, and adjusted weighting of 58% medium heat and 42% maximum heat was used in the analysis to </w:t>
      </w:r>
      <w:r w:rsidRPr="000E0395">
        <w:rPr>
          <w:rFonts w:eastAsia="Calibri" w:cs="Arial"/>
          <w:sz w:val="20"/>
        </w:rPr>
        <w:lastRenderedPageBreak/>
        <w:t>represent only the small to medium-sized greenhouses. For cost-effectiveness purposes, savings were still estimated for each individual greenhouse size and heating schedule, but was then also weighted by the percentages indicated above to predict what the program would typically encounter for a single measure offering across all greenhouse sizes and heating schedules.</w:t>
      </w:r>
    </w:p>
    <w:p w14:paraId="27AB816E" w14:textId="77777777" w:rsidR="000E0395" w:rsidRPr="000E0395" w:rsidRDefault="000E0395" w:rsidP="000E0395">
      <w:pPr>
        <w:ind w:left="720"/>
        <w:rPr>
          <w:rFonts w:ascii="Calibri" w:eastAsia="Calibri" w:hAnsi="Calibri" w:cs="Calibri"/>
          <w:sz w:val="22"/>
          <w:szCs w:val="22"/>
        </w:rPr>
      </w:pPr>
      <w:r w:rsidRPr="000E0395">
        <w:rPr>
          <w:rFonts w:eastAsia="Calibri" w:cs="Arial"/>
          <w:sz w:val="20"/>
        </w:rPr>
        <w:t> </w:t>
      </w:r>
    </w:p>
    <w:p w14:paraId="799132A6" w14:textId="77777777" w:rsidR="000E0395" w:rsidRPr="000E0395" w:rsidRDefault="000E0395" w:rsidP="007B472C">
      <w:pPr>
        <w:spacing w:line="276" w:lineRule="auto"/>
        <w:ind w:left="90"/>
        <w:rPr>
          <w:rFonts w:ascii="Calibri" w:eastAsia="Calibri" w:hAnsi="Calibri" w:cs="Calibri"/>
          <w:sz w:val="22"/>
          <w:szCs w:val="22"/>
        </w:rPr>
      </w:pPr>
      <w:r w:rsidRPr="000E0395">
        <w:rPr>
          <w:rFonts w:eastAsia="Calibri" w:cs="Arial"/>
          <w:b/>
          <w:bCs/>
          <w:sz w:val="20"/>
        </w:rPr>
        <w:t>Measure life</w:t>
      </w:r>
    </w:p>
    <w:p w14:paraId="5250F467" w14:textId="77777777" w:rsidR="000E0395" w:rsidRPr="000E0395" w:rsidRDefault="000E0395" w:rsidP="007B472C">
      <w:pPr>
        <w:ind w:left="90"/>
        <w:rPr>
          <w:rFonts w:ascii="Calibri" w:eastAsia="Calibri" w:hAnsi="Calibri" w:cs="Calibri"/>
          <w:sz w:val="20"/>
        </w:rPr>
      </w:pPr>
      <w:r w:rsidRPr="000E0395">
        <w:rPr>
          <w:rFonts w:eastAsia="Calibri" w:cs="Arial"/>
          <w:sz w:val="20"/>
        </w:rPr>
        <w:t>The equipment controller life was set at 15 years in the analysis which is consistent with the regionally accepted useful life of hardware controls for HVAC systems.</w:t>
      </w:r>
    </w:p>
    <w:p w14:paraId="06BCF50E" w14:textId="77777777" w:rsidR="000E0395" w:rsidRPr="000E0395" w:rsidRDefault="000E0395" w:rsidP="007B472C">
      <w:pPr>
        <w:ind w:left="90"/>
        <w:rPr>
          <w:rFonts w:ascii="Calibri" w:eastAsia="Calibri" w:hAnsi="Calibri" w:cs="Calibri"/>
          <w:sz w:val="20"/>
        </w:rPr>
      </w:pPr>
      <w:r w:rsidRPr="000E0395">
        <w:rPr>
          <w:rFonts w:eastAsia="Calibri" w:cs="Arial"/>
          <w:sz w:val="20"/>
        </w:rPr>
        <w:t> </w:t>
      </w:r>
    </w:p>
    <w:p w14:paraId="1A11C133" w14:textId="77777777" w:rsidR="000E0395" w:rsidRPr="000E0395" w:rsidRDefault="000E0395" w:rsidP="007B472C">
      <w:pPr>
        <w:ind w:left="90"/>
        <w:rPr>
          <w:rFonts w:ascii="Calibri" w:eastAsia="Calibri" w:hAnsi="Calibri" w:cs="Calibri"/>
          <w:sz w:val="20"/>
        </w:rPr>
      </w:pPr>
      <w:r w:rsidRPr="000E0395">
        <w:rPr>
          <w:rFonts w:eastAsia="Calibri" w:cs="Arial"/>
          <w:b/>
          <w:bCs/>
          <w:sz w:val="20"/>
        </w:rPr>
        <w:t>Incentive Structure </w:t>
      </w:r>
    </w:p>
    <w:p w14:paraId="362D9453" w14:textId="77777777" w:rsidR="000E0395" w:rsidRPr="000E0395" w:rsidRDefault="000E0395" w:rsidP="007B472C">
      <w:pPr>
        <w:ind w:left="90"/>
        <w:rPr>
          <w:rFonts w:ascii="Calibri" w:eastAsia="Calibri" w:hAnsi="Calibri" w:cs="Calibri"/>
          <w:sz w:val="20"/>
        </w:rPr>
      </w:pPr>
      <w:r w:rsidRPr="000E0395">
        <w:rPr>
          <w:rFonts w:eastAsia="Calibri" w:cs="Arial"/>
          <w:color w:val="376092"/>
          <w:sz w:val="20"/>
        </w:rPr>
        <w:t>At the time of this memo, t</w:t>
      </w:r>
      <w:r w:rsidRPr="000E0395">
        <w:rPr>
          <w:rFonts w:eastAsia="Calibri" w:cs="Arial"/>
          <w:sz w:val="20"/>
        </w:rPr>
        <w:t>he program has an incentive of $0.03/</w:t>
      </w:r>
      <w:proofErr w:type="spellStart"/>
      <w:r w:rsidRPr="000E0395">
        <w:rPr>
          <w:rFonts w:eastAsia="Calibri" w:cs="Arial"/>
          <w:sz w:val="20"/>
        </w:rPr>
        <w:t>sqft</w:t>
      </w:r>
      <w:proofErr w:type="spellEnd"/>
      <w:r w:rsidRPr="000E0395">
        <w:rPr>
          <w:rFonts w:eastAsia="Calibri" w:cs="Arial"/>
          <w:sz w:val="20"/>
        </w:rPr>
        <w:t xml:space="preserve"> for installation of the controller. </w:t>
      </w:r>
      <w:r w:rsidRPr="000E0395">
        <w:rPr>
          <w:rFonts w:eastAsia="Calibri" w:cs="Arial"/>
          <w:color w:val="376092"/>
          <w:sz w:val="20"/>
        </w:rPr>
        <w:t> </w:t>
      </w:r>
      <w:r w:rsidRPr="000E0395">
        <w:rPr>
          <w:rFonts w:eastAsia="Calibri" w:cs="Arial"/>
          <w:sz w:val="20"/>
        </w:rPr>
        <w:t>This incentive is consistent with other offerings for greenhouse controllers around the country</w:t>
      </w:r>
      <w:r w:rsidRPr="000E0395">
        <w:rPr>
          <w:rFonts w:eastAsia="Calibri" w:cs="Arial"/>
          <w:color w:val="376092"/>
          <w:sz w:val="20"/>
        </w:rPr>
        <w:t xml:space="preserve"> and is cost effective, with a Utility System BCR of 54.7.</w:t>
      </w:r>
      <w:r w:rsidRPr="000E0395">
        <w:rPr>
          <w:rFonts w:eastAsia="Calibri" w:cs="Arial"/>
          <w:sz w:val="20"/>
        </w:rPr>
        <w:t xml:space="preserve"> </w:t>
      </w:r>
      <w:r w:rsidRPr="000E0395">
        <w:rPr>
          <w:rFonts w:eastAsia="Calibri" w:cs="Arial"/>
          <w:color w:val="376092"/>
          <w:sz w:val="20"/>
        </w:rPr>
        <w:t xml:space="preserve">The maximum cost effective incentive is $1.64, although this exceeds the expected cost of the retrofit. In the unlikely event that the programs choose to increase incentives so dramatically, incentives and bonuses must be capped at the appropriate project cost.  </w:t>
      </w:r>
    </w:p>
    <w:p w14:paraId="0DA002FB" w14:textId="77777777" w:rsidR="000E0395" w:rsidRPr="000E0395" w:rsidRDefault="000E0395" w:rsidP="007B472C">
      <w:pPr>
        <w:ind w:left="90"/>
        <w:rPr>
          <w:rFonts w:ascii="Calibri" w:eastAsia="Calibri" w:hAnsi="Calibri" w:cs="Calibri"/>
          <w:sz w:val="22"/>
          <w:szCs w:val="22"/>
        </w:rPr>
      </w:pPr>
      <w:r w:rsidRPr="000E0395">
        <w:rPr>
          <w:rFonts w:eastAsia="Calibri" w:cs="Arial"/>
          <w:b/>
          <w:bCs/>
          <w:sz w:val="20"/>
        </w:rPr>
        <w:t> </w:t>
      </w:r>
    </w:p>
    <w:p w14:paraId="4E9F0DF5" w14:textId="77777777" w:rsidR="000E0395" w:rsidRPr="000E0395" w:rsidRDefault="000E0395" w:rsidP="007B472C">
      <w:pPr>
        <w:ind w:left="90"/>
        <w:rPr>
          <w:rFonts w:ascii="Calibri" w:eastAsia="Calibri" w:hAnsi="Calibri" w:cs="Calibri"/>
          <w:sz w:val="22"/>
          <w:szCs w:val="22"/>
        </w:rPr>
      </w:pPr>
      <w:r w:rsidRPr="000E0395">
        <w:rPr>
          <w:rFonts w:eastAsia="Calibri" w:cs="Arial"/>
          <w:b/>
          <w:bCs/>
          <w:sz w:val="20"/>
        </w:rPr>
        <w:t>Cost</w:t>
      </w:r>
      <w:r w:rsidRPr="000E0395">
        <w:rPr>
          <w:rFonts w:eastAsia="Calibri" w:cs="Arial"/>
          <w:sz w:val="20"/>
        </w:rPr>
        <w:t> </w:t>
      </w:r>
    </w:p>
    <w:p w14:paraId="46E74160" w14:textId="77777777" w:rsidR="000E0395" w:rsidRPr="000E0395" w:rsidRDefault="000E0395" w:rsidP="007B472C">
      <w:pPr>
        <w:ind w:left="90"/>
        <w:rPr>
          <w:rFonts w:ascii="Calibri" w:eastAsia="Calibri" w:hAnsi="Calibri" w:cs="Calibri"/>
          <w:sz w:val="22"/>
          <w:szCs w:val="22"/>
        </w:rPr>
      </w:pPr>
      <w:r w:rsidRPr="000E0395">
        <w:rPr>
          <w:rFonts w:eastAsia="Calibri" w:cs="Arial"/>
          <w:sz w:val="20"/>
        </w:rPr>
        <w:t>On average, controllers may range from $400 - $1,200 depending on the complexity of the system and the controllers’ ability to manage multiple aspects of an HVAC system, in addition to night setback. For purposes of evaluating the cost-effectiveness of this measure, the less expensive controller (multi-stage digital) was used for the smaller greenhouses where smaller, less complex HVAC systems are typically employed. The more expensive controller (Integrated type) was used for the medium sized greenhouses, which because of the larger area, may utilize more units and therefore require more complex controllers. To obtain a single weighted average incremental cost for the measure, the costs for each controller type were then weighted by the make-up of each greenhouses size, as discussed above. Finally, in all cases an additional $500 installation cost was added to the weighted average equipment cost on a square foot basis.</w:t>
      </w:r>
    </w:p>
    <w:p w14:paraId="30C3E3C1" w14:textId="77777777" w:rsidR="000E0395" w:rsidRPr="000E0395" w:rsidRDefault="000E0395" w:rsidP="007B472C">
      <w:pPr>
        <w:ind w:left="90"/>
        <w:rPr>
          <w:rFonts w:ascii="Calibri" w:eastAsia="Calibri" w:hAnsi="Calibri" w:cs="Calibri"/>
          <w:sz w:val="20"/>
        </w:rPr>
      </w:pPr>
      <w:r w:rsidRPr="000E0395">
        <w:rPr>
          <w:rFonts w:eastAsia="Calibri" w:cs="Arial"/>
          <w:sz w:val="20"/>
        </w:rPr>
        <w:t> </w:t>
      </w:r>
    </w:p>
    <w:p w14:paraId="660541D2" w14:textId="77777777" w:rsidR="000E0395" w:rsidRPr="000E0395" w:rsidRDefault="000E0395" w:rsidP="007B472C">
      <w:pPr>
        <w:ind w:left="90"/>
        <w:rPr>
          <w:rFonts w:ascii="Calibri" w:eastAsia="Calibri" w:hAnsi="Calibri" w:cs="Calibri"/>
          <w:sz w:val="20"/>
        </w:rPr>
      </w:pPr>
      <w:r w:rsidRPr="000E0395">
        <w:rPr>
          <w:rFonts w:eastAsia="Calibri" w:cs="Arial"/>
          <w:b/>
          <w:bCs/>
          <w:sz w:val="20"/>
        </w:rPr>
        <w:t>Exceptions</w:t>
      </w:r>
    </w:p>
    <w:p w14:paraId="72BB05E7" w14:textId="77777777" w:rsidR="000E0395" w:rsidRPr="000E0395" w:rsidRDefault="000E0395" w:rsidP="007B472C">
      <w:pPr>
        <w:ind w:left="90"/>
        <w:rPr>
          <w:rFonts w:ascii="Calibri" w:eastAsia="Calibri" w:hAnsi="Calibri" w:cs="Calibri"/>
          <w:sz w:val="20"/>
        </w:rPr>
      </w:pPr>
      <w:r w:rsidRPr="000E0395">
        <w:rPr>
          <w:rFonts w:eastAsia="Calibri" w:cs="Arial"/>
          <w:sz w:val="20"/>
        </w:rPr>
        <w:t xml:space="preserve">As stated above, large greenhouses (60’x96’) are excluded from this blessing. Since large greenhouses typically employ much more complex and robust control systems, they are not the target of this measure and are therefore not blessed under the analysis shown above. It should be noted that the requirement for a maximum size of 15,000 </w:t>
      </w:r>
      <w:proofErr w:type="spellStart"/>
      <w:r w:rsidRPr="000E0395">
        <w:rPr>
          <w:rFonts w:eastAsia="Calibri" w:cs="Arial"/>
          <w:sz w:val="20"/>
        </w:rPr>
        <w:t>sqft</w:t>
      </w:r>
      <w:proofErr w:type="spellEnd"/>
      <w:r w:rsidRPr="000E0395">
        <w:rPr>
          <w:rFonts w:eastAsia="Calibri" w:cs="Arial"/>
          <w:sz w:val="20"/>
        </w:rPr>
        <w:t xml:space="preserve"> per controller is meant to account for and include as eligible the cases where several small-medium sized greenhouses are “gutter connected” together. In these cases, a single controller can still adequately handle the simple operation of HVAC systems within each greenhouse. Although it is not expected to occur frequently, this type of setup is highly cost-effective because a single controller is handling a greater amount of square footage.</w:t>
      </w:r>
    </w:p>
    <w:p w14:paraId="0BDE6F59" w14:textId="77777777" w:rsidR="000E0395" w:rsidRPr="000E0395" w:rsidRDefault="000E0395" w:rsidP="000E0395">
      <w:pPr>
        <w:ind w:left="720"/>
        <w:rPr>
          <w:rFonts w:ascii="Calibri" w:eastAsia="Calibri" w:hAnsi="Calibri" w:cs="Calibri"/>
          <w:sz w:val="20"/>
        </w:rPr>
      </w:pPr>
      <w:r w:rsidRPr="000E0395">
        <w:rPr>
          <w:rFonts w:eastAsia="Calibri" w:cs="Arial"/>
          <w:sz w:val="20"/>
        </w:rPr>
        <w:t> </w:t>
      </w:r>
    </w:p>
    <w:p w14:paraId="6F62698B" w14:textId="77777777" w:rsidR="000E0395" w:rsidRPr="000E0395" w:rsidRDefault="000E0395" w:rsidP="000E0395">
      <w:pPr>
        <w:rPr>
          <w:rFonts w:ascii="Calibri" w:eastAsia="Calibri" w:hAnsi="Calibri"/>
          <w:sz w:val="22"/>
          <w:szCs w:val="22"/>
        </w:rPr>
      </w:pPr>
    </w:p>
    <w:p w14:paraId="2D77ECE3" w14:textId="77777777" w:rsidR="000E0395" w:rsidRPr="000E0395" w:rsidRDefault="000E0395" w:rsidP="000E0395">
      <w:pPr>
        <w:rPr>
          <w:rFonts w:ascii="Calibri" w:eastAsia="Calibri" w:hAnsi="Calibri"/>
          <w:sz w:val="22"/>
          <w:szCs w:val="22"/>
        </w:rPr>
      </w:pPr>
    </w:p>
    <w:p w14:paraId="6CC78FD0" w14:textId="77777777" w:rsidR="000E0395" w:rsidRPr="000E0395" w:rsidRDefault="000E0395" w:rsidP="000E0395">
      <w:pPr>
        <w:spacing w:after="160" w:line="259" w:lineRule="auto"/>
        <w:rPr>
          <w:rFonts w:ascii="Calibri Light" w:hAnsi="Calibri Light"/>
          <w:b/>
          <w:color w:val="2E74B5"/>
          <w:sz w:val="26"/>
          <w:szCs w:val="26"/>
          <w:u w:val="single"/>
        </w:rPr>
      </w:pPr>
      <w:r w:rsidRPr="000E0395">
        <w:rPr>
          <w:rFonts w:ascii="Calibri" w:eastAsia="Calibri" w:hAnsi="Calibri"/>
          <w:b/>
          <w:sz w:val="22"/>
          <w:szCs w:val="22"/>
          <w:u w:val="single"/>
        </w:rPr>
        <w:br w:type="page"/>
      </w:r>
    </w:p>
    <w:p w14:paraId="3EE5061D" w14:textId="77777777" w:rsidR="000E0395" w:rsidRPr="000E0395" w:rsidRDefault="000E0395" w:rsidP="000E0395">
      <w:pPr>
        <w:keepNext/>
        <w:keepLines/>
        <w:spacing w:before="40" w:line="259" w:lineRule="auto"/>
        <w:outlineLvl w:val="1"/>
        <w:rPr>
          <w:rFonts w:ascii="Calibri Light" w:hAnsi="Calibri Light"/>
          <w:b/>
          <w:color w:val="2E74B5"/>
          <w:sz w:val="26"/>
          <w:szCs w:val="26"/>
          <w:u w:val="single"/>
        </w:rPr>
      </w:pPr>
    </w:p>
    <w:p w14:paraId="7328616C" w14:textId="77777777" w:rsidR="000E0395" w:rsidRPr="000E0395" w:rsidRDefault="000E0395" w:rsidP="007B472C">
      <w:pPr>
        <w:keepNext/>
        <w:keepLines/>
        <w:spacing w:before="40" w:line="259" w:lineRule="auto"/>
        <w:ind w:left="-720"/>
        <w:outlineLvl w:val="1"/>
        <w:rPr>
          <w:rFonts w:ascii="Calibri Light" w:hAnsi="Calibri Light"/>
          <w:b/>
          <w:color w:val="2E74B5"/>
          <w:sz w:val="26"/>
          <w:szCs w:val="26"/>
          <w:u w:val="single"/>
        </w:rPr>
      </w:pPr>
      <w:r w:rsidRPr="000E0395">
        <w:rPr>
          <w:rFonts w:ascii="Calibri Light" w:hAnsi="Calibri Light"/>
          <w:b/>
          <w:color w:val="2E74B5"/>
          <w:sz w:val="26"/>
          <w:szCs w:val="26"/>
          <w:u w:val="single"/>
        </w:rPr>
        <w:t>Program</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Measure</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t>Description</w:t>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r w:rsidRPr="000E0395">
        <w:rPr>
          <w:rFonts w:ascii="Calibri Light" w:hAnsi="Calibri Light"/>
          <w:b/>
          <w:color w:val="2E74B5"/>
          <w:sz w:val="26"/>
          <w:szCs w:val="26"/>
          <w:u w:val="single"/>
        </w:rPr>
        <w:tab/>
      </w:r>
    </w:p>
    <w:p w14:paraId="6F2E52BC" w14:textId="77777777" w:rsidR="000E0395" w:rsidRPr="000E0395" w:rsidRDefault="000E0395" w:rsidP="007B472C">
      <w:pPr>
        <w:keepNext/>
        <w:keepLines/>
        <w:spacing w:before="40" w:line="259" w:lineRule="auto"/>
        <w:ind w:left="-720"/>
        <w:outlineLvl w:val="1"/>
        <w:rPr>
          <w:rFonts w:ascii="Calibri Light" w:hAnsi="Calibri Light"/>
          <w:color w:val="2E74B5"/>
          <w:sz w:val="20"/>
          <w:szCs w:val="26"/>
        </w:rPr>
      </w:pPr>
      <w:r w:rsidRPr="000E0395">
        <w:rPr>
          <w:rFonts w:ascii="Calibri Light" w:hAnsi="Calibri Light"/>
          <w:color w:val="1F4D78"/>
          <w:szCs w:val="24"/>
        </w:rPr>
        <w:t>Existing Buildings</w:t>
      </w:r>
      <w:r w:rsidRPr="000E0395">
        <w:rPr>
          <w:rFonts w:ascii="Calibri Light" w:hAnsi="Calibri Light"/>
          <w:color w:val="1F4D78"/>
          <w:szCs w:val="24"/>
        </w:rPr>
        <w:tab/>
        <w:t>Thermal Curtains Installed on Greenhouses</w:t>
      </w:r>
      <w:r w:rsidRPr="000E0395">
        <w:rPr>
          <w:rFonts w:ascii="Calibri Light" w:hAnsi="Calibri Light"/>
          <w:color w:val="2E74B5"/>
          <w:sz w:val="26"/>
          <w:szCs w:val="26"/>
        </w:rPr>
        <w:tab/>
      </w:r>
      <w:r w:rsidRPr="000E0395">
        <w:rPr>
          <w:rFonts w:ascii="Calibri Light" w:hAnsi="Calibri Light"/>
          <w:color w:val="2E74B5"/>
          <w:sz w:val="20"/>
          <w:szCs w:val="26"/>
        </w:rPr>
        <w:t>Energy Savings rate 40% or better</w:t>
      </w:r>
    </w:p>
    <w:p w14:paraId="5F28E2B7" w14:textId="77777777" w:rsidR="000E0395" w:rsidRPr="000E0395" w:rsidRDefault="000E0395" w:rsidP="007B472C">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Infrared (IR) polyethylene greenhouse cover</w:t>
      </w:r>
      <w:r w:rsidRPr="000E0395">
        <w:rPr>
          <w:rFonts w:ascii="Calibri Light" w:hAnsi="Calibri Light"/>
          <w:color w:val="2E74B5"/>
          <w:sz w:val="26"/>
          <w:szCs w:val="26"/>
        </w:rPr>
        <w:tab/>
      </w:r>
      <w:proofErr w:type="gramStart"/>
      <w:r w:rsidRPr="000E0395">
        <w:rPr>
          <w:rFonts w:ascii="Calibri Light" w:hAnsi="Calibri Light"/>
          <w:color w:val="2E74B5"/>
          <w:sz w:val="20"/>
          <w:szCs w:val="26"/>
        </w:rPr>
        <w:t>Must</w:t>
      </w:r>
      <w:proofErr w:type="gramEnd"/>
      <w:r w:rsidRPr="000E0395">
        <w:rPr>
          <w:rFonts w:ascii="Calibri Light" w:hAnsi="Calibri Light"/>
          <w:color w:val="2E74B5"/>
          <w:sz w:val="20"/>
          <w:szCs w:val="26"/>
        </w:rPr>
        <w:t xml:space="preserve"> be replacing non-IR cover</w:t>
      </w:r>
    </w:p>
    <w:p w14:paraId="3E8E8064" w14:textId="77777777" w:rsidR="000E0395" w:rsidRPr="000E0395" w:rsidRDefault="000E0395" w:rsidP="007B472C">
      <w:pPr>
        <w:keepNext/>
        <w:keepLines/>
        <w:spacing w:before="40" w:line="259" w:lineRule="auto"/>
        <w:ind w:left="-720"/>
        <w:outlineLvl w:val="1"/>
        <w:rPr>
          <w:rFonts w:ascii="Calibri Light" w:hAnsi="Calibri Light"/>
          <w:color w:val="2E74B5"/>
          <w:sz w:val="26"/>
          <w:szCs w:val="26"/>
        </w:rPr>
      </w:pPr>
      <w:r w:rsidRPr="000E0395">
        <w:rPr>
          <w:rFonts w:ascii="Calibri Light" w:hAnsi="Calibri Light"/>
          <w:color w:val="1F4D78"/>
          <w:szCs w:val="24"/>
        </w:rPr>
        <w:t>Existing Buildings</w:t>
      </w:r>
      <w:r w:rsidRPr="000E0395">
        <w:rPr>
          <w:rFonts w:ascii="Calibri Light" w:hAnsi="Calibri Light"/>
          <w:color w:val="1F4D78"/>
          <w:szCs w:val="24"/>
        </w:rPr>
        <w:tab/>
        <w:t>Agricultural Under-bench heating per square foot</w:t>
      </w:r>
      <w:r w:rsidRPr="000E0395">
        <w:rPr>
          <w:rFonts w:ascii="Calibri Light" w:hAnsi="Calibri Light"/>
          <w:color w:val="2E74B5"/>
          <w:sz w:val="26"/>
          <w:szCs w:val="26"/>
        </w:rPr>
        <w:tab/>
      </w:r>
      <w:r w:rsidRPr="000E0395">
        <w:rPr>
          <w:rFonts w:ascii="Calibri Light" w:hAnsi="Calibri Light"/>
          <w:color w:val="2E74B5"/>
          <w:sz w:val="20"/>
          <w:szCs w:val="26"/>
        </w:rPr>
        <w:t>"Hydronic heat distribution located directly on or under plant bench, on the floor or in the floor. Must replace unit heaters as the primary heat source"</w:t>
      </w:r>
    </w:p>
    <w:p w14:paraId="7BE0441B" w14:textId="77777777" w:rsidR="000E0395" w:rsidRPr="000E0395" w:rsidRDefault="000E0395" w:rsidP="000E0395">
      <w:pPr>
        <w:rPr>
          <w:rFonts w:cs="Arial"/>
          <w:b/>
          <w:bCs/>
          <w:color w:val="1F497D"/>
          <w:sz w:val="20"/>
        </w:rPr>
      </w:pPr>
    </w:p>
    <w:p w14:paraId="65A1C075" w14:textId="77777777" w:rsidR="000E0395" w:rsidRPr="000E0395" w:rsidRDefault="000E0395" w:rsidP="007B472C">
      <w:pPr>
        <w:ind w:left="-90"/>
        <w:rPr>
          <w:rFonts w:cs="Arial"/>
          <w:b/>
          <w:bCs/>
          <w:color w:val="1F497D"/>
          <w:sz w:val="20"/>
        </w:rPr>
      </w:pPr>
      <w:r w:rsidRPr="000E0395">
        <w:rPr>
          <w:rFonts w:cs="Arial"/>
          <w:b/>
          <w:bCs/>
          <w:color w:val="1F497D"/>
          <w:sz w:val="20"/>
          <w:highlight w:val="yellow"/>
        </w:rPr>
        <w:t>REVISED</w:t>
      </w:r>
      <w:r w:rsidRPr="000E0395">
        <w:rPr>
          <w:rFonts w:cs="Arial"/>
          <w:b/>
          <w:bCs/>
          <w:color w:val="1F497D"/>
          <w:sz w:val="20"/>
        </w:rPr>
        <w:t xml:space="preserve"> </w:t>
      </w:r>
      <w:proofErr w:type="gramStart"/>
      <w:r w:rsidRPr="000E0395">
        <w:rPr>
          <w:rFonts w:cs="Arial"/>
          <w:b/>
          <w:bCs/>
          <w:color w:val="1F497D"/>
          <w:sz w:val="20"/>
        </w:rPr>
        <w:t>Slightly</w:t>
      </w:r>
      <w:proofErr w:type="gramEnd"/>
      <w:r w:rsidRPr="000E0395">
        <w:rPr>
          <w:rFonts w:cs="Arial"/>
          <w:b/>
          <w:bCs/>
          <w:color w:val="1F497D"/>
          <w:sz w:val="20"/>
        </w:rPr>
        <w:t xml:space="preserve"> to correct minor error.</w:t>
      </w:r>
    </w:p>
    <w:p w14:paraId="09614410" w14:textId="77777777" w:rsidR="000E0395" w:rsidRPr="000E0395" w:rsidRDefault="000E0395" w:rsidP="007B472C">
      <w:pPr>
        <w:ind w:left="-90"/>
        <w:rPr>
          <w:rFonts w:cs="Arial"/>
          <w:b/>
          <w:bCs/>
          <w:color w:val="1F497D"/>
          <w:sz w:val="20"/>
        </w:rPr>
      </w:pPr>
    </w:p>
    <w:p w14:paraId="737CE171" w14:textId="77777777" w:rsidR="000E0395" w:rsidRPr="000E0395" w:rsidRDefault="000E0395" w:rsidP="007B472C">
      <w:pPr>
        <w:ind w:left="-90"/>
        <w:rPr>
          <w:rFonts w:cs="Arial"/>
          <w:b/>
          <w:bCs/>
          <w:sz w:val="20"/>
        </w:rPr>
      </w:pPr>
      <w:r w:rsidRPr="000E0395">
        <w:rPr>
          <w:rFonts w:cs="Arial"/>
          <w:b/>
          <w:bCs/>
          <w:sz w:val="20"/>
        </w:rPr>
        <w:t xml:space="preserve">Blessing Memo Greenhouse Measures </w:t>
      </w:r>
    </w:p>
    <w:p w14:paraId="18E19EC5" w14:textId="77777777" w:rsidR="000E0395" w:rsidRPr="000E0395" w:rsidRDefault="000E0395" w:rsidP="007B472C">
      <w:pPr>
        <w:ind w:left="-90"/>
        <w:rPr>
          <w:rFonts w:ascii="Calibri" w:hAnsi="Calibri"/>
          <w:b/>
          <w:bCs/>
          <w:color w:val="1F497D"/>
          <w:sz w:val="22"/>
          <w:szCs w:val="22"/>
        </w:rPr>
      </w:pPr>
    </w:p>
    <w:p w14:paraId="2294A2A4" w14:textId="77777777" w:rsidR="000E0395" w:rsidRPr="000E0395" w:rsidRDefault="000E0395" w:rsidP="007B472C">
      <w:pPr>
        <w:ind w:left="-90"/>
        <w:rPr>
          <w:rFonts w:cs="Arial"/>
          <w:sz w:val="20"/>
        </w:rPr>
      </w:pPr>
    </w:p>
    <w:p w14:paraId="3B303476" w14:textId="77777777" w:rsidR="000E0395" w:rsidRPr="000E0395" w:rsidRDefault="000E0395" w:rsidP="007B472C">
      <w:pPr>
        <w:ind w:left="-90"/>
        <w:rPr>
          <w:rFonts w:cs="Arial"/>
          <w:sz w:val="20"/>
        </w:rPr>
      </w:pPr>
      <w:r w:rsidRPr="000E0395">
        <w:rPr>
          <w:rFonts w:cs="Arial"/>
          <w:sz w:val="20"/>
        </w:rPr>
        <w:t xml:space="preserve">Update </w:t>
      </w:r>
      <w:r w:rsidRPr="000E0395">
        <w:rPr>
          <w:rFonts w:cs="Arial"/>
          <w:color w:val="1F497D"/>
          <w:sz w:val="20"/>
          <w:highlight w:val="yellow"/>
        </w:rPr>
        <w:t>9/18/</w:t>
      </w:r>
      <w:r w:rsidRPr="000E0395">
        <w:rPr>
          <w:rFonts w:cs="Arial"/>
          <w:sz w:val="20"/>
          <w:highlight w:val="yellow"/>
        </w:rPr>
        <w:t>/2014</w:t>
      </w:r>
    </w:p>
    <w:p w14:paraId="43596643"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Updated</w:t>
      </w:r>
      <w:proofErr w:type="gramEnd"/>
      <w:r w:rsidRPr="000E0395">
        <w:rPr>
          <w:rFonts w:eastAsia="Calibri" w:cs="Arial"/>
          <w:sz w:val="20"/>
        </w:rPr>
        <w:t xml:space="preserve"> all measures </w:t>
      </w:r>
    </w:p>
    <w:p w14:paraId="57B4F88C"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Add Existing Buildings Washington as an applicable program</w:t>
      </w:r>
    </w:p>
    <w:p w14:paraId="54AFF564"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Removed Unit Heater as it is not a current offering</w:t>
      </w:r>
    </w:p>
    <w:p w14:paraId="7D65D1B2" w14:textId="77777777" w:rsidR="000E0395" w:rsidRPr="000E0395" w:rsidRDefault="000E0395" w:rsidP="007B472C">
      <w:pPr>
        <w:ind w:left="-90"/>
        <w:rPr>
          <w:rFonts w:cs="Arial"/>
          <w:sz w:val="20"/>
        </w:rPr>
      </w:pPr>
    </w:p>
    <w:p w14:paraId="462A87BC" w14:textId="77777777" w:rsidR="000E0395" w:rsidRPr="000E0395" w:rsidRDefault="000E0395" w:rsidP="007B472C">
      <w:pPr>
        <w:ind w:left="-90"/>
        <w:rPr>
          <w:rFonts w:cs="Arial"/>
          <w:sz w:val="20"/>
        </w:rPr>
      </w:pPr>
      <w:r w:rsidRPr="000E0395">
        <w:rPr>
          <w:rFonts w:cs="Arial"/>
          <w:b/>
          <w:bCs/>
          <w:sz w:val="20"/>
        </w:rPr>
        <w:t>Program Applicability</w:t>
      </w:r>
    </w:p>
    <w:p w14:paraId="68A60AB1" w14:textId="77777777" w:rsidR="000E0395" w:rsidRPr="000E0395" w:rsidRDefault="000E0395" w:rsidP="007B472C">
      <w:pPr>
        <w:ind w:left="-90"/>
        <w:rPr>
          <w:rFonts w:eastAsia="Calibri" w:cs="Arial"/>
          <w:sz w:val="20"/>
        </w:rPr>
      </w:pPr>
      <w:r w:rsidRPr="000E0395">
        <w:rPr>
          <w:rFonts w:eastAsia="Calibri" w:cs="Arial"/>
          <w:sz w:val="20"/>
        </w:rPr>
        <w:t xml:space="preserve">Based on the referenced analysis and associated cost-effectiveness screening, the measures described below are “blessed” as cost-effective on a prospective basis for use in the following </w:t>
      </w:r>
      <w:r w:rsidRPr="000E0395">
        <w:rPr>
          <w:rFonts w:eastAsia="Calibri" w:cs="Arial"/>
          <w:color w:val="000000"/>
          <w:sz w:val="20"/>
        </w:rPr>
        <w:t>programs</w:t>
      </w:r>
      <w:r w:rsidRPr="000E0395">
        <w:rPr>
          <w:rFonts w:eastAsia="Calibri" w:cs="Arial"/>
          <w:sz w:val="20"/>
        </w:rPr>
        <w:t>:</w:t>
      </w:r>
    </w:p>
    <w:p w14:paraId="44F50882"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Production Efficiency</w:t>
      </w:r>
    </w:p>
    <w:p w14:paraId="075445C3"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Existing Buildings WA</w:t>
      </w:r>
    </w:p>
    <w:p w14:paraId="4704F7D9" w14:textId="77777777" w:rsidR="000E0395" w:rsidRPr="000E0395" w:rsidRDefault="000E0395" w:rsidP="007B472C">
      <w:pPr>
        <w:ind w:left="720" w:hanging="360"/>
        <w:contextualSpacing/>
        <w:rPr>
          <w:rFonts w:eastAsia="Calibri" w:cs="Arial"/>
          <w:sz w:val="20"/>
        </w:rPr>
      </w:pPr>
    </w:p>
    <w:p w14:paraId="24A5078A" w14:textId="77777777" w:rsidR="000E0395" w:rsidRPr="000E0395" w:rsidRDefault="000E0395" w:rsidP="007B472C">
      <w:pPr>
        <w:ind w:left="-90"/>
        <w:rPr>
          <w:rFonts w:eastAsia="Calibri" w:cs="Arial"/>
          <w:sz w:val="20"/>
        </w:rPr>
      </w:pPr>
      <w:r w:rsidRPr="000E0395">
        <w:rPr>
          <w:rFonts w:eastAsia="Calibri" w:cs="Arial"/>
          <w:sz w:val="20"/>
        </w:rPr>
        <w:t>Applicability to the following building type:</w:t>
      </w:r>
    </w:p>
    <w:p w14:paraId="6A1F0C73"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Greenhouses</w:t>
      </w:r>
    </w:p>
    <w:p w14:paraId="442D9761" w14:textId="77777777" w:rsidR="000E0395" w:rsidRPr="000E0395" w:rsidRDefault="000E0395" w:rsidP="007B472C">
      <w:pPr>
        <w:ind w:left="-90"/>
        <w:rPr>
          <w:rFonts w:cs="Arial"/>
          <w:b/>
          <w:bCs/>
          <w:sz w:val="20"/>
        </w:rPr>
      </w:pPr>
    </w:p>
    <w:p w14:paraId="24154AE4" w14:textId="77777777" w:rsidR="000E0395" w:rsidRPr="000E0395" w:rsidRDefault="000E0395" w:rsidP="007B472C">
      <w:pPr>
        <w:ind w:left="-90"/>
        <w:rPr>
          <w:rFonts w:cs="Arial"/>
          <w:b/>
          <w:bCs/>
          <w:sz w:val="20"/>
        </w:rPr>
      </w:pPr>
      <w:r w:rsidRPr="000E0395">
        <w:rPr>
          <w:rFonts w:cs="Arial"/>
          <w:b/>
          <w:bCs/>
          <w:sz w:val="20"/>
        </w:rPr>
        <w:t>TABLE 1 BCR Calculator</w:t>
      </w:r>
    </w:p>
    <w:tbl>
      <w:tblPr>
        <w:tblW w:w="10530" w:type="dxa"/>
        <w:tblInd w:w="-80" w:type="dxa"/>
        <w:tblCellMar>
          <w:left w:w="0" w:type="dxa"/>
          <w:right w:w="0" w:type="dxa"/>
        </w:tblCellMar>
        <w:tblLook w:val="04A0" w:firstRow="1" w:lastRow="0" w:firstColumn="1" w:lastColumn="0" w:noHBand="0" w:noVBand="1"/>
      </w:tblPr>
      <w:tblGrid>
        <w:gridCol w:w="2178"/>
        <w:gridCol w:w="1350"/>
        <w:gridCol w:w="1440"/>
        <w:gridCol w:w="1440"/>
        <w:gridCol w:w="1440"/>
        <w:gridCol w:w="1422"/>
        <w:gridCol w:w="1260"/>
      </w:tblGrid>
      <w:tr w:rsidR="000E0395" w:rsidRPr="000E0395" w14:paraId="52C939E5" w14:textId="77777777" w:rsidTr="007B472C">
        <w:trPr>
          <w:trHeight w:val="1440"/>
        </w:trPr>
        <w:tc>
          <w:tcPr>
            <w:tcW w:w="2178" w:type="dxa"/>
            <w:tcBorders>
              <w:top w:val="single" w:sz="8" w:space="0" w:color="auto"/>
              <w:left w:val="single" w:sz="8" w:space="0" w:color="auto"/>
              <w:bottom w:val="single" w:sz="8" w:space="0" w:color="auto"/>
              <w:right w:val="single" w:sz="8" w:space="0" w:color="auto"/>
            </w:tcBorders>
            <w:shd w:val="clear" w:color="auto" w:fill="42C4DD"/>
            <w:vAlign w:val="center"/>
            <w:hideMark/>
          </w:tcPr>
          <w:p w14:paraId="5FE6E0D2"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Energy Efficiency Measure Name</w:t>
            </w:r>
          </w:p>
        </w:tc>
        <w:tc>
          <w:tcPr>
            <w:tcW w:w="1350" w:type="dxa"/>
            <w:tcBorders>
              <w:top w:val="single" w:sz="8" w:space="0" w:color="auto"/>
              <w:left w:val="nil"/>
              <w:bottom w:val="single" w:sz="8" w:space="0" w:color="auto"/>
              <w:right w:val="single" w:sz="8" w:space="0" w:color="auto"/>
            </w:tcBorders>
            <w:shd w:val="clear" w:color="auto" w:fill="42C4DD"/>
            <w:vAlign w:val="center"/>
            <w:hideMark/>
          </w:tcPr>
          <w:p w14:paraId="374BC9E2"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 xml:space="preserve">Measure Lifetime </w:t>
            </w:r>
          </w:p>
        </w:tc>
        <w:tc>
          <w:tcPr>
            <w:tcW w:w="1440" w:type="dxa"/>
            <w:tcBorders>
              <w:top w:val="single" w:sz="8" w:space="0" w:color="auto"/>
              <w:left w:val="nil"/>
              <w:bottom w:val="single" w:sz="8" w:space="0" w:color="auto"/>
              <w:right w:val="single" w:sz="8" w:space="0" w:color="auto"/>
            </w:tcBorders>
            <w:shd w:val="clear" w:color="auto" w:fill="42C4DD"/>
            <w:vAlign w:val="center"/>
            <w:hideMark/>
          </w:tcPr>
          <w:p w14:paraId="718CA4A9"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Annual Natural Gas Savings (therms)</w:t>
            </w:r>
          </w:p>
        </w:tc>
        <w:tc>
          <w:tcPr>
            <w:tcW w:w="1440" w:type="dxa"/>
            <w:tcBorders>
              <w:top w:val="single" w:sz="8" w:space="0" w:color="auto"/>
              <w:left w:val="nil"/>
              <w:bottom w:val="single" w:sz="8" w:space="0" w:color="auto"/>
              <w:right w:val="single" w:sz="8" w:space="0" w:color="auto"/>
            </w:tcBorders>
            <w:shd w:val="clear" w:color="auto" w:fill="42C4DD"/>
            <w:vAlign w:val="center"/>
            <w:hideMark/>
          </w:tcPr>
          <w:p w14:paraId="3B95E520"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Total Incremental Cost of Measure</w:t>
            </w:r>
          </w:p>
        </w:tc>
        <w:tc>
          <w:tcPr>
            <w:tcW w:w="1440" w:type="dxa"/>
            <w:tcBorders>
              <w:top w:val="single" w:sz="8" w:space="0" w:color="auto"/>
              <w:left w:val="nil"/>
              <w:bottom w:val="single" w:sz="8" w:space="0" w:color="auto"/>
              <w:right w:val="single" w:sz="8" w:space="0" w:color="auto"/>
            </w:tcBorders>
            <w:shd w:val="clear" w:color="auto" w:fill="FF0000"/>
            <w:vAlign w:val="center"/>
            <w:hideMark/>
          </w:tcPr>
          <w:p w14:paraId="0083CE87" w14:textId="77777777" w:rsidR="000E0395" w:rsidRPr="000E0395" w:rsidRDefault="000E0395" w:rsidP="000E0395">
            <w:pPr>
              <w:spacing w:after="200" w:line="276" w:lineRule="auto"/>
              <w:jc w:val="center"/>
              <w:rPr>
                <w:rFonts w:eastAsia="Calibri" w:cs="Arial"/>
                <w:b/>
                <w:bCs/>
                <w:color w:val="000000"/>
                <w:sz w:val="22"/>
                <w:szCs w:val="22"/>
              </w:rPr>
            </w:pPr>
            <w:r w:rsidRPr="000E0395">
              <w:rPr>
                <w:rFonts w:cs="Arial"/>
                <w:b/>
                <w:bCs/>
                <w:color w:val="000000"/>
                <w:szCs w:val="24"/>
              </w:rPr>
              <w:t>MAX Potential Incentive</w:t>
            </w:r>
          </w:p>
        </w:tc>
        <w:tc>
          <w:tcPr>
            <w:tcW w:w="1422" w:type="dxa"/>
            <w:tcBorders>
              <w:top w:val="double" w:sz="6" w:space="0" w:color="auto"/>
              <w:left w:val="nil"/>
              <w:bottom w:val="double" w:sz="6" w:space="0" w:color="auto"/>
              <w:right w:val="single" w:sz="8" w:space="0" w:color="auto"/>
            </w:tcBorders>
            <w:shd w:val="clear" w:color="auto" w:fill="42C4DD"/>
            <w:vAlign w:val="center"/>
            <w:hideMark/>
          </w:tcPr>
          <w:p w14:paraId="5B96B29C"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Combined Utility System BCR</w:t>
            </w:r>
          </w:p>
        </w:tc>
        <w:tc>
          <w:tcPr>
            <w:tcW w:w="1260" w:type="dxa"/>
            <w:tcBorders>
              <w:top w:val="double" w:sz="6" w:space="0" w:color="auto"/>
              <w:left w:val="nil"/>
              <w:bottom w:val="double" w:sz="6" w:space="0" w:color="auto"/>
              <w:right w:val="nil"/>
            </w:tcBorders>
            <w:shd w:val="clear" w:color="auto" w:fill="42C4DD"/>
            <w:vAlign w:val="center"/>
            <w:hideMark/>
          </w:tcPr>
          <w:p w14:paraId="3F4EF2E6"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TRC BCR</w:t>
            </w:r>
          </w:p>
        </w:tc>
      </w:tr>
      <w:tr w:rsidR="000E0395" w:rsidRPr="000E0395" w14:paraId="429162FD" w14:textId="77777777" w:rsidTr="007B472C">
        <w:trPr>
          <w:trHeight w:val="300"/>
        </w:trPr>
        <w:tc>
          <w:tcPr>
            <w:tcW w:w="2178" w:type="dxa"/>
            <w:tcBorders>
              <w:top w:val="nil"/>
              <w:left w:val="single" w:sz="8" w:space="0" w:color="auto"/>
              <w:bottom w:val="single" w:sz="8" w:space="0" w:color="auto"/>
              <w:right w:val="single" w:sz="8" w:space="0" w:color="auto"/>
            </w:tcBorders>
            <w:vAlign w:val="center"/>
            <w:hideMark/>
          </w:tcPr>
          <w:p w14:paraId="0CBEE5F4"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 xml:space="preserve">IR Poly Film </w:t>
            </w:r>
          </w:p>
        </w:tc>
        <w:tc>
          <w:tcPr>
            <w:tcW w:w="1350" w:type="dxa"/>
            <w:tcBorders>
              <w:top w:val="nil"/>
              <w:left w:val="nil"/>
              <w:bottom w:val="single" w:sz="8" w:space="0" w:color="auto"/>
              <w:right w:val="single" w:sz="8" w:space="0" w:color="auto"/>
            </w:tcBorders>
            <w:vAlign w:val="center"/>
            <w:hideMark/>
          </w:tcPr>
          <w:p w14:paraId="12887A5D"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4</w:t>
            </w:r>
          </w:p>
        </w:tc>
        <w:tc>
          <w:tcPr>
            <w:tcW w:w="1440" w:type="dxa"/>
            <w:tcBorders>
              <w:top w:val="nil"/>
              <w:left w:val="nil"/>
              <w:bottom w:val="single" w:sz="8" w:space="0" w:color="auto"/>
              <w:right w:val="single" w:sz="8" w:space="0" w:color="auto"/>
            </w:tcBorders>
            <w:vAlign w:val="center"/>
            <w:hideMark/>
          </w:tcPr>
          <w:p w14:paraId="18CB0885"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0.23</w:t>
            </w:r>
          </w:p>
        </w:tc>
        <w:tc>
          <w:tcPr>
            <w:tcW w:w="1440" w:type="dxa"/>
            <w:tcBorders>
              <w:top w:val="nil"/>
              <w:left w:val="nil"/>
              <w:bottom w:val="single" w:sz="8" w:space="0" w:color="auto"/>
              <w:right w:val="single" w:sz="8" w:space="0" w:color="auto"/>
            </w:tcBorders>
            <w:vAlign w:val="center"/>
            <w:hideMark/>
          </w:tcPr>
          <w:p w14:paraId="40129BC6"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0.02</w:t>
            </w:r>
          </w:p>
        </w:tc>
        <w:tc>
          <w:tcPr>
            <w:tcW w:w="1440" w:type="dxa"/>
            <w:tcBorders>
              <w:top w:val="nil"/>
              <w:left w:val="nil"/>
              <w:bottom w:val="single" w:sz="8" w:space="0" w:color="auto"/>
              <w:right w:val="single" w:sz="8" w:space="0" w:color="auto"/>
            </w:tcBorders>
            <w:shd w:val="clear" w:color="auto" w:fill="C0C0C0"/>
            <w:vAlign w:val="center"/>
            <w:hideMark/>
          </w:tcPr>
          <w:p w14:paraId="24EEE362"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0.40</w:t>
            </w:r>
          </w:p>
        </w:tc>
        <w:tc>
          <w:tcPr>
            <w:tcW w:w="1422" w:type="dxa"/>
            <w:tcBorders>
              <w:top w:val="nil"/>
              <w:left w:val="nil"/>
              <w:bottom w:val="single" w:sz="8" w:space="0" w:color="auto"/>
              <w:right w:val="single" w:sz="8" w:space="0" w:color="auto"/>
            </w:tcBorders>
            <w:shd w:val="clear" w:color="auto" w:fill="FCB715"/>
            <w:vAlign w:val="center"/>
            <w:hideMark/>
          </w:tcPr>
          <w:p w14:paraId="7B95E204"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1.0</w:t>
            </w:r>
          </w:p>
        </w:tc>
        <w:tc>
          <w:tcPr>
            <w:tcW w:w="1260" w:type="dxa"/>
            <w:tcBorders>
              <w:top w:val="nil"/>
              <w:left w:val="nil"/>
              <w:bottom w:val="single" w:sz="8" w:space="0" w:color="auto"/>
              <w:right w:val="nil"/>
            </w:tcBorders>
            <w:shd w:val="clear" w:color="auto" w:fill="FCB715"/>
            <w:vAlign w:val="center"/>
            <w:hideMark/>
          </w:tcPr>
          <w:p w14:paraId="400CB53B"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20.0</w:t>
            </w:r>
          </w:p>
        </w:tc>
      </w:tr>
      <w:tr w:rsidR="000E0395" w:rsidRPr="000E0395" w14:paraId="4E3D93B1" w14:textId="77777777" w:rsidTr="007B472C">
        <w:trPr>
          <w:trHeight w:val="300"/>
        </w:trPr>
        <w:tc>
          <w:tcPr>
            <w:tcW w:w="2178" w:type="dxa"/>
            <w:tcBorders>
              <w:top w:val="nil"/>
              <w:left w:val="single" w:sz="8" w:space="0" w:color="auto"/>
              <w:bottom w:val="single" w:sz="8" w:space="0" w:color="auto"/>
              <w:right w:val="single" w:sz="8" w:space="0" w:color="auto"/>
            </w:tcBorders>
            <w:vAlign w:val="center"/>
            <w:hideMark/>
          </w:tcPr>
          <w:p w14:paraId="5E8F537C"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Thermal Curtain</w:t>
            </w:r>
          </w:p>
        </w:tc>
        <w:tc>
          <w:tcPr>
            <w:tcW w:w="1350" w:type="dxa"/>
            <w:tcBorders>
              <w:top w:val="nil"/>
              <w:left w:val="nil"/>
              <w:bottom w:val="single" w:sz="8" w:space="0" w:color="auto"/>
              <w:right w:val="single" w:sz="8" w:space="0" w:color="auto"/>
            </w:tcBorders>
            <w:vAlign w:val="center"/>
            <w:hideMark/>
          </w:tcPr>
          <w:p w14:paraId="3B829224"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10</w:t>
            </w:r>
          </w:p>
        </w:tc>
        <w:tc>
          <w:tcPr>
            <w:tcW w:w="1440" w:type="dxa"/>
            <w:tcBorders>
              <w:top w:val="nil"/>
              <w:left w:val="nil"/>
              <w:bottom w:val="single" w:sz="8" w:space="0" w:color="auto"/>
              <w:right w:val="single" w:sz="8" w:space="0" w:color="auto"/>
            </w:tcBorders>
            <w:vAlign w:val="center"/>
            <w:hideMark/>
          </w:tcPr>
          <w:p w14:paraId="1B2D3D9B" w14:textId="77777777" w:rsidR="000E0395" w:rsidRPr="000E0395" w:rsidRDefault="000E0395" w:rsidP="000E0395">
            <w:pPr>
              <w:spacing w:after="200" w:line="276" w:lineRule="auto"/>
              <w:jc w:val="center"/>
              <w:rPr>
                <w:rFonts w:eastAsia="Calibri" w:cs="Arial"/>
                <w:sz w:val="22"/>
                <w:szCs w:val="22"/>
              </w:rPr>
            </w:pPr>
            <w:r w:rsidRPr="000E0395">
              <w:rPr>
                <w:rFonts w:cs="Arial"/>
                <w:color w:val="0070C0"/>
                <w:szCs w:val="24"/>
              </w:rPr>
              <w:t>0.41</w:t>
            </w:r>
          </w:p>
        </w:tc>
        <w:tc>
          <w:tcPr>
            <w:tcW w:w="1440" w:type="dxa"/>
            <w:tcBorders>
              <w:top w:val="nil"/>
              <w:left w:val="nil"/>
              <w:bottom w:val="single" w:sz="8" w:space="0" w:color="auto"/>
              <w:right w:val="single" w:sz="8" w:space="0" w:color="auto"/>
            </w:tcBorders>
            <w:vAlign w:val="center"/>
            <w:hideMark/>
          </w:tcPr>
          <w:p w14:paraId="31A12493"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1.50</w:t>
            </w:r>
          </w:p>
        </w:tc>
        <w:tc>
          <w:tcPr>
            <w:tcW w:w="1440" w:type="dxa"/>
            <w:tcBorders>
              <w:top w:val="nil"/>
              <w:left w:val="nil"/>
              <w:bottom w:val="single" w:sz="8" w:space="0" w:color="auto"/>
              <w:right w:val="single" w:sz="8" w:space="0" w:color="auto"/>
            </w:tcBorders>
            <w:shd w:val="clear" w:color="auto" w:fill="C0C0C0"/>
            <w:vAlign w:val="center"/>
            <w:hideMark/>
          </w:tcPr>
          <w:p w14:paraId="0E04D6E6" w14:textId="77777777" w:rsidR="000E0395" w:rsidRPr="000E0395" w:rsidRDefault="000E0395" w:rsidP="000E0395">
            <w:pPr>
              <w:spacing w:after="200" w:line="276" w:lineRule="auto"/>
              <w:jc w:val="center"/>
              <w:rPr>
                <w:rFonts w:eastAsia="Calibri" w:cs="Arial"/>
                <w:sz w:val="22"/>
                <w:szCs w:val="22"/>
              </w:rPr>
            </w:pPr>
            <w:r w:rsidRPr="000E0395">
              <w:rPr>
                <w:rFonts w:cs="Arial"/>
                <w:color w:val="0070C0"/>
                <w:szCs w:val="24"/>
              </w:rPr>
              <w:t>1.81</w:t>
            </w:r>
          </w:p>
        </w:tc>
        <w:tc>
          <w:tcPr>
            <w:tcW w:w="1422" w:type="dxa"/>
            <w:tcBorders>
              <w:top w:val="nil"/>
              <w:left w:val="nil"/>
              <w:bottom w:val="single" w:sz="8" w:space="0" w:color="auto"/>
              <w:right w:val="single" w:sz="8" w:space="0" w:color="auto"/>
            </w:tcBorders>
            <w:shd w:val="clear" w:color="auto" w:fill="FCB715"/>
            <w:vAlign w:val="center"/>
            <w:hideMark/>
          </w:tcPr>
          <w:p w14:paraId="6AB4F192"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1.0</w:t>
            </w:r>
          </w:p>
        </w:tc>
        <w:tc>
          <w:tcPr>
            <w:tcW w:w="1260" w:type="dxa"/>
            <w:tcBorders>
              <w:top w:val="nil"/>
              <w:left w:val="nil"/>
              <w:bottom w:val="single" w:sz="8" w:space="0" w:color="auto"/>
              <w:right w:val="nil"/>
            </w:tcBorders>
            <w:shd w:val="clear" w:color="auto" w:fill="FCB715"/>
            <w:vAlign w:val="center"/>
            <w:hideMark/>
          </w:tcPr>
          <w:p w14:paraId="3AA45AD6"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1.2</w:t>
            </w:r>
          </w:p>
        </w:tc>
      </w:tr>
      <w:tr w:rsidR="000E0395" w:rsidRPr="000E0395" w14:paraId="63A719D1" w14:textId="77777777" w:rsidTr="007B472C">
        <w:trPr>
          <w:trHeight w:val="300"/>
        </w:trPr>
        <w:tc>
          <w:tcPr>
            <w:tcW w:w="2178" w:type="dxa"/>
            <w:tcBorders>
              <w:top w:val="nil"/>
              <w:left w:val="single" w:sz="8" w:space="0" w:color="auto"/>
              <w:bottom w:val="single" w:sz="8" w:space="0" w:color="auto"/>
              <w:right w:val="single" w:sz="8" w:space="0" w:color="auto"/>
            </w:tcBorders>
            <w:vAlign w:val="center"/>
            <w:hideMark/>
          </w:tcPr>
          <w:p w14:paraId="2B57BFE0"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Under Bench Heating</w:t>
            </w:r>
          </w:p>
        </w:tc>
        <w:tc>
          <w:tcPr>
            <w:tcW w:w="1350" w:type="dxa"/>
            <w:tcBorders>
              <w:top w:val="nil"/>
              <w:left w:val="nil"/>
              <w:bottom w:val="single" w:sz="8" w:space="0" w:color="auto"/>
              <w:right w:val="single" w:sz="8" w:space="0" w:color="auto"/>
            </w:tcBorders>
            <w:vAlign w:val="center"/>
            <w:hideMark/>
          </w:tcPr>
          <w:p w14:paraId="6068AE4B"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12</w:t>
            </w:r>
          </w:p>
        </w:tc>
        <w:tc>
          <w:tcPr>
            <w:tcW w:w="1440" w:type="dxa"/>
            <w:tcBorders>
              <w:top w:val="nil"/>
              <w:left w:val="nil"/>
              <w:bottom w:val="single" w:sz="8" w:space="0" w:color="auto"/>
              <w:right w:val="single" w:sz="8" w:space="0" w:color="auto"/>
            </w:tcBorders>
            <w:vAlign w:val="center"/>
            <w:hideMark/>
          </w:tcPr>
          <w:p w14:paraId="2AF35CBF"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1.25</w:t>
            </w:r>
          </w:p>
        </w:tc>
        <w:tc>
          <w:tcPr>
            <w:tcW w:w="1440" w:type="dxa"/>
            <w:tcBorders>
              <w:top w:val="nil"/>
              <w:left w:val="nil"/>
              <w:bottom w:val="single" w:sz="8" w:space="0" w:color="auto"/>
              <w:right w:val="single" w:sz="8" w:space="0" w:color="auto"/>
            </w:tcBorders>
            <w:vAlign w:val="center"/>
            <w:hideMark/>
          </w:tcPr>
          <w:p w14:paraId="5539DBA2"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3.00</w:t>
            </w:r>
          </w:p>
        </w:tc>
        <w:tc>
          <w:tcPr>
            <w:tcW w:w="1440" w:type="dxa"/>
            <w:tcBorders>
              <w:top w:val="nil"/>
              <w:left w:val="nil"/>
              <w:bottom w:val="single" w:sz="8" w:space="0" w:color="auto"/>
              <w:right w:val="single" w:sz="8" w:space="0" w:color="auto"/>
            </w:tcBorders>
            <w:shd w:val="clear" w:color="auto" w:fill="C0C0C0"/>
            <w:vAlign w:val="center"/>
            <w:hideMark/>
          </w:tcPr>
          <w:p w14:paraId="27ABC44C" w14:textId="77777777" w:rsidR="000E0395" w:rsidRPr="000E0395" w:rsidRDefault="000E0395" w:rsidP="000E0395">
            <w:pPr>
              <w:spacing w:after="200" w:line="276" w:lineRule="auto"/>
              <w:jc w:val="center"/>
              <w:rPr>
                <w:rFonts w:eastAsia="Calibri" w:cs="Arial"/>
                <w:sz w:val="22"/>
                <w:szCs w:val="22"/>
              </w:rPr>
            </w:pPr>
            <w:r w:rsidRPr="000E0395">
              <w:rPr>
                <w:rFonts w:cs="Arial"/>
                <w:szCs w:val="24"/>
              </w:rPr>
              <w:t>5.94</w:t>
            </w:r>
          </w:p>
        </w:tc>
        <w:tc>
          <w:tcPr>
            <w:tcW w:w="1422" w:type="dxa"/>
            <w:tcBorders>
              <w:top w:val="nil"/>
              <w:left w:val="nil"/>
              <w:bottom w:val="single" w:sz="8" w:space="0" w:color="auto"/>
              <w:right w:val="single" w:sz="8" w:space="0" w:color="auto"/>
            </w:tcBorders>
            <w:shd w:val="clear" w:color="auto" w:fill="FCB715"/>
            <w:vAlign w:val="center"/>
            <w:hideMark/>
          </w:tcPr>
          <w:p w14:paraId="03966769"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1.0</w:t>
            </w:r>
          </w:p>
        </w:tc>
        <w:tc>
          <w:tcPr>
            <w:tcW w:w="1260" w:type="dxa"/>
            <w:tcBorders>
              <w:top w:val="nil"/>
              <w:left w:val="nil"/>
              <w:bottom w:val="single" w:sz="8" w:space="0" w:color="auto"/>
              <w:right w:val="nil"/>
            </w:tcBorders>
            <w:shd w:val="clear" w:color="auto" w:fill="FCB715"/>
            <w:vAlign w:val="center"/>
            <w:hideMark/>
          </w:tcPr>
          <w:p w14:paraId="3C09EBC8" w14:textId="77777777" w:rsidR="000E0395" w:rsidRPr="000E0395" w:rsidRDefault="000E0395" w:rsidP="000E0395">
            <w:pPr>
              <w:spacing w:after="200" w:line="276" w:lineRule="auto"/>
              <w:jc w:val="center"/>
              <w:rPr>
                <w:rFonts w:eastAsia="Calibri" w:cs="Arial"/>
                <w:b/>
                <w:bCs/>
                <w:sz w:val="22"/>
                <w:szCs w:val="22"/>
              </w:rPr>
            </w:pPr>
            <w:r w:rsidRPr="000E0395">
              <w:rPr>
                <w:rFonts w:cs="Arial"/>
                <w:b/>
                <w:bCs/>
                <w:szCs w:val="24"/>
              </w:rPr>
              <w:t>2.1</w:t>
            </w:r>
          </w:p>
        </w:tc>
      </w:tr>
    </w:tbl>
    <w:p w14:paraId="1C964FAE" w14:textId="77777777" w:rsidR="000E0395" w:rsidRPr="000E0395" w:rsidRDefault="000E0395" w:rsidP="000E0395">
      <w:pPr>
        <w:ind w:left="720"/>
        <w:rPr>
          <w:rFonts w:eastAsia="Calibri" w:cs="Arial"/>
          <w:sz w:val="20"/>
        </w:rPr>
      </w:pPr>
      <w:r w:rsidRPr="000E0395">
        <w:rPr>
          <w:rFonts w:cs="Arial"/>
          <w:sz w:val="20"/>
        </w:rPr>
        <w:t> </w:t>
      </w:r>
    </w:p>
    <w:p w14:paraId="4D7B7723" w14:textId="77777777" w:rsidR="000E0395" w:rsidRPr="000E0395" w:rsidRDefault="000E0395" w:rsidP="007B472C">
      <w:pPr>
        <w:rPr>
          <w:rFonts w:cs="Arial"/>
          <w:sz w:val="20"/>
        </w:rPr>
      </w:pPr>
      <w:r w:rsidRPr="000E0395">
        <w:rPr>
          <w:rFonts w:cs="Arial"/>
          <w:sz w:val="20"/>
        </w:rPr>
        <w:t> </w:t>
      </w:r>
    </w:p>
    <w:p w14:paraId="14966B02" w14:textId="77777777" w:rsidR="000E0395" w:rsidRPr="000E0395" w:rsidRDefault="000E0395" w:rsidP="007B472C">
      <w:pPr>
        <w:rPr>
          <w:rFonts w:eastAsia="Calibri" w:cs="Arial"/>
          <w:b/>
          <w:bCs/>
          <w:color w:val="000000"/>
          <w:sz w:val="20"/>
        </w:rPr>
      </w:pPr>
      <w:r w:rsidRPr="000E0395">
        <w:rPr>
          <w:rFonts w:eastAsia="Calibri" w:cs="Arial"/>
          <w:b/>
          <w:bCs/>
          <w:color w:val="000000"/>
          <w:sz w:val="20"/>
        </w:rPr>
        <w:t>Program requirements</w:t>
      </w:r>
    </w:p>
    <w:p w14:paraId="6993F7C7" w14:textId="77777777" w:rsidR="000E0395" w:rsidRPr="000E0395" w:rsidRDefault="000E0395" w:rsidP="007B472C">
      <w:pPr>
        <w:rPr>
          <w:rFonts w:eastAsia="Calibri" w:cs="Arial"/>
          <w:color w:val="000000"/>
          <w:sz w:val="20"/>
        </w:rPr>
      </w:pPr>
      <w:r w:rsidRPr="000E0395">
        <w:rPr>
          <w:rFonts w:eastAsia="Calibri" w:cs="Arial"/>
          <w:color w:val="000000"/>
          <w:sz w:val="20"/>
        </w:rPr>
        <w:t xml:space="preserve">IR Film Polyethylene Greenhouse </w:t>
      </w:r>
      <w:proofErr w:type="gramStart"/>
      <w:r w:rsidRPr="000E0395">
        <w:rPr>
          <w:rFonts w:eastAsia="Calibri" w:cs="Arial"/>
          <w:color w:val="000000"/>
          <w:sz w:val="20"/>
        </w:rPr>
        <w:t>cover</w:t>
      </w:r>
      <w:proofErr w:type="gramEnd"/>
    </w:p>
    <w:p w14:paraId="6C957524"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be infrared polyethylene plastic with an anti-condensate coating.</w:t>
      </w:r>
    </w:p>
    <w:p w14:paraId="3CBBDCD7"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be upgrading from a non-IR cover.</w:t>
      </w:r>
    </w:p>
    <w:p w14:paraId="0E13FA34"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have a life expectancy of 4 years.</w:t>
      </w:r>
    </w:p>
    <w:p w14:paraId="2F72450E"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r w:rsidRPr="000E0395">
        <w:rPr>
          <w:rFonts w:eastAsia="Calibri" w:cs="Arial"/>
          <w:sz w:val="20"/>
        </w:rPr>
        <w:t>Minimum thinness</w:t>
      </w:r>
      <w:r w:rsidRPr="000E0395">
        <w:rPr>
          <w:rFonts w:eastAsia="Calibri" w:cs="Arial"/>
          <w:color w:val="000000"/>
          <w:sz w:val="20"/>
        </w:rPr>
        <w:t xml:space="preserve"> </w:t>
      </w:r>
      <w:proofErr w:type="gramStart"/>
      <w:r w:rsidRPr="000E0395">
        <w:rPr>
          <w:rFonts w:eastAsia="Calibri" w:cs="Arial"/>
          <w:color w:val="000000"/>
          <w:sz w:val="20"/>
        </w:rPr>
        <w:t>of 6 mil</w:t>
      </w:r>
      <w:proofErr w:type="gramEnd"/>
      <w:r w:rsidRPr="000E0395">
        <w:rPr>
          <w:rFonts w:eastAsia="Calibri" w:cs="Arial"/>
          <w:color w:val="000000"/>
          <w:sz w:val="20"/>
        </w:rPr>
        <w:t>.</w:t>
      </w:r>
    </w:p>
    <w:p w14:paraId="4DCFEB59" w14:textId="77777777" w:rsidR="000E0395" w:rsidRPr="000E0395" w:rsidRDefault="000E0395" w:rsidP="007B472C">
      <w:pPr>
        <w:rPr>
          <w:rFonts w:eastAsia="Calibri" w:cs="Arial"/>
          <w:color w:val="000000"/>
          <w:sz w:val="20"/>
        </w:rPr>
      </w:pPr>
      <w:r w:rsidRPr="000E0395">
        <w:rPr>
          <w:rFonts w:eastAsia="Calibri" w:cs="Arial"/>
          <w:color w:val="000000"/>
          <w:sz w:val="20"/>
        </w:rPr>
        <w:t>Thermal Curtain</w:t>
      </w:r>
    </w:p>
    <w:p w14:paraId="3C849730"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be installed above heated space and drawn closed automatically at night</w:t>
      </w:r>
    </w:p>
    <w:p w14:paraId="45A8EED1"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lastRenderedPageBreak/>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be designed primarily to be a heat curtain</w:t>
      </w:r>
    </w:p>
    <w:p w14:paraId="7CDEB4B8"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have a rated energy savings rate of 40% or higher</w:t>
      </w:r>
    </w:p>
    <w:p w14:paraId="06C7ED29"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have a</w:t>
      </w:r>
      <w:r w:rsidRPr="000E0395">
        <w:rPr>
          <w:rFonts w:eastAsia="Calibri" w:cs="Arial"/>
          <w:color w:val="000000"/>
          <w:sz w:val="20"/>
        </w:rPr>
        <w:t xml:space="preserve"> minimum life expectancy of 5 years.</w:t>
      </w:r>
    </w:p>
    <w:p w14:paraId="3EE1EA2D" w14:textId="77777777" w:rsidR="000E0395" w:rsidRPr="000E0395" w:rsidRDefault="000E0395" w:rsidP="007B472C">
      <w:pPr>
        <w:rPr>
          <w:rFonts w:eastAsia="Calibri" w:cs="Arial"/>
          <w:color w:val="000000"/>
          <w:sz w:val="20"/>
        </w:rPr>
      </w:pPr>
      <w:r w:rsidRPr="000E0395">
        <w:rPr>
          <w:rFonts w:eastAsia="Calibri" w:cs="Arial"/>
          <w:color w:val="000000"/>
          <w:sz w:val="20"/>
        </w:rPr>
        <w:t>Under-Bench Heating</w:t>
      </w:r>
    </w:p>
    <w:p w14:paraId="7BE1A798"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Heating</w:t>
      </w:r>
      <w:proofErr w:type="gramEnd"/>
      <w:r w:rsidRPr="000E0395">
        <w:rPr>
          <w:rFonts w:eastAsia="Calibri" w:cs="Arial"/>
          <w:sz w:val="20"/>
        </w:rPr>
        <w:t xml:space="preserve"> system must use hydronic heat distribution located directly on or under plant bench, on the floor or in the floor.</w:t>
      </w:r>
    </w:p>
    <w:p w14:paraId="1AE77DF6"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proofErr w:type="gramStart"/>
      <w:r w:rsidRPr="000E0395">
        <w:rPr>
          <w:rFonts w:eastAsia="Calibri" w:cs="Arial"/>
          <w:sz w:val="20"/>
        </w:rPr>
        <w:t>Must</w:t>
      </w:r>
      <w:proofErr w:type="gramEnd"/>
      <w:r w:rsidRPr="000E0395">
        <w:rPr>
          <w:rFonts w:eastAsia="Calibri" w:cs="Arial"/>
          <w:sz w:val="20"/>
        </w:rPr>
        <w:t xml:space="preserve"> replace unit heaters as the primary heat source</w:t>
      </w:r>
    </w:p>
    <w:p w14:paraId="3DD81711"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proofErr w:type="gramStart"/>
      <w:r w:rsidRPr="000E0395">
        <w:rPr>
          <w:rFonts w:eastAsia="Calibri" w:cs="Arial"/>
          <w:sz w:val="20"/>
        </w:rPr>
        <w:t>Remaining</w:t>
      </w:r>
      <w:proofErr w:type="gramEnd"/>
      <w:r w:rsidRPr="000E0395">
        <w:rPr>
          <w:rFonts w:eastAsia="Calibri" w:cs="Arial"/>
          <w:color w:val="000000"/>
          <w:sz w:val="20"/>
        </w:rPr>
        <w:t xml:space="preserve"> unit heaters must be controlled to turn on only as an emergency backup</w:t>
      </w:r>
    </w:p>
    <w:p w14:paraId="25F9B2B5" w14:textId="77777777" w:rsidR="000E0395" w:rsidRPr="000E0395" w:rsidRDefault="000E0395" w:rsidP="000E0395">
      <w:pPr>
        <w:ind w:left="720"/>
        <w:rPr>
          <w:rFonts w:cs="Arial"/>
          <w:color w:val="000000"/>
          <w:sz w:val="20"/>
        </w:rPr>
      </w:pPr>
      <w:r w:rsidRPr="000E0395">
        <w:rPr>
          <w:rFonts w:cs="Arial"/>
          <w:color w:val="000000"/>
          <w:sz w:val="20"/>
        </w:rPr>
        <w:t> </w:t>
      </w:r>
    </w:p>
    <w:p w14:paraId="774980D3" w14:textId="77777777" w:rsidR="000E0395" w:rsidRPr="000E0395" w:rsidRDefault="000E0395" w:rsidP="007B472C">
      <w:pPr>
        <w:rPr>
          <w:rFonts w:cs="Arial"/>
          <w:color w:val="000000"/>
          <w:sz w:val="20"/>
        </w:rPr>
      </w:pPr>
      <w:r w:rsidRPr="000E0395">
        <w:rPr>
          <w:rFonts w:cs="Arial"/>
          <w:b/>
          <w:bCs/>
          <w:color w:val="000000"/>
          <w:sz w:val="20"/>
        </w:rPr>
        <w:t>Details and Savings</w:t>
      </w:r>
      <w:r w:rsidRPr="000E0395">
        <w:rPr>
          <w:rFonts w:cs="Arial"/>
          <w:color w:val="000000"/>
          <w:sz w:val="20"/>
        </w:rPr>
        <w:t> </w:t>
      </w:r>
    </w:p>
    <w:p w14:paraId="59E00BE6" w14:textId="77777777" w:rsidR="000E0395" w:rsidRPr="000E0395" w:rsidRDefault="000E0395" w:rsidP="007B472C">
      <w:pPr>
        <w:rPr>
          <w:rFonts w:cs="Arial"/>
          <w:color w:val="000000"/>
          <w:sz w:val="20"/>
        </w:rPr>
      </w:pPr>
      <w:r w:rsidRPr="000E0395">
        <w:rPr>
          <w:rFonts w:cs="Arial"/>
          <w:sz w:val="20"/>
        </w:rPr>
        <w:t xml:space="preserve">All savings are based on research conducted by ICF for Energy Trust completed in 2007. The </w:t>
      </w:r>
      <w:proofErr w:type="spellStart"/>
      <w:r w:rsidRPr="000E0395">
        <w:rPr>
          <w:rFonts w:cs="Arial"/>
          <w:sz w:val="20"/>
        </w:rPr>
        <w:t>eQUEST</w:t>
      </w:r>
      <w:proofErr w:type="spellEnd"/>
      <w:r w:rsidRPr="000E0395">
        <w:rPr>
          <w:rFonts w:cs="Arial"/>
          <w:sz w:val="20"/>
        </w:rPr>
        <w:t xml:space="preserve"> hourly simulation tool was used to model energy consumption for a baseline greenhouse. An additional 13 scenarios were modeled representing various combinations of the energy efficiency measures. Key modeling parameters included:</w:t>
      </w:r>
    </w:p>
    <w:p w14:paraId="033549F4" w14:textId="692D10C5"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Baseline Greenhouse – Single bay, 8,192 sf, 80% efficient unit heater, no thermal curtain, no IR film</w:t>
      </w:r>
    </w:p>
    <w:p w14:paraId="2E62CF7D"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 xml:space="preserve">Heating System Options – 80% efficient unit heater (baseline), 86% efficient unit heater, under bench heating system with 80% efficient hot water boiler </w:t>
      </w:r>
    </w:p>
    <w:p w14:paraId="1FBEAA95"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r w:rsidRPr="000E0395">
        <w:rPr>
          <w:rFonts w:eastAsia="Calibri" w:cs="Arial"/>
          <w:sz w:val="20"/>
        </w:rPr>
        <w:t>Climate</w:t>
      </w:r>
      <w:r w:rsidRPr="000E0395">
        <w:rPr>
          <w:rFonts w:eastAsia="Calibri" w:cs="Arial"/>
          <w:color w:val="000000"/>
          <w:sz w:val="20"/>
        </w:rPr>
        <w:t xml:space="preserve"> Zones – Willamette Valley and Bend/Redmond were modeled, but just one combination of measures was done at the Bend/Redmond climate zone.</w:t>
      </w:r>
      <w:r w:rsidRPr="000E0395">
        <w:rPr>
          <w:rFonts w:eastAsia="Calibri" w:cs="Arial"/>
          <w:color w:val="000000"/>
          <w:sz w:val="22"/>
          <w:szCs w:val="22"/>
        </w:rPr>
        <w:t xml:space="preserve"> </w:t>
      </w:r>
      <w:r w:rsidRPr="000E0395">
        <w:rPr>
          <w:rFonts w:eastAsia="Calibri" w:cs="Arial"/>
          <w:color w:val="000000"/>
          <w:sz w:val="20"/>
        </w:rPr>
        <w:t>All savings are based on Willamette Valley climate zone.</w:t>
      </w:r>
      <w:r w:rsidRPr="000E0395">
        <w:rPr>
          <w:rFonts w:eastAsia="Calibri" w:cs="Arial"/>
          <w:color w:val="000000"/>
          <w:sz w:val="22"/>
          <w:szCs w:val="22"/>
        </w:rPr>
        <w:t xml:space="preserve"> </w:t>
      </w:r>
      <w:r w:rsidRPr="000E0395">
        <w:rPr>
          <w:rFonts w:eastAsia="Calibri" w:cs="Arial"/>
          <w:color w:val="000000"/>
          <w:sz w:val="20"/>
        </w:rPr>
        <w:t>This results in conservative savings.</w:t>
      </w:r>
      <w:r w:rsidRPr="000E0395">
        <w:rPr>
          <w:rFonts w:eastAsia="Calibri" w:cs="Arial"/>
          <w:color w:val="000000"/>
          <w:sz w:val="22"/>
          <w:szCs w:val="22"/>
        </w:rPr>
        <w:t xml:space="preserve"> </w:t>
      </w:r>
      <w:r w:rsidRPr="000E0395">
        <w:rPr>
          <w:rFonts w:eastAsia="Calibri" w:cs="Arial"/>
          <w:color w:val="000000"/>
          <w:sz w:val="20"/>
        </w:rPr>
        <w:t>Projects in the Bend/Redmond climate zone will experience 30% to 40% higher savings.</w:t>
      </w:r>
    </w:p>
    <w:p w14:paraId="70A2DB23" w14:textId="77777777" w:rsidR="000E0395" w:rsidRPr="000E0395" w:rsidRDefault="000E0395" w:rsidP="000E0395">
      <w:pPr>
        <w:ind w:left="1440"/>
        <w:rPr>
          <w:rFonts w:eastAsia="Calibri" w:cs="Arial"/>
          <w:color w:val="000000"/>
          <w:sz w:val="20"/>
        </w:rPr>
      </w:pPr>
    </w:p>
    <w:p w14:paraId="32BDB2B8" w14:textId="77777777" w:rsidR="000E0395" w:rsidRPr="000E0395" w:rsidRDefault="000E0395" w:rsidP="007B472C">
      <w:pPr>
        <w:rPr>
          <w:rFonts w:cs="Arial"/>
          <w:sz w:val="20"/>
        </w:rPr>
      </w:pPr>
      <w:r w:rsidRPr="000E0395">
        <w:rPr>
          <w:rFonts w:cs="Arial"/>
          <w:sz w:val="20"/>
        </w:rPr>
        <w:t xml:space="preserve">Combining these measures in the same greenhouse will yield lower savings than the sum of the individual savings, particularly the combination of IR Film and Thermal Curtain.  The interactive effects were modeled and used in the measure analysis, but deemed savings assume each measure is installed independently. Energy Trust plans to revisit these savings in 2015 to align with the latest knowledge, best practices and technology in the greenhouse sector. </w:t>
      </w:r>
    </w:p>
    <w:p w14:paraId="327E10FD" w14:textId="77777777" w:rsidR="000E0395" w:rsidRPr="000E0395" w:rsidRDefault="000E0395" w:rsidP="007B472C">
      <w:pPr>
        <w:rPr>
          <w:rFonts w:cs="Arial"/>
          <w:sz w:val="20"/>
          <w:u w:val="single"/>
        </w:rPr>
      </w:pPr>
    </w:p>
    <w:p w14:paraId="295E9314" w14:textId="77777777" w:rsidR="000E0395" w:rsidRPr="000E0395" w:rsidRDefault="000E0395" w:rsidP="007B472C">
      <w:pPr>
        <w:rPr>
          <w:rFonts w:cs="Arial"/>
          <w:i/>
          <w:iCs/>
          <w:sz w:val="20"/>
          <w:u w:val="single"/>
        </w:rPr>
      </w:pPr>
      <w:r w:rsidRPr="000E0395">
        <w:rPr>
          <w:rFonts w:cs="Arial"/>
          <w:i/>
          <w:iCs/>
          <w:sz w:val="20"/>
          <w:u w:val="single"/>
        </w:rPr>
        <w:t>IR Film</w:t>
      </w:r>
    </w:p>
    <w:p w14:paraId="2C3D1F96" w14:textId="77777777" w:rsidR="000E0395" w:rsidRPr="000E0395" w:rsidRDefault="000E0395" w:rsidP="007B472C">
      <w:pPr>
        <w:rPr>
          <w:rFonts w:cs="Arial"/>
          <w:sz w:val="20"/>
        </w:rPr>
      </w:pPr>
      <w:r w:rsidRPr="000E0395">
        <w:rPr>
          <w:rFonts w:cs="Arial"/>
          <w:sz w:val="20"/>
        </w:rPr>
        <w:t xml:space="preserve">IR film on inner walls reduces heating loads in greenhouses by reducing heat loss through the walls and ceiling. The greenhouse modeled had a double layer inflated polyethylene roof and walls. Both the inner and outer layers were assumed be 6 mill clear </w:t>
      </w:r>
      <w:proofErr w:type="gramStart"/>
      <w:r w:rsidRPr="000E0395">
        <w:rPr>
          <w:rFonts w:cs="Arial"/>
          <w:sz w:val="20"/>
        </w:rPr>
        <w:t>polyethylene</w:t>
      </w:r>
      <w:proofErr w:type="gramEnd"/>
      <w:r w:rsidRPr="000E0395">
        <w:rPr>
          <w:rFonts w:cs="Arial"/>
          <w:sz w:val="20"/>
        </w:rPr>
        <w:t xml:space="preserve"> for the baseline case. For modeling scenarios with IR film, the inner film was assumed to be IR enhanced (outer layer remained clear polyethylene). </w:t>
      </w:r>
    </w:p>
    <w:p w14:paraId="3FF1959C" w14:textId="77777777" w:rsidR="000E0395" w:rsidRPr="000E0395" w:rsidRDefault="000E0395" w:rsidP="007B472C">
      <w:pPr>
        <w:rPr>
          <w:rFonts w:cs="Arial"/>
          <w:sz w:val="20"/>
        </w:rPr>
      </w:pPr>
    </w:p>
    <w:p w14:paraId="32054C87" w14:textId="77777777" w:rsidR="000E0395" w:rsidRPr="000E0395" w:rsidRDefault="000E0395" w:rsidP="007B472C">
      <w:pPr>
        <w:rPr>
          <w:rFonts w:cs="Arial"/>
          <w:sz w:val="20"/>
        </w:rPr>
      </w:pPr>
      <w:r w:rsidRPr="000E0395">
        <w:rPr>
          <w:rFonts w:cs="Arial"/>
          <w:sz w:val="20"/>
        </w:rPr>
        <w:t xml:space="preserve">Modelling showed the addition of IR film reduces consumption approximately 27%. In 2007, the measure savings were not adjusted for the difference between floor space and film surface area, which the incremental cost is based on and is how the measure is booked. For this update, a floor area to film area ratio of 60% was applied to correlate the savings to the film surface area. Also in 2007, the measures analysis savings assumed a 50% reduction in savings due to the belief that a large number of growers would install IR film at the in a base case. That rate of efficient base case has been reduced for this update to 16.8% based on analysis completed by Cascade Energy in 2009. In combination, these updates reduce the savings for IR film to 0.23 therms/sf of film </w:t>
      </w:r>
      <w:proofErr w:type="gramStart"/>
      <w:r w:rsidRPr="000E0395">
        <w:rPr>
          <w:rFonts w:cs="Arial"/>
          <w:sz w:val="20"/>
        </w:rPr>
        <w:t>from 0.27 therms/sf, a reduction of 15%</w:t>
      </w:r>
      <w:proofErr w:type="gramEnd"/>
      <w:r w:rsidRPr="000E0395">
        <w:rPr>
          <w:rFonts w:cs="Arial"/>
          <w:sz w:val="20"/>
        </w:rPr>
        <w:t>. The new value is still higher than the 0.13 therms predicted by the DOE’s Virtual Grower tool for Oregon. This difference with be further researched for the measure update in 2015.</w:t>
      </w:r>
    </w:p>
    <w:p w14:paraId="10559C21" w14:textId="77777777" w:rsidR="000E0395" w:rsidRPr="000E0395" w:rsidRDefault="000E0395" w:rsidP="007B472C">
      <w:pPr>
        <w:rPr>
          <w:rFonts w:cs="Arial"/>
          <w:i/>
          <w:iCs/>
          <w:sz w:val="20"/>
          <w:u w:val="single"/>
        </w:rPr>
      </w:pPr>
    </w:p>
    <w:p w14:paraId="3F536399" w14:textId="77777777" w:rsidR="000E0395" w:rsidRPr="000E0395" w:rsidRDefault="000E0395" w:rsidP="007B472C">
      <w:pPr>
        <w:rPr>
          <w:rFonts w:cs="Arial"/>
          <w:i/>
          <w:iCs/>
          <w:sz w:val="20"/>
          <w:u w:val="single"/>
        </w:rPr>
      </w:pPr>
      <w:r w:rsidRPr="000E0395">
        <w:rPr>
          <w:rFonts w:cs="Arial"/>
          <w:i/>
          <w:iCs/>
          <w:sz w:val="20"/>
          <w:u w:val="single"/>
        </w:rPr>
        <w:t>Thermal Curtain</w:t>
      </w:r>
    </w:p>
    <w:p w14:paraId="7D20B49A" w14:textId="77777777" w:rsidR="000E0395" w:rsidRPr="000E0395" w:rsidRDefault="000E0395" w:rsidP="007B472C">
      <w:pPr>
        <w:rPr>
          <w:rFonts w:cs="Arial"/>
          <w:sz w:val="20"/>
        </w:rPr>
      </w:pPr>
      <w:r w:rsidRPr="000E0395">
        <w:rPr>
          <w:rFonts w:cs="Arial"/>
          <w:sz w:val="20"/>
        </w:rPr>
        <w:t xml:space="preserve">Greenhouse thermal curtains are typically designed to be deployed horizontally above the growing zone within a greenhouse. Side wall curtains, although less common, are also used. For horizontal curtains, energy is saved in three ways. First, horizontal curtains trap air above the curtain and below the roof line. This trapped air forms an insulating barrier that reduces heat losses due to conduction through the roof. Second, curtains reduce the volume of air inside the greenhouse that needs to be heated, and effectively contain the conditioned air within the desired heated space. Third, curtain fabrics are often constructed with aluminum strips or other reflective materials. These reflective curtains help reflect heat back into the greenhouse, thereby reducing the amount of radiation that escapes through the roof or side walls. </w:t>
      </w:r>
    </w:p>
    <w:p w14:paraId="6ABD77D8" w14:textId="77777777" w:rsidR="000E0395" w:rsidRPr="000E0395" w:rsidRDefault="000E0395" w:rsidP="007B472C">
      <w:pPr>
        <w:rPr>
          <w:rFonts w:cs="Arial"/>
          <w:sz w:val="20"/>
        </w:rPr>
      </w:pPr>
    </w:p>
    <w:p w14:paraId="01AB9C13" w14:textId="77777777" w:rsidR="000E0395" w:rsidRPr="000E0395" w:rsidRDefault="000E0395" w:rsidP="007B472C">
      <w:pPr>
        <w:rPr>
          <w:rFonts w:cs="Arial"/>
          <w:sz w:val="20"/>
        </w:rPr>
      </w:pPr>
      <w:r w:rsidRPr="000E0395">
        <w:rPr>
          <w:rFonts w:cs="Arial"/>
          <w:sz w:val="20"/>
        </w:rPr>
        <w:t xml:space="preserve">Modeling showed the impact of adding thermal curtains and IR film as separate measures to the baseline greenhouse, as well as adding both measures. Alone, the addition of a thermal curtain reduced energy </w:t>
      </w:r>
      <w:r w:rsidRPr="000E0395">
        <w:rPr>
          <w:rFonts w:cs="Arial"/>
          <w:sz w:val="20"/>
        </w:rPr>
        <w:lastRenderedPageBreak/>
        <w:t xml:space="preserve">consumption in the models approximately 24%, </w:t>
      </w:r>
      <w:proofErr w:type="gramStart"/>
      <w:r w:rsidRPr="000E0395">
        <w:rPr>
          <w:rFonts w:cs="Arial"/>
          <w:color w:val="0070C0"/>
          <w:sz w:val="20"/>
        </w:rPr>
        <w:t>0.41 therms/sf</w:t>
      </w:r>
      <w:proofErr w:type="gramEnd"/>
      <w:r w:rsidRPr="000E0395">
        <w:rPr>
          <w:rFonts w:cs="Arial"/>
          <w:color w:val="0070C0"/>
          <w:sz w:val="20"/>
        </w:rPr>
        <w:t xml:space="preserve">. This is </w:t>
      </w:r>
      <w:proofErr w:type="gramStart"/>
      <w:r w:rsidRPr="000E0395">
        <w:rPr>
          <w:rFonts w:cs="Arial"/>
          <w:color w:val="0070C0"/>
          <w:sz w:val="20"/>
        </w:rPr>
        <w:t>an</w:t>
      </w:r>
      <w:proofErr w:type="gramEnd"/>
      <w:r w:rsidRPr="000E0395">
        <w:rPr>
          <w:rFonts w:cs="Arial"/>
          <w:color w:val="0070C0"/>
          <w:sz w:val="20"/>
        </w:rPr>
        <w:t xml:space="preserve"> 16% </w:t>
      </w:r>
      <w:r w:rsidRPr="000E0395">
        <w:rPr>
          <w:rFonts w:cs="Arial"/>
          <w:sz w:val="20"/>
        </w:rPr>
        <w:t>decrease from the 2007 value of 0.49 therms/sf due to the earlier calculations referencing an incorrect table. Modeled savings was significantly less than the savings claimed by thermal curtain manufacturers. This difference with be further researched for the measure update in 2015.</w:t>
      </w:r>
    </w:p>
    <w:p w14:paraId="2F8F2905" w14:textId="77777777" w:rsidR="000E0395" w:rsidRPr="000E0395" w:rsidRDefault="000E0395" w:rsidP="000E0395">
      <w:pPr>
        <w:ind w:left="720"/>
        <w:rPr>
          <w:rFonts w:cs="Arial"/>
          <w:i/>
          <w:iCs/>
          <w:sz w:val="20"/>
        </w:rPr>
      </w:pPr>
    </w:p>
    <w:p w14:paraId="22256D6D" w14:textId="77777777" w:rsidR="000E0395" w:rsidRPr="000E0395" w:rsidRDefault="000E0395" w:rsidP="007B472C">
      <w:pPr>
        <w:rPr>
          <w:rFonts w:cs="Arial"/>
          <w:i/>
          <w:iCs/>
          <w:sz w:val="20"/>
          <w:u w:val="single"/>
        </w:rPr>
      </w:pPr>
      <w:r w:rsidRPr="000E0395">
        <w:rPr>
          <w:rFonts w:cs="Arial"/>
          <w:i/>
          <w:iCs/>
          <w:sz w:val="20"/>
          <w:u w:val="single"/>
        </w:rPr>
        <w:t>Under-Bench Heating</w:t>
      </w:r>
    </w:p>
    <w:p w14:paraId="10E3B974" w14:textId="77777777" w:rsidR="000E0395" w:rsidRPr="000E0395" w:rsidRDefault="000E0395" w:rsidP="007B472C">
      <w:pPr>
        <w:rPr>
          <w:rFonts w:cs="Arial"/>
          <w:sz w:val="20"/>
        </w:rPr>
      </w:pPr>
      <w:r w:rsidRPr="000E0395">
        <w:rPr>
          <w:rFonts w:cs="Arial"/>
          <w:sz w:val="20"/>
        </w:rPr>
        <w:t xml:space="preserve">Bench heating systems are an alternative to unit heaters for keeping plant root zones warm. With under-bench heating systems, pipe or tubing is located below the bench, and hot water is circulated through the system to keep the plant beds warm. Depending on the water temperature, either plastic or metal materials can be used for the water circulation loop. Bench heating systems are known to reduce energy use compared to unit heaters because these systems offer a more efficient means of keeping plant root zones at the desired temperature. With bench systems, the volume of greenhouse air that is heated to achieve a desired root zone temperature is reduced compared to unit heaters, thereby reducing natural gas consumption. One contributing factor to the reduced natural gas consumption for under bench heating systems is that the greenhouse </w:t>
      </w:r>
      <w:proofErr w:type="spellStart"/>
      <w:r w:rsidRPr="000E0395">
        <w:rPr>
          <w:rFonts w:cs="Arial"/>
          <w:sz w:val="20"/>
        </w:rPr>
        <w:t>setpoint</w:t>
      </w:r>
      <w:proofErr w:type="spellEnd"/>
      <w:r w:rsidRPr="000E0395">
        <w:rPr>
          <w:rFonts w:cs="Arial"/>
          <w:sz w:val="20"/>
        </w:rPr>
        <w:t xml:space="preserve"> temperature can typically be reduced for an under bench system compared to a unit heater. </w:t>
      </w:r>
    </w:p>
    <w:p w14:paraId="0B4E5C3A" w14:textId="77777777" w:rsidR="000E0395" w:rsidRPr="000E0395" w:rsidRDefault="000E0395" w:rsidP="007B472C">
      <w:pPr>
        <w:rPr>
          <w:rFonts w:cs="Arial"/>
          <w:sz w:val="20"/>
        </w:rPr>
      </w:pPr>
    </w:p>
    <w:p w14:paraId="5834E2AD" w14:textId="77777777" w:rsidR="000E0395" w:rsidRPr="000E0395" w:rsidRDefault="000E0395" w:rsidP="007B472C">
      <w:pPr>
        <w:rPr>
          <w:rFonts w:cs="Arial"/>
          <w:sz w:val="20"/>
        </w:rPr>
      </w:pPr>
      <w:r w:rsidRPr="000E0395">
        <w:rPr>
          <w:rFonts w:cs="Arial"/>
          <w:sz w:val="20"/>
        </w:rPr>
        <w:t xml:space="preserve">For the </w:t>
      </w:r>
      <w:proofErr w:type="spellStart"/>
      <w:r w:rsidRPr="000E0395">
        <w:rPr>
          <w:rFonts w:cs="Arial"/>
          <w:sz w:val="20"/>
        </w:rPr>
        <w:t>eQUEST</w:t>
      </w:r>
      <w:proofErr w:type="spellEnd"/>
      <w:r w:rsidRPr="000E0395">
        <w:rPr>
          <w:rFonts w:cs="Arial"/>
          <w:sz w:val="20"/>
        </w:rPr>
        <w:t xml:space="preserve"> modeling it was assumed that the </w:t>
      </w:r>
      <w:proofErr w:type="spellStart"/>
      <w:r w:rsidRPr="000E0395">
        <w:rPr>
          <w:rFonts w:cs="Arial"/>
          <w:sz w:val="20"/>
        </w:rPr>
        <w:t>setpoint</w:t>
      </w:r>
      <w:proofErr w:type="spellEnd"/>
      <w:r w:rsidRPr="000E0395">
        <w:rPr>
          <w:rFonts w:cs="Arial"/>
          <w:sz w:val="20"/>
        </w:rPr>
        <w:t xml:space="preserve"> temperature can be reduced 7° F for an under bench system, while still maintaining the same root zone. This </w:t>
      </w:r>
      <w:proofErr w:type="spellStart"/>
      <w:r w:rsidRPr="000E0395">
        <w:rPr>
          <w:rFonts w:cs="Arial"/>
          <w:sz w:val="20"/>
        </w:rPr>
        <w:t>setpoint</w:t>
      </w:r>
      <w:proofErr w:type="spellEnd"/>
      <w:r w:rsidRPr="000E0395">
        <w:rPr>
          <w:rFonts w:cs="Arial"/>
          <w:sz w:val="20"/>
        </w:rPr>
        <w:t xml:space="preserve"> reduction contributes to 74% gas use reduction, </w:t>
      </w:r>
      <w:proofErr w:type="gramStart"/>
      <w:r w:rsidRPr="000E0395">
        <w:rPr>
          <w:rFonts w:cs="Arial"/>
          <w:sz w:val="20"/>
        </w:rPr>
        <w:t>1.25 therms/sf</w:t>
      </w:r>
      <w:proofErr w:type="gramEnd"/>
      <w:r w:rsidRPr="000E0395">
        <w:rPr>
          <w:rFonts w:cs="Arial"/>
          <w:sz w:val="20"/>
        </w:rPr>
        <w:t xml:space="preserve">. This is a 4% increase from the 2007 memo value </w:t>
      </w:r>
      <w:proofErr w:type="gramStart"/>
      <w:r w:rsidRPr="000E0395">
        <w:rPr>
          <w:rFonts w:cs="Arial"/>
          <w:sz w:val="20"/>
        </w:rPr>
        <w:t>of 1.20 therms/sf due to the earlier memo referencing an incorrect table and including interactive effects</w:t>
      </w:r>
      <w:proofErr w:type="gramEnd"/>
      <w:r w:rsidRPr="000E0395">
        <w:rPr>
          <w:rFonts w:cs="Arial"/>
          <w:sz w:val="20"/>
        </w:rPr>
        <w:t>.</w:t>
      </w:r>
    </w:p>
    <w:p w14:paraId="7FE8FD3B" w14:textId="77777777" w:rsidR="000E0395" w:rsidRPr="000E0395" w:rsidRDefault="000E0395" w:rsidP="007B472C">
      <w:pPr>
        <w:rPr>
          <w:rFonts w:cs="Arial"/>
          <w:b/>
          <w:bCs/>
          <w:sz w:val="20"/>
        </w:rPr>
      </w:pPr>
    </w:p>
    <w:p w14:paraId="2847C057" w14:textId="77777777" w:rsidR="000E0395" w:rsidRPr="000E0395" w:rsidRDefault="000E0395" w:rsidP="007B472C">
      <w:pPr>
        <w:rPr>
          <w:rFonts w:cs="Arial"/>
          <w:color w:val="000000"/>
          <w:sz w:val="20"/>
        </w:rPr>
      </w:pPr>
      <w:r w:rsidRPr="000E0395">
        <w:rPr>
          <w:rFonts w:cs="Arial"/>
          <w:b/>
          <w:bCs/>
          <w:color w:val="000000"/>
          <w:sz w:val="20"/>
        </w:rPr>
        <w:t>Measure life</w:t>
      </w:r>
    </w:p>
    <w:p w14:paraId="63AA7F7A"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IR film is generally sold with a 1-year or 4-year lifetime expectation, the program requires products to have a 4-year expected life. The measure life has been updated from 3 years to 4 years.</w:t>
      </w:r>
    </w:p>
    <w:p w14:paraId="1EE95C2A"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Thermal curtains are expected to have an average measure life of 10 years. Eligible products must be rated for at least 5 years.</w:t>
      </w:r>
    </w:p>
    <w:p w14:paraId="79817FDC"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r w:rsidRPr="000E0395">
        <w:rPr>
          <w:rFonts w:eastAsia="Calibri" w:cs="Arial"/>
          <w:sz w:val="20"/>
        </w:rPr>
        <w:t>Under</w:t>
      </w:r>
      <w:r w:rsidRPr="000E0395">
        <w:rPr>
          <w:rFonts w:eastAsia="Calibri" w:cs="Arial"/>
          <w:color w:val="000000"/>
          <w:sz w:val="20"/>
        </w:rPr>
        <w:t>-bench heating systems are expected to have a measure life of 12 years, although some components, such as the boilers are expected to persist much longer.</w:t>
      </w:r>
    </w:p>
    <w:p w14:paraId="78131B7F" w14:textId="77777777" w:rsidR="000E0395" w:rsidRPr="000E0395" w:rsidRDefault="000E0395" w:rsidP="007B472C">
      <w:pPr>
        <w:ind w:left="720"/>
        <w:rPr>
          <w:rFonts w:eastAsia="Calibri" w:cs="Arial"/>
          <w:color w:val="000000"/>
          <w:sz w:val="20"/>
        </w:rPr>
      </w:pPr>
    </w:p>
    <w:p w14:paraId="1012CBA7" w14:textId="77777777" w:rsidR="000E0395" w:rsidRPr="000E0395" w:rsidRDefault="000E0395" w:rsidP="007B472C">
      <w:pPr>
        <w:rPr>
          <w:rFonts w:eastAsia="Calibri" w:cs="Arial"/>
          <w:color w:val="000000"/>
          <w:sz w:val="20"/>
        </w:rPr>
      </w:pPr>
      <w:r w:rsidRPr="000E0395">
        <w:rPr>
          <w:rFonts w:eastAsia="Calibri" w:cs="Arial"/>
          <w:b/>
          <w:bCs/>
          <w:color w:val="000000"/>
          <w:sz w:val="20"/>
        </w:rPr>
        <w:t>Incentive Structure </w:t>
      </w:r>
      <w:r w:rsidRPr="000E0395">
        <w:rPr>
          <w:rFonts w:eastAsia="Calibri" w:cs="Arial"/>
          <w:color w:val="000000"/>
          <w:sz w:val="20"/>
        </w:rPr>
        <w:t> </w:t>
      </w:r>
    </w:p>
    <w:p w14:paraId="3C1B8A87" w14:textId="77777777" w:rsidR="000E0395" w:rsidRPr="000E0395" w:rsidRDefault="000E0395" w:rsidP="007B472C">
      <w:pPr>
        <w:rPr>
          <w:rFonts w:eastAsia="Calibri" w:cs="Arial"/>
          <w:color w:val="000000"/>
          <w:sz w:val="20"/>
        </w:rPr>
      </w:pPr>
      <w:r w:rsidRPr="000E0395">
        <w:rPr>
          <w:rFonts w:eastAsia="Calibri" w:cs="Arial"/>
          <w:color w:val="000000"/>
          <w:sz w:val="20"/>
        </w:rPr>
        <w:t xml:space="preserve">The current (as of Summer 2014) Production Efficiency Streamlined incentive structure is listed below. Planning suggests that Existing Buildings WA align with these levels and with any future incentive changes made by the </w:t>
      </w:r>
      <w:proofErr w:type="gramStart"/>
      <w:r w:rsidRPr="000E0395">
        <w:rPr>
          <w:rFonts w:eastAsia="Calibri" w:cs="Arial"/>
          <w:color w:val="000000"/>
          <w:sz w:val="20"/>
        </w:rPr>
        <w:t>Streamlined</w:t>
      </w:r>
      <w:proofErr w:type="gramEnd"/>
      <w:r w:rsidRPr="000E0395">
        <w:rPr>
          <w:rFonts w:eastAsia="Calibri" w:cs="Arial"/>
          <w:color w:val="000000"/>
          <w:sz w:val="20"/>
        </w:rPr>
        <w:t xml:space="preserve"> program. Table 1 provides maximum cost-effective incentives, </w:t>
      </w:r>
      <w:r w:rsidRPr="000E0395">
        <w:rPr>
          <w:rFonts w:eastAsia="Calibri" w:cs="Arial"/>
          <w:i/>
          <w:iCs/>
          <w:color w:val="000000"/>
          <w:sz w:val="20"/>
        </w:rPr>
        <w:t>to be used as a reference only</w:t>
      </w:r>
      <w:r w:rsidRPr="000E0395">
        <w:rPr>
          <w:rFonts w:eastAsia="Calibri" w:cs="Arial"/>
          <w:color w:val="000000"/>
          <w:sz w:val="20"/>
        </w:rPr>
        <w:t>. Incentives for these measures should not exceed applicable project cost.</w:t>
      </w:r>
    </w:p>
    <w:p w14:paraId="079E341D" w14:textId="77777777" w:rsidR="000E0395" w:rsidRPr="000E0395" w:rsidRDefault="000E0395" w:rsidP="000E0395">
      <w:pPr>
        <w:ind w:left="720"/>
        <w:rPr>
          <w:rFonts w:eastAsia="Calibri" w:cs="Arial"/>
          <w:color w:val="000000"/>
          <w:sz w:val="20"/>
        </w:rPr>
      </w:pPr>
    </w:p>
    <w:p w14:paraId="5B41F28F"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IR Polyethylene Film – $0.02/sf of film</w:t>
      </w:r>
    </w:p>
    <w:p w14:paraId="0C03305E" w14:textId="77777777" w:rsidR="000E0395" w:rsidRPr="000E0395" w:rsidRDefault="000E0395" w:rsidP="007B472C">
      <w:pPr>
        <w:ind w:left="720" w:hanging="360"/>
        <w:contextualSpacing/>
        <w:rPr>
          <w:rFonts w:eastAsia="Calibri" w:cs="Arial"/>
          <w:sz w:val="20"/>
        </w:rPr>
      </w:pPr>
      <w:r w:rsidRPr="000E0395">
        <w:rPr>
          <w:rFonts w:ascii="Symbol" w:eastAsia="Calibri" w:hAnsi="Symbol"/>
          <w:sz w:val="20"/>
        </w:rPr>
        <w:t></w:t>
      </w:r>
      <w:r w:rsidRPr="000E0395">
        <w:rPr>
          <w:rFonts w:ascii="Times New Roman" w:eastAsia="Calibri" w:hAnsi="Times New Roman"/>
          <w:sz w:val="14"/>
          <w:szCs w:val="14"/>
        </w:rPr>
        <w:t xml:space="preserve">         </w:t>
      </w:r>
      <w:r w:rsidRPr="000E0395">
        <w:rPr>
          <w:rFonts w:eastAsia="Calibri" w:cs="Arial"/>
          <w:sz w:val="20"/>
        </w:rPr>
        <w:t>Thermal Curtain - $0.09/sf of heated floor space</w:t>
      </w:r>
    </w:p>
    <w:p w14:paraId="71634682" w14:textId="77777777" w:rsidR="000E0395" w:rsidRPr="000E0395" w:rsidRDefault="000E0395" w:rsidP="007B472C">
      <w:pPr>
        <w:ind w:left="720" w:hanging="360"/>
        <w:contextualSpacing/>
        <w:rPr>
          <w:rFonts w:eastAsia="Calibri" w:cs="Arial"/>
          <w:color w:val="000000"/>
          <w:sz w:val="20"/>
        </w:rPr>
      </w:pPr>
      <w:r w:rsidRPr="000E0395">
        <w:rPr>
          <w:rFonts w:ascii="Symbol" w:eastAsia="Calibri" w:hAnsi="Symbol"/>
          <w:color w:val="000000"/>
          <w:sz w:val="20"/>
        </w:rPr>
        <w:t></w:t>
      </w:r>
      <w:r w:rsidRPr="000E0395">
        <w:rPr>
          <w:rFonts w:ascii="Times New Roman" w:eastAsia="Calibri" w:hAnsi="Times New Roman"/>
          <w:color w:val="000000"/>
          <w:sz w:val="14"/>
          <w:szCs w:val="14"/>
        </w:rPr>
        <w:t xml:space="preserve">         </w:t>
      </w:r>
      <w:r w:rsidRPr="000E0395">
        <w:rPr>
          <w:rFonts w:eastAsia="Calibri" w:cs="Arial"/>
          <w:sz w:val="20"/>
        </w:rPr>
        <w:t>Under</w:t>
      </w:r>
      <w:r w:rsidRPr="000E0395">
        <w:rPr>
          <w:rFonts w:eastAsia="Calibri" w:cs="Arial"/>
          <w:color w:val="000000"/>
          <w:sz w:val="20"/>
        </w:rPr>
        <w:t>-Bench Heating - $1.05/sf of heated floor space</w:t>
      </w:r>
    </w:p>
    <w:p w14:paraId="0894EA8E" w14:textId="77777777" w:rsidR="000E0395" w:rsidRPr="000E0395" w:rsidRDefault="000E0395" w:rsidP="000E0395">
      <w:pPr>
        <w:ind w:left="720"/>
        <w:rPr>
          <w:rFonts w:eastAsia="Calibri" w:cs="Arial"/>
          <w:color w:val="000000"/>
          <w:sz w:val="20"/>
        </w:rPr>
      </w:pPr>
    </w:p>
    <w:p w14:paraId="53F710B1" w14:textId="77777777" w:rsidR="000E0395" w:rsidRPr="000E0395" w:rsidRDefault="000E0395" w:rsidP="007B472C">
      <w:pPr>
        <w:rPr>
          <w:rFonts w:cs="Arial"/>
          <w:color w:val="000000"/>
          <w:sz w:val="20"/>
        </w:rPr>
      </w:pPr>
      <w:r w:rsidRPr="000E0395">
        <w:rPr>
          <w:rFonts w:cs="Arial"/>
          <w:b/>
          <w:bCs/>
          <w:color w:val="000000"/>
          <w:sz w:val="20"/>
        </w:rPr>
        <w:t>Cost</w:t>
      </w:r>
      <w:r w:rsidRPr="000E0395">
        <w:rPr>
          <w:rFonts w:cs="Arial"/>
          <w:color w:val="000000"/>
          <w:sz w:val="20"/>
        </w:rPr>
        <w:t> </w:t>
      </w:r>
    </w:p>
    <w:p w14:paraId="48483E9A" w14:textId="77777777" w:rsidR="000E0395" w:rsidRPr="000E0395" w:rsidRDefault="000E0395" w:rsidP="007B472C">
      <w:pPr>
        <w:rPr>
          <w:rFonts w:eastAsia="Calibri" w:cs="Arial"/>
          <w:color w:val="000000"/>
          <w:sz w:val="20"/>
        </w:rPr>
      </w:pPr>
      <w:r w:rsidRPr="000E0395">
        <w:rPr>
          <w:rFonts w:eastAsia="Calibri" w:cs="Arial"/>
          <w:color w:val="000000"/>
          <w:sz w:val="20"/>
        </w:rPr>
        <w:t xml:space="preserve">Costs are based on the ICF study. The incremental cost for thermal curtains has been updated due to an error in the previous version of the blessing memo. </w:t>
      </w:r>
    </w:p>
    <w:p w14:paraId="16966DCB" w14:textId="77777777" w:rsidR="000E0395" w:rsidRPr="000E0395" w:rsidRDefault="000E0395" w:rsidP="007B472C">
      <w:pPr>
        <w:rPr>
          <w:rFonts w:eastAsia="Calibri" w:cs="Arial"/>
          <w:b/>
          <w:bCs/>
          <w:color w:val="000000"/>
          <w:sz w:val="20"/>
        </w:rPr>
      </w:pPr>
    </w:p>
    <w:p w14:paraId="23FEC20A" w14:textId="77777777" w:rsidR="000E0395" w:rsidRPr="000E0395" w:rsidRDefault="000E0395" w:rsidP="007B472C">
      <w:pPr>
        <w:rPr>
          <w:rFonts w:eastAsia="Calibri" w:cs="Arial"/>
          <w:color w:val="000000"/>
          <w:sz w:val="20"/>
        </w:rPr>
      </w:pPr>
      <w:r w:rsidRPr="000E0395">
        <w:rPr>
          <w:rFonts w:eastAsia="Calibri" w:cs="Arial"/>
          <w:b/>
          <w:bCs/>
          <w:color w:val="000000"/>
          <w:sz w:val="20"/>
        </w:rPr>
        <w:t xml:space="preserve">Follow-up </w:t>
      </w:r>
    </w:p>
    <w:p w14:paraId="7F66C36F" w14:textId="77777777" w:rsidR="000E0395" w:rsidRDefault="000E0395" w:rsidP="007B472C">
      <w:pPr>
        <w:rPr>
          <w:rFonts w:eastAsia="Calibri" w:cs="Arial"/>
          <w:color w:val="000000"/>
          <w:sz w:val="20"/>
        </w:rPr>
      </w:pPr>
      <w:r w:rsidRPr="000E0395">
        <w:rPr>
          <w:rFonts w:eastAsia="Calibri" w:cs="Arial"/>
          <w:color w:val="000000"/>
          <w:sz w:val="20"/>
        </w:rPr>
        <w:t>A refresh of the analysis related to greenhouse measures is planned for 2015.</w:t>
      </w:r>
    </w:p>
    <w:p w14:paraId="45FFF972" w14:textId="77777777" w:rsidR="00D92C1C" w:rsidRDefault="00D92C1C" w:rsidP="007B472C">
      <w:pPr>
        <w:rPr>
          <w:rFonts w:eastAsia="Calibri" w:cs="Arial"/>
          <w:color w:val="000000"/>
          <w:sz w:val="20"/>
        </w:rPr>
      </w:pPr>
    </w:p>
    <w:p w14:paraId="081151C0" w14:textId="77777777" w:rsidR="00D92C1C" w:rsidRDefault="00D92C1C" w:rsidP="007B472C">
      <w:pPr>
        <w:rPr>
          <w:rFonts w:eastAsia="Calibri" w:cs="Arial"/>
          <w:color w:val="000000"/>
          <w:sz w:val="20"/>
        </w:rPr>
      </w:pPr>
    </w:p>
    <w:p w14:paraId="1B79E33B" w14:textId="77777777" w:rsidR="00D92C1C" w:rsidRDefault="00D92C1C" w:rsidP="007B472C">
      <w:pPr>
        <w:rPr>
          <w:rFonts w:eastAsia="Calibri" w:cs="Arial"/>
          <w:color w:val="000000"/>
          <w:sz w:val="20"/>
        </w:rPr>
      </w:pPr>
    </w:p>
    <w:p w14:paraId="3D273AA7" w14:textId="77777777" w:rsidR="00D92C1C" w:rsidRPr="000E0395" w:rsidRDefault="00D92C1C" w:rsidP="007B472C">
      <w:pPr>
        <w:rPr>
          <w:rFonts w:eastAsia="Calibri" w:cs="Arial"/>
          <w:color w:val="000000"/>
          <w:sz w:val="20"/>
        </w:rPr>
      </w:pPr>
      <w:bookmarkStart w:id="9" w:name="_GoBack"/>
      <w:bookmarkEnd w:id="9"/>
    </w:p>
    <w:p w14:paraId="60317670" w14:textId="77777777" w:rsidR="00064B59" w:rsidRDefault="00064B59" w:rsidP="00982953">
      <w:pPr>
        <w:rPr>
          <w:rFonts w:asciiTheme="minorHAnsi" w:hAnsiTheme="minorHAnsi" w:cstheme="minorHAnsi"/>
          <w:sz w:val="22"/>
          <w:szCs w:val="22"/>
        </w:rPr>
        <w:sectPr w:rsidR="00064B59" w:rsidSect="00455031">
          <w:headerReference w:type="default" r:id="rId25"/>
          <w:footerReference w:type="default" r:id="rId26"/>
          <w:pgSz w:w="12240" w:h="15840"/>
          <w:pgMar w:top="720" w:right="720" w:bottom="720" w:left="1440" w:header="720" w:footer="720" w:gutter="0"/>
          <w:pgNumType w:start="1"/>
          <w:cols w:space="720"/>
          <w:docGrid w:linePitch="360"/>
        </w:sectPr>
      </w:pPr>
    </w:p>
    <w:p w14:paraId="613AA11D" w14:textId="5483D28E" w:rsidR="00722EED" w:rsidRPr="0001569B" w:rsidRDefault="00722EED" w:rsidP="00D92C1C">
      <w:pPr>
        <w:rPr>
          <w:rFonts w:asciiTheme="minorHAnsi" w:hAnsiTheme="minorHAnsi" w:cstheme="minorHAnsi"/>
          <w:sz w:val="22"/>
          <w:szCs w:val="22"/>
        </w:rPr>
      </w:pPr>
    </w:p>
    <w:sectPr w:rsidR="00722EED" w:rsidRPr="0001569B" w:rsidSect="00455031">
      <w:headerReference w:type="default" r:id="rId27"/>
      <w:footerReference w:type="default" r:id="rId28"/>
      <w:pgSz w:w="12240" w:h="15840"/>
      <w:pgMar w:top="72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7C20" w14:textId="77777777" w:rsidR="000E0395" w:rsidRDefault="000E0395">
      <w:r>
        <w:separator/>
      </w:r>
    </w:p>
  </w:endnote>
  <w:endnote w:type="continuationSeparator" w:id="0">
    <w:p w14:paraId="7D779BCA" w14:textId="77777777" w:rsidR="000E0395" w:rsidRDefault="000E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C5394" w14:textId="1AF6DB36" w:rsidR="000E0395" w:rsidRPr="0090399E" w:rsidRDefault="000E0395">
    <w:pPr>
      <w:pStyle w:val="Footer"/>
      <w:rPr>
        <w:sz w:val="20"/>
      </w:rPr>
    </w:pPr>
    <w:r>
      <w:rPr>
        <w:sz w:val="20"/>
      </w:rPr>
      <w:t>Last edited November 13, 2014</w:t>
    </w:r>
    <w:r>
      <w:rPr>
        <w:sz w:val="20"/>
      </w:rPr>
      <w:tab/>
    </w:r>
    <w:r>
      <w:rPr>
        <w:sz w:val="20"/>
      </w:rPr>
      <w:tab/>
      <w:t xml:space="preserve">Page </w:t>
    </w:r>
    <w:r w:rsidRPr="0090399E">
      <w:rPr>
        <w:sz w:val="20"/>
      </w:rPr>
      <w:fldChar w:fldCharType="begin"/>
    </w:r>
    <w:r w:rsidRPr="0090399E">
      <w:rPr>
        <w:sz w:val="20"/>
      </w:rPr>
      <w:instrText xml:space="preserve"> PAGE   \* MERGEFORMAT </w:instrText>
    </w:r>
    <w:r w:rsidRPr="0090399E">
      <w:rPr>
        <w:sz w:val="20"/>
      </w:rPr>
      <w:fldChar w:fldCharType="separate"/>
    </w:r>
    <w:r w:rsidR="007064EC">
      <w:rPr>
        <w:noProof/>
        <w:sz w:val="20"/>
      </w:rPr>
      <w:t>1</w:t>
    </w:r>
    <w:r w:rsidRPr="0090399E">
      <w:rPr>
        <w:noProof/>
        <w:sz w:val="20"/>
      </w:rPr>
      <w:fldChar w:fldCharType="end"/>
    </w:r>
    <w:r>
      <w:rPr>
        <w:noProof/>
        <w:sz w:val="20"/>
      </w:rPr>
      <w:t xml:space="preserve"> of 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653A" w14:textId="77777777" w:rsidR="000E0395" w:rsidRDefault="000E0395">
    <w:pPr>
      <w:pStyle w:val="Footer"/>
      <w:tabs>
        <w:tab w:val="clear" w:pos="4320"/>
      </w:tabs>
      <w:rPr>
        <w:sz w:val="22"/>
      </w:rPr>
    </w:pPr>
    <w:r>
      <w:rPr>
        <w:sz w:val="22"/>
      </w:rPr>
      <w:t>Issued November 17, 2014</w:t>
    </w:r>
    <w:r>
      <w:rPr>
        <w:sz w:val="22"/>
      </w:rPr>
      <w:tab/>
      <w:t>Effective with service on</w:t>
    </w:r>
  </w:p>
  <w:p w14:paraId="01064F05" w14:textId="77777777" w:rsidR="000E0395" w:rsidRDefault="000E0395">
    <w:pPr>
      <w:pStyle w:val="Footer"/>
      <w:tabs>
        <w:tab w:val="clear" w:pos="4320"/>
      </w:tabs>
      <w:rPr>
        <w:sz w:val="22"/>
      </w:rPr>
    </w:pPr>
    <w:r>
      <w:rPr>
        <w:sz w:val="22"/>
      </w:rPr>
      <w:t>NWN WUTC Advice No. 14-7</w:t>
    </w:r>
    <w:r>
      <w:rPr>
        <w:sz w:val="22"/>
      </w:rPr>
      <w:tab/>
      <w:t>and after January 1, 2015</w:t>
    </w:r>
  </w:p>
  <w:p w14:paraId="6A122A56" w14:textId="77777777" w:rsidR="000E0395" w:rsidRDefault="000E0395">
    <w:pPr>
      <w:pStyle w:val="Footer"/>
      <w:pBdr>
        <w:bottom w:val="single" w:sz="4" w:space="1" w:color="auto"/>
      </w:pBdr>
      <w:rPr>
        <w:sz w:val="16"/>
      </w:rPr>
    </w:pPr>
  </w:p>
  <w:p w14:paraId="55EF15EF" w14:textId="77777777" w:rsidR="000E0395" w:rsidRDefault="000E0395">
    <w:pPr>
      <w:pStyle w:val="Footer"/>
      <w:jc w:val="center"/>
      <w:rPr>
        <w:b/>
        <w:i/>
        <w:sz w:val="16"/>
      </w:rPr>
    </w:pPr>
    <w:r>
      <w:rPr>
        <w:b/>
        <w:i/>
        <w:sz w:val="16"/>
      </w:rPr>
      <w:t>Issued by:  NORTHWEST NATURAL GAS COMPANY</w:t>
    </w:r>
  </w:p>
  <w:p w14:paraId="50295E52" w14:textId="77777777" w:rsidR="000E0395" w:rsidRDefault="000E0395">
    <w:pPr>
      <w:pStyle w:val="Footer"/>
      <w:jc w:val="center"/>
      <w:rPr>
        <w:i/>
        <w:sz w:val="16"/>
      </w:rPr>
    </w:pPr>
    <w:proofErr w:type="gramStart"/>
    <w:r>
      <w:rPr>
        <w:i/>
        <w:sz w:val="16"/>
      </w:rPr>
      <w:t>d.b.a</w:t>
    </w:r>
    <w:proofErr w:type="gramEnd"/>
    <w:r>
      <w:rPr>
        <w:i/>
        <w:sz w:val="16"/>
      </w:rPr>
      <w:t>. NW Natural</w:t>
    </w:r>
  </w:p>
  <w:p w14:paraId="5E144A3A" w14:textId="77777777" w:rsidR="000E0395" w:rsidRDefault="000E0395">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7B883372" w14:textId="77777777" w:rsidR="000E0395" w:rsidRDefault="000E0395">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A4C5" w14:textId="7CAC5D67" w:rsidR="000E0395" w:rsidRPr="00307082" w:rsidRDefault="000E0395" w:rsidP="00345522">
    <w:pPr>
      <w:pStyle w:val="Footer"/>
      <w:rPr>
        <w:sz w:val="20"/>
      </w:rPr>
    </w:pPr>
    <w:r>
      <w:rPr>
        <w:sz w:val="20"/>
      </w:rPr>
      <w:t>Last edited November 13, 2014</w:t>
    </w:r>
    <w:r>
      <w:rPr>
        <w:sz w:val="20"/>
      </w:rPr>
      <w:tab/>
    </w:r>
    <w:r>
      <w:rPr>
        <w:sz w:val="20"/>
      </w:rPr>
      <w:tab/>
      <w:t xml:space="preserve">Page </w:t>
    </w:r>
    <w:r w:rsidRPr="00307082">
      <w:rPr>
        <w:sz w:val="20"/>
      </w:rPr>
      <w:fldChar w:fldCharType="begin"/>
    </w:r>
    <w:r w:rsidRPr="00307082">
      <w:rPr>
        <w:sz w:val="20"/>
      </w:rPr>
      <w:instrText xml:space="preserve"> PAGE   \* MERGEFORMAT </w:instrText>
    </w:r>
    <w:r w:rsidRPr="00307082">
      <w:rPr>
        <w:sz w:val="20"/>
      </w:rPr>
      <w:fldChar w:fldCharType="separate"/>
    </w:r>
    <w:r w:rsidR="007064EC">
      <w:rPr>
        <w:noProof/>
        <w:sz w:val="20"/>
      </w:rPr>
      <w:t>15</w:t>
    </w:r>
    <w:r w:rsidRPr="00307082">
      <w:rPr>
        <w:noProof/>
        <w:sz w:val="20"/>
      </w:rPr>
      <w:fldChar w:fldCharType="end"/>
    </w:r>
    <w:r>
      <w:rPr>
        <w:noProof/>
        <w:sz w:val="20"/>
      </w:rPr>
      <w:t xml:space="preserve"> of 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B082" w14:textId="5B755FE3" w:rsidR="008E31E9" w:rsidRPr="008E31E9" w:rsidRDefault="008E31E9" w:rsidP="008E31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4B68" w14:textId="77777777" w:rsidR="00064B59" w:rsidRPr="008E31E9" w:rsidRDefault="00064B59" w:rsidP="008E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FC87" w14:textId="77777777" w:rsidR="000E0395" w:rsidRDefault="000E0395">
      <w:r>
        <w:separator/>
      </w:r>
    </w:p>
  </w:footnote>
  <w:footnote w:type="continuationSeparator" w:id="0">
    <w:p w14:paraId="4D5506AA" w14:textId="77777777" w:rsidR="000E0395" w:rsidRDefault="000E0395">
      <w:r>
        <w:continuationSeparator/>
      </w:r>
    </w:p>
  </w:footnote>
  <w:footnote w:id="1">
    <w:p w14:paraId="4F65A301" w14:textId="0973D69D" w:rsidR="000E0395" w:rsidRPr="005F3B64" w:rsidRDefault="000E0395">
      <w:pPr>
        <w:pStyle w:val="FootnoteText"/>
        <w:rPr>
          <w:rFonts w:asciiTheme="minorHAnsi" w:hAnsiTheme="minorHAnsi"/>
          <w:sz w:val="18"/>
          <w:szCs w:val="18"/>
        </w:rPr>
      </w:pPr>
      <w:r w:rsidRPr="005F3B64">
        <w:rPr>
          <w:rStyle w:val="FootnoteReference"/>
          <w:rFonts w:asciiTheme="minorHAnsi" w:hAnsiTheme="minorHAnsi"/>
          <w:sz w:val="18"/>
          <w:szCs w:val="18"/>
        </w:rPr>
        <w:footnoteRef/>
      </w:r>
      <w:r w:rsidRPr="005F3B64">
        <w:rPr>
          <w:rFonts w:asciiTheme="minorHAnsi" w:hAnsiTheme="minorHAnsi"/>
          <w:sz w:val="18"/>
          <w:szCs w:val="18"/>
        </w:rPr>
        <w:t xml:space="preserve"> The program will launch with a fixed interest rate at 4.49%. Contingent on market conditions, Craft 3 may at a later date revise the offer for future customers, not to exceed 5.49%. Under all circumstances rates will be </w:t>
      </w:r>
      <w:proofErr w:type="gramStart"/>
      <w:r w:rsidRPr="005F3B64">
        <w:rPr>
          <w:rFonts w:asciiTheme="minorHAnsi" w:hAnsiTheme="minorHAnsi"/>
          <w:sz w:val="18"/>
          <w:szCs w:val="18"/>
        </w:rPr>
        <w:t>fixed,</w:t>
      </w:r>
      <w:proofErr w:type="gramEnd"/>
      <w:r w:rsidRPr="005F3B64">
        <w:rPr>
          <w:rFonts w:asciiTheme="minorHAnsi" w:hAnsiTheme="minorHAnsi"/>
          <w:sz w:val="18"/>
          <w:szCs w:val="18"/>
        </w:rPr>
        <w:t xml:space="preserve"> and consistent for any qualifying customer.</w:t>
      </w:r>
    </w:p>
  </w:footnote>
  <w:footnote w:id="2">
    <w:p w14:paraId="7DEF05F4" w14:textId="77777777" w:rsidR="000E0395" w:rsidRDefault="000E0395" w:rsidP="00307082">
      <w:pPr>
        <w:pStyle w:val="FootnoteText"/>
        <w:tabs>
          <w:tab w:val="left" w:pos="360"/>
        </w:tabs>
        <w:ind w:left="360" w:hanging="360"/>
      </w:pPr>
      <w:r>
        <w:rPr>
          <w:rStyle w:val="FootnoteReference"/>
        </w:rPr>
        <w:footnoteRef/>
      </w:r>
      <w:r>
        <w:t xml:space="preserve">  </w:t>
      </w:r>
      <w:r>
        <w:tab/>
        <w:t xml:space="preserve">SB 1149, codified as ORS 757.612, mandated the creation of an independent entity capable of providing demand side management services to utility customers.   </w:t>
      </w:r>
    </w:p>
  </w:footnote>
  <w:footnote w:id="3">
    <w:p w14:paraId="55C4552E" w14:textId="77777777" w:rsidR="000E0395" w:rsidRPr="00DC379A" w:rsidRDefault="000E0395">
      <w:pPr>
        <w:pStyle w:val="FootnoteText"/>
      </w:pPr>
      <w:r>
        <w:rPr>
          <w:rStyle w:val="FootnoteReference"/>
        </w:rPr>
        <w:footnoteRef/>
      </w:r>
      <w:r>
        <w:t xml:space="preserve"> </w:t>
      </w:r>
      <w:r>
        <w:rPr>
          <w:i/>
        </w:rPr>
        <w:t xml:space="preserve">See </w:t>
      </w:r>
      <w:r w:rsidRPr="00DC379A">
        <w:t>http://www.commerce.wa.gov/Programs/Energy/Office/Pages/Clean-Energy-Funds.aspx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A146" w14:textId="77777777" w:rsidR="000E0395" w:rsidRDefault="000E0395">
    <w:pPr>
      <w:pStyle w:val="Header"/>
      <w:rPr>
        <w:rStyle w:val="PageNumber"/>
        <w:sz w:val="20"/>
      </w:rPr>
    </w:pPr>
  </w:p>
  <w:p w14:paraId="553EB998" w14:textId="77777777" w:rsidR="000E0395" w:rsidRPr="00B41D7F" w:rsidRDefault="000E0395">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0E0F4" w14:textId="77777777" w:rsidR="000E0395" w:rsidRDefault="000E0395" w:rsidP="00E83665">
    <w:pPr>
      <w:pStyle w:val="Header"/>
      <w:rPr>
        <w:sz w:val="20"/>
      </w:rPr>
    </w:pPr>
    <w:r>
      <w:rPr>
        <w:sz w:val="20"/>
      </w:rPr>
      <w:t>Washington Utilities &amp; Transportation Commission</w:t>
    </w:r>
  </w:p>
  <w:p w14:paraId="056FE6FA" w14:textId="4A9997F4" w:rsidR="000E0395" w:rsidRDefault="000E0395" w:rsidP="00E83665">
    <w:pPr>
      <w:pStyle w:val="Header"/>
      <w:rPr>
        <w:sz w:val="20"/>
      </w:rPr>
    </w:pPr>
    <w:r>
      <w:rPr>
        <w:sz w:val="20"/>
      </w:rPr>
      <w:t>NWN WUTC Advice No. 14-7</w:t>
    </w:r>
  </w:p>
  <w:p w14:paraId="6B7BDEAA" w14:textId="701845EA" w:rsidR="000E0395" w:rsidRDefault="000E0395" w:rsidP="00E83665">
    <w:pPr>
      <w:pStyle w:val="Header"/>
      <w:rPr>
        <w:rStyle w:val="PageNumber"/>
        <w:sz w:val="20"/>
      </w:rPr>
    </w:pPr>
    <w:r>
      <w:rPr>
        <w:sz w:val="20"/>
      </w:rPr>
      <w:t>November 17, 2014; P</w:t>
    </w:r>
    <w:r w:rsidRPr="00B41D7F">
      <w:rPr>
        <w:sz w:val="20"/>
      </w:rPr>
      <w:t>age</w:t>
    </w:r>
    <w:r>
      <w:rPr>
        <w:sz w:val="20"/>
      </w:rPr>
      <w:t xml:space="preserve"> </w:t>
    </w:r>
    <w:r w:rsidRPr="00E83665">
      <w:rPr>
        <w:sz w:val="20"/>
      </w:rPr>
      <w:fldChar w:fldCharType="begin"/>
    </w:r>
    <w:r w:rsidRPr="00E83665">
      <w:rPr>
        <w:sz w:val="20"/>
      </w:rPr>
      <w:instrText xml:space="preserve"> PAGE </w:instrText>
    </w:r>
    <w:r w:rsidRPr="00E83665">
      <w:rPr>
        <w:sz w:val="20"/>
      </w:rPr>
      <w:fldChar w:fldCharType="separate"/>
    </w:r>
    <w:r w:rsidR="00D92C1C">
      <w:rPr>
        <w:noProof/>
        <w:sz w:val="20"/>
      </w:rPr>
      <w:t>5</w:t>
    </w:r>
    <w:r w:rsidRPr="00E83665">
      <w:rPr>
        <w:sz w:val="20"/>
      </w:rPr>
      <w:fldChar w:fldCharType="end"/>
    </w:r>
  </w:p>
  <w:p w14:paraId="0A1A1A32" w14:textId="77777777" w:rsidR="000E0395" w:rsidRDefault="000E0395">
    <w:pPr>
      <w:pStyle w:val="Header"/>
      <w:rPr>
        <w:rStyle w:val="PageNumber"/>
        <w:sz w:val="20"/>
      </w:rPr>
    </w:pPr>
  </w:p>
  <w:p w14:paraId="266B9C26" w14:textId="77777777" w:rsidR="000E0395" w:rsidRPr="00B41D7F" w:rsidRDefault="000E0395">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CD8F7" w14:textId="77777777" w:rsidR="000E0395" w:rsidRPr="000E0E76" w:rsidRDefault="000E0395">
    <w:pPr>
      <w:pStyle w:val="Header"/>
      <w:rPr>
        <w:b/>
        <w:sz w:val="26"/>
        <w:szCs w:val="26"/>
      </w:rPr>
    </w:pPr>
    <w:r w:rsidRPr="000E0E76">
      <w:rPr>
        <w:b/>
        <w:sz w:val="26"/>
        <w:szCs w:val="26"/>
      </w:rPr>
      <w:t>NORTHWEST NATURAL GAS COMPANY</w:t>
    </w:r>
  </w:p>
  <w:p w14:paraId="708CD8F7" w14:textId="77777777" w:rsidR="000E0395" w:rsidRDefault="000E0395" w:rsidP="00307082">
    <w:pPr>
      <w:pStyle w:val="Header"/>
      <w:tabs>
        <w:tab w:val="clear" w:pos="4320"/>
        <w:tab w:val="clear" w:pos="8640"/>
        <w:tab w:val="right" w:pos="7200"/>
      </w:tabs>
      <w:rPr>
        <w:sz w:val="22"/>
      </w:rPr>
    </w:pPr>
    <w:r>
      <w:rPr>
        <w:sz w:val="22"/>
      </w:rPr>
      <w:t>WN U-6</w:t>
    </w:r>
    <w:r>
      <w:rPr>
        <w:sz w:val="22"/>
      </w:rPr>
      <w:tab/>
      <w:t>Tenth Revision of Sheet G.1</w:t>
    </w:r>
  </w:p>
  <w:p w14:paraId="708CD8F7" w14:textId="77777777" w:rsidR="000E0395" w:rsidRDefault="000E0395" w:rsidP="00307082">
    <w:pPr>
      <w:pStyle w:val="Header"/>
      <w:pBdr>
        <w:bottom w:val="double" w:sz="4" w:space="1" w:color="auto"/>
      </w:pBdr>
      <w:rPr>
        <w:sz w:val="22"/>
      </w:rPr>
    </w:pPr>
    <w:r>
      <w:rPr>
        <w:sz w:val="22"/>
      </w:rPr>
      <w:tab/>
    </w:r>
    <w:r w:rsidRPr="000E0E76">
      <w:rPr>
        <w:sz w:val="20"/>
      </w:rPr>
      <w:t>Cancels Ninth Revision of Sheet G.1</w:t>
    </w:r>
    <w:r>
      <w:rPr>
        <w:sz w:val="20"/>
      </w:rPr>
      <w:t>, Cancels First Revision of Sheet G.2, Cancels First Revision of Sheet G.2, Cancels Second Revision of Sheet G.3, Cancels Second Revision of Sheet G.4, Cancels Third Revision of Sheet G.5, Cancels Second Revision of Sheet G.6</w:t>
    </w:r>
  </w:p>
  <w:p w14:paraId="708CD8F7" w14:textId="77777777" w:rsidR="000E0395" w:rsidRPr="000E0E76" w:rsidRDefault="000E0395" w:rsidP="00307082">
    <w:pPr>
      <w:pStyle w:val="Header"/>
      <w:tabs>
        <w:tab w:val="clear" w:pos="4320"/>
        <w:tab w:val="clear" w:pos="8640"/>
      </w:tabs>
      <w:ind w:right="90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ED17" w14:textId="77777777" w:rsidR="000E0395" w:rsidRDefault="000E0395">
    <w:pPr>
      <w:pStyle w:val="Header"/>
      <w:rPr>
        <w:b/>
        <w:sz w:val="28"/>
      </w:rPr>
    </w:pPr>
    <w:r>
      <w:rPr>
        <w:b/>
        <w:sz w:val="28"/>
      </w:rPr>
      <w:t>NORTHWEST NATURAL GAS COMPANY</w:t>
    </w:r>
  </w:p>
  <w:p w14:paraId="0BD6724F" w14:textId="77777777" w:rsidR="000E0395" w:rsidRDefault="000E0395" w:rsidP="00307082">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Pr>
        <w:noProof/>
        <w:sz w:val="22"/>
      </w:rPr>
      <w:t>7</w:t>
    </w:r>
    <w:r w:rsidRPr="00AB3847">
      <w:rPr>
        <w:sz w:val="22"/>
      </w:rPr>
      <w:fldChar w:fldCharType="end"/>
    </w:r>
  </w:p>
  <w:p w14:paraId="3CEC0A34" w14:textId="77777777" w:rsidR="000E0395" w:rsidRDefault="000E0395">
    <w:pPr>
      <w:pStyle w:val="Header"/>
      <w:tabs>
        <w:tab w:val="clear" w:pos="4320"/>
      </w:tabs>
      <w:rPr>
        <w:sz w:val="22"/>
      </w:rPr>
    </w:pPr>
    <w:r>
      <w:rPr>
        <w:sz w:val="22"/>
      </w:rPr>
      <w:tab/>
    </w:r>
  </w:p>
  <w:p w14:paraId="46504DFF" w14:textId="77777777" w:rsidR="000E0395" w:rsidRDefault="000E0395">
    <w:pPr>
      <w:pStyle w:val="Header"/>
      <w:pBdr>
        <w:bottom w:val="double" w:sz="4" w:space="1" w:color="auto"/>
      </w:pBdr>
      <w:rP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B4BA" w14:textId="2A34DF4C" w:rsidR="000E0395" w:rsidRPr="0090399E" w:rsidRDefault="000E0395" w:rsidP="0010485A">
    <w:pPr>
      <w:pStyle w:val="Header"/>
      <w:rPr>
        <w:rFonts w:asciiTheme="minorHAnsi" w:hAnsiTheme="minorHAnsi"/>
        <w:szCs w:val="24"/>
      </w:rPr>
    </w:pPr>
    <w:r>
      <w:rPr>
        <w:rFonts w:asciiTheme="minorHAnsi" w:hAnsiTheme="minorHAnsi"/>
        <w:szCs w:val="24"/>
      </w:rPr>
      <w:t>NW Natural 2015 EE Plan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D992" w14:textId="518560A6" w:rsidR="000E0395" w:rsidRPr="00242F2B" w:rsidRDefault="000E0395" w:rsidP="00685D82">
    <w:pPr>
      <w:pStyle w:val="Header"/>
      <w:tabs>
        <w:tab w:val="right" w:pos="10800"/>
      </w:tabs>
      <w:ind w:left="-720"/>
      <w:rPr>
        <w:sz w:val="22"/>
        <w:szCs w:val="22"/>
      </w:rPr>
    </w:pPr>
    <w:r w:rsidRPr="00242F2B">
      <w:rPr>
        <w:sz w:val="22"/>
        <w:szCs w:val="22"/>
      </w:rPr>
      <w:t>EXHIBIT A</w:t>
    </w:r>
    <w:r w:rsidRPr="00242F2B">
      <w:rPr>
        <w:sz w:val="22"/>
        <w:szCs w:val="22"/>
      </w:rPr>
      <w:tab/>
    </w:r>
    <w:r w:rsidRPr="00242F2B">
      <w:rPr>
        <w:sz w:val="22"/>
        <w:szCs w:val="22"/>
      </w:rPr>
      <w:tab/>
      <w:t xml:space="preserve">Page </w:t>
    </w:r>
    <w:r w:rsidRPr="00242F2B">
      <w:rPr>
        <w:sz w:val="22"/>
        <w:szCs w:val="22"/>
      </w:rPr>
      <w:fldChar w:fldCharType="begin"/>
    </w:r>
    <w:r w:rsidRPr="00242F2B">
      <w:rPr>
        <w:sz w:val="22"/>
        <w:szCs w:val="22"/>
      </w:rPr>
      <w:instrText xml:space="preserve"> PAGE  \* Arabic  \* MERGEFORMAT </w:instrText>
    </w:r>
    <w:r w:rsidRPr="00242F2B">
      <w:rPr>
        <w:sz w:val="22"/>
        <w:szCs w:val="22"/>
      </w:rPr>
      <w:fldChar w:fldCharType="separate"/>
    </w:r>
    <w:r w:rsidR="007064EC">
      <w:rPr>
        <w:noProof/>
        <w:sz w:val="22"/>
        <w:szCs w:val="22"/>
      </w:rPr>
      <w:t>59</w:t>
    </w:r>
    <w:r w:rsidRPr="00242F2B">
      <w:rPr>
        <w:sz w:val="22"/>
        <w:szCs w:val="22"/>
      </w:rPr>
      <w:fldChar w:fldCharType="end"/>
    </w:r>
    <w:r w:rsidRPr="00242F2B">
      <w:rPr>
        <w:sz w:val="22"/>
        <w:szCs w:val="22"/>
      </w:rPr>
      <w:t xml:space="preserve"> of </w:t>
    </w:r>
    <w:r w:rsidR="008E31E9" w:rsidRPr="00242F2B">
      <w:rPr>
        <w:sz w:val="22"/>
        <w:szCs w:val="22"/>
      </w:rPr>
      <w:t>59</w:t>
    </w:r>
  </w:p>
  <w:p w14:paraId="7B889A84" w14:textId="77777777" w:rsidR="000E0395" w:rsidRPr="00242F2B" w:rsidRDefault="000E0395" w:rsidP="00685D82">
    <w:pPr>
      <w:pStyle w:val="Header"/>
      <w:ind w:left="-720"/>
      <w:rPr>
        <w:sz w:val="22"/>
        <w:szCs w:val="22"/>
      </w:rPr>
    </w:pPr>
    <w:r w:rsidRPr="00242F2B">
      <w:rPr>
        <w:sz w:val="22"/>
        <w:szCs w:val="22"/>
      </w:rPr>
      <w:t>NWN WUTC Advice No. 14-7</w:t>
    </w:r>
  </w:p>
  <w:p w14:paraId="429CAA0C" w14:textId="77777777" w:rsidR="000E0395" w:rsidRPr="00242F2B" w:rsidRDefault="000E0395">
    <w:pPr>
      <w:pStyle w:val="Header"/>
      <w:rPr>
        <w:sz w:val="22"/>
        <w:szCs w:val="22"/>
      </w:rPr>
    </w:pPr>
  </w:p>
  <w:p w14:paraId="0F345E03" w14:textId="77777777" w:rsidR="000E0395" w:rsidRDefault="000E03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98AE" w14:textId="77777777" w:rsidR="00064B59" w:rsidRPr="00064B59" w:rsidRDefault="00064B59" w:rsidP="00064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84D"/>
    <w:multiLevelType w:val="multilevel"/>
    <w:tmpl w:val="9C6A1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8A53A6"/>
    <w:multiLevelType w:val="hybridMultilevel"/>
    <w:tmpl w:val="C0867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6B6CDF"/>
    <w:multiLevelType w:val="multilevel"/>
    <w:tmpl w:val="0A7C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32530C"/>
    <w:multiLevelType w:val="hybridMultilevel"/>
    <w:tmpl w:val="62164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8F44933"/>
    <w:multiLevelType w:val="hybridMultilevel"/>
    <w:tmpl w:val="61FC9B6A"/>
    <w:lvl w:ilvl="0" w:tplc="3E7A3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EE3384"/>
    <w:multiLevelType w:val="multilevel"/>
    <w:tmpl w:val="24CC1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FBF5C4A"/>
    <w:multiLevelType w:val="hybridMultilevel"/>
    <w:tmpl w:val="AC363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C6637D"/>
    <w:multiLevelType w:val="hybridMultilevel"/>
    <w:tmpl w:val="BB0EB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6410E2"/>
    <w:multiLevelType w:val="hybridMultilevel"/>
    <w:tmpl w:val="A3C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A09F8"/>
    <w:multiLevelType w:val="hybridMultilevel"/>
    <w:tmpl w:val="DCA2ED90"/>
    <w:lvl w:ilvl="0" w:tplc="2700AA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06C0F"/>
    <w:multiLevelType w:val="hybridMultilevel"/>
    <w:tmpl w:val="D8FE404A"/>
    <w:lvl w:ilvl="0" w:tplc="655CDC6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nsid w:val="3A452F9B"/>
    <w:multiLevelType w:val="hybridMultilevel"/>
    <w:tmpl w:val="AB78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620D8"/>
    <w:multiLevelType w:val="hybridMultilevel"/>
    <w:tmpl w:val="783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C32AC8"/>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B2287"/>
    <w:multiLevelType w:val="hybridMultilevel"/>
    <w:tmpl w:val="9E8024BA"/>
    <w:lvl w:ilvl="0" w:tplc="4DD08338">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44562"/>
    <w:multiLevelType w:val="hybridMultilevel"/>
    <w:tmpl w:val="05F8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E734856"/>
    <w:multiLevelType w:val="hybridMultilevel"/>
    <w:tmpl w:val="8B5E20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3E4213C"/>
    <w:multiLevelType w:val="multilevel"/>
    <w:tmpl w:val="7E225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271A23"/>
    <w:multiLevelType w:val="hybridMultilevel"/>
    <w:tmpl w:val="AA74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A28F0"/>
    <w:multiLevelType w:val="hybridMultilevel"/>
    <w:tmpl w:val="D2D82EE6"/>
    <w:lvl w:ilvl="0" w:tplc="02E8E49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2A337D"/>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904EA3"/>
    <w:multiLevelType w:val="hybridMultilevel"/>
    <w:tmpl w:val="FF26DE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E5E4A30"/>
    <w:multiLevelType w:val="hybridMultilevel"/>
    <w:tmpl w:val="9DCE7E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5F877E1"/>
    <w:multiLevelType w:val="hybridMultilevel"/>
    <w:tmpl w:val="953E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88A0D0C"/>
    <w:multiLevelType w:val="hybridMultilevel"/>
    <w:tmpl w:val="77FA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B4E37B1"/>
    <w:multiLevelType w:val="multilevel"/>
    <w:tmpl w:val="871CCF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11"/>
  </w:num>
  <w:num w:numId="5">
    <w:abstractNumId w:val="8"/>
  </w:num>
  <w:num w:numId="6">
    <w:abstractNumId w:val="12"/>
  </w:num>
  <w:num w:numId="7">
    <w:abstractNumId w:val="9"/>
  </w:num>
  <w:num w:numId="8">
    <w:abstractNumId w:val="4"/>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14"/>
  </w:num>
  <w:num w:numId="13">
    <w:abstractNumId w:val="21"/>
  </w:num>
  <w:num w:numId="14">
    <w:abstractNumId w:val="13"/>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5"/>
  </w:num>
  <w:num w:numId="20">
    <w:abstractNumId w:val="0"/>
    <w:lvlOverride w:ilvl="0"/>
    <w:lvlOverride w:ilvl="1">
      <w:startOverride w:val="1"/>
    </w:lvlOverride>
    <w:lvlOverride w:ilvl="2"/>
    <w:lvlOverride w:ilvl="3"/>
    <w:lvlOverride w:ilvl="4"/>
    <w:lvlOverride w:ilvl="5"/>
    <w:lvlOverride w:ilvl="6"/>
    <w:lvlOverride w:ilvl="7"/>
    <w:lvlOverride w:ilvl="8"/>
  </w:num>
  <w:num w:numId="21">
    <w:abstractNumId w:val="0"/>
    <w:lvlOverride w:ilvl="0"/>
    <w:lvlOverride w:ilvl="1">
      <w:startOverride w:val="1"/>
    </w:lvlOverride>
    <w:lvlOverride w:ilvl="2"/>
    <w:lvlOverride w:ilvl="3"/>
    <w:lvlOverride w:ilvl="4"/>
    <w:lvlOverride w:ilvl="5"/>
    <w:lvlOverride w:ilvl="6"/>
    <w:lvlOverride w:ilvl="7"/>
    <w:lvlOverride w:ilvl="8"/>
  </w:num>
  <w:num w:numId="22">
    <w:abstractNumId w:val="0"/>
    <w:lvlOverride w:ilvl="0"/>
    <w:lvlOverride w:ilvl="1">
      <w:startOverride w:val="1"/>
    </w:lvlOverride>
    <w:lvlOverride w:ilvl="2"/>
    <w:lvlOverride w:ilvl="3"/>
    <w:lvlOverride w:ilvl="4"/>
    <w:lvlOverride w:ilvl="5"/>
    <w:lvlOverride w:ilvl="6"/>
    <w:lvlOverride w:ilvl="7"/>
    <w:lvlOverride w:ilvl="8"/>
  </w:num>
  <w:num w:numId="23">
    <w:abstractNumId w:val="2"/>
  </w:num>
  <w:num w:numId="24">
    <w:abstractNumId w:val="16"/>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Wyman">
    <w15:presenceInfo w15:providerId="AD" w15:userId="S-1-5-21-299502267-1482476501-1417001333-24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89"/>
    <w:rsid w:val="00001FEF"/>
    <w:rsid w:val="000032C8"/>
    <w:rsid w:val="000051F3"/>
    <w:rsid w:val="00006BA5"/>
    <w:rsid w:val="0001569B"/>
    <w:rsid w:val="0002421E"/>
    <w:rsid w:val="000633CA"/>
    <w:rsid w:val="00064B59"/>
    <w:rsid w:val="00067526"/>
    <w:rsid w:val="00081E8B"/>
    <w:rsid w:val="000A4300"/>
    <w:rsid w:val="000C25ED"/>
    <w:rsid w:val="000D5200"/>
    <w:rsid w:val="000E0395"/>
    <w:rsid w:val="000E7EA4"/>
    <w:rsid w:val="000F4A09"/>
    <w:rsid w:val="00100F30"/>
    <w:rsid w:val="0010485A"/>
    <w:rsid w:val="0014721C"/>
    <w:rsid w:val="00147C4C"/>
    <w:rsid w:val="00173131"/>
    <w:rsid w:val="00183369"/>
    <w:rsid w:val="00191C56"/>
    <w:rsid w:val="00193893"/>
    <w:rsid w:val="001C2DBC"/>
    <w:rsid w:val="001E4A2D"/>
    <w:rsid w:val="001F5CE0"/>
    <w:rsid w:val="00203F24"/>
    <w:rsid w:val="002117F5"/>
    <w:rsid w:val="002230BF"/>
    <w:rsid w:val="00230955"/>
    <w:rsid w:val="00232606"/>
    <w:rsid w:val="002408CD"/>
    <w:rsid w:val="00242F2B"/>
    <w:rsid w:val="0025016A"/>
    <w:rsid w:val="00257AD7"/>
    <w:rsid w:val="0027146E"/>
    <w:rsid w:val="00277157"/>
    <w:rsid w:val="00282BFB"/>
    <w:rsid w:val="00290100"/>
    <w:rsid w:val="002919D7"/>
    <w:rsid w:val="002924C2"/>
    <w:rsid w:val="00293098"/>
    <w:rsid w:val="002934C1"/>
    <w:rsid w:val="00297ADC"/>
    <w:rsid w:val="002C38E5"/>
    <w:rsid w:val="002C3F6D"/>
    <w:rsid w:val="002D233F"/>
    <w:rsid w:val="002D6B12"/>
    <w:rsid w:val="002D6D36"/>
    <w:rsid w:val="002E1042"/>
    <w:rsid w:val="002F0109"/>
    <w:rsid w:val="002F7B88"/>
    <w:rsid w:val="003013F8"/>
    <w:rsid w:val="00307082"/>
    <w:rsid w:val="00313AC6"/>
    <w:rsid w:val="00316A41"/>
    <w:rsid w:val="0032796A"/>
    <w:rsid w:val="00333435"/>
    <w:rsid w:val="003413F0"/>
    <w:rsid w:val="00345522"/>
    <w:rsid w:val="003459FD"/>
    <w:rsid w:val="00367855"/>
    <w:rsid w:val="00373219"/>
    <w:rsid w:val="00373C3E"/>
    <w:rsid w:val="003768CD"/>
    <w:rsid w:val="003B69CB"/>
    <w:rsid w:val="003C0FEC"/>
    <w:rsid w:val="003C33AD"/>
    <w:rsid w:val="003C6B1F"/>
    <w:rsid w:val="003D1BD8"/>
    <w:rsid w:val="003E54C2"/>
    <w:rsid w:val="003F1DAD"/>
    <w:rsid w:val="00421A67"/>
    <w:rsid w:val="00421EB5"/>
    <w:rsid w:val="00426C20"/>
    <w:rsid w:val="0043287D"/>
    <w:rsid w:val="0045494A"/>
    <w:rsid w:val="00455031"/>
    <w:rsid w:val="00460F52"/>
    <w:rsid w:val="0047283D"/>
    <w:rsid w:val="0048500E"/>
    <w:rsid w:val="00485DC6"/>
    <w:rsid w:val="0048714D"/>
    <w:rsid w:val="00487279"/>
    <w:rsid w:val="00492A45"/>
    <w:rsid w:val="004B22BF"/>
    <w:rsid w:val="004C0EDF"/>
    <w:rsid w:val="004C4613"/>
    <w:rsid w:val="004C77F3"/>
    <w:rsid w:val="004D012A"/>
    <w:rsid w:val="004E579A"/>
    <w:rsid w:val="00513766"/>
    <w:rsid w:val="00514686"/>
    <w:rsid w:val="00515162"/>
    <w:rsid w:val="00517426"/>
    <w:rsid w:val="0052432A"/>
    <w:rsid w:val="00525562"/>
    <w:rsid w:val="005277FC"/>
    <w:rsid w:val="005331A4"/>
    <w:rsid w:val="005428B3"/>
    <w:rsid w:val="0055136C"/>
    <w:rsid w:val="00551BF5"/>
    <w:rsid w:val="005537BF"/>
    <w:rsid w:val="00555FA1"/>
    <w:rsid w:val="00565612"/>
    <w:rsid w:val="00576415"/>
    <w:rsid w:val="005866E9"/>
    <w:rsid w:val="00586764"/>
    <w:rsid w:val="005C0A75"/>
    <w:rsid w:val="005C3464"/>
    <w:rsid w:val="005F3B64"/>
    <w:rsid w:val="00603F9F"/>
    <w:rsid w:val="0062402B"/>
    <w:rsid w:val="006419D7"/>
    <w:rsid w:val="00645FCC"/>
    <w:rsid w:val="00652BB3"/>
    <w:rsid w:val="0067052C"/>
    <w:rsid w:val="00685D82"/>
    <w:rsid w:val="006A5ECA"/>
    <w:rsid w:val="006A76C1"/>
    <w:rsid w:val="006C3AC4"/>
    <w:rsid w:val="006C4ED1"/>
    <w:rsid w:val="007064EC"/>
    <w:rsid w:val="00716DF0"/>
    <w:rsid w:val="00717A16"/>
    <w:rsid w:val="00722EED"/>
    <w:rsid w:val="00727843"/>
    <w:rsid w:val="00763C49"/>
    <w:rsid w:val="00767901"/>
    <w:rsid w:val="007742DF"/>
    <w:rsid w:val="00774EE7"/>
    <w:rsid w:val="007842D2"/>
    <w:rsid w:val="00787EB6"/>
    <w:rsid w:val="00793A78"/>
    <w:rsid w:val="007A6E9C"/>
    <w:rsid w:val="007B472C"/>
    <w:rsid w:val="007C1AB0"/>
    <w:rsid w:val="007D1BDD"/>
    <w:rsid w:val="007D393B"/>
    <w:rsid w:val="007D4D80"/>
    <w:rsid w:val="007D61F1"/>
    <w:rsid w:val="007E2E29"/>
    <w:rsid w:val="0080588D"/>
    <w:rsid w:val="00815C0B"/>
    <w:rsid w:val="008172F3"/>
    <w:rsid w:val="00822F33"/>
    <w:rsid w:val="0083028F"/>
    <w:rsid w:val="00831815"/>
    <w:rsid w:val="008357D0"/>
    <w:rsid w:val="00843F4F"/>
    <w:rsid w:val="0084510D"/>
    <w:rsid w:val="00850A70"/>
    <w:rsid w:val="00851E9D"/>
    <w:rsid w:val="00857662"/>
    <w:rsid w:val="00865269"/>
    <w:rsid w:val="0087476C"/>
    <w:rsid w:val="00881C86"/>
    <w:rsid w:val="00887EBE"/>
    <w:rsid w:val="008A1413"/>
    <w:rsid w:val="008B0285"/>
    <w:rsid w:val="008B20B7"/>
    <w:rsid w:val="008B7530"/>
    <w:rsid w:val="008D3F72"/>
    <w:rsid w:val="008E31E9"/>
    <w:rsid w:val="008F1441"/>
    <w:rsid w:val="008F1EA5"/>
    <w:rsid w:val="008F6D10"/>
    <w:rsid w:val="00902767"/>
    <w:rsid w:val="0090399E"/>
    <w:rsid w:val="009122D3"/>
    <w:rsid w:val="00920C74"/>
    <w:rsid w:val="00967B6E"/>
    <w:rsid w:val="00976B02"/>
    <w:rsid w:val="00977BB3"/>
    <w:rsid w:val="00982953"/>
    <w:rsid w:val="00986E85"/>
    <w:rsid w:val="009A2A33"/>
    <w:rsid w:val="009B6598"/>
    <w:rsid w:val="009D0ED2"/>
    <w:rsid w:val="009D5E70"/>
    <w:rsid w:val="009D738C"/>
    <w:rsid w:val="009E5AB5"/>
    <w:rsid w:val="009F098C"/>
    <w:rsid w:val="009F5193"/>
    <w:rsid w:val="00A1366B"/>
    <w:rsid w:val="00A216F6"/>
    <w:rsid w:val="00A36CE2"/>
    <w:rsid w:val="00A40C31"/>
    <w:rsid w:val="00A41F87"/>
    <w:rsid w:val="00A50437"/>
    <w:rsid w:val="00A75EFD"/>
    <w:rsid w:val="00A85542"/>
    <w:rsid w:val="00A931AE"/>
    <w:rsid w:val="00AA2314"/>
    <w:rsid w:val="00AC05CD"/>
    <w:rsid w:val="00AD03AD"/>
    <w:rsid w:val="00AD3339"/>
    <w:rsid w:val="00AE70FD"/>
    <w:rsid w:val="00B10207"/>
    <w:rsid w:val="00B560C5"/>
    <w:rsid w:val="00B57218"/>
    <w:rsid w:val="00B67F64"/>
    <w:rsid w:val="00B73C58"/>
    <w:rsid w:val="00BB64E1"/>
    <w:rsid w:val="00BB78C2"/>
    <w:rsid w:val="00BC3910"/>
    <w:rsid w:val="00BD3A3E"/>
    <w:rsid w:val="00BE4BD2"/>
    <w:rsid w:val="00BF7AF6"/>
    <w:rsid w:val="00C02A4F"/>
    <w:rsid w:val="00C0352D"/>
    <w:rsid w:val="00C048CE"/>
    <w:rsid w:val="00C16388"/>
    <w:rsid w:val="00C715CA"/>
    <w:rsid w:val="00C82149"/>
    <w:rsid w:val="00C946E8"/>
    <w:rsid w:val="00CA3150"/>
    <w:rsid w:val="00CB05D5"/>
    <w:rsid w:val="00CB5266"/>
    <w:rsid w:val="00CD1149"/>
    <w:rsid w:val="00CE72FE"/>
    <w:rsid w:val="00CF1CE3"/>
    <w:rsid w:val="00D10D8E"/>
    <w:rsid w:val="00D142E6"/>
    <w:rsid w:val="00D16434"/>
    <w:rsid w:val="00D271C2"/>
    <w:rsid w:val="00D31866"/>
    <w:rsid w:val="00D35AE5"/>
    <w:rsid w:val="00D42F95"/>
    <w:rsid w:val="00D60719"/>
    <w:rsid w:val="00D92C1C"/>
    <w:rsid w:val="00D931E0"/>
    <w:rsid w:val="00DA1E85"/>
    <w:rsid w:val="00DA2959"/>
    <w:rsid w:val="00DA52AB"/>
    <w:rsid w:val="00DC779E"/>
    <w:rsid w:val="00DD7706"/>
    <w:rsid w:val="00DE2AFA"/>
    <w:rsid w:val="00DE6859"/>
    <w:rsid w:val="00E1638C"/>
    <w:rsid w:val="00E27597"/>
    <w:rsid w:val="00E40246"/>
    <w:rsid w:val="00E40E74"/>
    <w:rsid w:val="00E41BCC"/>
    <w:rsid w:val="00E5081D"/>
    <w:rsid w:val="00E60356"/>
    <w:rsid w:val="00E67F4C"/>
    <w:rsid w:val="00E714D9"/>
    <w:rsid w:val="00E754A2"/>
    <w:rsid w:val="00E83665"/>
    <w:rsid w:val="00E90B08"/>
    <w:rsid w:val="00EA58A8"/>
    <w:rsid w:val="00EB1D7A"/>
    <w:rsid w:val="00EC15DB"/>
    <w:rsid w:val="00EC5E13"/>
    <w:rsid w:val="00EC7E03"/>
    <w:rsid w:val="00ED62E7"/>
    <w:rsid w:val="00EE6226"/>
    <w:rsid w:val="00F001B6"/>
    <w:rsid w:val="00F10C23"/>
    <w:rsid w:val="00F13789"/>
    <w:rsid w:val="00F13B3B"/>
    <w:rsid w:val="00F23982"/>
    <w:rsid w:val="00F4530D"/>
    <w:rsid w:val="00F570A0"/>
    <w:rsid w:val="00F57EDE"/>
    <w:rsid w:val="00F71C67"/>
    <w:rsid w:val="00F93EB4"/>
    <w:rsid w:val="00FA4619"/>
    <w:rsid w:val="00FA4F9A"/>
    <w:rsid w:val="00FA7600"/>
    <w:rsid w:val="00FA795C"/>
    <w:rsid w:val="00FC47E6"/>
    <w:rsid w:val="00FC7E7A"/>
    <w:rsid w:val="00FD109A"/>
    <w:rsid w:val="00FD253D"/>
    <w:rsid w:val="00FD6095"/>
    <w:rsid w:val="00FE155E"/>
    <w:rsid w:val="00FE5452"/>
    <w:rsid w:val="00FF2F12"/>
    <w:rsid w:val="00FF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0C99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89"/>
    <w:rPr>
      <w:rFonts w:ascii="Arial" w:hAnsi="Arial"/>
      <w:sz w:val="24"/>
    </w:rPr>
  </w:style>
  <w:style w:type="paragraph" w:styleId="Heading1">
    <w:name w:val="heading 1"/>
    <w:basedOn w:val="Normal"/>
    <w:next w:val="Normal"/>
    <w:link w:val="Heading1Char"/>
    <w:uiPriority w:val="9"/>
    <w:qFormat/>
    <w:rsid w:val="0025016A"/>
    <w:pPr>
      <w:keepNext/>
      <w:outlineLvl w:val="0"/>
    </w:pPr>
    <w:rPr>
      <w:rFonts w:ascii="News Gothic MT" w:hAnsi="News Gothic MT"/>
      <w:b/>
      <w:sz w:val="16"/>
    </w:rPr>
  </w:style>
  <w:style w:type="paragraph" w:styleId="Heading2">
    <w:name w:val="heading 2"/>
    <w:basedOn w:val="Normal"/>
    <w:next w:val="Normal"/>
    <w:link w:val="Heading2Char"/>
    <w:uiPriority w:val="9"/>
    <w:unhideWhenUsed/>
    <w:qFormat/>
    <w:rsid w:val="000E039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21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F13789"/>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Header">
    <w:name w:val="header"/>
    <w:basedOn w:val="Normal"/>
    <w:link w:val="HeaderChar"/>
    <w:uiPriority w:val="99"/>
    <w:rsid w:val="00F13789"/>
    <w:pPr>
      <w:tabs>
        <w:tab w:val="center" w:pos="4320"/>
        <w:tab w:val="right" w:pos="8640"/>
      </w:tabs>
    </w:pPr>
  </w:style>
  <w:style w:type="character" w:styleId="PageNumber">
    <w:name w:val="page number"/>
    <w:basedOn w:val="DefaultParagraphFont"/>
    <w:rsid w:val="00F13789"/>
  </w:style>
  <w:style w:type="paragraph" w:styleId="BodyTextIndent">
    <w:name w:val="Body Text Indent"/>
    <w:basedOn w:val="Normal"/>
    <w:rsid w:val="00F13789"/>
    <w:pPr>
      <w:spacing w:after="120"/>
      <w:ind w:left="360"/>
    </w:pPr>
  </w:style>
  <w:style w:type="character" w:styleId="CommentReference">
    <w:name w:val="annotation reference"/>
    <w:basedOn w:val="DefaultParagraphFont"/>
    <w:uiPriority w:val="99"/>
    <w:semiHidden/>
    <w:rsid w:val="00183369"/>
    <w:rPr>
      <w:sz w:val="16"/>
      <w:szCs w:val="16"/>
    </w:rPr>
  </w:style>
  <w:style w:type="paragraph" w:styleId="CommentText">
    <w:name w:val="annotation text"/>
    <w:basedOn w:val="Normal"/>
    <w:link w:val="CommentTextChar"/>
    <w:uiPriority w:val="99"/>
    <w:semiHidden/>
    <w:rsid w:val="00183369"/>
    <w:rPr>
      <w:sz w:val="20"/>
    </w:rPr>
  </w:style>
  <w:style w:type="paragraph" w:styleId="CommentSubject">
    <w:name w:val="annotation subject"/>
    <w:basedOn w:val="CommentText"/>
    <w:next w:val="CommentText"/>
    <w:semiHidden/>
    <w:rsid w:val="00183369"/>
    <w:rPr>
      <w:b/>
      <w:bCs/>
    </w:rPr>
  </w:style>
  <w:style w:type="paragraph" w:styleId="BalloonText">
    <w:name w:val="Balloon Text"/>
    <w:basedOn w:val="Normal"/>
    <w:link w:val="BalloonTextChar"/>
    <w:uiPriority w:val="99"/>
    <w:semiHidden/>
    <w:rsid w:val="00183369"/>
    <w:rPr>
      <w:rFonts w:ascii="Tahoma" w:hAnsi="Tahoma" w:cs="Tahoma"/>
      <w:sz w:val="16"/>
      <w:szCs w:val="16"/>
    </w:rPr>
  </w:style>
  <w:style w:type="character" w:styleId="Hyperlink">
    <w:name w:val="Hyperlink"/>
    <w:basedOn w:val="DefaultParagraphFont"/>
    <w:uiPriority w:val="99"/>
    <w:rsid w:val="009D0ED2"/>
    <w:rPr>
      <w:color w:val="0000FF"/>
      <w:u w:val="single"/>
    </w:rPr>
  </w:style>
  <w:style w:type="paragraph" w:styleId="Footer">
    <w:name w:val="footer"/>
    <w:basedOn w:val="Normal"/>
    <w:link w:val="FooterChar"/>
    <w:uiPriority w:val="99"/>
    <w:rsid w:val="00E83665"/>
    <w:pPr>
      <w:tabs>
        <w:tab w:val="center" w:pos="4320"/>
        <w:tab w:val="right" w:pos="8640"/>
      </w:tabs>
    </w:pPr>
  </w:style>
  <w:style w:type="character" w:customStyle="1" w:styleId="Heading1Char">
    <w:name w:val="Heading 1 Char"/>
    <w:basedOn w:val="DefaultParagraphFont"/>
    <w:link w:val="Heading1"/>
    <w:uiPriority w:val="9"/>
    <w:rsid w:val="0025016A"/>
    <w:rPr>
      <w:rFonts w:ascii="News Gothic MT" w:hAnsi="News Gothic MT"/>
      <w:b/>
      <w:sz w:val="16"/>
    </w:rPr>
  </w:style>
  <w:style w:type="character" w:customStyle="1" w:styleId="A0">
    <w:name w:val="A0"/>
    <w:rsid w:val="003768CD"/>
    <w:rPr>
      <w:color w:val="211D1E"/>
      <w:sz w:val="21"/>
    </w:rPr>
  </w:style>
  <w:style w:type="paragraph" w:styleId="FootnoteText">
    <w:name w:val="footnote text"/>
    <w:basedOn w:val="Normal"/>
    <w:link w:val="FootnoteTextChar"/>
    <w:uiPriority w:val="99"/>
    <w:rsid w:val="00E5081D"/>
    <w:rPr>
      <w:sz w:val="20"/>
    </w:rPr>
  </w:style>
  <w:style w:type="character" w:customStyle="1" w:styleId="FootnoteTextChar">
    <w:name w:val="Footnote Text Char"/>
    <w:basedOn w:val="DefaultParagraphFont"/>
    <w:link w:val="FootnoteText"/>
    <w:uiPriority w:val="99"/>
    <w:rsid w:val="00E5081D"/>
    <w:rPr>
      <w:rFonts w:ascii="Arial" w:hAnsi="Arial"/>
    </w:rPr>
  </w:style>
  <w:style w:type="character" w:styleId="FootnoteReference">
    <w:name w:val="footnote reference"/>
    <w:basedOn w:val="DefaultParagraphFont"/>
    <w:uiPriority w:val="99"/>
    <w:rsid w:val="00E5081D"/>
    <w:rPr>
      <w:vertAlign w:val="superscript"/>
    </w:rPr>
  </w:style>
  <w:style w:type="character" w:customStyle="1" w:styleId="Heading3Char">
    <w:name w:val="Heading 3 Char"/>
    <w:basedOn w:val="DefaultParagraphFont"/>
    <w:link w:val="Heading3"/>
    <w:uiPriority w:val="9"/>
    <w:rsid w:val="00C82149"/>
    <w:rPr>
      <w:rFonts w:asciiTheme="majorHAnsi" w:eastAsiaTheme="majorEastAsia" w:hAnsiTheme="majorHAnsi" w:cstheme="majorBidi"/>
      <w:b/>
      <w:bCs/>
      <w:color w:val="4F81BD" w:themeColor="accent1"/>
      <w:sz w:val="24"/>
    </w:rPr>
  </w:style>
  <w:style w:type="paragraph" w:styleId="NormalWeb">
    <w:name w:val="Normal (Web)"/>
    <w:basedOn w:val="Normal"/>
    <w:unhideWhenUsed/>
    <w:rsid w:val="00A75EFD"/>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59"/>
    <w:rsid w:val="002F7B8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F4A09"/>
    <w:pPr>
      <w:ind w:left="720"/>
      <w:contextualSpacing/>
    </w:pPr>
  </w:style>
  <w:style w:type="character" w:customStyle="1" w:styleId="HeaderChar">
    <w:name w:val="Header Char"/>
    <w:basedOn w:val="DefaultParagraphFont"/>
    <w:link w:val="Header"/>
    <w:uiPriority w:val="99"/>
    <w:rsid w:val="00D16434"/>
    <w:rPr>
      <w:rFonts w:ascii="Arial" w:hAnsi="Arial"/>
      <w:sz w:val="24"/>
    </w:rPr>
  </w:style>
  <w:style w:type="character" w:customStyle="1" w:styleId="FooterChar">
    <w:name w:val="Footer Char"/>
    <w:basedOn w:val="DefaultParagraphFont"/>
    <w:link w:val="Footer"/>
    <w:uiPriority w:val="99"/>
    <w:rsid w:val="00D16434"/>
    <w:rPr>
      <w:rFonts w:ascii="Arial" w:hAnsi="Arial"/>
      <w:sz w:val="24"/>
    </w:rPr>
  </w:style>
  <w:style w:type="paragraph" w:customStyle="1" w:styleId="Default">
    <w:name w:val="Default"/>
    <w:rsid w:val="005331A4"/>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locked/>
    <w:rsid w:val="008B0285"/>
    <w:rPr>
      <w:rFonts w:ascii="Arial" w:hAnsi="Arial"/>
    </w:rPr>
  </w:style>
  <w:style w:type="character" w:styleId="Emphasis">
    <w:name w:val="Emphasis"/>
    <w:basedOn w:val="DefaultParagraphFont"/>
    <w:qFormat/>
    <w:rsid w:val="000633CA"/>
    <w:rPr>
      <w:i/>
      <w:iCs/>
    </w:rPr>
  </w:style>
  <w:style w:type="paragraph" w:styleId="BodyText">
    <w:name w:val="Body Text"/>
    <w:basedOn w:val="Normal"/>
    <w:link w:val="BodyTextChar"/>
    <w:rsid w:val="00722EED"/>
    <w:pPr>
      <w:widowControl w:val="0"/>
    </w:pPr>
    <w:rPr>
      <w:sz w:val="20"/>
    </w:rPr>
  </w:style>
  <w:style w:type="character" w:customStyle="1" w:styleId="BodyTextChar">
    <w:name w:val="Body Text Char"/>
    <w:basedOn w:val="DefaultParagraphFont"/>
    <w:link w:val="BodyText"/>
    <w:rsid w:val="00722EED"/>
    <w:rPr>
      <w:rFonts w:ascii="Arial" w:hAnsi="Arial"/>
    </w:rPr>
  </w:style>
  <w:style w:type="character" w:customStyle="1" w:styleId="Heading2Char">
    <w:name w:val="Heading 2 Char"/>
    <w:basedOn w:val="DefaultParagraphFont"/>
    <w:link w:val="Heading2"/>
    <w:uiPriority w:val="9"/>
    <w:rsid w:val="000E039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E0395"/>
    <w:rPr>
      <w:rFonts w:asciiTheme="minorHAnsi" w:eastAsiaTheme="minorHAnsi" w:hAnsiTheme="minorHAnsi" w:cstheme="minorBidi"/>
      <w:sz w:val="22"/>
      <w:szCs w:val="22"/>
    </w:rPr>
  </w:style>
  <w:style w:type="character" w:styleId="Strong">
    <w:name w:val="Strong"/>
    <w:basedOn w:val="DefaultParagraphFont"/>
    <w:qFormat/>
    <w:rsid w:val="000E0395"/>
    <w:rPr>
      <w:b/>
      <w:bCs/>
    </w:rPr>
  </w:style>
  <w:style w:type="character" w:customStyle="1" w:styleId="EmailStyle23">
    <w:name w:val="EmailStyle23"/>
    <w:semiHidden/>
    <w:rsid w:val="000E0395"/>
    <w:rPr>
      <w:rFonts w:ascii="Arial" w:hAnsi="Arial" w:cs="Arial"/>
      <w:color w:val="000080"/>
      <w:sz w:val="20"/>
      <w:szCs w:val="20"/>
    </w:rPr>
  </w:style>
  <w:style w:type="paragraph" w:customStyle="1" w:styleId="default0">
    <w:name w:val="default"/>
    <w:basedOn w:val="Normal"/>
    <w:rsid w:val="000E0395"/>
    <w:pPr>
      <w:autoSpaceDE w:val="0"/>
      <w:autoSpaceDN w:val="0"/>
    </w:pPr>
    <w:rPr>
      <w:rFonts w:ascii="Times New Roman" w:hAnsi="Times New Roman"/>
      <w:color w:val="000000"/>
      <w:szCs w:val="24"/>
    </w:rPr>
  </w:style>
  <w:style w:type="paragraph" w:customStyle="1" w:styleId="nospacing0">
    <w:name w:val="nospacing"/>
    <w:basedOn w:val="Normal"/>
    <w:uiPriority w:val="99"/>
    <w:rsid w:val="000E0395"/>
    <w:rPr>
      <w:rFonts w:ascii="Calibri" w:eastAsiaTheme="minorHAnsi" w:hAnsi="Calibri"/>
      <w:sz w:val="20"/>
    </w:rPr>
  </w:style>
  <w:style w:type="character" w:customStyle="1" w:styleId="BalloonTextChar">
    <w:name w:val="Balloon Text Char"/>
    <w:basedOn w:val="DefaultParagraphFont"/>
    <w:link w:val="BalloonText"/>
    <w:uiPriority w:val="99"/>
    <w:semiHidden/>
    <w:rsid w:val="000E0395"/>
    <w:rPr>
      <w:rFonts w:ascii="Tahoma" w:hAnsi="Tahoma" w:cs="Tahoma"/>
      <w:sz w:val="16"/>
      <w:szCs w:val="16"/>
    </w:rPr>
  </w:style>
  <w:style w:type="numbering" w:customStyle="1" w:styleId="NoList1">
    <w:name w:val="No List1"/>
    <w:next w:val="NoList"/>
    <w:uiPriority w:val="99"/>
    <w:semiHidden/>
    <w:unhideWhenUsed/>
    <w:rsid w:val="000E0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89"/>
    <w:rPr>
      <w:rFonts w:ascii="Arial" w:hAnsi="Arial"/>
      <w:sz w:val="24"/>
    </w:rPr>
  </w:style>
  <w:style w:type="paragraph" w:styleId="Heading1">
    <w:name w:val="heading 1"/>
    <w:basedOn w:val="Normal"/>
    <w:next w:val="Normal"/>
    <w:link w:val="Heading1Char"/>
    <w:uiPriority w:val="9"/>
    <w:qFormat/>
    <w:rsid w:val="0025016A"/>
    <w:pPr>
      <w:keepNext/>
      <w:outlineLvl w:val="0"/>
    </w:pPr>
    <w:rPr>
      <w:rFonts w:ascii="News Gothic MT" w:hAnsi="News Gothic MT"/>
      <w:b/>
      <w:sz w:val="16"/>
    </w:rPr>
  </w:style>
  <w:style w:type="paragraph" w:styleId="Heading2">
    <w:name w:val="heading 2"/>
    <w:basedOn w:val="Normal"/>
    <w:next w:val="Normal"/>
    <w:link w:val="Heading2Char"/>
    <w:uiPriority w:val="9"/>
    <w:unhideWhenUsed/>
    <w:qFormat/>
    <w:rsid w:val="000E039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21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F13789"/>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Header">
    <w:name w:val="header"/>
    <w:basedOn w:val="Normal"/>
    <w:link w:val="HeaderChar"/>
    <w:uiPriority w:val="99"/>
    <w:rsid w:val="00F13789"/>
    <w:pPr>
      <w:tabs>
        <w:tab w:val="center" w:pos="4320"/>
        <w:tab w:val="right" w:pos="8640"/>
      </w:tabs>
    </w:pPr>
  </w:style>
  <w:style w:type="character" w:styleId="PageNumber">
    <w:name w:val="page number"/>
    <w:basedOn w:val="DefaultParagraphFont"/>
    <w:rsid w:val="00F13789"/>
  </w:style>
  <w:style w:type="paragraph" w:styleId="BodyTextIndent">
    <w:name w:val="Body Text Indent"/>
    <w:basedOn w:val="Normal"/>
    <w:rsid w:val="00F13789"/>
    <w:pPr>
      <w:spacing w:after="120"/>
      <w:ind w:left="360"/>
    </w:pPr>
  </w:style>
  <w:style w:type="character" w:styleId="CommentReference">
    <w:name w:val="annotation reference"/>
    <w:basedOn w:val="DefaultParagraphFont"/>
    <w:uiPriority w:val="99"/>
    <w:semiHidden/>
    <w:rsid w:val="00183369"/>
    <w:rPr>
      <w:sz w:val="16"/>
      <w:szCs w:val="16"/>
    </w:rPr>
  </w:style>
  <w:style w:type="paragraph" w:styleId="CommentText">
    <w:name w:val="annotation text"/>
    <w:basedOn w:val="Normal"/>
    <w:link w:val="CommentTextChar"/>
    <w:uiPriority w:val="99"/>
    <w:semiHidden/>
    <w:rsid w:val="00183369"/>
    <w:rPr>
      <w:sz w:val="20"/>
    </w:rPr>
  </w:style>
  <w:style w:type="paragraph" w:styleId="CommentSubject">
    <w:name w:val="annotation subject"/>
    <w:basedOn w:val="CommentText"/>
    <w:next w:val="CommentText"/>
    <w:semiHidden/>
    <w:rsid w:val="00183369"/>
    <w:rPr>
      <w:b/>
      <w:bCs/>
    </w:rPr>
  </w:style>
  <w:style w:type="paragraph" w:styleId="BalloonText">
    <w:name w:val="Balloon Text"/>
    <w:basedOn w:val="Normal"/>
    <w:link w:val="BalloonTextChar"/>
    <w:uiPriority w:val="99"/>
    <w:semiHidden/>
    <w:rsid w:val="00183369"/>
    <w:rPr>
      <w:rFonts w:ascii="Tahoma" w:hAnsi="Tahoma" w:cs="Tahoma"/>
      <w:sz w:val="16"/>
      <w:szCs w:val="16"/>
    </w:rPr>
  </w:style>
  <w:style w:type="character" w:styleId="Hyperlink">
    <w:name w:val="Hyperlink"/>
    <w:basedOn w:val="DefaultParagraphFont"/>
    <w:uiPriority w:val="99"/>
    <w:rsid w:val="009D0ED2"/>
    <w:rPr>
      <w:color w:val="0000FF"/>
      <w:u w:val="single"/>
    </w:rPr>
  </w:style>
  <w:style w:type="paragraph" w:styleId="Footer">
    <w:name w:val="footer"/>
    <w:basedOn w:val="Normal"/>
    <w:link w:val="FooterChar"/>
    <w:uiPriority w:val="99"/>
    <w:rsid w:val="00E83665"/>
    <w:pPr>
      <w:tabs>
        <w:tab w:val="center" w:pos="4320"/>
        <w:tab w:val="right" w:pos="8640"/>
      </w:tabs>
    </w:pPr>
  </w:style>
  <w:style w:type="character" w:customStyle="1" w:styleId="Heading1Char">
    <w:name w:val="Heading 1 Char"/>
    <w:basedOn w:val="DefaultParagraphFont"/>
    <w:link w:val="Heading1"/>
    <w:uiPriority w:val="9"/>
    <w:rsid w:val="0025016A"/>
    <w:rPr>
      <w:rFonts w:ascii="News Gothic MT" w:hAnsi="News Gothic MT"/>
      <w:b/>
      <w:sz w:val="16"/>
    </w:rPr>
  </w:style>
  <w:style w:type="character" w:customStyle="1" w:styleId="A0">
    <w:name w:val="A0"/>
    <w:rsid w:val="003768CD"/>
    <w:rPr>
      <w:color w:val="211D1E"/>
      <w:sz w:val="21"/>
    </w:rPr>
  </w:style>
  <w:style w:type="paragraph" w:styleId="FootnoteText">
    <w:name w:val="footnote text"/>
    <w:basedOn w:val="Normal"/>
    <w:link w:val="FootnoteTextChar"/>
    <w:uiPriority w:val="99"/>
    <w:rsid w:val="00E5081D"/>
    <w:rPr>
      <w:sz w:val="20"/>
    </w:rPr>
  </w:style>
  <w:style w:type="character" w:customStyle="1" w:styleId="FootnoteTextChar">
    <w:name w:val="Footnote Text Char"/>
    <w:basedOn w:val="DefaultParagraphFont"/>
    <w:link w:val="FootnoteText"/>
    <w:uiPriority w:val="99"/>
    <w:rsid w:val="00E5081D"/>
    <w:rPr>
      <w:rFonts w:ascii="Arial" w:hAnsi="Arial"/>
    </w:rPr>
  </w:style>
  <w:style w:type="character" w:styleId="FootnoteReference">
    <w:name w:val="footnote reference"/>
    <w:basedOn w:val="DefaultParagraphFont"/>
    <w:uiPriority w:val="99"/>
    <w:rsid w:val="00E5081D"/>
    <w:rPr>
      <w:vertAlign w:val="superscript"/>
    </w:rPr>
  </w:style>
  <w:style w:type="character" w:customStyle="1" w:styleId="Heading3Char">
    <w:name w:val="Heading 3 Char"/>
    <w:basedOn w:val="DefaultParagraphFont"/>
    <w:link w:val="Heading3"/>
    <w:uiPriority w:val="9"/>
    <w:rsid w:val="00C82149"/>
    <w:rPr>
      <w:rFonts w:asciiTheme="majorHAnsi" w:eastAsiaTheme="majorEastAsia" w:hAnsiTheme="majorHAnsi" w:cstheme="majorBidi"/>
      <w:b/>
      <w:bCs/>
      <w:color w:val="4F81BD" w:themeColor="accent1"/>
      <w:sz w:val="24"/>
    </w:rPr>
  </w:style>
  <w:style w:type="paragraph" w:styleId="NormalWeb">
    <w:name w:val="Normal (Web)"/>
    <w:basedOn w:val="Normal"/>
    <w:unhideWhenUsed/>
    <w:rsid w:val="00A75EFD"/>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59"/>
    <w:rsid w:val="002F7B8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F4A09"/>
    <w:pPr>
      <w:ind w:left="720"/>
      <w:contextualSpacing/>
    </w:pPr>
  </w:style>
  <w:style w:type="character" w:customStyle="1" w:styleId="HeaderChar">
    <w:name w:val="Header Char"/>
    <w:basedOn w:val="DefaultParagraphFont"/>
    <w:link w:val="Header"/>
    <w:uiPriority w:val="99"/>
    <w:rsid w:val="00D16434"/>
    <w:rPr>
      <w:rFonts w:ascii="Arial" w:hAnsi="Arial"/>
      <w:sz w:val="24"/>
    </w:rPr>
  </w:style>
  <w:style w:type="character" w:customStyle="1" w:styleId="FooterChar">
    <w:name w:val="Footer Char"/>
    <w:basedOn w:val="DefaultParagraphFont"/>
    <w:link w:val="Footer"/>
    <w:uiPriority w:val="99"/>
    <w:rsid w:val="00D16434"/>
    <w:rPr>
      <w:rFonts w:ascii="Arial" w:hAnsi="Arial"/>
      <w:sz w:val="24"/>
    </w:rPr>
  </w:style>
  <w:style w:type="paragraph" w:customStyle="1" w:styleId="Default">
    <w:name w:val="Default"/>
    <w:rsid w:val="005331A4"/>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semiHidden/>
    <w:locked/>
    <w:rsid w:val="008B0285"/>
    <w:rPr>
      <w:rFonts w:ascii="Arial" w:hAnsi="Arial"/>
    </w:rPr>
  </w:style>
  <w:style w:type="character" w:styleId="Emphasis">
    <w:name w:val="Emphasis"/>
    <w:basedOn w:val="DefaultParagraphFont"/>
    <w:qFormat/>
    <w:rsid w:val="000633CA"/>
    <w:rPr>
      <w:i/>
      <w:iCs/>
    </w:rPr>
  </w:style>
  <w:style w:type="paragraph" w:styleId="BodyText">
    <w:name w:val="Body Text"/>
    <w:basedOn w:val="Normal"/>
    <w:link w:val="BodyTextChar"/>
    <w:rsid w:val="00722EED"/>
    <w:pPr>
      <w:widowControl w:val="0"/>
    </w:pPr>
    <w:rPr>
      <w:sz w:val="20"/>
    </w:rPr>
  </w:style>
  <w:style w:type="character" w:customStyle="1" w:styleId="BodyTextChar">
    <w:name w:val="Body Text Char"/>
    <w:basedOn w:val="DefaultParagraphFont"/>
    <w:link w:val="BodyText"/>
    <w:rsid w:val="00722EED"/>
    <w:rPr>
      <w:rFonts w:ascii="Arial" w:hAnsi="Arial"/>
    </w:rPr>
  </w:style>
  <w:style w:type="character" w:customStyle="1" w:styleId="Heading2Char">
    <w:name w:val="Heading 2 Char"/>
    <w:basedOn w:val="DefaultParagraphFont"/>
    <w:link w:val="Heading2"/>
    <w:uiPriority w:val="9"/>
    <w:rsid w:val="000E039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E0395"/>
    <w:rPr>
      <w:rFonts w:asciiTheme="minorHAnsi" w:eastAsiaTheme="minorHAnsi" w:hAnsiTheme="minorHAnsi" w:cstheme="minorBidi"/>
      <w:sz w:val="22"/>
      <w:szCs w:val="22"/>
    </w:rPr>
  </w:style>
  <w:style w:type="character" w:styleId="Strong">
    <w:name w:val="Strong"/>
    <w:basedOn w:val="DefaultParagraphFont"/>
    <w:qFormat/>
    <w:rsid w:val="000E0395"/>
    <w:rPr>
      <w:b/>
      <w:bCs/>
    </w:rPr>
  </w:style>
  <w:style w:type="character" w:customStyle="1" w:styleId="EmailStyle23">
    <w:name w:val="EmailStyle23"/>
    <w:semiHidden/>
    <w:rsid w:val="000E0395"/>
    <w:rPr>
      <w:rFonts w:ascii="Arial" w:hAnsi="Arial" w:cs="Arial"/>
      <w:color w:val="000080"/>
      <w:sz w:val="20"/>
      <w:szCs w:val="20"/>
    </w:rPr>
  </w:style>
  <w:style w:type="paragraph" w:customStyle="1" w:styleId="default0">
    <w:name w:val="default"/>
    <w:basedOn w:val="Normal"/>
    <w:rsid w:val="000E0395"/>
    <w:pPr>
      <w:autoSpaceDE w:val="0"/>
      <w:autoSpaceDN w:val="0"/>
    </w:pPr>
    <w:rPr>
      <w:rFonts w:ascii="Times New Roman" w:hAnsi="Times New Roman"/>
      <w:color w:val="000000"/>
      <w:szCs w:val="24"/>
    </w:rPr>
  </w:style>
  <w:style w:type="paragraph" w:customStyle="1" w:styleId="nospacing0">
    <w:name w:val="nospacing"/>
    <w:basedOn w:val="Normal"/>
    <w:uiPriority w:val="99"/>
    <w:rsid w:val="000E0395"/>
    <w:rPr>
      <w:rFonts w:ascii="Calibri" w:eastAsiaTheme="minorHAnsi" w:hAnsi="Calibri"/>
      <w:sz w:val="20"/>
    </w:rPr>
  </w:style>
  <w:style w:type="character" w:customStyle="1" w:styleId="BalloonTextChar">
    <w:name w:val="Balloon Text Char"/>
    <w:basedOn w:val="DefaultParagraphFont"/>
    <w:link w:val="BalloonText"/>
    <w:uiPriority w:val="99"/>
    <w:semiHidden/>
    <w:rsid w:val="000E0395"/>
    <w:rPr>
      <w:rFonts w:ascii="Tahoma" w:hAnsi="Tahoma" w:cs="Tahoma"/>
      <w:sz w:val="16"/>
      <w:szCs w:val="16"/>
    </w:rPr>
  </w:style>
  <w:style w:type="numbering" w:customStyle="1" w:styleId="NoList1">
    <w:name w:val="No List1"/>
    <w:next w:val="NoList"/>
    <w:uiPriority w:val="99"/>
    <w:semiHidden/>
    <w:unhideWhenUsed/>
    <w:rsid w:val="000E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7364">
      <w:bodyDiv w:val="1"/>
      <w:marLeft w:val="0"/>
      <w:marRight w:val="0"/>
      <w:marTop w:val="0"/>
      <w:marBottom w:val="0"/>
      <w:divBdr>
        <w:top w:val="none" w:sz="0" w:space="0" w:color="auto"/>
        <w:left w:val="none" w:sz="0" w:space="0" w:color="auto"/>
        <w:bottom w:val="none" w:sz="0" w:space="0" w:color="auto"/>
        <w:right w:val="none" w:sz="0" w:space="0" w:color="auto"/>
      </w:divBdr>
    </w:div>
    <w:div w:id="1092169070">
      <w:bodyDiv w:val="1"/>
      <w:marLeft w:val="0"/>
      <w:marRight w:val="0"/>
      <w:marTop w:val="0"/>
      <w:marBottom w:val="0"/>
      <w:divBdr>
        <w:top w:val="none" w:sz="0" w:space="0" w:color="auto"/>
        <w:left w:val="none" w:sz="0" w:space="0" w:color="auto"/>
        <w:bottom w:val="none" w:sz="0" w:space="0" w:color="auto"/>
        <w:right w:val="none" w:sz="0" w:space="0" w:color="auto"/>
      </w:divBdr>
    </w:div>
    <w:div w:id="1322343439">
      <w:bodyDiv w:val="1"/>
      <w:marLeft w:val="0"/>
      <w:marRight w:val="0"/>
      <w:marTop w:val="0"/>
      <w:marBottom w:val="0"/>
      <w:divBdr>
        <w:top w:val="none" w:sz="0" w:space="0" w:color="auto"/>
        <w:left w:val="none" w:sz="0" w:space="0" w:color="auto"/>
        <w:bottom w:val="none" w:sz="0" w:space="0" w:color="auto"/>
        <w:right w:val="none" w:sz="0" w:space="0" w:color="auto"/>
      </w:divBdr>
    </w:div>
    <w:div w:id="14126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mmerce.wa.gov/Programs/Energy/Office/Pages/Clean-Energy-Funds.aspx" TargetMode="Externa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energytrust.org/forms/residential/energypaybackestimator/"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orthwestenergystar.com/sites/default/files/resources/Performance-Path-Fact-Sheet_072913.pdf"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w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Filing@nwnatural.com"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2014-11-17T08:00:00+00:00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7AC8BA-41EF-432F-88CC-E6DC76FE1BBE}"/>
</file>

<file path=customXml/itemProps2.xml><?xml version="1.0" encoding="utf-8"?>
<ds:datastoreItem xmlns:ds="http://schemas.openxmlformats.org/officeDocument/2006/customXml" ds:itemID="{DBFDF236-7CD8-4F0F-B064-BCEF861D246D}"/>
</file>

<file path=customXml/itemProps3.xml><?xml version="1.0" encoding="utf-8"?>
<ds:datastoreItem xmlns:ds="http://schemas.openxmlformats.org/officeDocument/2006/customXml" ds:itemID="{BE4DFA3A-37EB-49D6-8576-F7D308AB7E22}"/>
</file>

<file path=customXml/itemProps4.xml><?xml version="1.0" encoding="utf-8"?>
<ds:datastoreItem xmlns:ds="http://schemas.openxmlformats.org/officeDocument/2006/customXml" ds:itemID="{0363F50B-7A0A-47A7-BE9E-B90995BDCE63}"/>
</file>

<file path=customXml/itemProps5.xml><?xml version="1.0" encoding="utf-8"?>
<ds:datastoreItem xmlns:ds="http://schemas.openxmlformats.org/officeDocument/2006/customXml" ds:itemID="{876CF8D1-F3AA-40F2-A643-EE77A3D4673D}"/>
</file>

<file path=docProps/app.xml><?xml version="1.0" encoding="utf-8"?>
<Properties xmlns="http://schemas.openxmlformats.org/officeDocument/2006/extended-properties" xmlns:vt="http://schemas.openxmlformats.org/officeDocument/2006/docPropsVTypes">
  <Template>Normal.dotm</Template>
  <TotalTime>76</TotalTime>
  <Pages>81</Pages>
  <Words>26135</Words>
  <Characters>142632</Characters>
  <Application>Microsoft Office Word</Application>
  <DocSecurity>0</DocSecurity>
  <Lines>1188</Lines>
  <Paragraphs>336</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168431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k miller</cp:lastModifiedBy>
  <cp:revision>18</cp:revision>
  <cp:lastPrinted>2014-11-17T20:54:00Z</cp:lastPrinted>
  <dcterms:created xsi:type="dcterms:W3CDTF">2014-11-17T20:55:00Z</dcterms:created>
  <dcterms:modified xsi:type="dcterms:W3CDTF">2014-11-17T22:13:00Z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0x0101006E56B4D1795A2E4DB2F0B01679ED314A007A7A61093ABC014296FD162118EA6A4E</vt:lpwstr>
  </property>
  <property fmtid="{D5CDD505-2E9C-101B-9397-08002B2CF9AE}" pid="3" name="_docset_NoMedatataSyncRequired">
    <vt:lpwstr>False</vt:lpwstr>
  </property>
</Properties>
</file>