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E06" w:rsidRPr="00DF6683" w:rsidRDefault="00DF6683" w:rsidP="00410E06">
      <w:pPr>
        <w:pStyle w:val="NoSpacing"/>
        <w:rPr>
          <w:b/>
          <w:sz w:val="20"/>
          <w:szCs w:val="20"/>
        </w:rPr>
      </w:pPr>
      <w:r>
        <w:tab/>
      </w:r>
      <w:r>
        <w:tab/>
      </w:r>
      <w:r>
        <w:tab/>
      </w:r>
      <w:r>
        <w:tab/>
      </w:r>
      <w:r>
        <w:tab/>
      </w:r>
      <w:r>
        <w:tab/>
      </w:r>
      <w:r>
        <w:tab/>
      </w:r>
      <w:r>
        <w:tab/>
      </w:r>
      <w:r w:rsidRPr="00DF6683">
        <w:rPr>
          <w:b/>
          <w:sz w:val="20"/>
          <w:szCs w:val="20"/>
        </w:rPr>
        <w:t>[Service Date October 19, 2010]</w:t>
      </w:r>
    </w:p>
    <w:p w:rsidR="00410E06" w:rsidRPr="00DF6683" w:rsidRDefault="00410E06" w:rsidP="00410E06">
      <w:pPr>
        <w:pStyle w:val="NoSpacing"/>
        <w:rPr>
          <w:b/>
          <w:sz w:val="20"/>
          <w:szCs w:val="20"/>
        </w:rPr>
      </w:pPr>
    </w:p>
    <w:p w:rsidR="00410E06" w:rsidRPr="00410E06" w:rsidRDefault="00410E06" w:rsidP="00410E06">
      <w:pPr>
        <w:pStyle w:val="NoSpacing"/>
      </w:pPr>
    </w:p>
    <w:p w:rsidR="00410E06" w:rsidRPr="00410E06" w:rsidRDefault="00410E06" w:rsidP="00410E06">
      <w:pPr>
        <w:pStyle w:val="NoSpacing"/>
      </w:pPr>
    </w:p>
    <w:p w:rsidR="00410E06" w:rsidRPr="00410E06" w:rsidRDefault="00410E06" w:rsidP="00410E06">
      <w:pPr>
        <w:pStyle w:val="NoSpacing"/>
      </w:pPr>
    </w:p>
    <w:p w:rsidR="00410E06" w:rsidRPr="00410E06" w:rsidRDefault="00410E06" w:rsidP="00410E06">
      <w:pPr>
        <w:pStyle w:val="NoSpacing"/>
      </w:pPr>
    </w:p>
    <w:p w:rsidR="00054B4C" w:rsidRPr="00410E06" w:rsidRDefault="00054B4C" w:rsidP="00410E06">
      <w:pPr>
        <w:pStyle w:val="NoSpacing"/>
        <w:jc w:val="center"/>
      </w:pPr>
      <w:r w:rsidRPr="00410E06">
        <w:t>October 19, 2010</w:t>
      </w:r>
    </w:p>
    <w:p w:rsidR="00054B4C" w:rsidRPr="00410E06" w:rsidRDefault="00054B4C" w:rsidP="00410E06">
      <w:pPr>
        <w:pStyle w:val="NoSpacing"/>
        <w:rPr>
          <w:b/>
        </w:rPr>
      </w:pPr>
    </w:p>
    <w:p w:rsidR="00410E06" w:rsidRPr="00410E06" w:rsidRDefault="00410E06" w:rsidP="00410E06">
      <w:pPr>
        <w:pStyle w:val="NoSpacing"/>
        <w:rPr>
          <w:b/>
        </w:rPr>
      </w:pPr>
    </w:p>
    <w:p w:rsidR="00410E06" w:rsidRPr="00410E06" w:rsidRDefault="00410E06" w:rsidP="00410E06">
      <w:pPr>
        <w:pStyle w:val="NoSpacing"/>
        <w:jc w:val="center"/>
        <w:rPr>
          <w:b/>
        </w:rPr>
      </w:pPr>
    </w:p>
    <w:p w:rsidR="00054B4C" w:rsidRPr="00410E06" w:rsidRDefault="00054B4C" w:rsidP="00410E06">
      <w:pPr>
        <w:pStyle w:val="NoSpacing"/>
        <w:jc w:val="center"/>
        <w:rPr>
          <w:b/>
        </w:rPr>
      </w:pPr>
      <w:r w:rsidRPr="00410E06">
        <w:rPr>
          <w:b/>
        </w:rPr>
        <w:t>NOTICE OF OPPORTUNITY TO FILE WRITTEN COMMENTS</w:t>
      </w:r>
    </w:p>
    <w:p w:rsidR="00054B4C" w:rsidRPr="00410E06" w:rsidRDefault="00054B4C" w:rsidP="00410E06">
      <w:pPr>
        <w:pStyle w:val="NoSpacing"/>
        <w:jc w:val="center"/>
        <w:rPr>
          <w:b/>
        </w:rPr>
      </w:pPr>
      <w:r w:rsidRPr="00410E06">
        <w:rPr>
          <w:b/>
        </w:rPr>
        <w:t xml:space="preserve">(By </w:t>
      </w:r>
      <w:r w:rsidR="006105F8" w:rsidRPr="00410E06">
        <w:rPr>
          <w:b/>
        </w:rPr>
        <w:t xml:space="preserve">Friday, </w:t>
      </w:r>
      <w:r w:rsidRPr="00410E06">
        <w:rPr>
          <w:b/>
        </w:rPr>
        <w:t>November 19, 2010)</w:t>
      </w:r>
    </w:p>
    <w:p w:rsidR="00054B4C" w:rsidRPr="00410E06" w:rsidRDefault="00054B4C" w:rsidP="00410E06">
      <w:pPr>
        <w:pStyle w:val="NoSpacing"/>
        <w:jc w:val="center"/>
        <w:rPr>
          <w:b/>
        </w:rPr>
      </w:pPr>
    </w:p>
    <w:p w:rsidR="00054B4C" w:rsidRPr="00410E06" w:rsidRDefault="00054B4C" w:rsidP="00410E06">
      <w:pPr>
        <w:pStyle w:val="NoSpacing"/>
        <w:jc w:val="center"/>
        <w:rPr>
          <w:b/>
        </w:rPr>
      </w:pPr>
      <w:r w:rsidRPr="00410E06">
        <w:rPr>
          <w:b/>
        </w:rPr>
        <w:t>NOTICE OF WORKSHOP</w:t>
      </w:r>
    </w:p>
    <w:p w:rsidR="00054B4C" w:rsidRPr="00410E06" w:rsidRDefault="00054B4C" w:rsidP="00410E06">
      <w:pPr>
        <w:pStyle w:val="NoSpacing"/>
        <w:jc w:val="center"/>
        <w:rPr>
          <w:b/>
        </w:rPr>
      </w:pPr>
      <w:r w:rsidRPr="00410E06">
        <w:rPr>
          <w:b/>
        </w:rPr>
        <w:t>(Set for 9:00 a.m., Tuesday, December 7, 2010)</w:t>
      </w:r>
    </w:p>
    <w:p w:rsidR="00054B4C" w:rsidRPr="00410E06" w:rsidRDefault="00054B4C" w:rsidP="00410E06">
      <w:pPr>
        <w:pStyle w:val="NoSpacing"/>
        <w:rPr>
          <w:b/>
        </w:rPr>
      </w:pPr>
    </w:p>
    <w:p w:rsidR="009F42D9" w:rsidRDefault="00054B4C" w:rsidP="00410E06">
      <w:pPr>
        <w:pStyle w:val="NoSpacing"/>
        <w:ind w:left="720" w:hanging="720"/>
      </w:pPr>
      <w:r w:rsidRPr="00410E06">
        <w:t>RE:</w:t>
      </w:r>
      <w:r w:rsidRPr="00410E06">
        <w:tab/>
      </w:r>
      <w:r w:rsidR="00BD2544">
        <w:t>Fuel Surcharge Inquiry</w:t>
      </w:r>
    </w:p>
    <w:p w:rsidR="00054B4C" w:rsidRPr="00410E06" w:rsidRDefault="00054B4C" w:rsidP="009F42D9">
      <w:pPr>
        <w:pStyle w:val="NoSpacing"/>
        <w:ind w:left="720"/>
      </w:pPr>
      <w:r w:rsidRPr="00410E06">
        <w:t>Docket T-101661</w:t>
      </w:r>
    </w:p>
    <w:p w:rsidR="00054B4C" w:rsidRPr="00410E06" w:rsidRDefault="00054B4C" w:rsidP="00410E06">
      <w:pPr>
        <w:pStyle w:val="NoSpacing"/>
        <w:rPr>
          <w:b/>
        </w:rPr>
      </w:pPr>
    </w:p>
    <w:p w:rsidR="00054B4C" w:rsidRDefault="00054B4C" w:rsidP="00410E06">
      <w:pPr>
        <w:pStyle w:val="NoSpacing"/>
      </w:pPr>
      <w:r w:rsidRPr="00410E06">
        <w:t>TO INTERESTED PERSONS:</w:t>
      </w:r>
    </w:p>
    <w:p w:rsidR="00B02282" w:rsidRPr="00410E06" w:rsidRDefault="00B02282" w:rsidP="00410E06">
      <w:pPr>
        <w:pStyle w:val="NoSpacing"/>
      </w:pPr>
    </w:p>
    <w:p w:rsidR="00344C45" w:rsidRPr="00410E06" w:rsidRDefault="00054B4C" w:rsidP="00410E06">
      <w:pPr>
        <w:pStyle w:val="NoSpacing"/>
      </w:pPr>
      <w:r w:rsidRPr="00410E06">
        <w:t xml:space="preserve">On October </w:t>
      </w:r>
      <w:r w:rsidR="00CE2063">
        <w:t>15</w:t>
      </w:r>
      <w:r w:rsidRPr="00410E06">
        <w:t>, 2010, the Washington Utilities and Transportation Commission (Commission) filed with the Code Reviser a Pre</w:t>
      </w:r>
      <w:r w:rsidR="002A4675" w:rsidRPr="00410E06">
        <w:t>-</w:t>
      </w:r>
      <w:r w:rsidRPr="00410E06">
        <w:t xml:space="preserve">proposal Statement of Inquiry (CR-101) to initiate a rulemaking to consider whether to adopt, by rule, methods for determining the circumstances </w:t>
      </w:r>
      <w:r w:rsidR="009F42D9">
        <w:t>under which</w:t>
      </w:r>
      <w:r w:rsidRPr="00410E06">
        <w:t xml:space="preserve"> it will permit </w:t>
      </w:r>
      <w:r w:rsidR="009F42D9">
        <w:t xml:space="preserve">solid waste, auto transportation and ferry companies </w:t>
      </w:r>
      <w:r w:rsidRPr="00410E06">
        <w:t>to impose a surcharge for fuel costs and the methods of calculating a</w:t>
      </w:r>
      <w:r w:rsidR="009F42D9">
        <w:t>ny such</w:t>
      </w:r>
      <w:r w:rsidRPr="00410E06">
        <w:t xml:space="preserve"> fuel surcharge </w:t>
      </w:r>
      <w:r w:rsidR="006105F8" w:rsidRPr="00410E06">
        <w:t xml:space="preserve">in </w:t>
      </w:r>
      <w:r w:rsidR="000363B8" w:rsidRPr="00410E06">
        <w:t>WAC</w:t>
      </w:r>
      <w:r w:rsidRPr="00410E06">
        <w:t xml:space="preserve"> 480-07, </w:t>
      </w:r>
      <w:r w:rsidR="000363B8" w:rsidRPr="00410E06">
        <w:t xml:space="preserve">WAC </w:t>
      </w:r>
      <w:r w:rsidRPr="00410E06">
        <w:t xml:space="preserve">480-30, </w:t>
      </w:r>
      <w:r w:rsidR="000363B8" w:rsidRPr="00410E06">
        <w:t xml:space="preserve">WAC </w:t>
      </w:r>
      <w:r w:rsidRPr="00410E06">
        <w:t xml:space="preserve">480-51 and </w:t>
      </w:r>
      <w:r w:rsidR="000363B8" w:rsidRPr="00410E06">
        <w:t xml:space="preserve">WAC </w:t>
      </w:r>
      <w:r w:rsidRPr="00410E06">
        <w:t xml:space="preserve">480-70. </w:t>
      </w:r>
    </w:p>
    <w:p w:rsidR="00410E06" w:rsidRPr="00410E06" w:rsidRDefault="00410E06" w:rsidP="00410E06">
      <w:pPr>
        <w:pStyle w:val="NoSpacing"/>
      </w:pPr>
    </w:p>
    <w:p w:rsidR="00344C45" w:rsidRPr="00410E06" w:rsidRDefault="00344C45" w:rsidP="00410E06">
      <w:pPr>
        <w:pStyle w:val="NoSpacing"/>
      </w:pPr>
      <w:r w:rsidRPr="00410E06">
        <w:t xml:space="preserve">The CR-101, as filed with the Code Reviser, is available for inspection on the Commission’s website at </w:t>
      </w:r>
      <w:hyperlink r:id="rId8" w:history="1">
        <w:r w:rsidRPr="00410E06">
          <w:rPr>
            <w:rStyle w:val="Hyperlink"/>
          </w:rPr>
          <w:t>www.utc.wa.gov/101661</w:t>
        </w:r>
      </w:hyperlink>
      <w:r w:rsidRPr="00410E06">
        <w:t>.  If you are unable to access the Commission’s web page and would like a copy of the CR-101 mailed to you, please contact the Records Center at (360) 664-1234.</w:t>
      </w:r>
    </w:p>
    <w:p w:rsidR="00410E06" w:rsidRPr="00410E06" w:rsidRDefault="00410E06" w:rsidP="00410E06">
      <w:pPr>
        <w:pStyle w:val="NoSpacing"/>
      </w:pPr>
    </w:p>
    <w:p w:rsidR="00054B4C" w:rsidRPr="00410E06" w:rsidRDefault="00054B4C" w:rsidP="00410E06">
      <w:pPr>
        <w:pStyle w:val="NoSpacing"/>
      </w:pPr>
      <w:r w:rsidRPr="00410E06">
        <w:t xml:space="preserve">The inquiry was initiated on behalf of the Commissioners as part of their decision </w:t>
      </w:r>
      <w:r w:rsidR="006105F8" w:rsidRPr="00410E06">
        <w:t>on September 30, 2010</w:t>
      </w:r>
      <w:r w:rsidR="002A4675" w:rsidRPr="00410E06">
        <w:t>, to</w:t>
      </w:r>
      <w:r w:rsidRPr="00410E06">
        <w:t xml:space="preserve"> rescind Order 02</w:t>
      </w:r>
      <w:r w:rsidR="006105F8" w:rsidRPr="00410E06">
        <w:t xml:space="preserve"> in Docket</w:t>
      </w:r>
      <w:r w:rsidR="00B02282">
        <w:t xml:space="preserve"> </w:t>
      </w:r>
      <w:r w:rsidRPr="00410E06">
        <w:t>A-042090.</w:t>
      </w:r>
      <w:r w:rsidRPr="00410E06">
        <w:rPr>
          <w:rStyle w:val="FootnoteReference"/>
        </w:rPr>
        <w:footnoteReference w:id="1"/>
      </w:r>
      <w:r w:rsidRPr="00410E06">
        <w:t xml:space="preserve"> </w:t>
      </w:r>
      <w:r w:rsidR="00344C45" w:rsidRPr="00410E06">
        <w:t xml:space="preserve"> </w:t>
      </w:r>
      <w:r w:rsidRPr="00410E06">
        <w:t xml:space="preserve">At the September 30, 2010, open meeting, commenters from the </w:t>
      </w:r>
      <w:r w:rsidR="006105F8" w:rsidRPr="00410E06">
        <w:t>s</w:t>
      </w:r>
      <w:r w:rsidRPr="00410E06">
        <w:t xml:space="preserve">olid </w:t>
      </w:r>
      <w:r w:rsidR="006105F8" w:rsidRPr="00410E06">
        <w:t>w</w:t>
      </w:r>
      <w:r w:rsidRPr="00410E06">
        <w:t xml:space="preserve">aste and </w:t>
      </w:r>
      <w:r w:rsidR="006105F8" w:rsidRPr="00410E06">
        <w:t>a</w:t>
      </w:r>
      <w:r w:rsidRPr="00410E06">
        <w:t xml:space="preserve">uto </w:t>
      </w:r>
      <w:r w:rsidR="006105F8" w:rsidRPr="00410E06">
        <w:t>t</w:t>
      </w:r>
      <w:r w:rsidRPr="00410E06">
        <w:t>ransportation Industries indicated that rescinding Order 02</w:t>
      </w:r>
      <w:r w:rsidR="006105F8" w:rsidRPr="00410E06">
        <w:t xml:space="preserve"> </w:t>
      </w:r>
      <w:r w:rsidRPr="00410E06">
        <w:t xml:space="preserve"> in favor of requiring companies to file either general rate cases or petitions seeking single item cost adjustments for fuel, will decrease the flexibility and efficiency enjoyed by both the Commission and companies </w:t>
      </w:r>
      <w:r w:rsidR="006105F8" w:rsidRPr="00410E06">
        <w:t>under</w:t>
      </w:r>
      <w:r w:rsidRPr="00410E06">
        <w:t xml:space="preserve"> the current fuel surcharge methodology.  </w:t>
      </w:r>
    </w:p>
    <w:p w:rsidR="00410E06" w:rsidRPr="00410E06" w:rsidRDefault="00410E06" w:rsidP="00410E06">
      <w:pPr>
        <w:pStyle w:val="NoSpacing"/>
      </w:pPr>
    </w:p>
    <w:p w:rsidR="00054B4C" w:rsidRPr="00410E06" w:rsidRDefault="00054B4C" w:rsidP="00410E06">
      <w:pPr>
        <w:pStyle w:val="NoSpacing"/>
      </w:pPr>
      <w:r w:rsidRPr="00410E06">
        <w:lastRenderedPageBreak/>
        <w:t xml:space="preserve">The Commission has opened this inquiry to fully consider alternate fuel surcharge and ratemaking proposals from stakeholders prior to the </w:t>
      </w:r>
      <w:r w:rsidR="006105F8" w:rsidRPr="00410E06">
        <w:t xml:space="preserve">January 31, 2011, effective date for </w:t>
      </w:r>
      <w:r w:rsidRPr="00410E06">
        <w:t xml:space="preserve">rescission of </w:t>
      </w:r>
      <w:r w:rsidR="006105F8" w:rsidRPr="00410E06">
        <w:t xml:space="preserve">Order 02.  </w:t>
      </w:r>
    </w:p>
    <w:p w:rsidR="00410E06" w:rsidRPr="00410E06" w:rsidRDefault="00410E06" w:rsidP="00410E06">
      <w:pPr>
        <w:pStyle w:val="NoSpacing"/>
      </w:pPr>
    </w:p>
    <w:p w:rsidR="00054B4C" w:rsidRPr="00410E06" w:rsidRDefault="00054B4C" w:rsidP="00410E06">
      <w:pPr>
        <w:pStyle w:val="NoSpacing"/>
        <w:rPr>
          <w:b/>
          <w:u w:val="single"/>
        </w:rPr>
      </w:pPr>
      <w:r w:rsidRPr="00410E06">
        <w:rPr>
          <w:b/>
          <w:u w:val="single"/>
        </w:rPr>
        <w:t>FUEL SURCHARGES</w:t>
      </w:r>
    </w:p>
    <w:p w:rsidR="00410E06" w:rsidRPr="00410E06" w:rsidRDefault="00410E06" w:rsidP="00410E06">
      <w:pPr>
        <w:pStyle w:val="NoSpacing"/>
        <w:rPr>
          <w:b/>
          <w:u w:val="single"/>
        </w:rPr>
      </w:pPr>
    </w:p>
    <w:p w:rsidR="00054B4C" w:rsidRPr="00410E06" w:rsidRDefault="00054B4C" w:rsidP="00410E06">
      <w:pPr>
        <w:pStyle w:val="NoSpacing"/>
      </w:pPr>
      <w:r w:rsidRPr="00410E06">
        <w:t xml:space="preserve">The Commission also invites comments on whether it should adopt, by rule, methods for determining the circumstances </w:t>
      </w:r>
      <w:r w:rsidR="009F42D9">
        <w:t>under which</w:t>
      </w:r>
      <w:r w:rsidRPr="00410E06">
        <w:t xml:space="preserve"> it will permit a company to impose a surcharge for fuel costs and the methods of calculating a fuel surcharge.</w:t>
      </w:r>
    </w:p>
    <w:p w:rsidR="00410E06" w:rsidRPr="00410E06" w:rsidRDefault="00410E06" w:rsidP="00410E06">
      <w:pPr>
        <w:pStyle w:val="NoSpacing"/>
      </w:pPr>
    </w:p>
    <w:p w:rsidR="00054B4C" w:rsidRPr="00410E06" w:rsidRDefault="00054B4C" w:rsidP="00410E06">
      <w:pPr>
        <w:pStyle w:val="NoSpacing"/>
      </w:pPr>
      <w:r w:rsidRPr="00410E06">
        <w:t xml:space="preserve">Comments addressing fuel surcharges should include, but are not limited to, the following: </w:t>
      </w:r>
    </w:p>
    <w:p w:rsidR="00410E06" w:rsidRPr="00410E06" w:rsidRDefault="00410E06" w:rsidP="00410E06">
      <w:pPr>
        <w:pStyle w:val="NoSpacing"/>
      </w:pPr>
    </w:p>
    <w:p w:rsidR="00054B4C" w:rsidRPr="00410E06" w:rsidRDefault="006105F8" w:rsidP="00410E06">
      <w:pPr>
        <w:pStyle w:val="NoSpacing"/>
        <w:numPr>
          <w:ilvl w:val="0"/>
          <w:numId w:val="3"/>
        </w:numPr>
      </w:pPr>
      <w:r w:rsidRPr="00410E06">
        <w:t>The s</w:t>
      </w:r>
      <w:r w:rsidR="00054B4C" w:rsidRPr="00410E06">
        <w:t xml:space="preserve">pecific methodology or mechanism the Commission should use to determine the fuel surcharge amount (illustrate and provide examples); </w:t>
      </w:r>
    </w:p>
    <w:p w:rsidR="00410E06" w:rsidRPr="00410E06" w:rsidRDefault="00410E06" w:rsidP="00410E06">
      <w:pPr>
        <w:pStyle w:val="NoSpacing"/>
      </w:pPr>
    </w:p>
    <w:p w:rsidR="00054B4C" w:rsidRPr="00410E06" w:rsidRDefault="00054B4C" w:rsidP="00410E06">
      <w:pPr>
        <w:pStyle w:val="NoSpacing"/>
        <w:numPr>
          <w:ilvl w:val="0"/>
          <w:numId w:val="3"/>
        </w:numPr>
      </w:pPr>
      <w:r w:rsidRPr="00410E06">
        <w:t>Whether the Commission should adjust a company's base charge established in its last rate case based on certain operational or market conditions (list conditions and explain);</w:t>
      </w:r>
    </w:p>
    <w:p w:rsidR="00410E06" w:rsidRPr="00410E06" w:rsidRDefault="00410E06" w:rsidP="00410E06">
      <w:pPr>
        <w:pStyle w:val="NoSpacing"/>
      </w:pPr>
    </w:p>
    <w:p w:rsidR="00054B4C" w:rsidRPr="00410E06" w:rsidRDefault="00054B4C" w:rsidP="00410E06">
      <w:pPr>
        <w:pStyle w:val="NoSpacing"/>
        <w:numPr>
          <w:ilvl w:val="0"/>
          <w:numId w:val="3"/>
        </w:numPr>
      </w:pPr>
      <w:r w:rsidRPr="00410E06">
        <w:t xml:space="preserve">Whether the Commission should consider the company’s current level of revenues, profits or some other </w:t>
      </w:r>
      <w:r w:rsidR="009F42D9">
        <w:t xml:space="preserve">overall financial </w:t>
      </w:r>
      <w:r w:rsidRPr="00410E06">
        <w:t>measure or threshold</w:t>
      </w:r>
      <w:r w:rsidR="009F42D9">
        <w:t xml:space="preserve"> in considering any request for a fuel surcharge</w:t>
      </w:r>
      <w:r w:rsidRPr="00410E06">
        <w:t xml:space="preserve">; </w:t>
      </w:r>
    </w:p>
    <w:p w:rsidR="00410E06" w:rsidRPr="00410E06" w:rsidRDefault="00410E06" w:rsidP="00410E06">
      <w:pPr>
        <w:pStyle w:val="NoSpacing"/>
      </w:pPr>
    </w:p>
    <w:p w:rsidR="00054B4C" w:rsidRPr="00410E06" w:rsidRDefault="006105F8" w:rsidP="00410E06">
      <w:pPr>
        <w:pStyle w:val="NoSpacing"/>
        <w:numPr>
          <w:ilvl w:val="0"/>
          <w:numId w:val="3"/>
        </w:numPr>
      </w:pPr>
      <w:r w:rsidRPr="00410E06">
        <w:t>How to c</w:t>
      </w:r>
      <w:r w:rsidR="00054B4C" w:rsidRPr="00410E06">
        <w:t>alculat</w:t>
      </w:r>
      <w:r w:rsidR="009F42D9">
        <w:t>e</w:t>
      </w:r>
      <w:r w:rsidR="00054B4C" w:rsidRPr="00410E06">
        <w:t xml:space="preserve"> fuel expense changes; </w:t>
      </w:r>
    </w:p>
    <w:p w:rsidR="00410E06" w:rsidRPr="00410E06" w:rsidRDefault="00410E06" w:rsidP="00410E06">
      <w:pPr>
        <w:pStyle w:val="NoSpacing"/>
      </w:pPr>
    </w:p>
    <w:p w:rsidR="00054B4C" w:rsidRPr="00410E06" w:rsidRDefault="006105F8" w:rsidP="00410E06">
      <w:pPr>
        <w:pStyle w:val="NoSpacing"/>
        <w:numPr>
          <w:ilvl w:val="0"/>
          <w:numId w:val="3"/>
        </w:numPr>
      </w:pPr>
      <w:r w:rsidRPr="00410E06">
        <w:t>Whether the Commission or companies should u</w:t>
      </w:r>
      <w:r w:rsidR="00054B4C" w:rsidRPr="00410E06">
        <w:t>se fuel expense indices, benchmarks or actual company costs</w:t>
      </w:r>
      <w:r w:rsidR="009F42D9">
        <w:t xml:space="preserve"> to determine the need for a fuel surcharge</w:t>
      </w:r>
      <w:r w:rsidR="00054B4C" w:rsidRPr="00410E06">
        <w:t>;</w:t>
      </w:r>
    </w:p>
    <w:p w:rsidR="00410E06" w:rsidRPr="00410E06" w:rsidRDefault="00410E06" w:rsidP="00410E06">
      <w:pPr>
        <w:pStyle w:val="NoSpacing"/>
      </w:pPr>
    </w:p>
    <w:p w:rsidR="00054B4C" w:rsidRPr="00410E06" w:rsidRDefault="00054B4C" w:rsidP="00410E06">
      <w:pPr>
        <w:pStyle w:val="NoSpacing"/>
        <w:numPr>
          <w:ilvl w:val="0"/>
          <w:numId w:val="3"/>
        </w:numPr>
      </w:pPr>
      <w:r w:rsidRPr="00410E06">
        <w:t xml:space="preserve">Whether the Commission should consider changes in a company's operations </w:t>
      </w:r>
      <w:r w:rsidR="009F42D9" w:rsidRPr="009F42D9">
        <w:rPr>
          <w:i/>
        </w:rPr>
        <w:t>(e.g.,</w:t>
      </w:r>
      <w:r w:rsidR="009F42D9">
        <w:t xml:space="preserve"> </w:t>
      </w:r>
      <w:r w:rsidRPr="00410E06">
        <w:t>expenses; age, composition and efficiency of a company's fleet and increases or decreases in customer or passenger counts in determining a company's eligibility to claim a fuel surcharge;</w:t>
      </w:r>
    </w:p>
    <w:p w:rsidR="00410E06" w:rsidRPr="00410E06" w:rsidRDefault="00410E06" w:rsidP="00410E06">
      <w:pPr>
        <w:pStyle w:val="NoSpacing"/>
      </w:pPr>
    </w:p>
    <w:p w:rsidR="00054B4C" w:rsidRPr="00410E06" w:rsidRDefault="009F42D9" w:rsidP="00410E06">
      <w:pPr>
        <w:pStyle w:val="NoSpacing"/>
        <w:numPr>
          <w:ilvl w:val="0"/>
          <w:numId w:val="3"/>
        </w:numPr>
      </w:pPr>
      <w:r>
        <w:t>Whether a company should have had a g</w:t>
      </w:r>
      <w:r w:rsidR="00054B4C" w:rsidRPr="00410E06">
        <w:t xml:space="preserve">eneral rate case </w:t>
      </w:r>
      <w:r>
        <w:t>within a specified time period to be e</w:t>
      </w:r>
      <w:r w:rsidR="00054B4C" w:rsidRPr="00410E06">
        <w:t xml:space="preserve">ligible to </w:t>
      </w:r>
      <w:r>
        <w:t xml:space="preserve">file for </w:t>
      </w:r>
      <w:r w:rsidR="00054B4C" w:rsidRPr="00410E06">
        <w:t>fuel surcharges;</w:t>
      </w:r>
    </w:p>
    <w:p w:rsidR="00410E06" w:rsidRPr="00410E06" w:rsidRDefault="00410E06" w:rsidP="00410E06">
      <w:pPr>
        <w:pStyle w:val="NoSpacing"/>
      </w:pPr>
    </w:p>
    <w:p w:rsidR="00054B4C" w:rsidRPr="00410E06" w:rsidRDefault="009F42D9" w:rsidP="00410E06">
      <w:pPr>
        <w:pStyle w:val="NoSpacing"/>
        <w:numPr>
          <w:ilvl w:val="0"/>
          <w:numId w:val="3"/>
        </w:numPr>
      </w:pPr>
      <w:r>
        <w:t>Whether</w:t>
      </w:r>
      <w:r w:rsidR="00054B4C" w:rsidRPr="00410E06">
        <w:t xml:space="preserve"> the Commission </w:t>
      </w:r>
      <w:r>
        <w:t xml:space="preserve">should </w:t>
      </w:r>
      <w:r w:rsidR="00054B4C" w:rsidRPr="00410E06">
        <w:t xml:space="preserve">require companies to meet </w:t>
      </w:r>
      <w:r w:rsidR="006105F8" w:rsidRPr="00410E06">
        <w:t xml:space="preserve">an </w:t>
      </w:r>
      <w:r w:rsidR="00054B4C" w:rsidRPr="00410E06">
        <w:t>additional needs test or threshold to become eligible for a fuel surcharge (if so</w:t>
      </w:r>
      <w:r>
        <w:t>, identify and describe that test or threshold</w:t>
      </w:r>
      <w:r w:rsidR="00054B4C" w:rsidRPr="00410E06">
        <w:t>); and</w:t>
      </w:r>
    </w:p>
    <w:p w:rsidR="00410E06" w:rsidRPr="00410E06" w:rsidRDefault="00410E06" w:rsidP="00410E06">
      <w:pPr>
        <w:pStyle w:val="NoSpacing"/>
      </w:pPr>
    </w:p>
    <w:p w:rsidR="00054B4C" w:rsidRPr="00410E06" w:rsidRDefault="006105F8" w:rsidP="00410E06">
      <w:pPr>
        <w:pStyle w:val="NoSpacing"/>
        <w:numPr>
          <w:ilvl w:val="0"/>
          <w:numId w:val="3"/>
        </w:numPr>
      </w:pPr>
      <w:r w:rsidRPr="00410E06">
        <w:t>Any o</w:t>
      </w:r>
      <w:r w:rsidR="00054B4C" w:rsidRPr="00410E06">
        <w:t>ther issues</w:t>
      </w:r>
      <w:r w:rsidRPr="00410E06">
        <w:t xml:space="preserve"> or suggestions relating to fuel surcharges</w:t>
      </w:r>
      <w:r w:rsidR="00054B4C" w:rsidRPr="00410E06">
        <w:t xml:space="preserve">. </w:t>
      </w:r>
    </w:p>
    <w:p w:rsidR="00410E06" w:rsidRPr="00410E06" w:rsidRDefault="00410E06" w:rsidP="00410E06">
      <w:pPr>
        <w:pStyle w:val="NoSpacing"/>
      </w:pPr>
    </w:p>
    <w:p w:rsidR="00D260B1" w:rsidRPr="00410E06" w:rsidRDefault="00D260B1" w:rsidP="00410E06">
      <w:pPr>
        <w:pStyle w:val="NoSpacing"/>
        <w:rPr>
          <w:b/>
          <w:u w:val="single"/>
        </w:rPr>
      </w:pPr>
      <w:r w:rsidRPr="00410E06">
        <w:rPr>
          <w:b/>
          <w:u w:val="single"/>
        </w:rPr>
        <w:t>STAKEHOLDER WORKSHOP</w:t>
      </w:r>
    </w:p>
    <w:p w:rsidR="00410E06" w:rsidRPr="00410E06" w:rsidRDefault="00410E06" w:rsidP="00410E06">
      <w:pPr>
        <w:pStyle w:val="NoSpacing"/>
        <w:rPr>
          <w:b/>
        </w:rPr>
      </w:pPr>
    </w:p>
    <w:p w:rsidR="00D260B1" w:rsidRPr="00410E06" w:rsidRDefault="00047ACA" w:rsidP="00410E06">
      <w:pPr>
        <w:pStyle w:val="NoSpacing"/>
      </w:pPr>
      <w:r w:rsidRPr="00410E06">
        <w:t xml:space="preserve">We encourage your attendance and participation in the stakeholder workshop.  The workshop will be held </w:t>
      </w:r>
      <w:r w:rsidR="00FD05BE" w:rsidRPr="00410E06">
        <w:rPr>
          <w:b/>
        </w:rPr>
        <w:t>Tuesday, December 7, 2010</w:t>
      </w:r>
      <w:r w:rsidRPr="00410E06">
        <w:t xml:space="preserve">, </w:t>
      </w:r>
      <w:r w:rsidR="006105F8" w:rsidRPr="00410E06">
        <w:t xml:space="preserve">from </w:t>
      </w:r>
      <w:r w:rsidRPr="00410E06">
        <w:t xml:space="preserve">9:00 a.m. to 3:00 p.m., </w:t>
      </w:r>
      <w:r w:rsidR="006105F8" w:rsidRPr="00410E06">
        <w:t xml:space="preserve">in </w:t>
      </w:r>
      <w:r w:rsidRPr="00410E06">
        <w:t>Room 206, 2</w:t>
      </w:r>
      <w:r w:rsidR="00FD05BE" w:rsidRPr="00410E06">
        <w:rPr>
          <w:vertAlign w:val="superscript"/>
        </w:rPr>
        <w:t>nd</w:t>
      </w:r>
      <w:r w:rsidRPr="00410E06">
        <w:t xml:space="preserve"> Floor, Richard Hemstad Building, 1300 S. Evergreen Park Drive S.W., Olympia, Washington.</w:t>
      </w:r>
    </w:p>
    <w:p w:rsidR="00CA1AD9" w:rsidRPr="00410E06" w:rsidRDefault="00CA1AD9" w:rsidP="00410E06">
      <w:pPr>
        <w:pStyle w:val="NoSpacing"/>
        <w:rPr>
          <w:b/>
          <w:u w:val="single"/>
        </w:rPr>
      </w:pPr>
    </w:p>
    <w:p w:rsidR="00054B4C" w:rsidRPr="00410E06" w:rsidRDefault="00054B4C" w:rsidP="00410E06">
      <w:pPr>
        <w:pStyle w:val="NoSpacing"/>
        <w:rPr>
          <w:b/>
          <w:u w:val="single"/>
        </w:rPr>
      </w:pPr>
      <w:r w:rsidRPr="00410E06">
        <w:rPr>
          <w:b/>
          <w:u w:val="single"/>
        </w:rPr>
        <w:t>WRITTEN COMMENTS</w:t>
      </w:r>
    </w:p>
    <w:p w:rsidR="00410E06" w:rsidRPr="00410E06" w:rsidRDefault="00410E06" w:rsidP="00410E06">
      <w:pPr>
        <w:pStyle w:val="NoSpacing"/>
        <w:rPr>
          <w:b/>
          <w:u w:val="single"/>
        </w:rPr>
      </w:pPr>
    </w:p>
    <w:p w:rsidR="00054B4C" w:rsidRPr="00410E06" w:rsidRDefault="00054B4C" w:rsidP="00410E06">
      <w:pPr>
        <w:pStyle w:val="NoSpacing"/>
      </w:pPr>
      <w:r w:rsidRPr="00410E06">
        <w:t xml:space="preserve">Written comments </w:t>
      </w:r>
      <w:r w:rsidR="00D260B1" w:rsidRPr="00410E06">
        <w:t>addressing</w:t>
      </w:r>
      <w:r w:rsidR="00344C45" w:rsidRPr="00410E06">
        <w:t xml:space="preserve"> fuel surcharges as listed above </w:t>
      </w:r>
      <w:r w:rsidR="000363B8" w:rsidRPr="00410E06">
        <w:t>must</w:t>
      </w:r>
      <w:r w:rsidRPr="00410E06">
        <w:t xml:space="preserve"> be </w:t>
      </w:r>
      <w:r w:rsidR="000363B8" w:rsidRPr="00410E06">
        <w:t>filed</w:t>
      </w:r>
      <w:r w:rsidRPr="00410E06">
        <w:t xml:space="preserve"> with the </w:t>
      </w:r>
      <w:r w:rsidR="002A4675" w:rsidRPr="00410E06">
        <w:t>Commission no</w:t>
      </w:r>
      <w:r w:rsidRPr="00410E06">
        <w:t xml:space="preserve"> later than 5:00 pm, </w:t>
      </w:r>
      <w:r w:rsidRPr="00410E06">
        <w:rPr>
          <w:b/>
        </w:rPr>
        <w:t>Friday, November 19, 2010.</w:t>
      </w:r>
      <w:r w:rsidR="00272800" w:rsidRPr="00410E06">
        <w:t xml:space="preserve">  The Commission requests that comments be provided in electronic format to enhance public access, for ease of providing comments, to reduce the need for paper copies, and to facilitate quotations from the comments.  Comments may be submitted via the Commission’s Web portal (</w:t>
      </w:r>
      <w:hyperlink r:id="rId9" w:history="1">
        <w:r w:rsidR="00272800" w:rsidRPr="00410E06">
          <w:rPr>
            <w:rStyle w:val="Hyperlink"/>
          </w:rPr>
          <w:t>www.utc.wa.gov/e-filing</w:t>
        </w:r>
      </w:hyperlink>
      <w:r w:rsidR="00272800" w:rsidRPr="00410E06">
        <w:t xml:space="preserve">) or by electronic mail to the Commission’s Records Center at </w:t>
      </w:r>
      <w:hyperlink r:id="rId10" w:history="1">
        <w:r w:rsidR="00272800" w:rsidRPr="00410E06">
          <w:rPr>
            <w:rStyle w:val="Hyperlink"/>
          </w:rPr>
          <w:t>records@utc.wa.gov</w:t>
        </w:r>
      </w:hyperlink>
      <w:r w:rsidR="00272800" w:rsidRPr="00410E06">
        <w:t>.  Please include:</w:t>
      </w:r>
    </w:p>
    <w:p w:rsidR="00410E06" w:rsidRPr="00410E06" w:rsidRDefault="00410E06" w:rsidP="00410E06">
      <w:pPr>
        <w:pStyle w:val="NoSpacing"/>
      </w:pPr>
    </w:p>
    <w:p w:rsidR="009A1DB3" w:rsidRPr="00410E06" w:rsidRDefault="00272800" w:rsidP="00410E06">
      <w:pPr>
        <w:pStyle w:val="NoSpacing"/>
        <w:numPr>
          <w:ilvl w:val="0"/>
          <w:numId w:val="4"/>
        </w:numPr>
      </w:pPr>
      <w:r w:rsidRPr="00410E06">
        <w:t>The docket number of this proceeding (T-101661)</w:t>
      </w:r>
    </w:p>
    <w:p w:rsidR="009A1DB3" w:rsidRPr="00410E06" w:rsidRDefault="00272800" w:rsidP="00410E06">
      <w:pPr>
        <w:pStyle w:val="NoSpacing"/>
        <w:numPr>
          <w:ilvl w:val="0"/>
          <w:numId w:val="4"/>
        </w:numPr>
      </w:pPr>
      <w:r w:rsidRPr="00410E06">
        <w:t>The commenting party’s name</w:t>
      </w:r>
    </w:p>
    <w:p w:rsidR="009A1DB3" w:rsidRPr="00410E06" w:rsidRDefault="00272800" w:rsidP="00410E06">
      <w:pPr>
        <w:pStyle w:val="NoSpacing"/>
        <w:numPr>
          <w:ilvl w:val="0"/>
          <w:numId w:val="4"/>
        </w:numPr>
      </w:pPr>
      <w:r w:rsidRPr="00410E06">
        <w:t>The title and date of the comment or comments</w:t>
      </w:r>
    </w:p>
    <w:p w:rsidR="00410E06" w:rsidRPr="00410E06" w:rsidRDefault="00410E06" w:rsidP="00410E06">
      <w:pPr>
        <w:pStyle w:val="NoSpacing"/>
      </w:pPr>
    </w:p>
    <w:p w:rsidR="00054B4C" w:rsidRPr="00410E06" w:rsidRDefault="00054B4C" w:rsidP="00410E06">
      <w:pPr>
        <w:pStyle w:val="NoSpacing"/>
      </w:pPr>
      <w:r w:rsidRPr="00410E06">
        <w:t xml:space="preserve">Written comments that relate to existing rules should be identified to those rules. Where you wish to suggest clear language, substantive changes to existing rules, or new rules, we will appreciate your suggestions for specific rule language. </w:t>
      </w:r>
    </w:p>
    <w:p w:rsidR="00410E06" w:rsidRPr="00410E06" w:rsidRDefault="00410E06" w:rsidP="00410E06">
      <w:pPr>
        <w:pStyle w:val="NoSpacing"/>
      </w:pPr>
    </w:p>
    <w:p w:rsidR="00054B4C" w:rsidRPr="00410E06" w:rsidRDefault="00272800" w:rsidP="00410E06">
      <w:pPr>
        <w:pStyle w:val="NoSpacing"/>
      </w:pPr>
      <w:r w:rsidRPr="00410E06">
        <w:t xml:space="preserve">An alternative method for submitting comments is by mailing or delivering an electronic copy to the Commission’s Records Center </w:t>
      </w:r>
      <w:r w:rsidR="00054B4C" w:rsidRPr="00410E06">
        <w:t>on a 3-1/2 inch</w:t>
      </w:r>
      <w:r w:rsidRPr="00410E06">
        <w:t>,</w:t>
      </w:r>
      <w:r w:rsidR="00054B4C" w:rsidRPr="00410E06">
        <w:t xml:space="preserve"> IBM formatted</w:t>
      </w:r>
      <w:r w:rsidRPr="00410E06">
        <w:t>,</w:t>
      </w:r>
      <w:r w:rsidR="00054B4C" w:rsidRPr="00410E06">
        <w:t xml:space="preserve"> high-density disk, in </w:t>
      </w:r>
      <w:r w:rsidR="00054B4C" w:rsidRPr="00410E06">
        <w:rPr>
          <w:color w:val="000000"/>
        </w:rPr>
        <w:t>.pdf Adobe Acrobat format</w:t>
      </w:r>
      <w:r w:rsidRPr="00410E06">
        <w:rPr>
          <w:color w:val="000000"/>
        </w:rPr>
        <w:t xml:space="preserve"> or in</w:t>
      </w:r>
      <w:r w:rsidR="00054B4C" w:rsidRPr="00410E06">
        <w:rPr>
          <w:color w:val="000000"/>
        </w:rPr>
        <w:t xml:space="preserve"> .doc Word 97 or later</w:t>
      </w:r>
      <w:r w:rsidRPr="00410E06">
        <w:rPr>
          <w:color w:val="000000"/>
        </w:rPr>
        <w:t xml:space="preserve"> format</w:t>
      </w:r>
      <w:r w:rsidR="00054B4C" w:rsidRPr="00410E06">
        <w:rPr>
          <w:color w:val="000000"/>
        </w:rPr>
        <w:t xml:space="preserve">.  </w:t>
      </w:r>
      <w:r w:rsidRPr="00410E06">
        <w:rPr>
          <w:color w:val="000000"/>
        </w:rPr>
        <w:t xml:space="preserve">Include all of the information requested above.  </w:t>
      </w:r>
      <w:r w:rsidR="00054B4C" w:rsidRPr="00410E06">
        <w:t xml:space="preserve">The Commission will post on its web site all comments that are provided in electronic format. The web site is </w:t>
      </w:r>
      <w:hyperlink r:id="rId11" w:history="1">
        <w:r w:rsidR="00410E06" w:rsidRPr="00410E06">
          <w:rPr>
            <w:rStyle w:val="Hyperlink"/>
            <w:rFonts w:cs="Times New Roman"/>
          </w:rPr>
          <w:t>http://www.utc.wa.gov</w:t>
        </w:r>
        <w:r w:rsidR="00410E06" w:rsidRPr="00410E06">
          <w:rPr>
            <w:rStyle w:val="Hyperlink"/>
          </w:rPr>
          <w:t>/101661</w:t>
        </w:r>
      </w:hyperlink>
      <w:r w:rsidR="00410E06" w:rsidRPr="00410E06">
        <w:t>.</w:t>
      </w:r>
    </w:p>
    <w:p w:rsidR="00410E06" w:rsidRPr="00410E06" w:rsidRDefault="00410E06" w:rsidP="00410E06">
      <w:pPr>
        <w:pStyle w:val="NoSpacing"/>
      </w:pPr>
    </w:p>
    <w:p w:rsidR="00054B4C" w:rsidRPr="00410E06" w:rsidRDefault="00054B4C" w:rsidP="00410E06">
      <w:pPr>
        <w:pStyle w:val="NoSpacing"/>
        <w:rPr>
          <w:color w:val="000000"/>
        </w:rPr>
      </w:pPr>
      <w:r w:rsidRPr="00410E06">
        <w:rPr>
          <w:color w:val="000000"/>
        </w:rPr>
        <w:t xml:space="preserve">If you are unable to file your comments electronically or to submit them on a disk, the Commission will always accept a paper document.  Questions may be addressed to David Gomez at (360) 664-1240 or e-mail at </w:t>
      </w:r>
      <w:hyperlink r:id="rId12" w:history="1">
        <w:r w:rsidRPr="00410E06">
          <w:rPr>
            <w:rStyle w:val="Hyperlink"/>
            <w:rFonts w:cs="Times New Roman"/>
          </w:rPr>
          <w:t>dgomez@utc.wa.gov</w:t>
        </w:r>
      </w:hyperlink>
      <w:r w:rsidRPr="00410E06">
        <w:rPr>
          <w:color w:val="000000"/>
        </w:rPr>
        <w:t xml:space="preserve">. </w:t>
      </w:r>
    </w:p>
    <w:p w:rsidR="00410E06" w:rsidRPr="00410E06" w:rsidRDefault="00410E06" w:rsidP="00410E06">
      <w:pPr>
        <w:pStyle w:val="NoSpacing"/>
        <w:rPr>
          <w:color w:val="000000"/>
        </w:rPr>
      </w:pPr>
    </w:p>
    <w:p w:rsidR="00054B4C" w:rsidRPr="00410E06" w:rsidRDefault="00D260B1" w:rsidP="00410E06">
      <w:pPr>
        <w:pStyle w:val="NoSpacing"/>
        <w:rPr>
          <w:color w:val="000000"/>
        </w:rPr>
      </w:pPr>
      <w:r w:rsidRPr="00410E06">
        <w:rPr>
          <w:color w:val="000000"/>
        </w:rPr>
        <w:t xml:space="preserve">Your participation is welcomed via written comments.  </w:t>
      </w:r>
      <w:r w:rsidR="00937BFC">
        <w:rPr>
          <w:color w:val="000000"/>
        </w:rPr>
        <w:t>The Commission anticipates that there will be an o</w:t>
      </w:r>
      <w:r w:rsidR="00054B4C" w:rsidRPr="00410E06">
        <w:rPr>
          <w:color w:val="000000"/>
        </w:rPr>
        <w:t xml:space="preserve">pportunity for further comment.  Information about </w:t>
      </w:r>
      <w:r w:rsidR="00272800" w:rsidRPr="00410E06">
        <w:rPr>
          <w:color w:val="000000"/>
        </w:rPr>
        <w:t xml:space="preserve">the </w:t>
      </w:r>
      <w:r w:rsidR="00054B4C" w:rsidRPr="00410E06">
        <w:rPr>
          <w:color w:val="000000"/>
        </w:rPr>
        <w:t xml:space="preserve">schedule and other aspects of the rulemaking, including comments, will be posted on the commission’s web site as it becomes available.  If you </w:t>
      </w:r>
      <w:r w:rsidR="00937BFC">
        <w:rPr>
          <w:color w:val="000000"/>
        </w:rPr>
        <w:t>would like to</w:t>
      </w:r>
      <w:r w:rsidR="00054B4C" w:rsidRPr="00410E06">
        <w:rPr>
          <w:color w:val="000000"/>
        </w:rPr>
        <w:t xml:space="preserve"> receive further information on this rulemaking you may 1) call the Commission’s Records Center at 360-664-1234, 2) e-mail the Commission at </w:t>
      </w:r>
      <w:r w:rsidR="00054B4C" w:rsidRPr="00410E06">
        <w:rPr>
          <w:color w:val="0000FF"/>
          <w:u w:val="single"/>
        </w:rPr>
        <w:t>records@utc.wa.gov,</w:t>
      </w:r>
      <w:r w:rsidR="00054B4C" w:rsidRPr="00410E06">
        <w:rPr>
          <w:color w:val="000000"/>
        </w:rPr>
        <w:t xml:space="preserve"> or 3) mail written comments to the address </w:t>
      </w:r>
      <w:r w:rsidR="00054B4C" w:rsidRPr="00410E06">
        <w:rPr>
          <w:color w:val="000000"/>
        </w:rPr>
        <w:lastRenderedPageBreak/>
        <w:t>below.  When contacting the Commission, please refer to Docket T-101661 to ensure that you are placed on the appropriate service list.  The Commission’s mailing address is:</w:t>
      </w:r>
    </w:p>
    <w:p w:rsidR="00410E06" w:rsidRPr="00410E06" w:rsidRDefault="00410E06" w:rsidP="00410E06">
      <w:pPr>
        <w:pStyle w:val="NoSpacing"/>
        <w:rPr>
          <w:color w:val="000000"/>
        </w:rPr>
      </w:pPr>
    </w:p>
    <w:p w:rsidR="00054B4C" w:rsidRPr="00410E06" w:rsidRDefault="00054B4C" w:rsidP="00410E06">
      <w:pPr>
        <w:pStyle w:val="NoSpacing"/>
        <w:ind w:left="720" w:firstLine="720"/>
        <w:rPr>
          <w:color w:val="000000"/>
        </w:rPr>
      </w:pPr>
      <w:r w:rsidRPr="00410E06">
        <w:rPr>
          <w:color w:val="000000"/>
        </w:rPr>
        <w:t>Executive Director</w:t>
      </w:r>
      <w:r w:rsidR="00272800" w:rsidRPr="00410E06">
        <w:rPr>
          <w:color w:val="000000"/>
        </w:rPr>
        <w:t xml:space="preserve"> and Secretary</w:t>
      </w:r>
    </w:p>
    <w:p w:rsidR="00054B4C" w:rsidRPr="00410E06" w:rsidRDefault="00054B4C" w:rsidP="00410E06">
      <w:pPr>
        <w:pStyle w:val="NoSpacing"/>
        <w:ind w:left="720" w:firstLine="720"/>
        <w:rPr>
          <w:color w:val="000000"/>
        </w:rPr>
      </w:pPr>
      <w:r w:rsidRPr="00410E06">
        <w:rPr>
          <w:color w:val="000000"/>
        </w:rPr>
        <w:t>Washington Utilities and Transportation Commission</w:t>
      </w:r>
    </w:p>
    <w:p w:rsidR="00054B4C" w:rsidRPr="00410E06" w:rsidRDefault="00054B4C" w:rsidP="00410E06">
      <w:pPr>
        <w:pStyle w:val="NoSpacing"/>
        <w:ind w:left="720" w:firstLine="720"/>
        <w:rPr>
          <w:color w:val="000000"/>
        </w:rPr>
      </w:pPr>
      <w:r w:rsidRPr="00410E06">
        <w:rPr>
          <w:color w:val="000000"/>
        </w:rPr>
        <w:t>1300 South Evergreen Park Drive S</w:t>
      </w:r>
      <w:r w:rsidR="00272800" w:rsidRPr="00410E06">
        <w:rPr>
          <w:color w:val="000000"/>
        </w:rPr>
        <w:t>.</w:t>
      </w:r>
      <w:r w:rsidRPr="00410E06">
        <w:rPr>
          <w:color w:val="000000"/>
        </w:rPr>
        <w:t>W</w:t>
      </w:r>
      <w:r w:rsidR="00272800" w:rsidRPr="00410E06">
        <w:rPr>
          <w:color w:val="000000"/>
        </w:rPr>
        <w:t>.</w:t>
      </w:r>
    </w:p>
    <w:p w:rsidR="00054B4C" w:rsidRPr="00410E06" w:rsidRDefault="00054B4C" w:rsidP="00410E06">
      <w:pPr>
        <w:pStyle w:val="NoSpacing"/>
        <w:ind w:left="720" w:firstLine="720"/>
        <w:rPr>
          <w:color w:val="000000"/>
        </w:rPr>
      </w:pPr>
      <w:r w:rsidRPr="00410E06">
        <w:rPr>
          <w:color w:val="000000"/>
        </w:rPr>
        <w:t>P</w:t>
      </w:r>
      <w:r w:rsidR="00272800" w:rsidRPr="00410E06">
        <w:rPr>
          <w:color w:val="000000"/>
        </w:rPr>
        <w:t>.</w:t>
      </w:r>
      <w:r w:rsidRPr="00410E06">
        <w:rPr>
          <w:color w:val="000000"/>
        </w:rPr>
        <w:t>O</w:t>
      </w:r>
      <w:r w:rsidR="00272800" w:rsidRPr="00410E06">
        <w:rPr>
          <w:color w:val="000000"/>
        </w:rPr>
        <w:t>.</w:t>
      </w:r>
      <w:r w:rsidRPr="00410E06">
        <w:rPr>
          <w:color w:val="000000"/>
        </w:rPr>
        <w:t xml:space="preserve"> Box 47250</w:t>
      </w:r>
    </w:p>
    <w:p w:rsidR="00054B4C" w:rsidRPr="00410E06" w:rsidRDefault="00054B4C" w:rsidP="00410E06">
      <w:pPr>
        <w:pStyle w:val="NoSpacing"/>
        <w:ind w:left="720" w:firstLine="720"/>
        <w:rPr>
          <w:color w:val="000000"/>
        </w:rPr>
      </w:pPr>
      <w:r w:rsidRPr="00410E06">
        <w:rPr>
          <w:color w:val="000000"/>
        </w:rPr>
        <w:t>Olympia, Washington 98504-7250</w:t>
      </w:r>
    </w:p>
    <w:p w:rsidR="00CA1AD9" w:rsidRPr="00410E06" w:rsidRDefault="00CA1AD9" w:rsidP="00410E06">
      <w:pPr>
        <w:pStyle w:val="NoSpacing"/>
        <w:rPr>
          <w:b/>
        </w:rPr>
      </w:pPr>
    </w:p>
    <w:p w:rsidR="00054B4C" w:rsidRPr="00410E06" w:rsidRDefault="00054B4C" w:rsidP="00410E06">
      <w:pPr>
        <w:pStyle w:val="NoSpacing"/>
        <w:jc w:val="center"/>
        <w:rPr>
          <w:b/>
        </w:rPr>
      </w:pPr>
      <w:r w:rsidRPr="00410E06">
        <w:rPr>
          <w:b/>
        </w:rPr>
        <w:t>NOTICE</w:t>
      </w:r>
    </w:p>
    <w:p w:rsidR="00410E06" w:rsidRPr="00410E06" w:rsidRDefault="00410E06" w:rsidP="00410E06">
      <w:pPr>
        <w:pStyle w:val="NoSpacing"/>
        <w:rPr>
          <w:b/>
        </w:rPr>
      </w:pPr>
    </w:p>
    <w:p w:rsidR="00054B4C" w:rsidRPr="00410E06" w:rsidRDefault="00D260B1" w:rsidP="00410E06">
      <w:pPr>
        <w:pStyle w:val="NoSpacing"/>
        <w:rPr>
          <w:b/>
          <w:color w:val="000000"/>
          <w:u w:val="single"/>
        </w:rPr>
      </w:pPr>
      <w:r w:rsidRPr="00410E06">
        <w:rPr>
          <w:b/>
          <w:color w:val="000000"/>
        </w:rPr>
        <w:t>Persons filing comments will be included on the distribution list for future information about this rulemaking.  If you want to receive such information but do not want to comment now, you may notify the Executive Director and Secretary in one of the ways described above and ask to be included on the distribution list for Docket T-101661</w:t>
      </w:r>
      <w:r w:rsidR="00054B4C" w:rsidRPr="00410E06">
        <w:rPr>
          <w:b/>
          <w:color w:val="000000"/>
        </w:rPr>
        <w:t xml:space="preserve">.  </w:t>
      </w:r>
      <w:r w:rsidR="00054B4C" w:rsidRPr="00410E06">
        <w:rPr>
          <w:b/>
          <w:color w:val="000000"/>
          <w:u w:val="single"/>
        </w:rPr>
        <w:t xml:space="preserve">If you do not </w:t>
      </w:r>
      <w:r w:rsidR="00344C45" w:rsidRPr="00410E06">
        <w:rPr>
          <w:b/>
          <w:color w:val="000000"/>
          <w:u w:val="single"/>
        </w:rPr>
        <w:t>file comments or request to be included on the distribution list</w:t>
      </w:r>
      <w:r w:rsidR="00054B4C" w:rsidRPr="00410E06">
        <w:rPr>
          <w:b/>
          <w:color w:val="000000"/>
          <w:u w:val="single"/>
        </w:rPr>
        <w:t>, you might not receive further information about this rulemaking.</w:t>
      </w:r>
    </w:p>
    <w:p w:rsidR="00054B4C" w:rsidRPr="00410E06" w:rsidRDefault="00054B4C" w:rsidP="00410E06">
      <w:pPr>
        <w:pStyle w:val="NoSpacing"/>
        <w:rPr>
          <w:color w:val="000000"/>
        </w:rPr>
      </w:pPr>
    </w:p>
    <w:p w:rsidR="00054B4C" w:rsidRPr="00410E06" w:rsidRDefault="00054B4C" w:rsidP="00410E06">
      <w:pPr>
        <w:pStyle w:val="NoSpacing"/>
        <w:rPr>
          <w:color w:val="000000"/>
        </w:rPr>
      </w:pPr>
      <w:r w:rsidRPr="00410E06">
        <w:rPr>
          <w:color w:val="000000"/>
        </w:rPr>
        <w:t>Sincerely,</w:t>
      </w:r>
    </w:p>
    <w:p w:rsidR="00054B4C" w:rsidRPr="00410E06" w:rsidRDefault="00054B4C" w:rsidP="00410E06">
      <w:pPr>
        <w:pStyle w:val="NoSpacing"/>
        <w:rPr>
          <w:color w:val="000000"/>
        </w:rPr>
      </w:pPr>
    </w:p>
    <w:p w:rsidR="00410E06" w:rsidRPr="00410E06" w:rsidRDefault="00410E06" w:rsidP="00410E06">
      <w:pPr>
        <w:pStyle w:val="NoSpacing"/>
        <w:rPr>
          <w:color w:val="000000"/>
        </w:rPr>
      </w:pPr>
    </w:p>
    <w:p w:rsidR="00410E06" w:rsidRPr="00410E06" w:rsidRDefault="00410E06" w:rsidP="00410E06">
      <w:pPr>
        <w:pStyle w:val="NoSpacing"/>
        <w:rPr>
          <w:color w:val="000000"/>
        </w:rPr>
      </w:pPr>
    </w:p>
    <w:p w:rsidR="00054B4C" w:rsidRPr="00410E06" w:rsidRDefault="00054B4C" w:rsidP="00410E06">
      <w:pPr>
        <w:pStyle w:val="NoSpacing"/>
      </w:pPr>
      <w:r w:rsidRPr="00410E06">
        <w:t xml:space="preserve">DAVID </w:t>
      </w:r>
      <w:r w:rsidR="00047ACA" w:rsidRPr="00410E06">
        <w:t xml:space="preserve">W. </w:t>
      </w:r>
      <w:r w:rsidRPr="00410E06">
        <w:t>DANNER</w:t>
      </w:r>
    </w:p>
    <w:p w:rsidR="00054B4C" w:rsidRPr="00410E06" w:rsidRDefault="00054B4C" w:rsidP="00410E06">
      <w:pPr>
        <w:pStyle w:val="NoSpacing"/>
      </w:pPr>
      <w:r w:rsidRPr="00410E06">
        <w:t>Executive Director</w:t>
      </w:r>
      <w:r w:rsidR="00047ACA" w:rsidRPr="00410E06">
        <w:t xml:space="preserve"> and Secretary</w:t>
      </w:r>
    </w:p>
    <w:p w:rsidR="00054B4C" w:rsidRPr="00410E06" w:rsidRDefault="00054B4C" w:rsidP="00410E06">
      <w:pPr>
        <w:pStyle w:val="NoSpacing"/>
        <w:rPr>
          <w:rFonts w:cs="Times New Roman"/>
        </w:rPr>
      </w:pPr>
    </w:p>
    <w:sectPr w:rsidR="00054B4C" w:rsidRPr="00410E06" w:rsidSect="00CE2063">
      <w:headerReference w:type="default" r:id="rId13"/>
      <w:pgSz w:w="12240" w:h="15840" w:code="1"/>
      <w:pgMar w:top="1440" w:right="1440" w:bottom="1440" w:left="1800" w:header="1440" w:footer="0" w:gutter="0"/>
      <w:paperSrc w:first="262" w:other="259"/>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2D9" w:rsidRDefault="009F42D9" w:rsidP="00054B4C">
      <w:r>
        <w:separator/>
      </w:r>
    </w:p>
  </w:endnote>
  <w:endnote w:type="continuationSeparator" w:id="0">
    <w:p w:rsidR="009F42D9" w:rsidRDefault="009F42D9" w:rsidP="00054B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2D9" w:rsidRDefault="009F42D9" w:rsidP="00054B4C">
      <w:r>
        <w:separator/>
      </w:r>
    </w:p>
  </w:footnote>
  <w:footnote w:type="continuationSeparator" w:id="0">
    <w:p w:rsidR="009F42D9" w:rsidRDefault="009F42D9" w:rsidP="00054B4C">
      <w:r>
        <w:continuationSeparator/>
      </w:r>
    </w:p>
  </w:footnote>
  <w:footnote w:id="1">
    <w:p w:rsidR="009F42D9" w:rsidRDefault="009F42D9" w:rsidP="00054B4C">
      <w:pPr>
        <w:pStyle w:val="FootnoteText"/>
      </w:pPr>
      <w:r>
        <w:rPr>
          <w:rStyle w:val="FootnoteReference"/>
        </w:rPr>
        <w:footnoteRef/>
      </w:r>
      <w:r>
        <w:t xml:space="preserve"> See Order 03 in the same docket</w:t>
      </w:r>
      <w:r w:rsidR="00762D26">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2D9" w:rsidRDefault="009F42D9">
    <w:pPr>
      <w:pStyle w:val="Header"/>
      <w:tabs>
        <w:tab w:val="clear" w:pos="9360"/>
        <w:tab w:val="right" w:pos="8640"/>
      </w:tabs>
      <w:rPr>
        <w:b/>
        <w:sz w:val="20"/>
      </w:rPr>
    </w:pPr>
    <w:r w:rsidRPr="00FD05BE">
      <w:rPr>
        <w:b/>
        <w:sz w:val="20"/>
      </w:rPr>
      <w:t>DOCKET T-101661</w:t>
    </w:r>
    <w:r w:rsidRPr="00FD05BE">
      <w:rPr>
        <w:b/>
        <w:sz w:val="20"/>
      </w:rPr>
      <w:tab/>
    </w:r>
    <w:r w:rsidRPr="00FD05BE">
      <w:rPr>
        <w:b/>
        <w:sz w:val="20"/>
      </w:rPr>
      <w:tab/>
      <w:t xml:space="preserve">PAGE </w:t>
    </w:r>
    <w:r w:rsidR="00803D67" w:rsidRPr="00FD05BE">
      <w:rPr>
        <w:b/>
        <w:sz w:val="20"/>
      </w:rPr>
      <w:fldChar w:fldCharType="begin"/>
    </w:r>
    <w:r w:rsidRPr="00FD05BE">
      <w:rPr>
        <w:b/>
        <w:sz w:val="20"/>
      </w:rPr>
      <w:instrText xml:space="preserve"> PAGE   \* MERGEFORMAT </w:instrText>
    </w:r>
    <w:r w:rsidR="00803D67" w:rsidRPr="00FD05BE">
      <w:rPr>
        <w:b/>
        <w:sz w:val="20"/>
      </w:rPr>
      <w:fldChar w:fldCharType="separate"/>
    </w:r>
    <w:r w:rsidR="00DF6683">
      <w:rPr>
        <w:b/>
        <w:noProof/>
        <w:sz w:val="20"/>
      </w:rPr>
      <w:t>4</w:t>
    </w:r>
    <w:r w:rsidR="00803D67" w:rsidRPr="00FD05BE">
      <w:rPr>
        <w:b/>
        <w:sz w:val="20"/>
      </w:rPr>
      <w:fldChar w:fldCharType="end"/>
    </w:r>
  </w:p>
  <w:p w:rsidR="009F42D9" w:rsidRDefault="009F42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E318E"/>
    <w:multiLevelType w:val="hybridMultilevel"/>
    <w:tmpl w:val="E4042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E78CB"/>
    <w:multiLevelType w:val="hybridMultilevel"/>
    <w:tmpl w:val="34D43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410370"/>
    <w:multiLevelType w:val="hybridMultilevel"/>
    <w:tmpl w:val="56A6A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8766EF"/>
    <w:multiLevelType w:val="hybridMultilevel"/>
    <w:tmpl w:val="364A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54B4C"/>
    <w:rsid w:val="0001172D"/>
    <w:rsid w:val="000259FC"/>
    <w:rsid w:val="000363B8"/>
    <w:rsid w:val="00047ACA"/>
    <w:rsid w:val="00054B4C"/>
    <w:rsid w:val="00076D36"/>
    <w:rsid w:val="0008035C"/>
    <w:rsid w:val="000879DA"/>
    <w:rsid w:val="000A7BB9"/>
    <w:rsid w:val="000B17DA"/>
    <w:rsid w:val="000C6F04"/>
    <w:rsid w:val="000D42A6"/>
    <w:rsid w:val="000E6358"/>
    <w:rsid w:val="0010178E"/>
    <w:rsid w:val="0016656A"/>
    <w:rsid w:val="00173FE3"/>
    <w:rsid w:val="001750AC"/>
    <w:rsid w:val="00192193"/>
    <w:rsid w:val="001B1E79"/>
    <w:rsid w:val="001B22B6"/>
    <w:rsid w:val="001C5AB1"/>
    <w:rsid w:val="00260E6E"/>
    <w:rsid w:val="0026661F"/>
    <w:rsid w:val="00272800"/>
    <w:rsid w:val="00296952"/>
    <w:rsid w:val="002A4675"/>
    <w:rsid w:val="002B2F81"/>
    <w:rsid w:val="002C039A"/>
    <w:rsid w:val="002E5AB8"/>
    <w:rsid w:val="002F60C4"/>
    <w:rsid w:val="00307D21"/>
    <w:rsid w:val="00324588"/>
    <w:rsid w:val="00324D25"/>
    <w:rsid w:val="003276B9"/>
    <w:rsid w:val="00335FC3"/>
    <w:rsid w:val="00344C45"/>
    <w:rsid w:val="00385929"/>
    <w:rsid w:val="003A5584"/>
    <w:rsid w:val="003F58FD"/>
    <w:rsid w:val="00410E06"/>
    <w:rsid w:val="004331E6"/>
    <w:rsid w:val="00443D88"/>
    <w:rsid w:val="00474599"/>
    <w:rsid w:val="0047553A"/>
    <w:rsid w:val="00490986"/>
    <w:rsid w:val="00496D33"/>
    <w:rsid w:val="004A130D"/>
    <w:rsid w:val="00551184"/>
    <w:rsid w:val="005A5233"/>
    <w:rsid w:val="005D12DB"/>
    <w:rsid w:val="006105F8"/>
    <w:rsid w:val="00622265"/>
    <w:rsid w:val="00640B13"/>
    <w:rsid w:val="00654760"/>
    <w:rsid w:val="00664958"/>
    <w:rsid w:val="00664CAD"/>
    <w:rsid w:val="00694EFC"/>
    <w:rsid w:val="006B5C1C"/>
    <w:rsid w:val="006D6003"/>
    <w:rsid w:val="006F7629"/>
    <w:rsid w:val="00702F0F"/>
    <w:rsid w:val="007057D1"/>
    <w:rsid w:val="00716E7D"/>
    <w:rsid w:val="00721D96"/>
    <w:rsid w:val="007241D6"/>
    <w:rsid w:val="00735C91"/>
    <w:rsid w:val="00737C4B"/>
    <w:rsid w:val="007532C2"/>
    <w:rsid w:val="00762D26"/>
    <w:rsid w:val="007B1E25"/>
    <w:rsid w:val="007B37BD"/>
    <w:rsid w:val="007B3812"/>
    <w:rsid w:val="007C719F"/>
    <w:rsid w:val="007D12EF"/>
    <w:rsid w:val="007D1BA3"/>
    <w:rsid w:val="007E23B4"/>
    <w:rsid w:val="007F1BFD"/>
    <w:rsid w:val="00803D67"/>
    <w:rsid w:val="00805FAF"/>
    <w:rsid w:val="00811E7F"/>
    <w:rsid w:val="008A34AF"/>
    <w:rsid w:val="008B6360"/>
    <w:rsid w:val="008C1AA9"/>
    <w:rsid w:val="008F499F"/>
    <w:rsid w:val="008F4B8E"/>
    <w:rsid w:val="008F5E3E"/>
    <w:rsid w:val="009114D6"/>
    <w:rsid w:val="009275B2"/>
    <w:rsid w:val="00937BFC"/>
    <w:rsid w:val="0094241A"/>
    <w:rsid w:val="0096290B"/>
    <w:rsid w:val="0096290E"/>
    <w:rsid w:val="00984ED9"/>
    <w:rsid w:val="00995B1A"/>
    <w:rsid w:val="009A1DB3"/>
    <w:rsid w:val="009D22E0"/>
    <w:rsid w:val="009E7811"/>
    <w:rsid w:val="009F1D6E"/>
    <w:rsid w:val="009F42D9"/>
    <w:rsid w:val="009F6CBA"/>
    <w:rsid w:val="00A019A3"/>
    <w:rsid w:val="00A44155"/>
    <w:rsid w:val="00A64FDF"/>
    <w:rsid w:val="00A67F3E"/>
    <w:rsid w:val="00A84C2A"/>
    <w:rsid w:val="00AA5126"/>
    <w:rsid w:val="00AE0493"/>
    <w:rsid w:val="00AE56C4"/>
    <w:rsid w:val="00AF07A5"/>
    <w:rsid w:val="00B02282"/>
    <w:rsid w:val="00B21388"/>
    <w:rsid w:val="00B62BAC"/>
    <w:rsid w:val="00B804C7"/>
    <w:rsid w:val="00B94AFC"/>
    <w:rsid w:val="00BB6188"/>
    <w:rsid w:val="00BC0762"/>
    <w:rsid w:val="00BC4FFA"/>
    <w:rsid w:val="00BD2544"/>
    <w:rsid w:val="00BD60D5"/>
    <w:rsid w:val="00BE3395"/>
    <w:rsid w:val="00BE607C"/>
    <w:rsid w:val="00C002C5"/>
    <w:rsid w:val="00C33710"/>
    <w:rsid w:val="00C46B6C"/>
    <w:rsid w:val="00C75523"/>
    <w:rsid w:val="00CA1AD9"/>
    <w:rsid w:val="00CE2063"/>
    <w:rsid w:val="00CE2FD8"/>
    <w:rsid w:val="00CF199B"/>
    <w:rsid w:val="00D24C81"/>
    <w:rsid w:val="00D260B1"/>
    <w:rsid w:val="00D87F1F"/>
    <w:rsid w:val="00D94049"/>
    <w:rsid w:val="00DA1F3E"/>
    <w:rsid w:val="00DD2A47"/>
    <w:rsid w:val="00DF0509"/>
    <w:rsid w:val="00DF6683"/>
    <w:rsid w:val="00E26CF4"/>
    <w:rsid w:val="00E67E22"/>
    <w:rsid w:val="00E86E3F"/>
    <w:rsid w:val="00EA22F7"/>
    <w:rsid w:val="00EA58E0"/>
    <w:rsid w:val="00EA6D49"/>
    <w:rsid w:val="00EB490A"/>
    <w:rsid w:val="00EB5060"/>
    <w:rsid w:val="00EC4EE3"/>
    <w:rsid w:val="00F61E20"/>
    <w:rsid w:val="00FD05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5"/>
        <w:szCs w:val="25"/>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B4C"/>
    <w:pPr>
      <w:spacing w:after="0" w:line="240" w:lineRule="auto"/>
    </w:pPr>
    <w:rPr>
      <w:rFonts w:eastAsia="Times New Roman" w:cs="Times New Roman"/>
      <w:sz w:val="24"/>
      <w:szCs w:val="20"/>
    </w:rPr>
  </w:style>
  <w:style w:type="paragraph" w:styleId="Heading1">
    <w:name w:val="heading 1"/>
    <w:basedOn w:val="Normal"/>
    <w:next w:val="Normal"/>
    <w:link w:val="Heading1Char"/>
    <w:uiPriority w:val="9"/>
    <w:qFormat/>
    <w:rsid w:val="0010178E"/>
    <w:pPr>
      <w:keepNext/>
      <w:keepLines/>
      <w:spacing w:before="480"/>
      <w:jc w:val="center"/>
      <w:outlineLvl w:val="0"/>
    </w:pPr>
    <w:rPr>
      <w:rFonts w:eastAsiaTheme="majorEastAsia" w:cstheme="majorBidi"/>
      <w:b/>
      <w:bCs/>
      <w:sz w:val="25"/>
      <w:szCs w:val="28"/>
    </w:rPr>
  </w:style>
  <w:style w:type="paragraph" w:styleId="Heading2">
    <w:name w:val="heading 2"/>
    <w:basedOn w:val="Normal"/>
    <w:next w:val="Normal"/>
    <w:link w:val="Heading2Char"/>
    <w:uiPriority w:val="9"/>
    <w:unhideWhenUsed/>
    <w:qFormat/>
    <w:rsid w:val="0010178E"/>
    <w:pPr>
      <w:keepNext/>
      <w:keepLines/>
      <w:spacing w:before="200"/>
      <w:outlineLvl w:val="1"/>
    </w:pPr>
    <w:rPr>
      <w:rFonts w:eastAsiaTheme="majorEastAsia" w:cstheme="majorBidi"/>
      <w:b/>
      <w:bCs/>
      <w:sz w:val="25"/>
      <w:szCs w:val="26"/>
    </w:rPr>
  </w:style>
  <w:style w:type="paragraph" w:styleId="Heading3">
    <w:name w:val="heading 3"/>
    <w:basedOn w:val="Normal"/>
    <w:next w:val="Normal"/>
    <w:link w:val="Heading3Char"/>
    <w:uiPriority w:val="9"/>
    <w:unhideWhenUsed/>
    <w:qFormat/>
    <w:rsid w:val="0010178E"/>
    <w:pPr>
      <w:keepNext/>
      <w:keepLines/>
      <w:spacing w:line="264" w:lineRule="auto"/>
      <w:ind w:left="720"/>
      <w:outlineLvl w:val="2"/>
    </w:pPr>
    <w:rPr>
      <w:rFonts w:eastAsiaTheme="majorEastAsia" w:cstheme="majorBidi"/>
      <w:b/>
      <w:bCs/>
      <w:sz w:val="25"/>
    </w:rPr>
  </w:style>
  <w:style w:type="paragraph" w:styleId="Heading5">
    <w:name w:val="heading 5"/>
    <w:basedOn w:val="Normal"/>
    <w:next w:val="Normal"/>
    <w:link w:val="Heading5Char"/>
    <w:uiPriority w:val="9"/>
    <w:unhideWhenUsed/>
    <w:qFormat/>
    <w:rsid w:val="0010178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017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0178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0178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0178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178E"/>
    <w:pPr>
      <w:spacing w:after="0" w:line="240" w:lineRule="auto"/>
    </w:pPr>
  </w:style>
  <w:style w:type="character" w:customStyle="1" w:styleId="Heading1Char">
    <w:name w:val="Heading 1 Char"/>
    <w:basedOn w:val="DefaultParagraphFont"/>
    <w:link w:val="Heading1"/>
    <w:uiPriority w:val="9"/>
    <w:rsid w:val="0010178E"/>
    <w:rPr>
      <w:rFonts w:eastAsiaTheme="majorEastAsia" w:cstheme="majorBidi"/>
      <w:b/>
      <w:bCs/>
      <w:szCs w:val="28"/>
    </w:rPr>
  </w:style>
  <w:style w:type="paragraph" w:styleId="FootnoteText">
    <w:name w:val="footnote text"/>
    <w:basedOn w:val="Normal"/>
    <w:link w:val="FootnoteTextChar"/>
    <w:uiPriority w:val="99"/>
    <w:unhideWhenUsed/>
    <w:rsid w:val="0026661F"/>
    <w:pPr>
      <w:spacing w:line="360" w:lineRule="auto"/>
    </w:pPr>
    <w:rPr>
      <w:sz w:val="22"/>
    </w:rPr>
  </w:style>
  <w:style w:type="character" w:customStyle="1" w:styleId="FootnoteTextChar">
    <w:name w:val="Footnote Text Char"/>
    <w:basedOn w:val="DefaultParagraphFont"/>
    <w:link w:val="FootnoteText"/>
    <w:uiPriority w:val="99"/>
    <w:rsid w:val="0026661F"/>
    <w:rPr>
      <w:sz w:val="22"/>
      <w:szCs w:val="20"/>
    </w:rPr>
  </w:style>
  <w:style w:type="character" w:customStyle="1" w:styleId="Heading2Char">
    <w:name w:val="Heading 2 Char"/>
    <w:basedOn w:val="DefaultParagraphFont"/>
    <w:link w:val="Heading2"/>
    <w:uiPriority w:val="9"/>
    <w:rsid w:val="0010178E"/>
    <w:rPr>
      <w:rFonts w:eastAsiaTheme="majorEastAsia" w:cstheme="majorBidi"/>
      <w:b/>
      <w:bCs/>
      <w:szCs w:val="26"/>
    </w:rPr>
  </w:style>
  <w:style w:type="character" w:customStyle="1" w:styleId="Heading3Char">
    <w:name w:val="Heading 3 Char"/>
    <w:basedOn w:val="DefaultParagraphFont"/>
    <w:link w:val="Heading3"/>
    <w:uiPriority w:val="9"/>
    <w:rsid w:val="0010178E"/>
    <w:rPr>
      <w:rFonts w:eastAsiaTheme="majorEastAsia" w:cstheme="majorBidi"/>
      <w:b/>
      <w:bCs/>
    </w:rPr>
  </w:style>
  <w:style w:type="character" w:customStyle="1" w:styleId="Heading5Char">
    <w:name w:val="Heading 5 Char"/>
    <w:basedOn w:val="DefaultParagraphFont"/>
    <w:link w:val="Heading5"/>
    <w:uiPriority w:val="9"/>
    <w:rsid w:val="0010178E"/>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10178E"/>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rsid w:val="0010178E"/>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10178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0178E"/>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054B4C"/>
    <w:rPr>
      <w:color w:val="0000FF" w:themeColor="hyperlink"/>
      <w:u w:val="single"/>
    </w:rPr>
  </w:style>
  <w:style w:type="character" w:styleId="FootnoteReference">
    <w:name w:val="footnote reference"/>
    <w:basedOn w:val="DefaultParagraphFont"/>
    <w:uiPriority w:val="99"/>
    <w:semiHidden/>
    <w:unhideWhenUsed/>
    <w:rsid w:val="00054B4C"/>
    <w:rPr>
      <w:vertAlign w:val="superscript"/>
    </w:rPr>
  </w:style>
  <w:style w:type="table" w:styleId="TableGrid">
    <w:name w:val="Table Grid"/>
    <w:basedOn w:val="TableNormal"/>
    <w:uiPriority w:val="59"/>
    <w:rsid w:val="00054B4C"/>
    <w:pPr>
      <w:spacing w:after="0" w:line="240" w:lineRule="auto"/>
    </w:pPr>
    <w:rPr>
      <w:rFonts w:asciiTheme="minorHAnsi" w:hAnsi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54B4C"/>
    <w:pPr>
      <w:ind w:left="720"/>
      <w:contextualSpacing/>
    </w:pPr>
  </w:style>
  <w:style w:type="paragraph" w:styleId="Header">
    <w:name w:val="header"/>
    <w:basedOn w:val="Normal"/>
    <w:link w:val="HeaderChar"/>
    <w:uiPriority w:val="99"/>
    <w:unhideWhenUsed/>
    <w:rsid w:val="00047ACA"/>
    <w:pPr>
      <w:tabs>
        <w:tab w:val="center" w:pos="4680"/>
        <w:tab w:val="right" w:pos="9360"/>
      </w:tabs>
    </w:pPr>
  </w:style>
  <w:style w:type="character" w:customStyle="1" w:styleId="HeaderChar">
    <w:name w:val="Header Char"/>
    <w:basedOn w:val="DefaultParagraphFont"/>
    <w:link w:val="Header"/>
    <w:uiPriority w:val="99"/>
    <w:rsid w:val="00047ACA"/>
    <w:rPr>
      <w:rFonts w:eastAsia="Times New Roman" w:cs="Times New Roman"/>
      <w:sz w:val="24"/>
      <w:szCs w:val="20"/>
    </w:rPr>
  </w:style>
  <w:style w:type="paragraph" w:styleId="Footer">
    <w:name w:val="footer"/>
    <w:basedOn w:val="Normal"/>
    <w:link w:val="FooterChar"/>
    <w:uiPriority w:val="99"/>
    <w:semiHidden/>
    <w:unhideWhenUsed/>
    <w:rsid w:val="00047ACA"/>
    <w:pPr>
      <w:tabs>
        <w:tab w:val="center" w:pos="4680"/>
        <w:tab w:val="right" w:pos="9360"/>
      </w:tabs>
    </w:pPr>
  </w:style>
  <w:style w:type="character" w:customStyle="1" w:styleId="FooterChar">
    <w:name w:val="Footer Char"/>
    <w:basedOn w:val="DefaultParagraphFont"/>
    <w:link w:val="Footer"/>
    <w:uiPriority w:val="99"/>
    <w:semiHidden/>
    <w:rsid w:val="00047ACA"/>
    <w:rPr>
      <w:rFonts w:eastAsia="Times New Roman" w:cs="Times New Roman"/>
      <w:sz w:val="24"/>
      <w:szCs w:val="20"/>
    </w:rPr>
  </w:style>
  <w:style w:type="paragraph" w:styleId="BalloonText">
    <w:name w:val="Balloon Text"/>
    <w:basedOn w:val="Normal"/>
    <w:link w:val="BalloonTextChar"/>
    <w:uiPriority w:val="99"/>
    <w:semiHidden/>
    <w:unhideWhenUsed/>
    <w:rsid w:val="006105F8"/>
    <w:rPr>
      <w:rFonts w:ascii="Tahoma" w:hAnsi="Tahoma" w:cs="Tahoma"/>
      <w:sz w:val="16"/>
      <w:szCs w:val="16"/>
    </w:rPr>
  </w:style>
  <w:style w:type="character" w:customStyle="1" w:styleId="BalloonTextChar">
    <w:name w:val="Balloon Text Char"/>
    <w:basedOn w:val="DefaultParagraphFont"/>
    <w:link w:val="BalloonText"/>
    <w:uiPriority w:val="99"/>
    <w:semiHidden/>
    <w:rsid w:val="006105F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105F8"/>
    <w:rPr>
      <w:sz w:val="16"/>
      <w:szCs w:val="16"/>
    </w:rPr>
  </w:style>
  <w:style w:type="paragraph" w:styleId="CommentText">
    <w:name w:val="annotation text"/>
    <w:basedOn w:val="Normal"/>
    <w:link w:val="CommentTextChar"/>
    <w:uiPriority w:val="99"/>
    <w:semiHidden/>
    <w:unhideWhenUsed/>
    <w:rsid w:val="006105F8"/>
    <w:rPr>
      <w:sz w:val="20"/>
    </w:rPr>
  </w:style>
  <w:style w:type="character" w:customStyle="1" w:styleId="CommentTextChar">
    <w:name w:val="Comment Text Char"/>
    <w:basedOn w:val="DefaultParagraphFont"/>
    <w:link w:val="CommentText"/>
    <w:uiPriority w:val="99"/>
    <w:semiHidden/>
    <w:rsid w:val="006105F8"/>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05F8"/>
    <w:rPr>
      <w:b/>
      <w:bCs/>
    </w:rPr>
  </w:style>
  <w:style w:type="character" w:customStyle="1" w:styleId="CommentSubjectChar">
    <w:name w:val="Comment Subject Char"/>
    <w:basedOn w:val="CommentTextChar"/>
    <w:link w:val="CommentSubject"/>
    <w:uiPriority w:val="99"/>
    <w:semiHidden/>
    <w:rsid w:val="006105F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c.wa.gov/101661" TargetMode="Externa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gomez@utc.wa.gov"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c.wa.gov/10166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cords@utc.wa.gov"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www.utc.wa.gov/e-fil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CR-101</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2010-10-19T07:00:00+00:00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FFF57F5-A0BB-4680-8A37-F42DA7FD715B}"/>
</file>

<file path=customXml/itemProps2.xml><?xml version="1.0" encoding="utf-8"?>
<ds:datastoreItem xmlns:ds="http://schemas.openxmlformats.org/officeDocument/2006/customXml" ds:itemID="{D4891662-1DAF-4758-A0C6-C161E51D3F98}"/>
</file>

<file path=customXml/itemProps3.xml><?xml version="1.0" encoding="utf-8"?>
<ds:datastoreItem xmlns:ds="http://schemas.openxmlformats.org/officeDocument/2006/customXml" ds:itemID="{CEE5E40A-06E1-4E3E-A13D-6037CFB5F16B}"/>
</file>

<file path=customXml/itemProps4.xml><?xml version="1.0" encoding="utf-8"?>
<ds:datastoreItem xmlns:ds="http://schemas.openxmlformats.org/officeDocument/2006/customXml" ds:itemID="{A451A8B6-20D1-49B1-90D2-B4B73269A5FE}"/>
</file>

<file path=customXml/itemProps5.xml><?xml version="1.0" encoding="utf-8"?>
<ds:datastoreItem xmlns:ds="http://schemas.openxmlformats.org/officeDocument/2006/customXml" ds:itemID="{C46A212E-FE2A-4054-9E69-E05AB13DF88F}"/>
</file>

<file path=docProps/app.xml><?xml version="1.0" encoding="utf-8"?>
<Properties xmlns="http://schemas.openxmlformats.org/officeDocument/2006/extended-properties" xmlns:vt="http://schemas.openxmlformats.org/officeDocument/2006/docPropsVTypes">
  <Template>Normal.dotm</Template>
  <TotalTime>38</TotalTime>
  <Pages>4</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Kippi Walker</dc:creator>
  <cp:keywords/>
  <dc:description/>
  <cp:lastModifiedBy>Kippi Walker</cp:lastModifiedBy>
  <cp:revision>7</cp:revision>
  <cp:lastPrinted>2010-10-18T21:14:00Z</cp:lastPrinted>
  <dcterms:created xsi:type="dcterms:W3CDTF">2010-10-18T19:27:00Z</dcterms:created>
  <dcterms:modified xsi:type="dcterms:W3CDTF">2010-10-19T14:32:00Z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