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D807FF" w:rsidRDefault="009276E9" w:rsidP="00593CE4">
      <w:pPr>
        <w:spacing w:line="264" w:lineRule="auto"/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[Service Date May 11, 2012]</w:t>
      </w:r>
    </w:p>
    <w:p w:rsidR="00903E77" w:rsidRPr="00D807FF" w:rsidRDefault="00903E77" w:rsidP="00593CE4">
      <w:pPr>
        <w:spacing w:line="264" w:lineRule="auto"/>
        <w:jc w:val="center"/>
        <w:rPr>
          <w:sz w:val="25"/>
          <w:szCs w:val="25"/>
        </w:rPr>
      </w:pPr>
    </w:p>
    <w:p w:rsidR="00CD5E71" w:rsidRPr="00D807FF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043699" w:rsidP="00593CE4">
      <w:pPr>
        <w:spacing w:line="264" w:lineRule="auto"/>
        <w:jc w:val="center"/>
        <w:rPr>
          <w:sz w:val="25"/>
          <w:szCs w:val="25"/>
        </w:rPr>
      </w:pPr>
      <w:r w:rsidRPr="00D807FF">
        <w:rPr>
          <w:sz w:val="25"/>
          <w:szCs w:val="25"/>
        </w:rPr>
        <w:t>May 1</w:t>
      </w:r>
      <w:r w:rsidR="002512F9" w:rsidRPr="00D807FF">
        <w:rPr>
          <w:sz w:val="25"/>
          <w:szCs w:val="25"/>
        </w:rPr>
        <w:t>1</w:t>
      </w:r>
      <w:r w:rsidRPr="00D807FF">
        <w:rPr>
          <w:sz w:val="25"/>
          <w:szCs w:val="25"/>
        </w:rPr>
        <w:t>, 2012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Energy, Inc.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UE-</w:t>
      </w:r>
      <w:r w:rsidR="008A0C15" w:rsidRPr="00D807FF">
        <w:rPr>
          <w:sz w:val="25"/>
          <w:szCs w:val="25"/>
        </w:rPr>
        <w:t>111</w:t>
      </w:r>
      <w:r w:rsidR="00043699" w:rsidRPr="00D807FF">
        <w:rPr>
          <w:sz w:val="25"/>
          <w:szCs w:val="25"/>
        </w:rPr>
        <w:t xml:space="preserve">048 &amp; UG-111049 </w:t>
      </w:r>
      <w:r w:rsidR="00043699" w:rsidRPr="00D807FF">
        <w:rPr>
          <w:i/>
          <w:sz w:val="25"/>
          <w:szCs w:val="25"/>
        </w:rPr>
        <w:t>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043699" w:rsidRPr="00D807FF">
        <w:rPr>
          <w:sz w:val="25"/>
          <w:szCs w:val="25"/>
        </w:rPr>
        <w:t>8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>Rejecting Tariff Sheets; Authorizing and Requiring Compliance Filing, in these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on </w:t>
      </w:r>
      <w:r w:rsidR="008A0C15" w:rsidRPr="00D807FF">
        <w:rPr>
          <w:sz w:val="25"/>
          <w:szCs w:val="25"/>
        </w:rPr>
        <w:t>Ma</w:t>
      </w:r>
      <w:r w:rsidR="00043699" w:rsidRPr="00D807FF">
        <w:rPr>
          <w:sz w:val="25"/>
          <w:szCs w:val="25"/>
        </w:rPr>
        <w:t>y</w:t>
      </w:r>
      <w:r w:rsidR="008A0C15" w:rsidRPr="00D807FF">
        <w:rPr>
          <w:sz w:val="25"/>
          <w:szCs w:val="25"/>
        </w:rPr>
        <w:t xml:space="preserve"> </w:t>
      </w:r>
      <w:r w:rsidR="00043699" w:rsidRPr="00D807FF">
        <w:rPr>
          <w:sz w:val="25"/>
          <w:szCs w:val="25"/>
        </w:rPr>
        <w:t>7</w:t>
      </w:r>
      <w:r w:rsidR="008A0C15" w:rsidRPr="00D807FF">
        <w:rPr>
          <w:sz w:val="25"/>
          <w:szCs w:val="25"/>
        </w:rPr>
        <w:t>, 2012</w:t>
      </w:r>
      <w:r w:rsidRPr="00D807FF">
        <w:rPr>
          <w:sz w:val="25"/>
          <w:szCs w:val="25"/>
        </w:rPr>
        <w:t xml:space="preserve">.  The </w:t>
      </w:r>
      <w:r w:rsidR="00743DDE" w:rsidRPr="00D807FF">
        <w:rPr>
          <w:sz w:val="25"/>
          <w:szCs w:val="25"/>
        </w:rPr>
        <w:t>O</w:t>
      </w:r>
      <w:r w:rsidRPr="00D807FF">
        <w:rPr>
          <w:sz w:val="25"/>
          <w:szCs w:val="25"/>
        </w:rPr>
        <w:t xml:space="preserve">rder, among other things, rejected </w:t>
      </w:r>
      <w:r w:rsidR="00792BC9" w:rsidRPr="00D807FF">
        <w:rPr>
          <w:sz w:val="25"/>
          <w:szCs w:val="25"/>
        </w:rPr>
        <w:t>tariff proposals</w:t>
      </w:r>
      <w:r w:rsidRPr="00D807FF">
        <w:rPr>
          <w:sz w:val="25"/>
          <w:szCs w:val="25"/>
        </w:rPr>
        <w:t xml:space="preserve"> by </w:t>
      </w:r>
      <w:r w:rsidR="00043699" w:rsidRPr="00D807FF">
        <w:rPr>
          <w:sz w:val="25"/>
          <w:szCs w:val="25"/>
        </w:rPr>
        <w:t>Puget Sound Energy, Inc.</w:t>
      </w:r>
      <w:r w:rsidR="00832B95">
        <w:rPr>
          <w:sz w:val="25"/>
          <w:szCs w:val="25"/>
        </w:rPr>
        <w:t xml:space="preserve"> (PSE)</w:t>
      </w:r>
      <w:r w:rsidR="00043699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C001C7" w:rsidRPr="00D807FF">
        <w:rPr>
          <w:sz w:val="25"/>
          <w:szCs w:val="25"/>
        </w:rPr>
        <w:t>b</w:t>
      </w:r>
      <w:r w:rsidRPr="00D807FF">
        <w:rPr>
          <w:sz w:val="25"/>
          <w:szCs w:val="25"/>
        </w:rPr>
        <w:t xml:space="preserve">ut authorized </w:t>
      </w:r>
      <w:r w:rsidR="00701C69" w:rsidRPr="00D807FF">
        <w:rPr>
          <w:sz w:val="25"/>
          <w:szCs w:val="25"/>
        </w:rPr>
        <w:t xml:space="preserve">the Commission Secretary to approve by letter, with copies to all parties, revised tariff sheets </w:t>
      </w:r>
      <w:r w:rsidR="003B3116" w:rsidRPr="00D807FF">
        <w:rPr>
          <w:sz w:val="25"/>
          <w:szCs w:val="25"/>
        </w:rPr>
        <w:t>that comply with the requirements of Order 08.</w:t>
      </w:r>
      <w:r w:rsidR="00701C69" w:rsidRPr="00D807FF">
        <w:rPr>
          <w:sz w:val="25"/>
          <w:szCs w:val="25"/>
        </w:rPr>
        <w:t xml:space="preserve"> </w:t>
      </w:r>
      <w:r w:rsidR="00593CE4" w:rsidRPr="00D807FF">
        <w:rPr>
          <w:sz w:val="25"/>
          <w:szCs w:val="25"/>
        </w:rPr>
        <w:t xml:space="preserve"> </w:t>
      </w:r>
    </w:p>
    <w:p w:rsidR="00832B95" w:rsidRDefault="00832B95" w:rsidP="00593CE4">
      <w:pPr>
        <w:spacing w:line="264" w:lineRule="auto"/>
        <w:rPr>
          <w:sz w:val="25"/>
          <w:szCs w:val="25"/>
        </w:rPr>
      </w:pPr>
    </w:p>
    <w:p w:rsidR="00984FE4" w:rsidRPr="00D807FF" w:rsidRDefault="00832B95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May 9, 2012, PSE filed electric and natural gas tariff sheets as specified in the order.  </w:t>
      </w:r>
      <w:r w:rsidR="00981E37">
        <w:rPr>
          <w:sz w:val="25"/>
          <w:szCs w:val="25"/>
        </w:rPr>
        <w:t>O</w:t>
      </w:r>
      <w:r>
        <w:rPr>
          <w:sz w:val="25"/>
          <w:szCs w:val="25"/>
        </w:rPr>
        <w:t xml:space="preserve">n May 10, 2012, PSE filed </w:t>
      </w:r>
      <w:r w:rsidR="00981E37">
        <w:rPr>
          <w:sz w:val="25"/>
          <w:szCs w:val="25"/>
        </w:rPr>
        <w:t xml:space="preserve">a substitute </w:t>
      </w:r>
      <w:r>
        <w:rPr>
          <w:sz w:val="25"/>
          <w:szCs w:val="25"/>
        </w:rPr>
        <w:t>natural gas tariff sheet No. 141-A which was inadvertently omitted from the May 9 filing.</w:t>
      </w:r>
      <w:r w:rsidR="00981E37">
        <w:rPr>
          <w:sz w:val="25"/>
          <w:szCs w:val="25"/>
        </w:rPr>
        <w:t xml:space="preserve">  </w:t>
      </w:r>
      <w:r w:rsidR="00984FE4" w:rsidRPr="00D807FF">
        <w:rPr>
          <w:sz w:val="25"/>
          <w:szCs w:val="25"/>
        </w:rPr>
        <w:t xml:space="preserve">A list of the tariff sheets is attached to this letter.  The Commission has examined the filing and it appears to comply with the terms of </w:t>
      </w:r>
      <w:r w:rsidR="00743DDE" w:rsidRPr="00D807FF">
        <w:rPr>
          <w:sz w:val="25"/>
          <w:szCs w:val="25"/>
        </w:rPr>
        <w:t>O</w:t>
      </w:r>
      <w:r w:rsidR="00984FE4" w:rsidRPr="00D807FF">
        <w:rPr>
          <w:sz w:val="25"/>
          <w:szCs w:val="25"/>
        </w:rPr>
        <w:t>rder</w:t>
      </w:r>
      <w:r w:rsidR="004D784D" w:rsidRPr="00D807FF">
        <w:rPr>
          <w:sz w:val="25"/>
          <w:szCs w:val="25"/>
        </w:rPr>
        <w:t xml:space="preserve"> 08</w:t>
      </w:r>
      <w:r w:rsidR="00984FE4"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Therefore, pursuant to terms of the Commission’s Order 0</w:t>
      </w:r>
      <w:r w:rsidR="00043699" w:rsidRPr="00D807FF">
        <w:rPr>
          <w:sz w:val="25"/>
          <w:szCs w:val="25"/>
        </w:rPr>
        <w:t>8</w:t>
      </w:r>
      <w:r w:rsidRPr="00D807FF">
        <w:rPr>
          <w:sz w:val="25"/>
          <w:szCs w:val="25"/>
        </w:rPr>
        <w:t xml:space="preserve"> in this proceeding, the tariff sheets indicated on the attachment to this letter will become effective as filed with an effective date of </w:t>
      </w:r>
      <w:r w:rsidR="00043699" w:rsidRPr="00D807FF">
        <w:rPr>
          <w:sz w:val="25"/>
          <w:szCs w:val="25"/>
        </w:rPr>
        <w:t>May 14, 2012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C66ACC" w:rsidRDefault="001B2CA9">
      <w:pPr>
        <w:rPr>
          <w:b/>
          <w:sz w:val="25"/>
          <w:szCs w:val="25"/>
        </w:rPr>
        <w:sectPr w:rsidR="00C66ACC" w:rsidSect="009276E9">
          <w:headerReference w:type="default" r:id="rId7"/>
          <w:pgSz w:w="12240" w:h="15840" w:code="1"/>
          <w:pgMar w:top="1440" w:right="1440" w:bottom="1440" w:left="1800" w:header="720" w:footer="720" w:gutter="0"/>
          <w:paperSrc w:first="261" w:other="262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Pr="00593CE4" w:rsidRDefault="00170D00" w:rsidP="00593CE4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C66ACC" w:rsidRPr="00593CE4">
        <w:rPr>
          <w:i/>
          <w:sz w:val="25"/>
          <w:szCs w:val="25"/>
        </w:rPr>
        <w:t>Washington Utilities and Transportation Commission v. P</w:t>
      </w:r>
      <w:r w:rsidR="00C66ACC">
        <w:rPr>
          <w:i/>
          <w:sz w:val="25"/>
          <w:szCs w:val="25"/>
        </w:rPr>
        <w:t>uget Sound Energy, Inc.</w:t>
      </w:r>
      <w:r w:rsidR="00C66ACC" w:rsidRPr="00593CE4">
        <w:rPr>
          <w:i/>
          <w:sz w:val="25"/>
          <w:szCs w:val="25"/>
        </w:rPr>
        <w:t>,</w:t>
      </w:r>
      <w:r w:rsidR="00C66ACC" w:rsidRPr="00593CE4">
        <w:rPr>
          <w:sz w:val="25"/>
          <w:szCs w:val="25"/>
        </w:rPr>
        <w:t xml:space="preserve"> Docket</w:t>
      </w:r>
      <w:r w:rsidR="00C66ACC">
        <w:rPr>
          <w:sz w:val="25"/>
          <w:szCs w:val="25"/>
        </w:rPr>
        <w:t>s</w:t>
      </w:r>
      <w:r w:rsidR="00C66ACC" w:rsidRPr="00593CE4">
        <w:rPr>
          <w:sz w:val="25"/>
          <w:szCs w:val="25"/>
        </w:rPr>
        <w:t xml:space="preserve"> UE-</w:t>
      </w:r>
      <w:r w:rsidR="00C66ACC">
        <w:rPr>
          <w:sz w:val="25"/>
          <w:szCs w:val="25"/>
        </w:rPr>
        <w:t xml:space="preserve">111048 &amp; UG-111049 </w:t>
      </w:r>
      <w:r w:rsidR="00C66ACC" w:rsidRPr="00043699">
        <w:rPr>
          <w:i/>
          <w:sz w:val="25"/>
          <w:szCs w:val="25"/>
        </w:rPr>
        <w:t>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043699">
        <w:rPr>
          <w:sz w:val="25"/>
          <w:szCs w:val="25"/>
        </w:rPr>
        <w:t xml:space="preserve">8 IN </w:t>
      </w:r>
      <w:r w:rsidR="00043699" w:rsidRPr="00E518D6">
        <w:rPr>
          <w:sz w:val="25"/>
          <w:szCs w:val="25"/>
        </w:rPr>
        <w:t>DOCKETS UE-111048 and</w:t>
      </w:r>
      <w:r w:rsidR="00043699">
        <w:rPr>
          <w:sz w:val="25"/>
          <w:szCs w:val="25"/>
        </w:rPr>
        <w:t xml:space="preserve"> </w:t>
      </w:r>
      <w:r w:rsidR="00043699" w:rsidRPr="00E518D6">
        <w:rPr>
          <w:sz w:val="25"/>
          <w:szCs w:val="25"/>
        </w:rPr>
        <w:t>UG-111049 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1B2CA9" w:rsidP="00593CE4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U-60</w:t>
      </w:r>
      <w:r w:rsidR="00170D00"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Tariff G, </w:t>
      </w:r>
      <w:r w:rsidR="00170D00" w:rsidRPr="00593CE4">
        <w:rPr>
          <w:b/>
          <w:sz w:val="25"/>
          <w:szCs w:val="25"/>
        </w:rPr>
        <w:t>Electric Service</w:t>
      </w:r>
      <w:r>
        <w:rPr>
          <w:b/>
          <w:sz w:val="25"/>
          <w:szCs w:val="25"/>
        </w:rPr>
        <w:t xml:space="preserve"> (Advice No. 2012-10):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6"/>
        <w:gridCol w:w="1894"/>
        <w:gridCol w:w="5530"/>
      </w:tblGrid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31st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7-b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Master Metered Residential Service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24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25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Small Demand 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11th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25-a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Small Demand General Service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26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Demand General Service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25th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29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Seasonal Irrigation </w:t>
            </w:r>
            <w:r w:rsidRPr="00383D60">
              <w:rPr>
                <w:rFonts w:ascii="Arial" w:hAnsi="Arial" w:cs="Arial"/>
                <w:color w:val="000000"/>
                <w:sz w:val="21"/>
                <w:szCs w:val="21"/>
              </w:rPr>
              <w:t xml:space="preserve">&amp; </w:t>
            </w:r>
            <w:r w:rsidRPr="00383D60">
              <w:rPr>
                <w:color w:val="000000"/>
              </w:rPr>
              <w:t xml:space="preserve">Drainage Pumping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31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Primary General Service </w:t>
            </w:r>
          </w:p>
        </w:tc>
      </w:tr>
      <w:tr w:rsidR="00A403A6" w:rsidRPr="00383D60" w:rsidTr="00BF100A">
        <w:trPr>
          <w:trHeight w:val="39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24th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35 </w:t>
            </w:r>
          </w:p>
        </w:tc>
        <w:tc>
          <w:tcPr>
            <w:tcW w:w="3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Seasonal Primary Irrigation </w:t>
            </w:r>
            <w:r w:rsidRPr="00383D60">
              <w:rPr>
                <w:rFonts w:ascii="Arial" w:hAnsi="Arial" w:cs="Arial"/>
                <w:color w:val="000000"/>
                <w:sz w:val="21"/>
                <w:szCs w:val="21"/>
              </w:rPr>
              <w:t xml:space="preserve">&amp; </w:t>
            </w:r>
            <w:r w:rsidRPr="00383D60">
              <w:rPr>
                <w:color w:val="000000"/>
              </w:rPr>
              <w:t xml:space="preserve">Drainage Pumping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54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21st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43-a </w:t>
            </w:r>
          </w:p>
        </w:tc>
        <w:tc>
          <w:tcPr>
            <w:tcW w:w="3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Primary Service For Total-Electric Schools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46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Interruptible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>
              <w:rPr>
                <w:color w:val="000000"/>
              </w:rPr>
              <w:t>11th</w:t>
            </w:r>
            <w:r w:rsidRPr="00383D60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46-a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Interruptible Service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49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50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Street Lighting Service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51-a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LED (Light Emitting Diode) Lighting Service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20t</w:t>
            </w:r>
            <w:r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52-a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 Lighting Service Company Owned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52-b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 Lighting Service Company Owned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A403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17th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53-a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Street Lighting Service Sodium Vapor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</w:tcPr>
          <w:p w:rsidR="00320645" w:rsidRDefault="00320645" w:rsidP="00A403A6">
            <w:pPr>
              <w:rPr>
                <w:color w:val="000000"/>
              </w:rPr>
            </w:pPr>
            <w:r>
              <w:rPr>
                <w:color w:val="000000"/>
              </w:rPr>
              <w:t>14th Revision</w:t>
            </w:r>
          </w:p>
        </w:tc>
        <w:tc>
          <w:tcPr>
            <w:tcW w:w="1042" w:type="pct"/>
            <w:vAlign w:val="center"/>
          </w:tcPr>
          <w:p w:rsidR="00320645" w:rsidRPr="00383D60" w:rsidRDefault="00320645" w:rsidP="00F06043">
            <w:pPr>
              <w:rPr>
                <w:color w:val="000000"/>
              </w:rPr>
            </w:pPr>
            <w:r>
              <w:rPr>
                <w:color w:val="000000"/>
              </w:rPr>
              <w:t>Sheet No. 53-b</w:t>
            </w:r>
          </w:p>
        </w:tc>
        <w:tc>
          <w:tcPr>
            <w:tcW w:w="3042" w:type="pct"/>
            <w:vAlign w:val="center"/>
          </w:tcPr>
          <w:p w:rsidR="00320645" w:rsidRPr="00383D60" w:rsidRDefault="0032064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Street Lighting Service Sodium Vapor (Continued)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53-c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Street Lighting Service Sodium Vapor (Continued) </w:t>
            </w:r>
          </w:p>
        </w:tc>
      </w:tr>
      <w:tr w:rsidR="00320645" w:rsidRPr="00383D60" w:rsidTr="00BF100A">
        <w:trPr>
          <w:trHeight w:val="52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54 </w:t>
            </w:r>
          </w:p>
        </w:tc>
        <w:tc>
          <w:tcPr>
            <w:tcW w:w="3042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Customer-Owned Street Lighting Energy Service Sodium Vapor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55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Area Lighting Service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11th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55-a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Area Lighting Service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9658B3" w:rsidP="00320645">
            <w:pPr>
              <w:rPr>
                <w:color w:val="000000"/>
              </w:rPr>
            </w:pPr>
            <w:r>
              <w:rPr>
                <w:color w:val="000000"/>
              </w:rPr>
              <w:t>27t</w:t>
            </w:r>
            <w:r w:rsidR="00A403A6" w:rsidRPr="00383D60">
              <w:rPr>
                <w:color w:val="000000"/>
              </w:rPr>
              <w:t xml:space="preserve">hRevision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Continuous Lighting Service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58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Flood Lighting Service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58-a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Flood Lighting Service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2na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137-d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137-e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Original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137-f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448-i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Power Supplier Choice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449-i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Retail Wheeling Service (Continued) </w:t>
            </w:r>
          </w:p>
        </w:tc>
      </w:tr>
    </w:tbl>
    <w:p w:rsidR="003C5F77" w:rsidRDefault="003C5F77" w:rsidP="00593CE4">
      <w:pPr>
        <w:rPr>
          <w:sz w:val="25"/>
          <w:szCs w:val="25"/>
        </w:rPr>
      </w:pPr>
    </w:p>
    <w:p w:rsidR="00D807FF" w:rsidRDefault="00D807F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F100A" w:rsidRDefault="00BF100A" w:rsidP="00593CE4">
      <w:pPr>
        <w:rPr>
          <w:sz w:val="25"/>
          <w:szCs w:val="25"/>
        </w:rPr>
      </w:pPr>
    </w:p>
    <w:p w:rsidR="004164EF" w:rsidRDefault="001B2CA9" w:rsidP="001B2CA9">
      <w:pPr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WN U-</w:t>
      </w:r>
      <w:r>
        <w:rPr>
          <w:b/>
          <w:sz w:val="25"/>
          <w:szCs w:val="25"/>
        </w:rPr>
        <w:t>2</w:t>
      </w:r>
      <w:r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>Natural Gas</w:t>
      </w:r>
      <w:r w:rsidRPr="00593CE4">
        <w:rPr>
          <w:b/>
          <w:sz w:val="25"/>
          <w:szCs w:val="25"/>
        </w:rPr>
        <w:t xml:space="preserve"> Service</w:t>
      </w:r>
      <w:r>
        <w:rPr>
          <w:b/>
          <w:sz w:val="25"/>
          <w:szCs w:val="25"/>
        </w:rPr>
        <w:t xml:space="preserve"> (Advice No. 2012-11)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889"/>
        <w:gridCol w:w="5598"/>
      </w:tblGrid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10t</w:t>
            </w:r>
            <w:r w:rsidRPr="000F5435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116-A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General Gas Lighting and Street Lighting Service (Optional)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54t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123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General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Commercial and Industrial General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131T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(Firm-Commercial and Industrial)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Volume High Load Factor Gas Service (Optional)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0F5435">
              <w:rPr>
                <w:color w:val="000000"/>
              </w:rPr>
              <w:t>19th Revision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0F5435">
              <w:rPr>
                <w:color w:val="000000"/>
              </w:rPr>
              <w:t>Sheet No. 141-A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Large Volume High Load Factor Gas Service (Optional)</w:t>
            </w:r>
            <w:r w:rsidRPr="000F5435">
              <w:rPr>
                <w:color w:val="000000"/>
              </w:rPr>
              <w:t xml:space="preserve"> (Continued)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 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(Firm-Large Volume High Load Factor)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(Firm-Large Volume High Load Factor)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153-B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Propane Service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23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Water Heater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172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Volume Water Heater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174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Gas Conversion Burner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17t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19t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Original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185-E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1</w:t>
            </w:r>
            <w:r w:rsidR="00BF100A">
              <w:rPr>
                <w:color w:val="000000"/>
              </w:rPr>
              <w:t>s</w:t>
            </w:r>
            <w:r w:rsidRPr="00383D60">
              <w:rPr>
                <w:color w:val="000000"/>
              </w:rPr>
              <w:t xml:space="preserve">t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1st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l85T-C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186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1</w:t>
            </w:r>
            <w:r w:rsidR="00BF100A">
              <w:rPr>
                <w:color w:val="000000"/>
              </w:rPr>
              <w:t>7t</w:t>
            </w:r>
            <w:r w:rsidRPr="00383D60">
              <w:rPr>
                <w:color w:val="000000"/>
              </w:rPr>
              <w:t xml:space="preserve">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(Cont.)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(Cont.)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rd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Non-Exclusive Interruptible Gas Service wi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(Non-Exclusive 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(Non-Exclusive 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Natural Gas Tariff</w:t>
            </w:r>
            <w:r w:rsidR="00BF100A"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Index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Natural Gas Tariff</w:t>
            </w:r>
            <w:r w:rsidR="00BF100A"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Index (Continued) </w:t>
            </w:r>
          </w:p>
        </w:tc>
      </w:tr>
    </w:tbl>
    <w:p w:rsidR="001B2CA9" w:rsidRPr="000F5435" w:rsidRDefault="001B2CA9" w:rsidP="00593CE4">
      <w:pPr>
        <w:rPr>
          <w:color w:val="000000"/>
        </w:rPr>
      </w:pPr>
    </w:p>
    <w:sectPr w:rsidR="001B2CA9" w:rsidRPr="000F5435" w:rsidSect="00C66ACC">
      <w:pgSz w:w="12240" w:h="15840" w:code="1"/>
      <w:pgMar w:top="144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23" w:rsidRDefault="00242D23" w:rsidP="00E2675D">
      <w:r>
        <w:separator/>
      </w:r>
    </w:p>
  </w:endnote>
  <w:endnote w:type="continuationSeparator" w:id="0">
    <w:p w:rsidR="00242D23" w:rsidRDefault="00242D23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23" w:rsidRDefault="00242D23" w:rsidP="00E2675D">
      <w:r>
        <w:separator/>
      </w:r>
    </w:p>
  </w:footnote>
  <w:footnote w:type="continuationSeparator" w:id="0">
    <w:p w:rsidR="00242D23" w:rsidRDefault="00242D23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CC" w:rsidRPr="00BF100A" w:rsidRDefault="00C66ACC" w:rsidP="00C66ACC">
    <w:pPr>
      <w:pStyle w:val="Header"/>
    </w:pPr>
    <w:r>
      <w:t xml:space="preserve">Dockets UE-111048 &amp; UG-111049 </w:t>
    </w:r>
    <w:r>
      <w:rPr>
        <w:i/>
      </w:rPr>
      <w:t>(consolidated)</w:t>
    </w:r>
  </w:p>
  <w:p w:rsidR="00C66ACC" w:rsidRDefault="00C66ACC" w:rsidP="00C66ACC">
    <w:pPr>
      <w:pStyle w:val="Header"/>
    </w:pPr>
    <w:r>
      <w:t>Attachment</w:t>
    </w:r>
  </w:p>
  <w:p w:rsidR="00C66ACC" w:rsidRDefault="00C66ACC" w:rsidP="00C66ACC">
    <w:pPr>
      <w:pStyle w:val="Header"/>
    </w:pPr>
    <w:r>
      <w:t>May 1</w:t>
    </w:r>
    <w:r w:rsidR="00D807FF">
      <w:t>1</w:t>
    </w:r>
    <w:r>
      <w:t>, 2012</w:t>
    </w:r>
  </w:p>
  <w:p w:rsidR="00BF100A" w:rsidRPr="00C66ACC" w:rsidRDefault="00BF100A" w:rsidP="00C66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43699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B3116"/>
    <w:rsid w:val="003C5F77"/>
    <w:rsid w:val="004011CD"/>
    <w:rsid w:val="004164EF"/>
    <w:rsid w:val="0048172D"/>
    <w:rsid w:val="00493D65"/>
    <w:rsid w:val="004D784D"/>
    <w:rsid w:val="0050670E"/>
    <w:rsid w:val="00593CE4"/>
    <w:rsid w:val="005B71A4"/>
    <w:rsid w:val="005C57F2"/>
    <w:rsid w:val="00646DDF"/>
    <w:rsid w:val="006F567C"/>
    <w:rsid w:val="00701C69"/>
    <w:rsid w:val="00743DDE"/>
    <w:rsid w:val="00744114"/>
    <w:rsid w:val="00752A5C"/>
    <w:rsid w:val="007532C7"/>
    <w:rsid w:val="00792BC9"/>
    <w:rsid w:val="00826875"/>
    <w:rsid w:val="00832B95"/>
    <w:rsid w:val="008A0C15"/>
    <w:rsid w:val="008A18B8"/>
    <w:rsid w:val="008A35EA"/>
    <w:rsid w:val="008B7E4C"/>
    <w:rsid w:val="008C5F2C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403A6"/>
    <w:rsid w:val="00A435FC"/>
    <w:rsid w:val="00A5134D"/>
    <w:rsid w:val="00AA2492"/>
    <w:rsid w:val="00AA7135"/>
    <w:rsid w:val="00AA76DF"/>
    <w:rsid w:val="00AF7DBE"/>
    <w:rsid w:val="00B6376F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5E71"/>
    <w:rsid w:val="00CF7B60"/>
    <w:rsid w:val="00D42945"/>
    <w:rsid w:val="00D74F70"/>
    <w:rsid w:val="00D807FF"/>
    <w:rsid w:val="00DB2BDD"/>
    <w:rsid w:val="00DC0B2A"/>
    <w:rsid w:val="00E2675D"/>
    <w:rsid w:val="00E97EC5"/>
    <w:rsid w:val="00EA0931"/>
    <w:rsid w:val="00EA59E3"/>
    <w:rsid w:val="00F01AFA"/>
    <w:rsid w:val="00F03E6D"/>
    <w:rsid w:val="00FA3AC5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E78AF9F698B741A0260830D6A20E73" ma:contentTypeVersion="143" ma:contentTypeDescription="" ma:contentTypeScope="" ma:versionID="75c6594ee948b4a8cc019851416a83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2011-06-13T07:00:00+00:00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AAB3B1-9CB5-4FEF-8A97-DB21BE1AF270}"/>
</file>

<file path=customXml/itemProps2.xml><?xml version="1.0" encoding="utf-8"?>
<ds:datastoreItem xmlns:ds="http://schemas.openxmlformats.org/officeDocument/2006/customXml" ds:itemID="{2732125D-C4B1-4797-8E8D-3E00F0540122}"/>
</file>

<file path=customXml/itemProps3.xml><?xml version="1.0" encoding="utf-8"?>
<ds:datastoreItem xmlns:ds="http://schemas.openxmlformats.org/officeDocument/2006/customXml" ds:itemID="{91C96346-0408-48AC-8219-664F55B487F4}"/>
</file>

<file path=customXml/itemProps4.xml><?xml version="1.0" encoding="utf-8"?>
<ds:datastoreItem xmlns:ds="http://schemas.openxmlformats.org/officeDocument/2006/customXml" ds:itemID="{69B538B2-FD45-4F70-889D-572091A93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2012-05-11T19:10:00Z</dcterms:created>
  <dcterms:modified xsi:type="dcterms:W3CDTF">2012-05-11T20:40:00Z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0x0101006E56B4D1795A2E4DB2F0B01679ED314A0053E78AF9F698B741A0260830D6A20E73</vt:lpwstr>
  </property>
  <property fmtid="{D5CDD505-2E9C-101B-9397-08002B2CF9AE}" pid="3" name="_docset_NoMedatataSyncRequired">
    <vt:lpwstr>False</vt:lpwstr>
  </property>
</Properties>
</file>