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550E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7, 2016</w:t>
      </w:r>
    </w:p>
    <w:p w:rsidR="00550E7B" w:rsidRPr="004F2ECB" w:rsidRDefault="00550E7B" w:rsidP="003F2CAF">
      <w:pPr>
        <w:rPr>
          <w:rFonts w:ascii="Times New Roman" w:hAnsi="Times New Roman"/>
          <w:b w:val="0"/>
        </w:rPr>
      </w:pPr>
    </w:p>
    <w:p w:rsidR="00550E7B" w:rsidRDefault="003F2CAF" w:rsidP="004F2ECB">
      <w:pPr>
        <w:pStyle w:val="Heading1"/>
        <w:keepNext w:val="0"/>
      </w:pPr>
      <w:r>
        <w:t xml:space="preserve">Via </w:t>
      </w:r>
      <w:r w:rsidR="00654FC1">
        <w:t>Web Portal</w:t>
      </w:r>
    </w:p>
    <w:p w:rsidR="003F2CAF" w:rsidRDefault="00C708A8" w:rsidP="004F2ECB">
      <w:pPr>
        <w:pStyle w:val="Heading1"/>
        <w:keepNext w:val="0"/>
      </w:pPr>
      <w:proofErr w:type="gramStart"/>
      <w:r>
        <w:t>and</w:t>
      </w:r>
      <w:proofErr w:type="gramEnd"/>
      <w:r w:rsidR="00F53567">
        <w:t xml:space="preserve"> </w:t>
      </w:r>
      <w:r w:rsidR="003F2CAF"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550E7B" w:rsidRPr="00E02603" w:rsidRDefault="00550E7B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</w:t>
      </w:r>
      <w:r w:rsidR="00695EF3">
        <w:rPr>
          <w:rFonts w:ascii="Times New Roman" w:hAnsi="Times New Roman"/>
          <w:b w:val="0"/>
        </w:rPr>
        <w:t xml:space="preserve">V. </w:t>
      </w:r>
      <w:r>
        <w:rPr>
          <w:rFonts w:ascii="Times New Roman" w:hAnsi="Times New Roman"/>
          <w:b w:val="0"/>
        </w:rPr>
        <w:t>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550E7B">
        <w:rPr>
          <w:rFonts w:ascii="Times New Roman" w:hAnsi="Times New Roman"/>
        </w:rPr>
        <w:t xml:space="preserve"> – </w:t>
      </w:r>
      <w:proofErr w:type="gramStart"/>
      <w:r w:rsidR="00550E7B">
        <w:rPr>
          <w:rFonts w:ascii="Times New Roman" w:hAnsi="Times New Roman"/>
        </w:rPr>
        <w:t>911 Outage</w:t>
      </w:r>
      <w:proofErr w:type="gramEnd"/>
    </w:p>
    <w:p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r w:rsidR="00B72C7D">
        <w:rPr>
          <w:rFonts w:ascii="Times New Roman" w:hAnsi="Times New Roman"/>
        </w:rPr>
        <w:t xml:space="preserve">CenturyLink’s </w:t>
      </w:r>
      <w:r w:rsidR="00550E7B">
        <w:rPr>
          <w:rFonts w:ascii="Times New Roman" w:hAnsi="Times New Roman"/>
        </w:rPr>
        <w:t>Cross-Examination Estimates and Exhibits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550E7B" w:rsidRPr="00550E7B" w:rsidRDefault="00550E7B" w:rsidP="00550E7B">
      <w:pPr>
        <w:rPr>
          <w:rFonts w:ascii="Times New Roman" w:hAnsi="Times New Roman"/>
          <w:b w:val="0"/>
        </w:rPr>
      </w:pPr>
      <w:r w:rsidRPr="00550E7B">
        <w:rPr>
          <w:rFonts w:ascii="Times New Roman" w:hAnsi="Times New Roman"/>
          <w:b w:val="0"/>
        </w:rPr>
        <w:t>Pursuant to the procedural schedule established in this docket, CenturyLink hereby notifies the Commission that we anticipate the following in terms of cross-examination times and exhibits:</w:t>
      </w:r>
    </w:p>
    <w:p w:rsidR="00550E7B" w:rsidRPr="00550E7B" w:rsidRDefault="00550E7B" w:rsidP="00550E7B">
      <w:pPr>
        <w:rPr>
          <w:rFonts w:ascii="Times New Roman" w:hAnsi="Times New Roman"/>
          <w:b w:val="0"/>
        </w:rPr>
      </w:pPr>
    </w:p>
    <w:p w:rsidR="00550E7B" w:rsidRPr="00550E7B" w:rsidRDefault="00550E7B" w:rsidP="00550E7B">
      <w:pPr>
        <w:rPr>
          <w:rFonts w:ascii="Times New Roman" w:hAnsi="Times New Roman"/>
        </w:rPr>
      </w:pPr>
      <w:r w:rsidRPr="00550E7B">
        <w:rPr>
          <w:rFonts w:ascii="Times New Roman" w:hAnsi="Times New Roman"/>
        </w:rPr>
        <w:t>Cross-examination time estimates:</w:t>
      </w:r>
    </w:p>
    <w:p w:rsidR="00550E7B" w:rsidRPr="00550E7B" w:rsidRDefault="00550E7B" w:rsidP="00550E7B">
      <w:pPr>
        <w:rPr>
          <w:rFonts w:ascii="Times New Roman" w:hAnsi="Times New Roman"/>
          <w:b w:val="0"/>
        </w:rPr>
      </w:pPr>
    </w:p>
    <w:p w:rsidR="00550E7B" w:rsidRDefault="00550E7B" w:rsidP="00550E7B">
      <w:pPr>
        <w:spacing w:after="120"/>
        <w:ind w:left="72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550E7B">
        <w:rPr>
          <w:rFonts w:ascii="Times New Roman" w:hAnsi="Times New Roman"/>
          <w:b w:val="0"/>
        </w:rPr>
        <w:t xml:space="preserve">Mr. Bergmann – </w:t>
      </w:r>
      <w:r w:rsidR="00695EF3">
        <w:rPr>
          <w:rFonts w:ascii="Times New Roman" w:hAnsi="Times New Roman"/>
          <w:b w:val="0"/>
        </w:rPr>
        <w:t>1.5</w:t>
      </w:r>
      <w:r w:rsidRPr="00550E7B">
        <w:rPr>
          <w:rFonts w:ascii="Times New Roman" w:hAnsi="Times New Roman"/>
          <w:b w:val="0"/>
        </w:rPr>
        <w:t xml:space="preserve"> hours</w:t>
      </w:r>
    </w:p>
    <w:p w:rsidR="00550E7B" w:rsidRDefault="00550E7B" w:rsidP="00550E7B">
      <w:pPr>
        <w:spacing w:after="120"/>
        <w:ind w:left="72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550E7B">
        <w:rPr>
          <w:rFonts w:ascii="Times New Roman" w:hAnsi="Times New Roman"/>
          <w:b w:val="0"/>
        </w:rPr>
        <w:t>Mr. Orr –</w:t>
      </w:r>
      <w:r w:rsidR="00695EF3">
        <w:rPr>
          <w:rFonts w:ascii="Times New Roman" w:hAnsi="Times New Roman"/>
          <w:b w:val="0"/>
        </w:rPr>
        <w:t xml:space="preserve"> No questions, but possible follow-up if ther</w:t>
      </w:r>
      <w:r w:rsidR="00AB2B63">
        <w:rPr>
          <w:rFonts w:ascii="Times New Roman" w:hAnsi="Times New Roman"/>
          <w:b w:val="0"/>
        </w:rPr>
        <w:t>e</w:t>
      </w:r>
      <w:r w:rsidR="00695EF3">
        <w:rPr>
          <w:rFonts w:ascii="Times New Roman" w:hAnsi="Times New Roman"/>
          <w:b w:val="0"/>
        </w:rPr>
        <w:t xml:space="preserve"> are questions from the bench.</w:t>
      </w:r>
    </w:p>
    <w:p w:rsidR="00550E7B" w:rsidRPr="00550E7B" w:rsidRDefault="00550E7B" w:rsidP="00550E7B">
      <w:pPr>
        <w:ind w:left="72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550E7B">
        <w:rPr>
          <w:rFonts w:ascii="Times New Roman" w:hAnsi="Times New Roman"/>
          <w:b w:val="0"/>
        </w:rPr>
        <w:t xml:space="preserve">Ms. </w:t>
      </w:r>
      <w:proofErr w:type="spellStart"/>
      <w:r w:rsidRPr="00550E7B">
        <w:rPr>
          <w:rFonts w:ascii="Times New Roman" w:hAnsi="Times New Roman"/>
          <w:b w:val="0"/>
        </w:rPr>
        <w:t>Cappola</w:t>
      </w:r>
      <w:proofErr w:type="spellEnd"/>
      <w:r w:rsidRPr="00550E7B">
        <w:rPr>
          <w:rFonts w:ascii="Times New Roman" w:hAnsi="Times New Roman"/>
          <w:b w:val="0"/>
        </w:rPr>
        <w:t xml:space="preserve"> – </w:t>
      </w:r>
      <w:r w:rsidR="00695EF3">
        <w:rPr>
          <w:rFonts w:ascii="Times New Roman" w:hAnsi="Times New Roman"/>
          <w:b w:val="0"/>
        </w:rPr>
        <w:t>No questions</w:t>
      </w:r>
      <w:r w:rsidR="00AB2B63">
        <w:rPr>
          <w:rFonts w:ascii="Times New Roman" w:hAnsi="Times New Roman"/>
          <w:b w:val="0"/>
        </w:rPr>
        <w:t>, but possible follow-</w:t>
      </w:r>
      <w:r w:rsidRPr="00550E7B">
        <w:rPr>
          <w:rFonts w:ascii="Times New Roman" w:hAnsi="Times New Roman"/>
          <w:b w:val="0"/>
        </w:rPr>
        <w:t>up if there are questions from the bench.</w:t>
      </w:r>
    </w:p>
    <w:p w:rsidR="00550E7B" w:rsidRPr="00550E7B" w:rsidRDefault="00550E7B" w:rsidP="00550E7B">
      <w:pPr>
        <w:rPr>
          <w:rFonts w:ascii="Times New Roman" w:hAnsi="Times New Roman"/>
          <w:b w:val="0"/>
        </w:rPr>
      </w:pPr>
    </w:p>
    <w:p w:rsidR="00550E7B" w:rsidRDefault="00550E7B" w:rsidP="00550E7B">
      <w:pPr>
        <w:rPr>
          <w:rFonts w:ascii="Times New Roman" w:hAnsi="Times New Roman"/>
        </w:rPr>
      </w:pPr>
      <w:r w:rsidRPr="00550E7B">
        <w:rPr>
          <w:rFonts w:ascii="Times New Roman" w:hAnsi="Times New Roman"/>
        </w:rPr>
        <w:t xml:space="preserve">Cross-examination exhibit, Mr. </w:t>
      </w:r>
      <w:r w:rsidR="00C5402E">
        <w:rPr>
          <w:rFonts w:ascii="Times New Roman" w:hAnsi="Times New Roman"/>
        </w:rPr>
        <w:t>Orr</w:t>
      </w:r>
      <w:r w:rsidRPr="00550E7B">
        <w:rPr>
          <w:rFonts w:ascii="Times New Roman" w:hAnsi="Times New Roman"/>
        </w:rPr>
        <w:t>:</w:t>
      </w:r>
    </w:p>
    <w:p w:rsidR="00C5402E" w:rsidRPr="00C5402E" w:rsidRDefault="00C5402E" w:rsidP="00550E7B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6948"/>
      </w:tblGrid>
      <w:tr w:rsidR="00C5402E" w:rsidTr="00C5402E">
        <w:tc>
          <w:tcPr>
            <w:tcW w:w="1800" w:type="dxa"/>
          </w:tcPr>
          <w:p w:rsidR="00C5402E" w:rsidRDefault="00C5402E" w:rsidP="00C5402E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TRO-12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C5402E" w:rsidRDefault="00C5402E" w:rsidP="00C5402E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PC Response to Staff Data Request 7 (Stipulated)</w:t>
            </w:r>
          </w:p>
        </w:tc>
      </w:tr>
    </w:tbl>
    <w:p w:rsidR="00C5402E" w:rsidRPr="00C5402E" w:rsidRDefault="00C5402E" w:rsidP="00550E7B">
      <w:pPr>
        <w:rPr>
          <w:rFonts w:ascii="Times New Roman" w:hAnsi="Times New Roman"/>
          <w:b w:val="0"/>
        </w:rPr>
      </w:pPr>
    </w:p>
    <w:p w:rsidR="00C5402E" w:rsidRPr="00550E7B" w:rsidRDefault="00C5402E" w:rsidP="00550E7B">
      <w:pPr>
        <w:rPr>
          <w:rFonts w:ascii="Times New Roman" w:hAnsi="Times New Roman"/>
        </w:rPr>
      </w:pPr>
      <w:r w:rsidRPr="00550E7B">
        <w:rPr>
          <w:rFonts w:ascii="Times New Roman" w:hAnsi="Times New Roman"/>
        </w:rPr>
        <w:t>Cross-examination exhibits, Mr. Bergmann:</w:t>
      </w:r>
    </w:p>
    <w:p w:rsidR="00550E7B" w:rsidRDefault="00550E7B" w:rsidP="00550E7B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6948"/>
      </w:tblGrid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DCB-23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PC Response to Staff Data Request 3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DCB-24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PC Response to Staff Data Request 4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DCB-25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PC Response to Staff Data Request 5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DCB-26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13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DCB-27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15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DCB-28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16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DCB-29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17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DCB-30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18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DCB-31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PC response to CenturyLink Data Request 19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DCB-32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Interpretive and Policy Statement, Docket No. A-120061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DCB-33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spacing w:after="120"/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CenturyLink Response to PC-9</w:t>
            </w:r>
          </w:p>
        </w:tc>
      </w:tr>
      <w:tr w:rsidR="00AB2B63" w:rsidTr="00AB2B63">
        <w:tc>
          <w:tcPr>
            <w:tcW w:w="1800" w:type="dxa"/>
          </w:tcPr>
          <w:p w:rsidR="00AB2B63" w:rsidRDefault="00AB2B63" w:rsidP="00AB2B63">
            <w:pPr>
              <w:tabs>
                <w:tab w:val="right" w:leader="dot" w:pos="1512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DCB-34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6948" w:type="dxa"/>
          </w:tcPr>
          <w:p w:rsidR="00AB2B63" w:rsidRPr="00550E7B" w:rsidRDefault="00AB2B63" w:rsidP="00AB2B63">
            <w:pPr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CenturyLink Response to RS-8</w:t>
            </w:r>
          </w:p>
        </w:tc>
      </w:tr>
    </w:tbl>
    <w:p w:rsidR="00AB2B63" w:rsidRDefault="00AB2B63" w:rsidP="00550E7B">
      <w:pPr>
        <w:rPr>
          <w:rFonts w:ascii="Times New Roman" w:hAnsi="Times New Roman"/>
          <w:b w:val="0"/>
        </w:rPr>
      </w:pPr>
    </w:p>
    <w:p w:rsidR="009344C6" w:rsidRDefault="009344C6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An original and four copies of the exhibits are enclosed.</w:t>
      </w:r>
    </w:p>
    <w:p w:rsidR="009344C6" w:rsidRDefault="009344C6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695EF3" w:rsidRPr="00695EF3" w:rsidRDefault="00695EF3" w:rsidP="00746494">
      <w:pPr>
        <w:rPr>
          <w:rFonts w:ascii="Times New Roman" w:hAnsi="Times New Roman"/>
          <w:b w:val="0"/>
          <w:sz w:val="22"/>
          <w:szCs w:val="22"/>
        </w:rPr>
      </w:pPr>
      <w:r w:rsidRPr="00695EF3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695EF3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50E7B" w:rsidRPr="00746494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550E7B" w:rsidRPr="00746494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2E" w:rsidRDefault="00C5402E" w:rsidP="00746494">
      <w:r>
        <w:separator/>
      </w:r>
    </w:p>
  </w:endnote>
  <w:endnote w:type="continuationSeparator" w:id="0">
    <w:p w:rsidR="00C5402E" w:rsidRDefault="00C5402E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2E" w:rsidRDefault="00C5402E" w:rsidP="00746494">
      <w:r>
        <w:separator/>
      </w:r>
    </w:p>
  </w:footnote>
  <w:footnote w:type="continuationSeparator" w:id="0">
    <w:p w:rsidR="00C5402E" w:rsidRDefault="00C5402E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2E" w:rsidRDefault="00C5402E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V. King, Executive Director and Secretary</w:t>
    </w:r>
  </w:p>
  <w:p w:rsidR="00C5402E" w:rsidRDefault="00C5402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January 7, 2016</w:t>
    </w:r>
    <w:r>
      <w:rPr>
        <w:rFonts w:ascii="Times New Roman" w:hAnsi="Times New Roman"/>
      </w:rPr>
      <w:fldChar w:fldCharType="end"/>
    </w:r>
  </w:p>
  <w:p w:rsidR="00C5402E" w:rsidRDefault="00C5402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 w:rsidR="008F13BF">
      <w:rPr>
        <w:rFonts w:ascii="Times New Roman" w:hAnsi="Times New Roman"/>
      </w:rPr>
      <w:t>2</w:t>
    </w:r>
    <w:r w:rsidRPr="00E069BB">
      <w:rPr>
        <w:rFonts w:ascii="Times New Roman" w:hAnsi="Times New Roman"/>
      </w:rPr>
      <w:fldChar w:fldCharType="end"/>
    </w:r>
  </w:p>
  <w:p w:rsidR="00C5402E" w:rsidRPr="00E069BB" w:rsidRDefault="00C5402E">
    <w:pPr>
      <w:pStyle w:val="Header"/>
      <w:rPr>
        <w:rFonts w:ascii="Times New Roman" w:hAnsi="Times New Roman"/>
      </w:rPr>
    </w:pPr>
  </w:p>
  <w:p w:rsidR="00C5402E" w:rsidRPr="00E069BB" w:rsidRDefault="00C5402E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71DAE"/>
    <w:rsid w:val="00185E90"/>
    <w:rsid w:val="001B235A"/>
    <w:rsid w:val="001F2A69"/>
    <w:rsid w:val="002128B2"/>
    <w:rsid w:val="00264C0D"/>
    <w:rsid w:val="002A7A2B"/>
    <w:rsid w:val="002C1C42"/>
    <w:rsid w:val="002F7B6A"/>
    <w:rsid w:val="00306815"/>
    <w:rsid w:val="00313154"/>
    <w:rsid w:val="00343974"/>
    <w:rsid w:val="00370A3A"/>
    <w:rsid w:val="00376976"/>
    <w:rsid w:val="003830B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0E7B"/>
    <w:rsid w:val="005B27C8"/>
    <w:rsid w:val="006277C7"/>
    <w:rsid w:val="00654FC1"/>
    <w:rsid w:val="006616AE"/>
    <w:rsid w:val="00695088"/>
    <w:rsid w:val="00695EF3"/>
    <w:rsid w:val="006B5A32"/>
    <w:rsid w:val="006C4DDF"/>
    <w:rsid w:val="006C57D8"/>
    <w:rsid w:val="006F0367"/>
    <w:rsid w:val="007200B7"/>
    <w:rsid w:val="0072272A"/>
    <w:rsid w:val="00726AA5"/>
    <w:rsid w:val="00746494"/>
    <w:rsid w:val="007C76C3"/>
    <w:rsid w:val="007D3843"/>
    <w:rsid w:val="007F1509"/>
    <w:rsid w:val="00845995"/>
    <w:rsid w:val="00865F1B"/>
    <w:rsid w:val="00880C5F"/>
    <w:rsid w:val="008E1452"/>
    <w:rsid w:val="008F119B"/>
    <w:rsid w:val="008F13BF"/>
    <w:rsid w:val="009344C6"/>
    <w:rsid w:val="00937BD8"/>
    <w:rsid w:val="00943BF5"/>
    <w:rsid w:val="0096554E"/>
    <w:rsid w:val="009A5E91"/>
    <w:rsid w:val="009D60B6"/>
    <w:rsid w:val="009F45DC"/>
    <w:rsid w:val="009F7DF5"/>
    <w:rsid w:val="00A07FF5"/>
    <w:rsid w:val="00A97B81"/>
    <w:rsid w:val="00AB2B63"/>
    <w:rsid w:val="00AB55D7"/>
    <w:rsid w:val="00AC10CC"/>
    <w:rsid w:val="00AC5328"/>
    <w:rsid w:val="00AD43CE"/>
    <w:rsid w:val="00AF3AD9"/>
    <w:rsid w:val="00B05CE7"/>
    <w:rsid w:val="00B10B1E"/>
    <w:rsid w:val="00B31B5A"/>
    <w:rsid w:val="00B47B0D"/>
    <w:rsid w:val="00B517DA"/>
    <w:rsid w:val="00B72C7D"/>
    <w:rsid w:val="00B730E6"/>
    <w:rsid w:val="00B91ED1"/>
    <w:rsid w:val="00BE3DDD"/>
    <w:rsid w:val="00BF4B90"/>
    <w:rsid w:val="00C1730E"/>
    <w:rsid w:val="00C26E7C"/>
    <w:rsid w:val="00C5402E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  <w:style w:type="table" w:styleId="TableGrid">
    <w:name w:val="Table Grid"/>
    <w:basedOn w:val="TableNormal"/>
    <w:uiPriority w:val="59"/>
    <w:rsid w:val="00AB2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4E3170-0774-4EA6-9D5A-17A5C7BA39C9}"/>
</file>

<file path=customXml/itemProps2.xml><?xml version="1.0" encoding="utf-8"?>
<ds:datastoreItem xmlns:ds="http://schemas.openxmlformats.org/officeDocument/2006/customXml" ds:itemID="{8FFBA509-0516-426A-A05F-2D05BD1A7AEF}"/>
</file>

<file path=customXml/itemProps3.xml><?xml version="1.0" encoding="utf-8"?>
<ds:datastoreItem xmlns:ds="http://schemas.openxmlformats.org/officeDocument/2006/customXml" ds:itemID="{AE9752D1-DDA5-42D8-ACB3-CB8375E1608A}"/>
</file>

<file path=customXml/itemProps4.xml><?xml version="1.0" encoding="utf-8"?>
<ds:datastoreItem xmlns:ds="http://schemas.openxmlformats.org/officeDocument/2006/customXml" ds:itemID="{7C0D4346-8B47-4C76-B761-F79FBD00B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5</cp:revision>
  <cp:lastPrinted>2016-01-07T22:24:00Z</cp:lastPrinted>
  <dcterms:created xsi:type="dcterms:W3CDTF">2015-12-30T22:08:00Z</dcterms:created>
  <dcterms:modified xsi:type="dcterms:W3CDTF">2016-01-07T22:34:00Z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