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F865D" w14:textId="26C4308B" w:rsidR="003114A3" w:rsidRPr="00183791" w:rsidRDefault="00183791" w:rsidP="003114A3">
      <w:pPr>
        <w:spacing w:line="300" w:lineRule="auto"/>
        <w:outlineLvl w:val="0"/>
        <w:rPr>
          <w:rFonts w:cs="Arial"/>
          <w:b/>
          <w:sz w:val="48"/>
          <w:szCs w:val="48"/>
        </w:rPr>
      </w:pPr>
      <w:r>
        <w:rPr>
          <w:rFonts w:cs="Arial"/>
          <w:i/>
          <w:noProof/>
          <w:sz w:val="21"/>
          <w:szCs w:val="21"/>
        </w:rPr>
        <mc:AlternateContent>
          <mc:Choice Requires="wps">
            <w:drawing>
              <wp:anchor distT="0" distB="0" distL="114300" distR="114300" simplePos="0" relativeHeight="251658240" behindDoc="0" locked="0" layoutInCell="1" allowOverlap="1" wp14:anchorId="015F87AA" wp14:editId="3383EF84">
                <wp:simplePos x="0" y="0"/>
                <wp:positionH relativeFrom="column">
                  <wp:posOffset>10029825</wp:posOffset>
                </wp:positionH>
                <wp:positionV relativeFrom="paragraph">
                  <wp:posOffset>532765</wp:posOffset>
                </wp:positionV>
                <wp:extent cx="5962650" cy="513397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87D0" w14:textId="77777777" w:rsidR="007F3AF3" w:rsidRPr="00F27A2F" w:rsidRDefault="007F3AF3" w:rsidP="003114A3">
                            <w:pPr>
                              <w:rPr>
                                <w:rFonts w:cs="Arial"/>
                                <w:i/>
                                <w:sz w:val="21"/>
                                <w:szCs w:val="21"/>
                              </w:rPr>
                            </w:pPr>
                          </w:p>
                          <w:p w14:paraId="015F87D1" w14:textId="77777777" w:rsidR="007F3AF3" w:rsidRPr="00592DD0" w:rsidRDefault="007F3AF3" w:rsidP="003114A3">
                            <w:pPr>
                              <w:rPr>
                                <w:rFonts w:cs="Arial"/>
                                <w:sz w:val="40"/>
                                <w:szCs w:val="40"/>
                              </w:rPr>
                            </w:pPr>
                          </w:p>
                          <w:p w14:paraId="015F87D3" w14:textId="77777777" w:rsidR="007F3AF3" w:rsidRPr="00F27A2F" w:rsidRDefault="007F3AF3" w:rsidP="003114A3">
                            <w:pPr>
                              <w:rPr>
                                <w:rFonts w:cs="Arial"/>
                                <w:i/>
                                <w:sz w:val="21"/>
                                <w:szCs w:val="21"/>
                              </w:rPr>
                            </w:pPr>
                          </w:p>
                          <w:p w14:paraId="015F87D4" w14:textId="77777777" w:rsidR="007F3AF3" w:rsidRPr="00F27A2F" w:rsidRDefault="007F3AF3" w:rsidP="003114A3">
                            <w:pPr>
                              <w:rPr>
                                <w:rFonts w:cs="Arial"/>
                                <w:i/>
                                <w:sz w:val="21"/>
                                <w:szCs w:val="21"/>
                              </w:rPr>
                            </w:pPr>
                          </w:p>
                          <w:p w14:paraId="015F87D5" w14:textId="77777777" w:rsidR="007F3AF3" w:rsidRPr="00F27A2F" w:rsidRDefault="007F3AF3" w:rsidP="003114A3">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89.75pt;margin-top:41.95pt;width:469.5pt;height:4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B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" filled="f" stroked="f">
                <v:textbox>
                  <w:txbxContent>
                    <w:p w14:paraId="015F87D0" w14:textId="77777777" w:rsidR="007F3AF3" w:rsidRPr="00F27A2F" w:rsidRDefault="007F3AF3" w:rsidP="003114A3">
                      <w:pPr>
                        <w:rPr>
                          <w:rFonts w:cs="Arial"/>
                          <w:i/>
                          <w:sz w:val="21"/>
                          <w:szCs w:val="21"/>
                        </w:rPr>
                      </w:pPr>
                    </w:p>
                    <w:p w14:paraId="015F87D1" w14:textId="77777777" w:rsidR="007F3AF3" w:rsidRPr="00592DD0" w:rsidRDefault="007F3AF3" w:rsidP="003114A3">
                      <w:pPr>
                        <w:rPr>
                          <w:rFonts w:cs="Arial"/>
                          <w:sz w:val="40"/>
                          <w:szCs w:val="40"/>
                        </w:rPr>
                      </w:pPr>
                    </w:p>
                    <w:p w14:paraId="015F87D3" w14:textId="77777777" w:rsidR="007F3AF3" w:rsidRPr="00F27A2F" w:rsidRDefault="007F3AF3" w:rsidP="003114A3">
                      <w:pPr>
                        <w:rPr>
                          <w:rFonts w:cs="Arial"/>
                          <w:i/>
                          <w:sz w:val="21"/>
                          <w:szCs w:val="21"/>
                        </w:rPr>
                      </w:pPr>
                    </w:p>
                    <w:p w14:paraId="015F87D4" w14:textId="77777777" w:rsidR="007F3AF3" w:rsidRPr="00F27A2F" w:rsidRDefault="007F3AF3" w:rsidP="003114A3">
                      <w:pPr>
                        <w:rPr>
                          <w:rFonts w:cs="Arial"/>
                          <w:i/>
                          <w:sz w:val="21"/>
                          <w:szCs w:val="21"/>
                        </w:rPr>
                      </w:pPr>
                    </w:p>
                    <w:p w14:paraId="015F87D5" w14:textId="77777777" w:rsidR="007F3AF3" w:rsidRPr="00F27A2F" w:rsidRDefault="007F3AF3" w:rsidP="003114A3">
                      <w:pPr>
                        <w:rPr>
                          <w:rFonts w:cs="Arial"/>
                          <w:sz w:val="21"/>
                          <w:szCs w:val="21"/>
                        </w:rPr>
                      </w:pPr>
                    </w:p>
                  </w:txbxContent>
                </v:textbox>
              </v:shape>
            </w:pict>
          </mc:Fallback>
        </mc:AlternateContent>
      </w:r>
      <w:r w:rsidR="00BC7134">
        <w:rPr>
          <w:rFonts w:cs="Arial"/>
          <w:b/>
          <w:sz w:val="24"/>
          <w:szCs w:val="24"/>
        </w:rPr>
        <w:t>Q2 2016</w:t>
      </w:r>
      <w:r w:rsidRPr="00183791">
        <w:rPr>
          <w:rFonts w:cs="Arial"/>
          <w:b/>
          <w:sz w:val="24"/>
          <w:szCs w:val="24"/>
        </w:rPr>
        <w:t xml:space="preserve"> REPORT ON ACTIVITIES FOR NW NATURAL IN WASHINGTON</w:t>
      </w:r>
    </w:p>
    <w:p w14:paraId="015F865F" w14:textId="40C59644" w:rsidR="003114A3" w:rsidRPr="00183791" w:rsidRDefault="00BC7134" w:rsidP="003114A3">
      <w:pPr>
        <w:spacing w:line="300" w:lineRule="auto"/>
        <w:rPr>
          <w:rFonts w:cs="Arial"/>
          <w:sz w:val="21"/>
          <w:szCs w:val="21"/>
        </w:rPr>
      </w:pPr>
      <w:r>
        <w:rPr>
          <w:rFonts w:cs="Arial"/>
          <w:sz w:val="21"/>
          <w:szCs w:val="21"/>
        </w:rPr>
        <w:t>April 1</w:t>
      </w:r>
      <w:r w:rsidR="00A91237">
        <w:rPr>
          <w:rFonts w:cs="Arial"/>
          <w:sz w:val="21"/>
          <w:szCs w:val="21"/>
        </w:rPr>
        <w:t>,</w:t>
      </w:r>
      <w:r>
        <w:rPr>
          <w:rFonts w:cs="Arial"/>
          <w:sz w:val="21"/>
          <w:szCs w:val="21"/>
        </w:rPr>
        <w:t xml:space="preserve"> 2016</w:t>
      </w:r>
      <w:r w:rsidR="00473828">
        <w:rPr>
          <w:rFonts w:cs="Arial"/>
          <w:sz w:val="21"/>
          <w:szCs w:val="21"/>
        </w:rPr>
        <w:t>,</w:t>
      </w:r>
      <w:r>
        <w:rPr>
          <w:rFonts w:cs="Arial"/>
          <w:sz w:val="21"/>
          <w:szCs w:val="21"/>
        </w:rPr>
        <w:t xml:space="preserve"> through June 30, 2016</w:t>
      </w:r>
    </w:p>
    <w:p w14:paraId="1DB2986B" w14:textId="77777777" w:rsidR="006C0590" w:rsidRPr="00680880" w:rsidRDefault="006C0590" w:rsidP="00183791">
      <w:pPr>
        <w:pStyle w:val="ListParagraph"/>
        <w:spacing w:line="300" w:lineRule="auto"/>
        <w:ind w:left="1080" w:firstLine="1260"/>
        <w:rPr>
          <w:rFonts w:ascii="Arial" w:hAnsi="Arial" w:cs="Arial"/>
          <w:sz w:val="20"/>
          <w:szCs w:val="20"/>
        </w:rPr>
      </w:pPr>
    </w:p>
    <w:p w14:paraId="7F368421" w14:textId="553EAAFC" w:rsidR="006C0590" w:rsidRDefault="00183791" w:rsidP="006C0590">
      <w:pPr>
        <w:spacing w:line="300" w:lineRule="auto"/>
        <w:rPr>
          <w:rFonts w:cs="Arial"/>
          <w:sz w:val="20"/>
        </w:rPr>
      </w:pPr>
      <w:r w:rsidRPr="00183791">
        <w:rPr>
          <w:rFonts w:cs="Arial"/>
          <w:sz w:val="20"/>
        </w:rPr>
        <w:t xml:space="preserve">This quarterly report covers the period </w:t>
      </w:r>
      <w:r w:rsidR="001B7BB1">
        <w:rPr>
          <w:rFonts w:cs="Arial"/>
          <w:sz w:val="20"/>
        </w:rPr>
        <w:t>April 1</w:t>
      </w:r>
      <w:r w:rsidR="00BC7134">
        <w:rPr>
          <w:rFonts w:cs="Arial"/>
          <w:sz w:val="20"/>
        </w:rPr>
        <w:t xml:space="preserve"> through June 30, 2016</w:t>
      </w:r>
      <w:r w:rsidRPr="00183791">
        <w:rPr>
          <w:rFonts w:cs="Arial"/>
          <w:sz w:val="20"/>
        </w:rPr>
        <w:t xml:space="preserve">. This report addresses progress toward 2016 goals for the NW Natural energy-efficiency program in Washington. It includes information on expenditures, gas savings, projects completed and incentives paid during the quarter and year to date. </w:t>
      </w:r>
    </w:p>
    <w:p w14:paraId="2B6DAE1A" w14:textId="77777777" w:rsidR="00A91237" w:rsidRDefault="00A91237" w:rsidP="006C0590">
      <w:pPr>
        <w:spacing w:line="300" w:lineRule="auto"/>
        <w:rPr>
          <w:rFonts w:cs="Arial"/>
          <w:sz w:val="20"/>
        </w:rPr>
      </w:pPr>
    </w:p>
    <w:p w14:paraId="4A4167D3" w14:textId="2F628DD3" w:rsidR="00183791" w:rsidRPr="00183791" w:rsidRDefault="00183791" w:rsidP="00E46D53">
      <w:pPr>
        <w:pStyle w:val="ListParagraph"/>
        <w:numPr>
          <w:ilvl w:val="0"/>
          <w:numId w:val="21"/>
        </w:numPr>
        <w:spacing w:line="300" w:lineRule="auto"/>
        <w:ind w:hanging="180"/>
        <w:rPr>
          <w:rFonts w:ascii="Arial" w:hAnsi="Arial" w:cs="Arial"/>
        </w:rPr>
      </w:pPr>
      <w:r>
        <w:rPr>
          <w:rFonts w:ascii="Arial" w:hAnsi="Arial" w:cs="Arial"/>
          <w:b/>
        </w:rPr>
        <w:t>PROGRAM SUMMARY</w:t>
      </w:r>
    </w:p>
    <w:p w14:paraId="6F36770B" w14:textId="77777777" w:rsidR="00183791" w:rsidRPr="00183791" w:rsidRDefault="00183791" w:rsidP="00183791">
      <w:pPr>
        <w:pStyle w:val="ListParagraph"/>
        <w:spacing w:line="300" w:lineRule="auto"/>
        <w:rPr>
          <w:rFonts w:ascii="Arial" w:hAnsi="Arial" w:cs="Arial"/>
        </w:rPr>
      </w:pPr>
    </w:p>
    <w:p w14:paraId="6977EFDB" w14:textId="3C85AC79" w:rsidR="006C0590" w:rsidRPr="007B4C66" w:rsidRDefault="00183791" w:rsidP="00571564">
      <w:pPr>
        <w:pStyle w:val="ListParagraph"/>
        <w:numPr>
          <w:ilvl w:val="0"/>
          <w:numId w:val="6"/>
        </w:numPr>
        <w:spacing w:line="300" w:lineRule="auto"/>
        <w:ind w:left="360"/>
        <w:outlineLvl w:val="0"/>
        <w:rPr>
          <w:rFonts w:ascii="Arial" w:hAnsi="Arial" w:cs="Arial"/>
          <w:sz w:val="20"/>
          <w:szCs w:val="20"/>
        </w:rPr>
      </w:pPr>
      <w:r>
        <w:rPr>
          <w:rFonts w:ascii="Arial" w:hAnsi="Arial" w:cs="Arial"/>
          <w:b/>
        </w:rPr>
        <w:t>General</w:t>
      </w:r>
    </w:p>
    <w:p w14:paraId="39399DDE" w14:textId="14769CF6" w:rsidR="006C0590" w:rsidRPr="007B4C66" w:rsidRDefault="006C0590" w:rsidP="00571564">
      <w:pPr>
        <w:pStyle w:val="ListParagraph"/>
        <w:numPr>
          <w:ilvl w:val="0"/>
          <w:numId w:val="8"/>
        </w:numPr>
        <w:spacing w:line="300" w:lineRule="auto"/>
        <w:ind w:right="720"/>
        <w:rPr>
          <w:rFonts w:ascii="Arial" w:hAnsi="Arial" w:cs="Arial"/>
          <w:sz w:val="20"/>
          <w:szCs w:val="20"/>
        </w:rPr>
      </w:pPr>
      <w:r w:rsidRPr="00C54E01">
        <w:rPr>
          <w:rFonts w:ascii="Arial" w:hAnsi="Arial" w:cs="Arial"/>
          <w:b/>
          <w:sz w:val="20"/>
          <w:szCs w:val="20"/>
        </w:rPr>
        <w:t xml:space="preserve">Gas efficiency measures installed in </w:t>
      </w:r>
      <w:r w:rsidR="00BC7134" w:rsidRPr="00C54E01">
        <w:rPr>
          <w:rFonts w:ascii="Arial" w:hAnsi="Arial" w:cs="Arial"/>
          <w:b/>
          <w:sz w:val="20"/>
          <w:szCs w:val="20"/>
        </w:rPr>
        <w:t>Q2 2016</w:t>
      </w:r>
      <w:r w:rsidRPr="00C54E01">
        <w:rPr>
          <w:rFonts w:ascii="Arial" w:hAnsi="Arial" w:cs="Arial"/>
          <w:b/>
          <w:sz w:val="20"/>
          <w:szCs w:val="20"/>
        </w:rPr>
        <w:t xml:space="preserve"> by NW Natural’s Washington customers saved </w:t>
      </w:r>
      <w:r w:rsidRPr="00C54E01">
        <w:rPr>
          <w:rFonts w:ascii="Arial" w:hAnsi="Arial" w:cs="Arial"/>
          <w:b/>
          <w:sz w:val="20"/>
          <w:szCs w:val="20"/>
        </w:rPr>
        <w:fldChar w:fldCharType="begin"/>
      </w:r>
      <w:r w:rsidRPr="00C54E01">
        <w:rPr>
          <w:rFonts w:ascii="Arial" w:hAnsi="Arial" w:cs="Arial"/>
          <w:b/>
          <w:sz w:val="20"/>
          <w:szCs w:val="20"/>
        </w:rPr>
        <w:instrText xml:space="preserve"> INCLUDETEXT  "E:\\TRUST GENERAL\\Public Utility Commission\\Annual reports\\Automation\\QtrRpt_PageValuesWA.xml" \n xmlns:ns1=\"ETO\" \x ns1:Root/ns1:Metrics/ns1:Energy/ns1:Yr/ns1:GasEff/ns1:All  \* MERGEFORMAT </w:instrText>
      </w:r>
      <w:r w:rsidRPr="00C54E01">
        <w:rPr>
          <w:rFonts w:ascii="Arial" w:hAnsi="Arial" w:cs="Arial"/>
          <w:b/>
          <w:sz w:val="20"/>
          <w:szCs w:val="20"/>
        </w:rPr>
        <w:fldChar w:fldCharType="separate"/>
      </w:r>
      <w:r w:rsidR="00BC1AEE" w:rsidRPr="003E7675">
        <w:rPr>
          <w:rFonts w:ascii="Arial" w:hAnsi="Arial" w:cs="Arial"/>
          <w:b/>
          <w:sz w:val="20"/>
          <w:szCs w:val="20"/>
        </w:rPr>
        <w:t>48,227</w:t>
      </w:r>
      <w:r w:rsidRPr="00C54E01">
        <w:rPr>
          <w:rFonts w:ascii="Arial" w:hAnsi="Arial" w:cs="Arial"/>
          <w:b/>
          <w:sz w:val="20"/>
          <w:szCs w:val="20"/>
        </w:rPr>
        <w:t xml:space="preserve"> annual therms</w:t>
      </w:r>
      <w:r w:rsidRPr="00C54E01">
        <w:rPr>
          <w:rFonts w:ascii="Arial" w:hAnsi="Arial" w:cs="Arial"/>
          <w:b/>
          <w:sz w:val="20"/>
          <w:szCs w:val="20"/>
        </w:rPr>
        <w:fldChar w:fldCharType="end"/>
      </w:r>
      <w:r w:rsidRPr="00C54E01">
        <w:rPr>
          <w:rFonts w:ascii="Arial" w:hAnsi="Arial" w:cs="Arial"/>
          <w:b/>
          <w:sz w:val="20"/>
          <w:szCs w:val="20"/>
        </w:rPr>
        <w:t xml:space="preserve"> of natural gas</w:t>
      </w:r>
      <w:r w:rsidRPr="007B4C66">
        <w:rPr>
          <w:rFonts w:ascii="Arial" w:hAnsi="Arial" w:cs="Arial"/>
          <w:sz w:val="20"/>
          <w:szCs w:val="20"/>
        </w:rPr>
        <w:t xml:space="preserve">—including </w:t>
      </w:r>
      <w:r w:rsidRPr="0051366A">
        <w:rPr>
          <w:rFonts w:ascii="Arial" w:hAnsi="Arial" w:cs="Arial"/>
          <w:sz w:val="20"/>
          <w:szCs w:val="20"/>
        </w:rPr>
        <w:fldChar w:fldCharType="begin"/>
      </w:r>
      <w:r w:rsidRPr="0051366A">
        <w:rPr>
          <w:rFonts w:ascii="Arial" w:hAnsi="Arial" w:cs="Arial"/>
          <w:sz w:val="20"/>
          <w:szCs w:val="20"/>
        </w:rPr>
        <w:instrText xml:space="preserve"> INCLUDETEXT  "E:\\TRUST GENERAL\\Public Utility Commission\\Annual reports\\Automation\\QtrRpt_PageValuesWA.xml" \n xmlns:ns1=\"ETO\" \x ns1:Root/ns1:Metrics/ns1:Energy/ns1:Yr/ns1:GasEff/ns1:Com/ns1:Eb  \* MERGEFORMAT </w:instrText>
      </w:r>
      <w:r w:rsidRPr="0051366A">
        <w:rPr>
          <w:rFonts w:ascii="Arial" w:hAnsi="Arial" w:cs="Arial"/>
          <w:sz w:val="20"/>
          <w:szCs w:val="20"/>
        </w:rPr>
        <w:fldChar w:fldCharType="separate"/>
      </w:r>
      <w:r w:rsidR="00BC1AEE" w:rsidRPr="003E7675">
        <w:rPr>
          <w:rFonts w:ascii="Arial" w:hAnsi="Arial" w:cs="Arial"/>
          <w:sz w:val="20"/>
          <w:szCs w:val="20"/>
        </w:rPr>
        <w:t>10,621</w:t>
      </w:r>
      <w:r w:rsidRPr="003E7675">
        <w:rPr>
          <w:rFonts w:ascii="Arial" w:hAnsi="Arial" w:cs="Arial"/>
          <w:sz w:val="20"/>
          <w:szCs w:val="20"/>
        </w:rPr>
        <w:t xml:space="preserve"> </w:t>
      </w:r>
      <w:r w:rsidRPr="00571564">
        <w:rPr>
          <w:rFonts w:ascii="Arial" w:hAnsi="Arial" w:cs="Arial"/>
          <w:sz w:val="20"/>
          <w:szCs w:val="20"/>
        </w:rPr>
        <w:t>annual therms</w:t>
      </w:r>
      <w:r w:rsidRPr="0051366A">
        <w:rPr>
          <w:rFonts w:ascii="Arial" w:hAnsi="Arial" w:cs="Arial"/>
          <w:sz w:val="20"/>
          <w:szCs w:val="20"/>
        </w:rPr>
        <w:fldChar w:fldCharType="end"/>
      </w:r>
      <w:r w:rsidRPr="007B4C66">
        <w:rPr>
          <w:rFonts w:ascii="Arial" w:hAnsi="Arial" w:cs="Arial"/>
          <w:sz w:val="20"/>
          <w:szCs w:val="20"/>
        </w:rPr>
        <w:t xml:space="preserve"> in Existing Buildings, </w:t>
      </w:r>
      <w:r w:rsidRPr="0051366A">
        <w:rPr>
          <w:rFonts w:ascii="Arial" w:hAnsi="Arial" w:cs="Arial"/>
          <w:sz w:val="20"/>
          <w:szCs w:val="20"/>
        </w:rPr>
        <w:fldChar w:fldCharType="begin"/>
      </w:r>
      <w:r w:rsidRPr="0051366A">
        <w:rPr>
          <w:rFonts w:ascii="Arial" w:hAnsi="Arial" w:cs="Arial"/>
          <w:sz w:val="20"/>
          <w:szCs w:val="20"/>
        </w:rPr>
        <w:instrText xml:space="preserve"> INCLUDETEXT  "E:\\TRUST GENERAL\\Public Utility Commission\\Annual reports\\Automation\\QtrRpt_PageValuesWA.xml" \n xmlns:ns1=\"ETO\" \x ns1:Root/ns1:Metrics/ns1:Energy/ns1:Yr/ns1:GasEff/ns1:Res/ns1:Eh  \* MERGEFORMAT </w:instrText>
      </w:r>
      <w:r w:rsidRPr="0051366A">
        <w:rPr>
          <w:rFonts w:ascii="Arial" w:hAnsi="Arial" w:cs="Arial"/>
          <w:sz w:val="20"/>
          <w:szCs w:val="20"/>
        </w:rPr>
        <w:fldChar w:fldCharType="separate"/>
      </w:r>
      <w:r w:rsidR="00BC1AEE" w:rsidRPr="003E7675">
        <w:rPr>
          <w:rFonts w:ascii="Arial" w:hAnsi="Arial" w:cs="Arial"/>
          <w:sz w:val="20"/>
          <w:szCs w:val="20"/>
        </w:rPr>
        <w:t>15,184</w:t>
      </w:r>
      <w:r w:rsidRPr="003E7675">
        <w:rPr>
          <w:rFonts w:ascii="Arial" w:hAnsi="Arial" w:cs="Arial"/>
          <w:sz w:val="20"/>
          <w:szCs w:val="20"/>
        </w:rPr>
        <w:t xml:space="preserve"> </w:t>
      </w:r>
      <w:r w:rsidRPr="00571564">
        <w:rPr>
          <w:rFonts w:ascii="Arial" w:hAnsi="Arial" w:cs="Arial"/>
          <w:sz w:val="20"/>
          <w:szCs w:val="20"/>
        </w:rPr>
        <w:t>annual therms</w:t>
      </w:r>
      <w:r w:rsidRPr="0051366A">
        <w:rPr>
          <w:rFonts w:ascii="Arial" w:hAnsi="Arial" w:cs="Arial"/>
          <w:sz w:val="20"/>
          <w:szCs w:val="20"/>
        </w:rPr>
        <w:fldChar w:fldCharType="end"/>
      </w:r>
      <w:r w:rsidRPr="007B4C66">
        <w:rPr>
          <w:rFonts w:ascii="Arial" w:hAnsi="Arial" w:cs="Arial"/>
          <w:sz w:val="20"/>
          <w:szCs w:val="20"/>
        </w:rPr>
        <w:t xml:space="preserve"> in Existing Homes and </w:t>
      </w:r>
      <w:r w:rsidRPr="0051366A">
        <w:rPr>
          <w:rFonts w:ascii="Arial" w:hAnsi="Arial" w:cs="Arial"/>
          <w:sz w:val="20"/>
          <w:szCs w:val="20"/>
        </w:rPr>
        <w:fldChar w:fldCharType="begin"/>
      </w:r>
      <w:r w:rsidRPr="0051366A">
        <w:rPr>
          <w:rFonts w:ascii="Arial" w:hAnsi="Arial" w:cs="Arial"/>
          <w:sz w:val="20"/>
          <w:szCs w:val="20"/>
        </w:rPr>
        <w:instrText xml:space="preserve"> INCLUDETEXT  "E:\\TRUST GENERAL\\Public Utility Commission\\Annual reports\\Automation\\QtrRpt_PageValuesWA.xml" \n xmlns:ns1=\"ETO\" \x ns1:Root/ns1:Metrics/ns1:Energy/ns1:Yr/ns1:GasEff/ns1:Res/ns1:Nh  \* MERGEFORMAT </w:instrText>
      </w:r>
      <w:r w:rsidRPr="0051366A">
        <w:rPr>
          <w:rFonts w:ascii="Arial" w:hAnsi="Arial" w:cs="Arial"/>
          <w:sz w:val="20"/>
          <w:szCs w:val="20"/>
        </w:rPr>
        <w:fldChar w:fldCharType="separate"/>
      </w:r>
      <w:r w:rsidR="00BC1AEE" w:rsidRPr="003E7675">
        <w:rPr>
          <w:rFonts w:ascii="Arial" w:hAnsi="Arial" w:cs="Arial"/>
          <w:sz w:val="20"/>
          <w:szCs w:val="20"/>
        </w:rPr>
        <w:t>22,421</w:t>
      </w:r>
      <w:r w:rsidRPr="00BC1AEE">
        <w:rPr>
          <w:rFonts w:ascii="Arial" w:hAnsi="Arial" w:cs="Arial"/>
          <w:sz w:val="20"/>
          <w:szCs w:val="20"/>
        </w:rPr>
        <w:t xml:space="preserve"> </w:t>
      </w:r>
      <w:r w:rsidRPr="006B0014">
        <w:rPr>
          <w:rFonts w:ascii="Arial" w:hAnsi="Arial" w:cs="Arial"/>
          <w:sz w:val="20"/>
          <w:szCs w:val="20"/>
        </w:rPr>
        <w:t>annual therms</w:t>
      </w:r>
      <w:r w:rsidRPr="0051366A">
        <w:rPr>
          <w:rFonts w:ascii="Arial" w:hAnsi="Arial" w:cs="Arial"/>
          <w:sz w:val="20"/>
          <w:szCs w:val="20"/>
        </w:rPr>
        <w:fldChar w:fldCharType="end"/>
      </w:r>
      <w:r w:rsidRPr="007B4C66">
        <w:rPr>
          <w:rFonts w:ascii="Arial" w:hAnsi="Arial" w:cs="Arial"/>
          <w:sz w:val="20"/>
          <w:szCs w:val="20"/>
        </w:rPr>
        <w:t xml:space="preserve"> in New Homes</w:t>
      </w:r>
      <w:r w:rsidR="00C54E01">
        <w:rPr>
          <w:rFonts w:ascii="Arial" w:hAnsi="Arial" w:cs="Arial"/>
          <w:sz w:val="20"/>
          <w:szCs w:val="20"/>
        </w:rPr>
        <w:t xml:space="preserve"> and Products</w:t>
      </w:r>
      <w:r w:rsidRPr="007B4C66">
        <w:rPr>
          <w:rFonts w:ascii="Arial" w:hAnsi="Arial" w:cs="Arial"/>
          <w:sz w:val="20"/>
          <w:szCs w:val="20"/>
        </w:rPr>
        <w:t xml:space="preserve">. </w:t>
      </w:r>
    </w:p>
    <w:p w14:paraId="726A2A68" w14:textId="354AA100" w:rsidR="006C0590" w:rsidRPr="007B4C66" w:rsidRDefault="00BC7134" w:rsidP="00571564">
      <w:pPr>
        <w:pStyle w:val="ListParagraph"/>
        <w:numPr>
          <w:ilvl w:val="0"/>
          <w:numId w:val="5"/>
        </w:numPr>
        <w:spacing w:line="300" w:lineRule="auto"/>
        <w:ind w:right="720"/>
        <w:rPr>
          <w:rFonts w:ascii="Arial" w:hAnsi="Arial" w:cs="Arial"/>
          <w:sz w:val="20"/>
          <w:szCs w:val="20"/>
        </w:rPr>
      </w:pPr>
      <w:r>
        <w:rPr>
          <w:rFonts w:ascii="Arial" w:hAnsi="Arial" w:cs="Arial"/>
          <w:b/>
          <w:sz w:val="20"/>
          <w:szCs w:val="20"/>
        </w:rPr>
        <w:t>Q2 2016</w:t>
      </w:r>
      <w:r w:rsidR="006C0590" w:rsidRPr="007B4C66">
        <w:rPr>
          <w:rFonts w:ascii="Arial" w:hAnsi="Arial" w:cs="Arial"/>
          <w:b/>
          <w:sz w:val="20"/>
          <w:szCs w:val="20"/>
        </w:rPr>
        <w:t xml:space="preserve"> savings were </w:t>
      </w:r>
      <w:r w:rsidR="006C0590" w:rsidRPr="00FA3004">
        <w:rPr>
          <w:rFonts w:ascii="Arial" w:hAnsi="Arial" w:cs="Arial"/>
          <w:b/>
          <w:sz w:val="20"/>
          <w:szCs w:val="20"/>
        </w:rPr>
        <w:t xml:space="preserve">approximately </w:t>
      </w:r>
      <w:r w:rsidR="00BC1AEE" w:rsidRPr="003E7675">
        <w:rPr>
          <w:rFonts w:ascii="Arial" w:hAnsi="Arial" w:cs="Arial"/>
          <w:b/>
          <w:sz w:val="20"/>
          <w:szCs w:val="20"/>
        </w:rPr>
        <w:t>18</w:t>
      </w:r>
      <w:r w:rsidR="006C0590" w:rsidRPr="00326871">
        <w:rPr>
          <w:rFonts w:ascii="Arial" w:hAnsi="Arial" w:cs="Arial"/>
          <w:b/>
          <w:sz w:val="20"/>
          <w:szCs w:val="20"/>
        </w:rPr>
        <w:t xml:space="preserve"> percent</w:t>
      </w:r>
      <w:r w:rsidR="006C0590" w:rsidRPr="00FA3004">
        <w:rPr>
          <w:rFonts w:ascii="Arial" w:hAnsi="Arial" w:cs="Arial"/>
          <w:b/>
          <w:sz w:val="20"/>
          <w:szCs w:val="20"/>
        </w:rPr>
        <w:t xml:space="preserve"> of the </w:t>
      </w:r>
      <w:r w:rsidR="00A37B76">
        <w:rPr>
          <w:rFonts w:ascii="Arial" w:hAnsi="Arial" w:cs="Arial"/>
          <w:b/>
          <w:sz w:val="20"/>
          <w:szCs w:val="20"/>
        </w:rPr>
        <w:t>2016 annual performance metric</w:t>
      </w:r>
      <w:r w:rsidR="00A37B76" w:rsidRPr="00A37B76">
        <w:rPr>
          <w:rFonts w:ascii="Arial" w:hAnsi="Arial" w:cs="Arial"/>
          <w:sz w:val="20"/>
          <w:szCs w:val="20"/>
        </w:rPr>
        <w:t xml:space="preserve"> of 263,184 therms</w:t>
      </w:r>
      <w:r w:rsidR="00A37B76">
        <w:rPr>
          <w:rFonts w:ascii="Arial" w:hAnsi="Arial" w:cs="Arial"/>
          <w:b/>
          <w:sz w:val="20"/>
          <w:szCs w:val="20"/>
        </w:rPr>
        <w:t xml:space="preserve"> </w:t>
      </w:r>
      <w:r w:rsidR="00A37B76" w:rsidRPr="00A37B76">
        <w:rPr>
          <w:rFonts w:ascii="Arial" w:hAnsi="Arial" w:cs="Arial"/>
          <w:sz w:val="20"/>
          <w:szCs w:val="20"/>
        </w:rPr>
        <w:t>in NW Natural’s 2016 Energy Efficiency Plan submitted to the Washington Utilities and Transportation Commission</w:t>
      </w:r>
      <w:r w:rsidR="00C54E01" w:rsidRPr="00A37B76">
        <w:rPr>
          <w:rFonts w:ascii="Arial" w:hAnsi="Arial" w:cs="Arial"/>
          <w:sz w:val="20"/>
          <w:szCs w:val="20"/>
        </w:rPr>
        <w:t>.</w:t>
      </w:r>
      <w:r w:rsidR="00A37B76" w:rsidRPr="00A37B76">
        <w:rPr>
          <w:rStyle w:val="FootnoteReference"/>
          <w:rFonts w:ascii="Arial" w:hAnsi="Arial" w:cs="Arial"/>
          <w:sz w:val="20"/>
          <w:szCs w:val="20"/>
        </w:rPr>
        <w:footnoteReference w:id="2"/>
      </w:r>
    </w:p>
    <w:p w14:paraId="6DE9D309" w14:textId="2205DF56" w:rsidR="006C0590" w:rsidRPr="00A821EF" w:rsidRDefault="006C0590" w:rsidP="00571564">
      <w:pPr>
        <w:pStyle w:val="ListParagraph"/>
        <w:numPr>
          <w:ilvl w:val="0"/>
          <w:numId w:val="5"/>
        </w:numPr>
        <w:spacing w:line="300" w:lineRule="auto"/>
        <w:ind w:right="720"/>
        <w:rPr>
          <w:rFonts w:ascii="Arial" w:hAnsi="Arial" w:cs="Arial"/>
          <w:sz w:val="20"/>
          <w:szCs w:val="20"/>
        </w:rPr>
      </w:pPr>
      <w:r w:rsidRPr="00A821EF">
        <w:rPr>
          <w:rFonts w:ascii="Arial" w:hAnsi="Arial" w:cs="Arial"/>
          <w:b/>
          <w:sz w:val="20"/>
          <w:szCs w:val="20"/>
        </w:rPr>
        <w:t xml:space="preserve">In total, savings </w:t>
      </w:r>
      <w:r>
        <w:rPr>
          <w:rFonts w:ascii="Arial" w:hAnsi="Arial" w:cs="Arial"/>
          <w:b/>
          <w:sz w:val="20"/>
          <w:szCs w:val="20"/>
        </w:rPr>
        <w:t xml:space="preserve">achieved in </w:t>
      </w:r>
      <w:r w:rsidR="00BC7134">
        <w:rPr>
          <w:rFonts w:ascii="Arial" w:hAnsi="Arial" w:cs="Arial"/>
          <w:b/>
          <w:sz w:val="20"/>
          <w:szCs w:val="20"/>
        </w:rPr>
        <w:t>Q2 2016</w:t>
      </w:r>
      <w:r>
        <w:rPr>
          <w:rFonts w:ascii="Arial" w:hAnsi="Arial" w:cs="Arial"/>
          <w:b/>
          <w:sz w:val="20"/>
          <w:szCs w:val="20"/>
        </w:rPr>
        <w:t xml:space="preserve"> were</w:t>
      </w:r>
      <w:r w:rsidRPr="00A821EF">
        <w:rPr>
          <w:rFonts w:ascii="Arial" w:hAnsi="Arial" w:cs="Arial"/>
          <w:b/>
          <w:sz w:val="20"/>
          <w:szCs w:val="20"/>
        </w:rPr>
        <w:t xml:space="preserve"> </w:t>
      </w:r>
      <w:r w:rsidRPr="00A821EF">
        <w:rPr>
          <w:rFonts w:ascii="Arial" w:hAnsi="Arial" w:cs="Arial"/>
          <w:b/>
          <w:sz w:val="20"/>
          <w:szCs w:val="20"/>
        </w:rPr>
        <w:fldChar w:fldCharType="begin"/>
      </w:r>
      <w:r w:rsidRPr="00A821EF">
        <w:rPr>
          <w:rFonts w:ascii="Arial" w:hAnsi="Arial" w:cs="Arial"/>
          <w:b/>
          <w:sz w:val="20"/>
          <w:szCs w:val="20"/>
        </w:rPr>
        <w:instrText xml:space="preserve"> INCLUDETEXT  "E:\\TRUST GENERAL\\Public Utility Commission\\Annual reports\\Automation\\QtrRpt_PageValuesWA.xml" \n xmlns:ns1=\"ETO\" \x ns1:Root/ns1:Metrics/ns1:EnergyPctDiff/ns1:FromPrevYr/ns1:Yr/ns1:GasEff/ns1:All  \* MERGEFORMAT </w:instrText>
      </w:r>
      <w:r w:rsidRPr="00A821EF">
        <w:rPr>
          <w:rFonts w:ascii="Arial" w:hAnsi="Arial" w:cs="Arial"/>
          <w:b/>
          <w:sz w:val="20"/>
          <w:szCs w:val="20"/>
        </w:rPr>
        <w:fldChar w:fldCharType="separate"/>
      </w:r>
      <w:r w:rsidR="00BC1AEE" w:rsidRPr="005D0B1E">
        <w:rPr>
          <w:rFonts w:ascii="Arial" w:hAnsi="Arial" w:cs="Arial"/>
          <w:b/>
          <w:sz w:val="20"/>
          <w:szCs w:val="20"/>
        </w:rPr>
        <w:t>67</w:t>
      </w:r>
      <w:r w:rsidRPr="005D0B1E">
        <w:rPr>
          <w:rFonts w:ascii="Arial" w:hAnsi="Arial" w:cs="Arial"/>
          <w:b/>
          <w:sz w:val="20"/>
          <w:szCs w:val="20"/>
        </w:rPr>
        <w:t xml:space="preserve"> percent higher</w:t>
      </w:r>
      <w:r w:rsidRPr="00A821EF">
        <w:rPr>
          <w:rFonts w:ascii="Arial" w:hAnsi="Arial" w:cs="Arial"/>
          <w:b/>
          <w:sz w:val="20"/>
          <w:szCs w:val="20"/>
        </w:rPr>
        <w:t xml:space="preserve"> than</w:t>
      </w:r>
      <w:r w:rsidRPr="00A821EF">
        <w:rPr>
          <w:rFonts w:ascii="Arial" w:hAnsi="Arial" w:cs="Arial"/>
          <w:b/>
          <w:sz w:val="20"/>
          <w:szCs w:val="20"/>
        </w:rPr>
        <w:fldChar w:fldCharType="end"/>
      </w:r>
      <w:r w:rsidRPr="00A821EF">
        <w:rPr>
          <w:rFonts w:ascii="Arial" w:hAnsi="Arial" w:cs="Arial"/>
          <w:b/>
          <w:sz w:val="20"/>
          <w:szCs w:val="20"/>
        </w:rPr>
        <w:t xml:space="preserve"> </w:t>
      </w:r>
      <w:r w:rsidR="00BC7134">
        <w:rPr>
          <w:rFonts w:ascii="Arial" w:hAnsi="Arial" w:cs="Arial"/>
          <w:b/>
          <w:sz w:val="20"/>
          <w:szCs w:val="20"/>
        </w:rPr>
        <w:t>Q2 2015</w:t>
      </w:r>
      <w:r w:rsidRPr="00A821EF">
        <w:rPr>
          <w:rFonts w:ascii="Arial" w:hAnsi="Arial" w:cs="Arial"/>
          <w:b/>
          <w:sz w:val="20"/>
          <w:szCs w:val="20"/>
        </w:rPr>
        <w:t xml:space="preserve"> savings</w:t>
      </w:r>
      <w:r w:rsidR="00326871">
        <w:rPr>
          <w:rFonts w:ascii="Arial" w:hAnsi="Arial" w:cs="Arial"/>
          <w:b/>
          <w:sz w:val="20"/>
          <w:szCs w:val="20"/>
        </w:rPr>
        <w:t xml:space="preserve"> </w:t>
      </w:r>
      <w:r w:rsidR="00326871" w:rsidRPr="00B9240F">
        <w:rPr>
          <w:rFonts w:ascii="Arial" w:hAnsi="Arial" w:cs="Arial"/>
          <w:sz w:val="20"/>
          <w:szCs w:val="20"/>
        </w:rPr>
        <w:t>due to</w:t>
      </w:r>
      <w:r w:rsidR="0084594F" w:rsidRPr="00B9240F">
        <w:rPr>
          <w:rFonts w:ascii="Arial" w:hAnsi="Arial" w:cs="Arial"/>
          <w:sz w:val="20"/>
          <w:szCs w:val="20"/>
        </w:rPr>
        <w:t xml:space="preserve"> strong program accomplishments in all three programs</w:t>
      </w:r>
      <w:r w:rsidR="00326871" w:rsidRPr="00B9240F">
        <w:rPr>
          <w:rFonts w:ascii="Arial" w:hAnsi="Arial" w:cs="Arial"/>
          <w:sz w:val="20"/>
          <w:szCs w:val="20"/>
        </w:rPr>
        <w:t>.</w:t>
      </w:r>
      <w:r w:rsidR="0084594F" w:rsidRPr="00B9240F">
        <w:rPr>
          <w:rFonts w:ascii="Arial" w:hAnsi="Arial" w:cs="Arial"/>
          <w:sz w:val="20"/>
          <w:szCs w:val="20"/>
        </w:rPr>
        <w:t xml:space="preserve"> </w:t>
      </w:r>
      <w:r w:rsidR="00321E25">
        <w:rPr>
          <w:rFonts w:ascii="Arial" w:hAnsi="Arial" w:cs="Arial"/>
          <w:sz w:val="20"/>
          <w:szCs w:val="20"/>
        </w:rPr>
        <w:t xml:space="preserve">Energy Trust supported efficient construction in a thriving new homes market and bolstered installation of commercial foodservice equipment through a bonus incentive. </w:t>
      </w:r>
    </w:p>
    <w:p w14:paraId="2405F453" w14:textId="0027AECB" w:rsidR="007E2B3F" w:rsidRDefault="00326871" w:rsidP="00DA0325">
      <w:pPr>
        <w:pStyle w:val="ListParagraph"/>
        <w:numPr>
          <w:ilvl w:val="0"/>
          <w:numId w:val="5"/>
        </w:numPr>
        <w:spacing w:line="300" w:lineRule="auto"/>
        <w:ind w:right="720"/>
        <w:rPr>
          <w:rFonts w:ascii="Arial" w:hAnsi="Arial" w:cs="Arial"/>
          <w:sz w:val="20"/>
          <w:szCs w:val="20"/>
        </w:rPr>
      </w:pPr>
      <w:r w:rsidRPr="0051366A">
        <w:rPr>
          <w:rFonts w:ascii="Arial" w:hAnsi="Arial" w:cs="Arial"/>
          <w:b/>
          <w:sz w:val="20"/>
          <w:szCs w:val="20"/>
        </w:rPr>
        <w:t>Energy Trust expects to meet 2016 goals with a strong pipeline of projects</w:t>
      </w:r>
      <w:r w:rsidR="00B9240F">
        <w:rPr>
          <w:rFonts w:ascii="Arial" w:hAnsi="Arial" w:cs="Arial"/>
          <w:b/>
          <w:sz w:val="20"/>
          <w:szCs w:val="20"/>
        </w:rPr>
        <w:t xml:space="preserve"> in all three programs. </w:t>
      </w:r>
      <w:r w:rsidR="0055469F">
        <w:rPr>
          <w:rFonts w:ascii="Arial" w:hAnsi="Arial" w:cs="Arial"/>
          <w:sz w:val="20"/>
          <w:szCs w:val="20"/>
        </w:rPr>
        <w:t>Thanks to a strong economy and vintage of homes</w:t>
      </w:r>
      <w:r w:rsidR="005C7F6D">
        <w:rPr>
          <w:rFonts w:ascii="Arial" w:hAnsi="Arial" w:cs="Arial"/>
          <w:sz w:val="20"/>
          <w:szCs w:val="20"/>
        </w:rPr>
        <w:t xml:space="preserve">, </w:t>
      </w:r>
      <w:r w:rsidR="007F3AF3">
        <w:rPr>
          <w:rFonts w:ascii="Arial" w:hAnsi="Arial" w:cs="Arial"/>
          <w:sz w:val="20"/>
          <w:szCs w:val="20"/>
        </w:rPr>
        <w:t xml:space="preserve">in </w:t>
      </w:r>
      <w:r w:rsidR="005C7F6D">
        <w:rPr>
          <w:rFonts w:ascii="Arial" w:hAnsi="Arial" w:cs="Arial"/>
          <w:sz w:val="20"/>
          <w:szCs w:val="20"/>
        </w:rPr>
        <w:t>the</w:t>
      </w:r>
      <w:r w:rsidR="0055469F">
        <w:rPr>
          <w:rFonts w:ascii="Arial" w:hAnsi="Arial" w:cs="Arial"/>
          <w:sz w:val="20"/>
          <w:szCs w:val="20"/>
        </w:rPr>
        <w:t xml:space="preserve"> </w:t>
      </w:r>
      <w:r w:rsidR="00B9240F">
        <w:rPr>
          <w:rFonts w:ascii="Arial" w:hAnsi="Arial" w:cs="Arial"/>
          <w:sz w:val="20"/>
          <w:szCs w:val="20"/>
        </w:rPr>
        <w:t>Existing Homes</w:t>
      </w:r>
      <w:r w:rsidR="005C7F6D">
        <w:rPr>
          <w:rFonts w:ascii="Arial" w:hAnsi="Arial" w:cs="Arial"/>
          <w:sz w:val="20"/>
          <w:szCs w:val="20"/>
        </w:rPr>
        <w:t xml:space="preserve"> </w:t>
      </w:r>
      <w:r w:rsidR="00473828">
        <w:rPr>
          <w:rFonts w:ascii="Arial" w:hAnsi="Arial" w:cs="Arial"/>
          <w:sz w:val="20"/>
          <w:szCs w:val="20"/>
        </w:rPr>
        <w:t>p</w:t>
      </w:r>
      <w:r w:rsidR="005C7F6D">
        <w:rPr>
          <w:rFonts w:ascii="Arial" w:hAnsi="Arial" w:cs="Arial"/>
          <w:sz w:val="20"/>
          <w:szCs w:val="20"/>
        </w:rPr>
        <w:t>rogram</w:t>
      </w:r>
      <w:r w:rsidR="0055469F">
        <w:rPr>
          <w:rFonts w:ascii="Arial" w:hAnsi="Arial" w:cs="Arial"/>
          <w:sz w:val="20"/>
          <w:szCs w:val="20"/>
        </w:rPr>
        <w:t>,</w:t>
      </w:r>
      <w:r w:rsidR="00B9240F">
        <w:rPr>
          <w:rFonts w:ascii="Arial" w:hAnsi="Arial" w:cs="Arial"/>
          <w:sz w:val="20"/>
          <w:szCs w:val="20"/>
        </w:rPr>
        <w:t xml:space="preserve"> </w:t>
      </w:r>
      <w:r w:rsidR="0055469F">
        <w:rPr>
          <w:rFonts w:ascii="Arial" w:hAnsi="Arial" w:cs="Arial"/>
          <w:sz w:val="20"/>
          <w:szCs w:val="20"/>
        </w:rPr>
        <w:t xml:space="preserve">HVAC and equipment measures are also expected to be strong for the remainder of the year. </w:t>
      </w:r>
      <w:r w:rsidR="001522B6" w:rsidRPr="001522B6">
        <w:rPr>
          <w:rFonts w:ascii="Arial" w:hAnsi="Arial" w:cs="Arial"/>
          <w:sz w:val="20"/>
          <w:szCs w:val="20"/>
        </w:rPr>
        <w:t xml:space="preserve">The </w:t>
      </w:r>
      <w:r w:rsidR="00473828">
        <w:rPr>
          <w:rFonts w:ascii="Arial" w:hAnsi="Arial" w:cs="Arial"/>
          <w:sz w:val="20"/>
          <w:szCs w:val="20"/>
        </w:rPr>
        <w:t>c</w:t>
      </w:r>
      <w:r w:rsidR="001522B6" w:rsidRPr="001522B6">
        <w:rPr>
          <w:rFonts w:ascii="Arial" w:hAnsi="Arial" w:cs="Arial"/>
          <w:sz w:val="20"/>
          <w:szCs w:val="20"/>
        </w:rPr>
        <w:t xml:space="preserve">ommercial custom project pipeline currently includes </w:t>
      </w:r>
      <w:r w:rsidR="00473828">
        <w:rPr>
          <w:rFonts w:ascii="Arial" w:hAnsi="Arial" w:cs="Arial"/>
          <w:sz w:val="20"/>
          <w:szCs w:val="20"/>
        </w:rPr>
        <w:t>10</w:t>
      </w:r>
      <w:r w:rsidR="00473828" w:rsidRPr="001522B6">
        <w:rPr>
          <w:rFonts w:ascii="Arial" w:hAnsi="Arial" w:cs="Arial"/>
          <w:sz w:val="20"/>
          <w:szCs w:val="20"/>
        </w:rPr>
        <w:t xml:space="preserve"> </w:t>
      </w:r>
      <w:r w:rsidR="001522B6" w:rsidRPr="001522B6">
        <w:rPr>
          <w:rFonts w:ascii="Arial" w:hAnsi="Arial" w:cs="Arial"/>
          <w:sz w:val="20"/>
          <w:szCs w:val="20"/>
        </w:rPr>
        <w:t xml:space="preserve">active </w:t>
      </w:r>
      <w:r w:rsidR="00473828">
        <w:rPr>
          <w:rFonts w:ascii="Arial" w:hAnsi="Arial" w:cs="Arial"/>
          <w:sz w:val="20"/>
          <w:szCs w:val="20"/>
        </w:rPr>
        <w:t>c</w:t>
      </w:r>
      <w:r w:rsidR="001522B6" w:rsidRPr="001522B6">
        <w:rPr>
          <w:rFonts w:ascii="Arial" w:hAnsi="Arial" w:cs="Arial"/>
          <w:sz w:val="20"/>
          <w:szCs w:val="20"/>
        </w:rPr>
        <w:t>ustom projects scheduled to complete in 2016</w:t>
      </w:r>
      <w:r w:rsidR="00473828">
        <w:rPr>
          <w:rFonts w:ascii="Arial" w:hAnsi="Arial" w:cs="Arial"/>
          <w:sz w:val="20"/>
          <w:szCs w:val="20"/>
        </w:rPr>
        <w:t>;</w:t>
      </w:r>
      <w:r w:rsidR="001522B6" w:rsidRPr="001522B6">
        <w:rPr>
          <w:rFonts w:ascii="Arial" w:hAnsi="Arial" w:cs="Arial"/>
          <w:sz w:val="20"/>
          <w:szCs w:val="20"/>
        </w:rPr>
        <w:t xml:space="preserve"> which, if all projects come in as projected</w:t>
      </w:r>
      <w:r w:rsidR="00473828">
        <w:rPr>
          <w:rFonts w:ascii="Arial" w:hAnsi="Arial" w:cs="Arial"/>
          <w:sz w:val="20"/>
          <w:szCs w:val="20"/>
        </w:rPr>
        <w:t>,</w:t>
      </w:r>
      <w:r w:rsidR="001522B6" w:rsidRPr="001522B6">
        <w:rPr>
          <w:rFonts w:ascii="Arial" w:hAnsi="Arial" w:cs="Arial"/>
          <w:sz w:val="20"/>
          <w:szCs w:val="20"/>
        </w:rPr>
        <w:t xml:space="preserve"> will result in </w:t>
      </w:r>
      <w:r w:rsidR="00473828">
        <w:rPr>
          <w:rFonts w:ascii="Arial" w:hAnsi="Arial" w:cs="Arial"/>
          <w:sz w:val="20"/>
          <w:szCs w:val="20"/>
        </w:rPr>
        <w:t>more than</w:t>
      </w:r>
      <w:r w:rsidR="00473828" w:rsidRPr="001522B6">
        <w:rPr>
          <w:rFonts w:ascii="Arial" w:hAnsi="Arial" w:cs="Arial"/>
          <w:sz w:val="20"/>
          <w:szCs w:val="20"/>
        </w:rPr>
        <w:t xml:space="preserve"> </w:t>
      </w:r>
      <w:r w:rsidR="001522B6" w:rsidRPr="001522B6">
        <w:rPr>
          <w:rFonts w:ascii="Arial" w:hAnsi="Arial" w:cs="Arial"/>
          <w:sz w:val="20"/>
          <w:szCs w:val="20"/>
        </w:rPr>
        <w:t>55,000 therms</w:t>
      </w:r>
      <w:r w:rsidR="00473828">
        <w:rPr>
          <w:rFonts w:ascii="Arial" w:hAnsi="Arial" w:cs="Arial"/>
          <w:sz w:val="20"/>
          <w:szCs w:val="20"/>
        </w:rPr>
        <w:t xml:space="preserve"> saved</w:t>
      </w:r>
      <w:r w:rsidR="001522B6" w:rsidRPr="001522B6">
        <w:rPr>
          <w:rFonts w:ascii="Arial" w:hAnsi="Arial" w:cs="Arial"/>
          <w:sz w:val="20"/>
          <w:szCs w:val="20"/>
        </w:rPr>
        <w:t>, twice the year</w:t>
      </w:r>
      <w:r w:rsidR="00473828">
        <w:rPr>
          <w:rFonts w:ascii="Arial" w:hAnsi="Arial" w:cs="Arial"/>
          <w:sz w:val="20"/>
          <w:szCs w:val="20"/>
        </w:rPr>
        <w:t>-</w:t>
      </w:r>
      <w:r w:rsidR="001522B6" w:rsidRPr="001522B6">
        <w:rPr>
          <w:rFonts w:ascii="Arial" w:hAnsi="Arial" w:cs="Arial"/>
          <w:sz w:val="20"/>
          <w:szCs w:val="20"/>
        </w:rPr>
        <w:t>end goal.</w:t>
      </w:r>
    </w:p>
    <w:p w14:paraId="32B733F9" w14:textId="77777777" w:rsidR="00552B4C" w:rsidRPr="0051366A" w:rsidRDefault="00552B4C" w:rsidP="00552B4C">
      <w:pPr>
        <w:pStyle w:val="ListParagraph"/>
        <w:spacing w:line="300" w:lineRule="auto"/>
        <w:ind w:right="720"/>
        <w:rPr>
          <w:rFonts w:ascii="Arial" w:hAnsi="Arial" w:cs="Arial"/>
          <w:sz w:val="20"/>
          <w:szCs w:val="20"/>
        </w:rPr>
      </w:pPr>
    </w:p>
    <w:p w14:paraId="6B4DA3B4" w14:textId="77777777" w:rsidR="006C0590" w:rsidRPr="00680880" w:rsidRDefault="006C0590" w:rsidP="00087463">
      <w:pPr>
        <w:pStyle w:val="ListParagraph"/>
        <w:numPr>
          <w:ilvl w:val="0"/>
          <w:numId w:val="6"/>
        </w:numPr>
        <w:tabs>
          <w:tab w:val="left" w:pos="450"/>
          <w:tab w:val="left" w:pos="630"/>
        </w:tabs>
        <w:spacing w:line="300" w:lineRule="auto"/>
        <w:ind w:left="360" w:right="720"/>
        <w:rPr>
          <w:rFonts w:ascii="Arial" w:hAnsi="Arial" w:cs="Arial"/>
          <w:b/>
        </w:rPr>
      </w:pPr>
      <w:r w:rsidRPr="00680880">
        <w:rPr>
          <w:rFonts w:ascii="Arial" w:hAnsi="Arial" w:cs="Arial"/>
          <w:b/>
        </w:rPr>
        <w:t xml:space="preserve">Commercial sector highlights </w:t>
      </w:r>
    </w:p>
    <w:p w14:paraId="1C8E255B" w14:textId="77777777" w:rsidR="006C0590" w:rsidRPr="00CE166B" w:rsidRDefault="006C0590" w:rsidP="00087463">
      <w:pPr>
        <w:tabs>
          <w:tab w:val="left" w:pos="630"/>
        </w:tabs>
        <w:spacing w:line="300" w:lineRule="auto"/>
        <w:ind w:left="540" w:hanging="180"/>
        <w:outlineLvl w:val="0"/>
        <w:rPr>
          <w:rFonts w:cs="Arial"/>
          <w:i/>
          <w:sz w:val="20"/>
        </w:rPr>
      </w:pPr>
      <w:r w:rsidRPr="00CE166B">
        <w:rPr>
          <w:rFonts w:cs="Arial"/>
          <w:i/>
          <w:sz w:val="20"/>
        </w:rPr>
        <w:t>Existing Buildings</w:t>
      </w:r>
    </w:p>
    <w:p w14:paraId="143BE7E8" w14:textId="65B5F021" w:rsidR="006C0590" w:rsidRPr="007B4C66" w:rsidRDefault="006C0590" w:rsidP="00EE6E21">
      <w:pPr>
        <w:numPr>
          <w:ilvl w:val="0"/>
          <w:numId w:val="3"/>
        </w:numPr>
        <w:spacing w:line="300" w:lineRule="auto"/>
        <w:ind w:left="720"/>
        <w:contextualSpacing/>
        <w:outlineLvl w:val="0"/>
        <w:rPr>
          <w:rFonts w:cs="Arial"/>
          <w:sz w:val="20"/>
        </w:rPr>
      </w:pPr>
      <w:r w:rsidRPr="007B4C66">
        <w:rPr>
          <w:rFonts w:cs="Arial"/>
          <w:b/>
          <w:sz w:val="20"/>
        </w:rPr>
        <w:t xml:space="preserve">Existing Buildings </w:t>
      </w:r>
      <w:r>
        <w:rPr>
          <w:rFonts w:cs="Arial"/>
          <w:b/>
          <w:sz w:val="20"/>
        </w:rPr>
        <w:t>saved</w:t>
      </w:r>
      <w:r w:rsidRPr="007B4C66">
        <w:rPr>
          <w:rFonts w:cs="Arial"/>
          <w:b/>
          <w:sz w:val="20"/>
        </w:rPr>
        <w:t xml:space="preserve"> </w:t>
      </w:r>
      <w:r w:rsidRPr="005F583D">
        <w:rPr>
          <w:rFonts w:cs="Arial"/>
          <w:b/>
          <w:sz w:val="20"/>
        </w:rPr>
        <w:fldChar w:fldCharType="begin"/>
      </w:r>
      <w:r w:rsidRPr="005F583D">
        <w:rPr>
          <w:rFonts w:cs="Arial"/>
          <w:b/>
          <w:sz w:val="20"/>
        </w:rPr>
        <w:instrText xml:space="preserve"> INCLUDETEXT  "E:\\TRUST GENERAL\\Public Utility Commission\\Annual reports\\Automation\\QtrRpt_PageValuesWA.xml" \n xmlns:ns1=\"ETO\" \x ns1:Root/ns1:Metrics/ns1:Energy/ns1:Yr/ns1:GasEff/ns1:Com/ns1:Eb  \* MERGEFORMAT </w:instrText>
      </w:r>
      <w:r w:rsidRPr="005F583D">
        <w:rPr>
          <w:rFonts w:cs="Arial"/>
          <w:b/>
          <w:sz w:val="20"/>
        </w:rPr>
        <w:fldChar w:fldCharType="separate"/>
      </w:r>
      <w:r w:rsidR="00615854" w:rsidRPr="005D0B1E">
        <w:rPr>
          <w:rFonts w:cs="Arial"/>
          <w:b/>
          <w:sz w:val="20"/>
        </w:rPr>
        <w:t>10,621</w:t>
      </w:r>
      <w:r w:rsidRPr="005F583D">
        <w:rPr>
          <w:rFonts w:cs="Arial"/>
          <w:b/>
          <w:sz w:val="20"/>
        </w:rPr>
        <w:t xml:space="preserve"> annual therms</w:t>
      </w:r>
      <w:r w:rsidRPr="005F583D">
        <w:rPr>
          <w:rFonts w:cs="Arial"/>
          <w:b/>
          <w:sz w:val="20"/>
        </w:rPr>
        <w:fldChar w:fldCharType="end"/>
      </w:r>
      <w:r w:rsidR="005F583D">
        <w:rPr>
          <w:rFonts w:cs="Arial"/>
          <w:b/>
          <w:sz w:val="20"/>
        </w:rPr>
        <w:t xml:space="preserve"> in </w:t>
      </w:r>
      <w:r w:rsidR="00BD013E">
        <w:rPr>
          <w:rFonts w:cs="Arial"/>
          <w:b/>
          <w:sz w:val="20"/>
        </w:rPr>
        <w:t>Q2</w:t>
      </w:r>
      <w:r w:rsidR="005F583D">
        <w:rPr>
          <w:rFonts w:cs="Arial"/>
          <w:b/>
          <w:sz w:val="20"/>
        </w:rPr>
        <w:t xml:space="preserve">, </w:t>
      </w:r>
      <w:r w:rsidR="00DB493B">
        <w:rPr>
          <w:rFonts w:cs="Arial"/>
          <w:sz w:val="20"/>
        </w:rPr>
        <w:t xml:space="preserve">primarily through </w:t>
      </w:r>
      <w:r w:rsidR="00DB493B" w:rsidRPr="00E22076">
        <w:rPr>
          <w:rFonts w:eastAsia="Calibri" w:cs="Arial"/>
          <w:sz w:val="20"/>
        </w:rPr>
        <w:t>foodservice equipment such as</w:t>
      </w:r>
      <w:r w:rsidR="00DB493B" w:rsidRPr="00E22076" w:rsidDel="00A61057">
        <w:rPr>
          <w:rFonts w:eastAsia="Calibri" w:cs="Arial"/>
          <w:sz w:val="20"/>
        </w:rPr>
        <w:t xml:space="preserve"> </w:t>
      </w:r>
      <w:r w:rsidR="00DB493B" w:rsidRPr="00E22076">
        <w:rPr>
          <w:rFonts w:eastAsia="Calibri" w:cs="Arial"/>
          <w:sz w:val="20"/>
        </w:rPr>
        <w:t xml:space="preserve">gas fryers and gas combination ovens. </w:t>
      </w:r>
    </w:p>
    <w:p w14:paraId="25899C2A" w14:textId="0D694724" w:rsidR="00CF04CE" w:rsidRPr="0051366A" w:rsidRDefault="008B43D5" w:rsidP="00CF04CE">
      <w:pPr>
        <w:numPr>
          <w:ilvl w:val="0"/>
          <w:numId w:val="3"/>
        </w:numPr>
        <w:spacing w:line="300" w:lineRule="auto"/>
        <w:ind w:left="720"/>
        <w:contextualSpacing/>
        <w:outlineLvl w:val="0"/>
        <w:rPr>
          <w:rFonts w:eastAsia="Calibri" w:cs="Arial"/>
          <w:sz w:val="20"/>
        </w:rPr>
      </w:pPr>
      <w:r w:rsidRPr="0051366A">
        <w:rPr>
          <w:rFonts w:eastAsia="Calibri" w:cs="Arial"/>
          <w:b/>
          <w:sz w:val="20"/>
        </w:rPr>
        <w:t>Through</w:t>
      </w:r>
      <w:r w:rsidR="00C013C4" w:rsidRPr="0051366A">
        <w:rPr>
          <w:rFonts w:eastAsia="Calibri" w:cs="Arial"/>
          <w:b/>
          <w:sz w:val="20"/>
        </w:rPr>
        <w:t xml:space="preserve"> Q2</w:t>
      </w:r>
      <w:r w:rsidRPr="0051366A">
        <w:rPr>
          <w:rFonts w:eastAsia="Calibri" w:cs="Arial"/>
          <w:b/>
          <w:sz w:val="20"/>
        </w:rPr>
        <w:t>, savings from prescriptive measures</w:t>
      </w:r>
      <w:r w:rsidR="00C013C4" w:rsidRPr="0051366A">
        <w:rPr>
          <w:rFonts w:eastAsia="Calibri" w:cs="Arial"/>
          <w:b/>
          <w:sz w:val="20"/>
        </w:rPr>
        <w:t xml:space="preserve"> were 250</w:t>
      </w:r>
      <w:r w:rsidR="00CF04CE" w:rsidRPr="0051366A">
        <w:rPr>
          <w:rFonts w:eastAsia="Calibri" w:cs="Arial"/>
          <w:b/>
          <w:sz w:val="20"/>
        </w:rPr>
        <w:t xml:space="preserve"> percent</w:t>
      </w:r>
      <w:r w:rsidR="00C013C4" w:rsidRPr="0051366A">
        <w:rPr>
          <w:rFonts w:eastAsia="Calibri" w:cs="Arial"/>
          <w:b/>
          <w:sz w:val="20"/>
        </w:rPr>
        <w:t xml:space="preserve"> </w:t>
      </w:r>
      <w:r w:rsidRPr="0051366A">
        <w:rPr>
          <w:rFonts w:eastAsia="Calibri" w:cs="Arial"/>
          <w:b/>
          <w:sz w:val="20"/>
        </w:rPr>
        <w:t>higher</w:t>
      </w:r>
      <w:r w:rsidR="00C013C4" w:rsidRPr="0051366A">
        <w:rPr>
          <w:rFonts w:eastAsia="Calibri" w:cs="Arial"/>
          <w:b/>
          <w:sz w:val="20"/>
        </w:rPr>
        <w:t xml:space="preserve"> than </w:t>
      </w:r>
      <w:r w:rsidRPr="0051366A">
        <w:rPr>
          <w:rFonts w:eastAsia="Calibri" w:cs="Arial"/>
          <w:b/>
          <w:sz w:val="20"/>
        </w:rPr>
        <w:t xml:space="preserve">in </w:t>
      </w:r>
      <w:r w:rsidR="00C013C4" w:rsidRPr="0051366A">
        <w:rPr>
          <w:rFonts w:eastAsia="Calibri" w:cs="Arial"/>
          <w:b/>
          <w:sz w:val="20"/>
        </w:rPr>
        <w:t>the same period in 2015</w:t>
      </w:r>
      <w:r w:rsidR="00B2089D">
        <w:rPr>
          <w:rFonts w:eastAsia="Calibri" w:cs="Arial"/>
          <w:sz w:val="20"/>
        </w:rPr>
        <w:t>, with nearly 80</w:t>
      </w:r>
      <w:r w:rsidR="00CF04CE" w:rsidRPr="0051366A">
        <w:rPr>
          <w:rFonts w:eastAsia="Calibri" w:cs="Arial"/>
          <w:sz w:val="20"/>
        </w:rPr>
        <w:t xml:space="preserve"> percent</w:t>
      </w:r>
      <w:r w:rsidR="00B2089D" w:rsidRPr="0051366A">
        <w:rPr>
          <w:rFonts w:eastAsia="Calibri" w:cs="Arial"/>
          <w:sz w:val="20"/>
        </w:rPr>
        <w:t xml:space="preserve"> of</w:t>
      </w:r>
      <w:r w:rsidR="00C013C4" w:rsidRPr="0051366A">
        <w:rPr>
          <w:rFonts w:eastAsia="Calibri" w:cs="Arial"/>
          <w:sz w:val="20"/>
        </w:rPr>
        <w:t xml:space="preserve"> savings from foodservice</w:t>
      </w:r>
      <w:r w:rsidR="00C013C4" w:rsidRPr="00EE6E21">
        <w:rPr>
          <w:rFonts w:eastAsia="Calibri" w:cs="Arial"/>
          <w:sz w:val="20"/>
        </w:rPr>
        <w:t xml:space="preserve"> equipment eligible for </w:t>
      </w:r>
      <w:r w:rsidR="001F2373" w:rsidRPr="0051366A">
        <w:rPr>
          <w:rFonts w:eastAsia="Calibri" w:cs="Arial"/>
          <w:sz w:val="20"/>
        </w:rPr>
        <w:t>a</w:t>
      </w:r>
      <w:r w:rsidR="00C013C4" w:rsidRPr="00EE6E21">
        <w:rPr>
          <w:rFonts w:eastAsia="Calibri" w:cs="Arial"/>
          <w:sz w:val="20"/>
        </w:rPr>
        <w:t xml:space="preserve"> bonus</w:t>
      </w:r>
      <w:r w:rsidR="00CF04CE" w:rsidRPr="0051366A">
        <w:rPr>
          <w:rFonts w:eastAsia="Calibri" w:cs="Arial"/>
          <w:sz w:val="20"/>
        </w:rPr>
        <w:t xml:space="preserve"> launched in Q1</w:t>
      </w:r>
      <w:r w:rsidR="00C013C4" w:rsidRPr="0051366A">
        <w:rPr>
          <w:rFonts w:eastAsia="Calibri" w:cs="Arial"/>
          <w:sz w:val="20"/>
        </w:rPr>
        <w:t>.</w:t>
      </w:r>
      <w:r w:rsidR="00B2089D">
        <w:rPr>
          <w:rFonts w:eastAsia="Calibri" w:cs="Arial"/>
          <w:sz w:val="20"/>
        </w:rPr>
        <w:t xml:space="preserve"> Boiler projects, expected to complete in Q3 and Q4, will also contribute savings.</w:t>
      </w:r>
    </w:p>
    <w:p w14:paraId="6161A5CE" w14:textId="1D147D00" w:rsidR="00C013C4" w:rsidRDefault="00CF04CE" w:rsidP="00C013C4">
      <w:pPr>
        <w:numPr>
          <w:ilvl w:val="0"/>
          <w:numId w:val="3"/>
        </w:numPr>
        <w:spacing w:line="300" w:lineRule="auto"/>
        <w:ind w:left="720"/>
        <w:contextualSpacing/>
        <w:outlineLvl w:val="0"/>
        <w:rPr>
          <w:rFonts w:eastAsia="Calibri" w:cs="Arial"/>
          <w:sz w:val="20"/>
        </w:rPr>
      </w:pPr>
      <w:r w:rsidRPr="0051366A">
        <w:rPr>
          <w:rFonts w:eastAsia="Calibri" w:cs="Arial"/>
          <w:b/>
          <w:sz w:val="20"/>
        </w:rPr>
        <w:t xml:space="preserve">Launched in Q1, the foodservice equipment bonus </w:t>
      </w:r>
      <w:r w:rsidR="00B2089D" w:rsidRPr="0051366A">
        <w:rPr>
          <w:rFonts w:eastAsia="Calibri" w:cs="Arial"/>
          <w:sz w:val="20"/>
        </w:rPr>
        <w:t xml:space="preserve">resulted in </w:t>
      </w:r>
      <w:r w:rsidRPr="0051366A">
        <w:rPr>
          <w:rFonts w:eastAsia="Calibri" w:cs="Arial"/>
          <w:sz w:val="20"/>
        </w:rPr>
        <w:t xml:space="preserve">installation of </w:t>
      </w:r>
      <w:r w:rsidR="00B2089D" w:rsidRPr="0051366A">
        <w:rPr>
          <w:rFonts w:eastAsia="Calibri" w:cs="Arial"/>
          <w:sz w:val="20"/>
        </w:rPr>
        <w:t xml:space="preserve">17 </w:t>
      </w:r>
      <w:r w:rsidRPr="0051366A">
        <w:rPr>
          <w:rFonts w:eastAsia="Calibri" w:cs="Arial"/>
          <w:sz w:val="20"/>
        </w:rPr>
        <w:t>g</w:t>
      </w:r>
      <w:r w:rsidR="00B2089D" w:rsidRPr="0051366A">
        <w:rPr>
          <w:rFonts w:eastAsia="Calibri" w:cs="Arial"/>
          <w:sz w:val="20"/>
        </w:rPr>
        <w:t xml:space="preserve">as </w:t>
      </w:r>
      <w:r w:rsidRPr="0051366A">
        <w:rPr>
          <w:rFonts w:eastAsia="Calibri" w:cs="Arial"/>
          <w:sz w:val="20"/>
        </w:rPr>
        <w:t>f</w:t>
      </w:r>
      <w:r w:rsidR="00B2089D" w:rsidRPr="0051366A">
        <w:rPr>
          <w:rFonts w:eastAsia="Calibri" w:cs="Arial"/>
          <w:sz w:val="20"/>
        </w:rPr>
        <w:t xml:space="preserve">ryers, one combination oven and one convection oven. </w:t>
      </w:r>
    </w:p>
    <w:p w14:paraId="6D5CD765" w14:textId="575EFA8F" w:rsidR="00C013C4" w:rsidRPr="00EE6E21" w:rsidRDefault="002C62FC" w:rsidP="00C013C4">
      <w:pPr>
        <w:numPr>
          <w:ilvl w:val="0"/>
          <w:numId w:val="3"/>
        </w:numPr>
        <w:spacing w:line="300" w:lineRule="auto"/>
        <w:ind w:left="720"/>
        <w:contextualSpacing/>
        <w:outlineLvl w:val="0"/>
        <w:rPr>
          <w:rFonts w:eastAsia="Calibri" w:cs="Arial"/>
          <w:sz w:val="20"/>
        </w:rPr>
      </w:pPr>
      <w:r w:rsidRPr="002C62FC">
        <w:rPr>
          <w:rFonts w:eastAsia="Calibri" w:cs="Arial"/>
          <w:b/>
          <w:sz w:val="20"/>
        </w:rPr>
        <w:lastRenderedPageBreak/>
        <w:t>A</w:t>
      </w:r>
      <w:r w:rsidR="00C013C4" w:rsidRPr="002C62FC">
        <w:rPr>
          <w:rFonts w:eastAsia="Calibri" w:cs="Arial"/>
          <w:b/>
          <w:sz w:val="20"/>
        </w:rPr>
        <w:t xml:space="preserve"> strong pipeline of </w:t>
      </w:r>
      <w:r>
        <w:rPr>
          <w:rFonts w:eastAsia="Calibri" w:cs="Arial"/>
          <w:b/>
          <w:sz w:val="20"/>
        </w:rPr>
        <w:t>c</w:t>
      </w:r>
      <w:r w:rsidR="00C013C4" w:rsidRPr="002C62FC">
        <w:rPr>
          <w:rFonts w:eastAsia="Calibri" w:cs="Arial"/>
          <w:b/>
          <w:sz w:val="20"/>
        </w:rPr>
        <w:t>ustom projects</w:t>
      </w:r>
      <w:r w:rsidR="00AF65FD">
        <w:rPr>
          <w:rFonts w:eastAsia="Calibri" w:cs="Arial"/>
          <w:b/>
          <w:sz w:val="20"/>
        </w:rPr>
        <w:t xml:space="preserve">, </w:t>
      </w:r>
      <w:r w:rsidR="00B2089D">
        <w:rPr>
          <w:rFonts w:eastAsia="Calibri" w:cs="Arial"/>
          <w:b/>
          <w:sz w:val="20"/>
        </w:rPr>
        <w:t xml:space="preserve">driven largely </w:t>
      </w:r>
      <w:r w:rsidR="00AF65FD">
        <w:rPr>
          <w:rFonts w:eastAsia="Calibri" w:cs="Arial"/>
          <w:b/>
          <w:sz w:val="20"/>
        </w:rPr>
        <w:t xml:space="preserve">by digital controls </w:t>
      </w:r>
      <w:r w:rsidR="00AF65FD" w:rsidRPr="0051366A">
        <w:rPr>
          <w:rFonts w:eastAsia="Calibri" w:cs="Arial"/>
          <w:b/>
          <w:sz w:val="20"/>
        </w:rPr>
        <w:t>system</w:t>
      </w:r>
      <w:r w:rsidR="008B43D5" w:rsidRPr="0051366A">
        <w:rPr>
          <w:rFonts w:eastAsia="Calibri" w:cs="Arial"/>
          <w:b/>
          <w:sz w:val="20"/>
        </w:rPr>
        <w:t xml:space="preserve"> upgrade</w:t>
      </w:r>
      <w:r w:rsidR="00AF65FD" w:rsidRPr="0051366A">
        <w:rPr>
          <w:rFonts w:eastAsia="Calibri" w:cs="Arial"/>
          <w:b/>
          <w:sz w:val="20"/>
        </w:rPr>
        <w:t>s</w:t>
      </w:r>
      <w:r w:rsidR="00AF65FD">
        <w:rPr>
          <w:rFonts w:eastAsia="Calibri" w:cs="Arial"/>
          <w:b/>
          <w:sz w:val="20"/>
        </w:rPr>
        <w:t>,</w:t>
      </w:r>
      <w:r w:rsidR="00C013C4" w:rsidRPr="002C62FC">
        <w:rPr>
          <w:rFonts w:eastAsia="Calibri" w:cs="Arial"/>
          <w:b/>
          <w:sz w:val="20"/>
        </w:rPr>
        <w:t xml:space="preserve"> </w:t>
      </w:r>
      <w:r w:rsidR="00C013C4" w:rsidRPr="00EE6E21">
        <w:rPr>
          <w:rFonts w:eastAsia="Calibri" w:cs="Arial"/>
          <w:sz w:val="20"/>
        </w:rPr>
        <w:t xml:space="preserve">are scheduled to </w:t>
      </w:r>
      <w:r w:rsidR="00C013C4" w:rsidRPr="0051366A">
        <w:rPr>
          <w:rFonts w:eastAsia="Calibri" w:cs="Arial"/>
          <w:sz w:val="20"/>
        </w:rPr>
        <w:t>finish</w:t>
      </w:r>
      <w:r w:rsidR="00C013C4" w:rsidRPr="00EE6E21">
        <w:rPr>
          <w:rFonts w:eastAsia="Calibri" w:cs="Arial"/>
          <w:sz w:val="20"/>
        </w:rPr>
        <w:t xml:space="preserve"> in the second half of the year.</w:t>
      </w:r>
      <w:r w:rsidRPr="002C62FC">
        <w:rPr>
          <w:rFonts w:eastAsia="Calibri" w:cs="Arial"/>
          <w:sz w:val="20"/>
        </w:rPr>
        <w:t xml:space="preserve"> </w:t>
      </w:r>
      <w:r w:rsidR="00AF65FD" w:rsidRPr="00EE6E21">
        <w:rPr>
          <w:rFonts w:cs="Arial"/>
          <w:sz w:val="20"/>
        </w:rPr>
        <w:t>Many of these projects are coming to the program through Allied Technical Assistance Contractors.</w:t>
      </w:r>
    </w:p>
    <w:p w14:paraId="20113DE8" w14:textId="397A3F64" w:rsidR="00CF04CE" w:rsidRPr="0051366A" w:rsidRDefault="008B43D5" w:rsidP="002E57F2">
      <w:pPr>
        <w:pStyle w:val="ListParagraph"/>
        <w:numPr>
          <w:ilvl w:val="0"/>
          <w:numId w:val="3"/>
        </w:numPr>
        <w:spacing w:line="300" w:lineRule="auto"/>
        <w:ind w:left="720"/>
        <w:outlineLvl w:val="0"/>
        <w:rPr>
          <w:rFonts w:ascii="Arial" w:hAnsi="Arial" w:cs="Arial"/>
          <w:sz w:val="20"/>
          <w:szCs w:val="20"/>
        </w:rPr>
      </w:pPr>
      <w:r w:rsidRPr="0051366A">
        <w:rPr>
          <w:rFonts w:ascii="Arial" w:hAnsi="Arial" w:cs="Arial"/>
          <w:b/>
          <w:sz w:val="20"/>
        </w:rPr>
        <w:t>The program</w:t>
      </w:r>
      <w:r w:rsidR="009E7291" w:rsidRPr="0051366A">
        <w:rPr>
          <w:rFonts w:ascii="Arial" w:hAnsi="Arial" w:cs="Arial"/>
          <w:b/>
          <w:sz w:val="20"/>
        </w:rPr>
        <w:t xml:space="preserve"> </w:t>
      </w:r>
      <w:r w:rsidR="00EE6E21" w:rsidRPr="0051366A">
        <w:rPr>
          <w:rFonts w:ascii="Arial" w:hAnsi="Arial" w:cs="Arial"/>
          <w:b/>
          <w:sz w:val="20"/>
        </w:rPr>
        <w:t xml:space="preserve">focused outreach </w:t>
      </w:r>
      <w:r w:rsidR="009E7291" w:rsidRPr="0051366A">
        <w:rPr>
          <w:rFonts w:ascii="Arial" w:hAnsi="Arial" w:cs="Arial"/>
          <w:b/>
          <w:sz w:val="20"/>
        </w:rPr>
        <w:t>on recruiting</w:t>
      </w:r>
      <w:r w:rsidRPr="0051366A">
        <w:rPr>
          <w:rFonts w:ascii="Arial" w:hAnsi="Arial" w:cs="Arial"/>
          <w:b/>
          <w:sz w:val="20"/>
        </w:rPr>
        <w:t xml:space="preserve"> </w:t>
      </w:r>
      <w:r w:rsidR="00EE6E21" w:rsidRPr="0051366A">
        <w:rPr>
          <w:rFonts w:ascii="Arial" w:hAnsi="Arial" w:cs="Arial"/>
          <w:b/>
          <w:sz w:val="20"/>
        </w:rPr>
        <w:t>new</w:t>
      </w:r>
      <w:r w:rsidR="009E7291" w:rsidRPr="0051366A">
        <w:rPr>
          <w:rFonts w:ascii="Arial" w:hAnsi="Arial" w:cs="Arial"/>
          <w:b/>
          <w:sz w:val="20"/>
        </w:rPr>
        <w:t xml:space="preserve"> partici</w:t>
      </w:r>
      <w:r w:rsidR="009E7291" w:rsidRPr="005C7F6D">
        <w:rPr>
          <w:rFonts w:ascii="Arial" w:hAnsi="Arial" w:cs="Arial"/>
          <w:b/>
          <w:sz w:val="20"/>
        </w:rPr>
        <w:t>pants from grocer</w:t>
      </w:r>
      <w:r w:rsidRPr="00C35686">
        <w:rPr>
          <w:rFonts w:ascii="Arial" w:hAnsi="Arial" w:cs="Arial"/>
          <w:b/>
          <w:sz w:val="20"/>
        </w:rPr>
        <w:t>y stores</w:t>
      </w:r>
      <w:r w:rsidR="009E7291" w:rsidRPr="005C7F6D">
        <w:rPr>
          <w:rFonts w:ascii="Arial" w:hAnsi="Arial" w:cs="Arial"/>
          <w:b/>
          <w:sz w:val="20"/>
        </w:rPr>
        <w:t xml:space="preserve"> and schools</w:t>
      </w:r>
      <w:r w:rsidR="009E7291" w:rsidRPr="005C7F6D">
        <w:rPr>
          <w:rFonts w:ascii="Arial" w:hAnsi="Arial" w:cs="Arial"/>
          <w:sz w:val="20"/>
        </w:rPr>
        <w:t>.</w:t>
      </w:r>
      <w:r w:rsidR="009E7291" w:rsidRPr="0051366A">
        <w:rPr>
          <w:rFonts w:ascii="Arial" w:hAnsi="Arial" w:cs="Arial"/>
          <w:sz w:val="20"/>
          <w:szCs w:val="20"/>
        </w:rPr>
        <w:t xml:space="preserve"> Two new school districts began working with the program</w:t>
      </w:r>
      <w:r w:rsidRPr="0051366A">
        <w:rPr>
          <w:rFonts w:ascii="Arial" w:hAnsi="Arial" w:cs="Arial"/>
          <w:sz w:val="20"/>
          <w:szCs w:val="20"/>
        </w:rPr>
        <w:t>, with</w:t>
      </w:r>
      <w:r w:rsidR="009E7291" w:rsidRPr="0051366A">
        <w:rPr>
          <w:rFonts w:ascii="Arial" w:hAnsi="Arial" w:cs="Arial"/>
          <w:sz w:val="20"/>
          <w:szCs w:val="20"/>
        </w:rPr>
        <w:t xml:space="preserve"> projects scheduled to complete in 2016.</w:t>
      </w:r>
    </w:p>
    <w:p w14:paraId="556DD2CC" w14:textId="065C7E37" w:rsidR="00EE6E21" w:rsidRPr="00EE6E21" w:rsidRDefault="00F1795B" w:rsidP="002E57F2">
      <w:pPr>
        <w:pStyle w:val="ListParagraph"/>
        <w:numPr>
          <w:ilvl w:val="0"/>
          <w:numId w:val="3"/>
        </w:numPr>
        <w:spacing w:line="300" w:lineRule="auto"/>
        <w:ind w:left="720"/>
        <w:rPr>
          <w:rFonts w:ascii="Arial" w:hAnsi="Arial" w:cs="Arial"/>
          <w:sz w:val="20"/>
          <w:szCs w:val="20"/>
        </w:rPr>
      </w:pPr>
      <w:r w:rsidRPr="0051366A">
        <w:rPr>
          <w:rFonts w:ascii="Arial" w:hAnsi="Arial" w:cs="Arial"/>
          <w:b/>
          <w:sz w:val="20"/>
          <w:szCs w:val="20"/>
        </w:rPr>
        <w:t xml:space="preserve">The </w:t>
      </w:r>
      <w:r w:rsidR="002820FD" w:rsidRPr="0051366A">
        <w:rPr>
          <w:rFonts w:ascii="Arial" w:hAnsi="Arial" w:cs="Arial"/>
          <w:b/>
          <w:sz w:val="20"/>
          <w:szCs w:val="20"/>
        </w:rPr>
        <w:t>p</w:t>
      </w:r>
      <w:r w:rsidRPr="0051366A">
        <w:rPr>
          <w:rFonts w:ascii="Arial" w:hAnsi="Arial" w:cs="Arial"/>
          <w:b/>
          <w:sz w:val="20"/>
          <w:szCs w:val="20"/>
        </w:rPr>
        <w:t>rogram</w:t>
      </w:r>
      <w:r w:rsidR="00EE6E21" w:rsidRPr="0051366A">
        <w:rPr>
          <w:rFonts w:ascii="Arial" w:hAnsi="Arial" w:cs="Arial"/>
          <w:b/>
          <w:sz w:val="20"/>
          <w:szCs w:val="20"/>
        </w:rPr>
        <w:t xml:space="preserve"> worked with </w:t>
      </w:r>
      <w:r w:rsidR="008B43D5" w:rsidRPr="0051366A">
        <w:rPr>
          <w:rFonts w:ascii="Arial" w:hAnsi="Arial" w:cs="Arial"/>
          <w:b/>
          <w:sz w:val="20"/>
          <w:szCs w:val="20"/>
        </w:rPr>
        <w:t xml:space="preserve">Northwest Energy Efficiency Alliance </w:t>
      </w:r>
      <w:r w:rsidR="00EE6E21" w:rsidRPr="0051366A">
        <w:rPr>
          <w:rFonts w:ascii="Arial" w:hAnsi="Arial" w:cs="Arial"/>
          <w:b/>
          <w:sz w:val="20"/>
          <w:szCs w:val="20"/>
        </w:rPr>
        <w:t>and New Buildings</w:t>
      </w:r>
      <w:r w:rsidR="00347287" w:rsidRPr="0051366A">
        <w:rPr>
          <w:rFonts w:ascii="Arial" w:hAnsi="Arial" w:cs="Arial"/>
          <w:b/>
          <w:sz w:val="20"/>
          <w:szCs w:val="20"/>
        </w:rPr>
        <w:t xml:space="preserve"> to develop a</w:t>
      </w:r>
      <w:r w:rsidR="00CF04CE" w:rsidRPr="0051366A">
        <w:rPr>
          <w:rFonts w:ascii="Arial" w:hAnsi="Arial" w:cs="Arial"/>
          <w:b/>
          <w:sz w:val="20"/>
          <w:szCs w:val="20"/>
        </w:rPr>
        <w:t xml:space="preserve"> </w:t>
      </w:r>
      <w:r w:rsidR="00EE6E21" w:rsidRPr="0051366A">
        <w:rPr>
          <w:rFonts w:ascii="Arial" w:hAnsi="Arial" w:cs="Arial"/>
          <w:sz w:val="20"/>
          <w:szCs w:val="20"/>
        </w:rPr>
        <w:t xml:space="preserve">new Spark </w:t>
      </w:r>
      <w:r w:rsidR="008B43D5" w:rsidRPr="0051366A">
        <w:rPr>
          <w:rFonts w:ascii="Arial" w:hAnsi="Arial" w:cs="Arial"/>
          <w:sz w:val="20"/>
          <w:szCs w:val="20"/>
        </w:rPr>
        <w:t xml:space="preserve">pilot </w:t>
      </w:r>
      <w:r w:rsidR="00EE6E21" w:rsidRPr="0051366A">
        <w:rPr>
          <w:rFonts w:ascii="Arial" w:hAnsi="Arial" w:cs="Arial"/>
          <w:sz w:val="20"/>
          <w:szCs w:val="20"/>
        </w:rPr>
        <w:t xml:space="preserve">approach for </w:t>
      </w:r>
      <w:r w:rsidR="008B43D5" w:rsidRPr="0051366A">
        <w:rPr>
          <w:rFonts w:ascii="Arial" w:hAnsi="Arial" w:cs="Arial"/>
          <w:sz w:val="20"/>
          <w:szCs w:val="20"/>
        </w:rPr>
        <w:t>commercial properties</w:t>
      </w:r>
      <w:r w:rsidR="00EE6E21" w:rsidRPr="0051366A">
        <w:rPr>
          <w:rFonts w:ascii="Arial" w:hAnsi="Arial" w:cs="Arial"/>
          <w:sz w:val="20"/>
          <w:szCs w:val="20"/>
        </w:rPr>
        <w:t>. Spark</w:t>
      </w:r>
      <w:r w:rsidR="008B43D5" w:rsidRPr="0051366A">
        <w:rPr>
          <w:rFonts w:ascii="Arial" w:hAnsi="Arial" w:cs="Arial"/>
          <w:sz w:val="20"/>
          <w:szCs w:val="20"/>
        </w:rPr>
        <w:t xml:space="preserve"> </w:t>
      </w:r>
      <w:r w:rsidR="00EE6E21" w:rsidRPr="00EE6E21">
        <w:rPr>
          <w:rFonts w:ascii="Arial" w:hAnsi="Arial" w:cs="Arial"/>
          <w:sz w:val="20"/>
          <w:szCs w:val="20"/>
        </w:rPr>
        <w:t xml:space="preserve">provides customized design concepts and initial economic analysis of a project. Spark was developed for design and real estate professionals and project managers to facilitate and streamline the early analysis of </w:t>
      </w:r>
      <w:r w:rsidR="008B43D5" w:rsidRPr="0051366A">
        <w:rPr>
          <w:rFonts w:ascii="Arial" w:hAnsi="Arial" w:cs="Arial"/>
          <w:sz w:val="20"/>
          <w:szCs w:val="20"/>
        </w:rPr>
        <w:t>b</w:t>
      </w:r>
      <w:r w:rsidR="00EE6E21" w:rsidRPr="0051366A">
        <w:rPr>
          <w:rFonts w:ascii="Arial" w:hAnsi="Arial" w:cs="Arial"/>
          <w:sz w:val="20"/>
          <w:szCs w:val="20"/>
        </w:rPr>
        <w:t xml:space="preserve">uilding </w:t>
      </w:r>
      <w:r w:rsidR="00473828">
        <w:rPr>
          <w:rFonts w:ascii="Arial" w:hAnsi="Arial" w:cs="Arial"/>
          <w:sz w:val="20"/>
          <w:szCs w:val="20"/>
        </w:rPr>
        <w:t>renovation</w:t>
      </w:r>
      <w:r w:rsidR="00473828" w:rsidRPr="0051366A">
        <w:rPr>
          <w:rFonts w:ascii="Arial" w:hAnsi="Arial" w:cs="Arial"/>
          <w:sz w:val="20"/>
          <w:szCs w:val="20"/>
        </w:rPr>
        <w:t xml:space="preserve"> </w:t>
      </w:r>
      <w:r w:rsidR="00EE6E21" w:rsidRPr="0051366A">
        <w:rPr>
          <w:rFonts w:ascii="Arial" w:hAnsi="Arial" w:cs="Arial"/>
          <w:sz w:val="20"/>
          <w:szCs w:val="20"/>
        </w:rPr>
        <w:t>project</w:t>
      </w:r>
      <w:r w:rsidR="008B43D5" w:rsidRPr="0051366A">
        <w:rPr>
          <w:rFonts w:ascii="Arial" w:hAnsi="Arial" w:cs="Arial"/>
          <w:sz w:val="20"/>
          <w:szCs w:val="20"/>
        </w:rPr>
        <w:t>s</w:t>
      </w:r>
      <w:r w:rsidR="00EE6E21" w:rsidRPr="0051366A">
        <w:rPr>
          <w:rFonts w:ascii="Arial" w:hAnsi="Arial" w:cs="Arial"/>
          <w:sz w:val="20"/>
          <w:szCs w:val="20"/>
        </w:rPr>
        <w:t>.</w:t>
      </w:r>
      <w:r w:rsidR="00EE6E21" w:rsidRPr="00EE6E21">
        <w:rPr>
          <w:rFonts w:ascii="Arial" w:hAnsi="Arial" w:cs="Arial"/>
          <w:sz w:val="20"/>
          <w:szCs w:val="20"/>
        </w:rPr>
        <w:t xml:space="preserve"> Spark allows for quicker identification of potential design strategies and project scopes of work, and provides a preliminary view of project costs and economic benefits.</w:t>
      </w:r>
    </w:p>
    <w:p w14:paraId="0A80EEFB" w14:textId="269EF217" w:rsidR="002820FD" w:rsidRPr="0051366A" w:rsidRDefault="00F1795B" w:rsidP="002E57F2">
      <w:pPr>
        <w:pStyle w:val="ListParagraph"/>
        <w:numPr>
          <w:ilvl w:val="0"/>
          <w:numId w:val="3"/>
        </w:numPr>
        <w:spacing w:line="300" w:lineRule="auto"/>
        <w:ind w:left="720"/>
        <w:rPr>
          <w:rFonts w:ascii="Arial" w:hAnsi="Arial" w:cs="Arial"/>
          <w:sz w:val="20"/>
          <w:szCs w:val="20"/>
        </w:rPr>
      </w:pPr>
      <w:r w:rsidRPr="0051366A">
        <w:rPr>
          <w:rFonts w:ascii="Arial" w:hAnsi="Arial" w:cs="Arial"/>
          <w:b/>
          <w:sz w:val="20"/>
          <w:szCs w:val="20"/>
        </w:rPr>
        <w:t xml:space="preserve">The </w:t>
      </w:r>
      <w:r w:rsidR="002820FD" w:rsidRPr="0051366A">
        <w:rPr>
          <w:rFonts w:ascii="Arial" w:hAnsi="Arial" w:cs="Arial"/>
          <w:b/>
          <w:sz w:val="20"/>
          <w:szCs w:val="20"/>
        </w:rPr>
        <w:t>p</w:t>
      </w:r>
      <w:r w:rsidRPr="0051366A">
        <w:rPr>
          <w:rFonts w:ascii="Arial" w:hAnsi="Arial" w:cs="Arial"/>
          <w:b/>
          <w:sz w:val="20"/>
          <w:szCs w:val="20"/>
        </w:rPr>
        <w:t xml:space="preserve">rogram </w:t>
      </w:r>
      <w:r w:rsidR="008B43D5" w:rsidRPr="0051366A">
        <w:rPr>
          <w:rFonts w:ascii="Arial" w:hAnsi="Arial" w:cs="Arial"/>
          <w:b/>
          <w:sz w:val="20"/>
          <w:szCs w:val="20"/>
        </w:rPr>
        <w:t>began</w:t>
      </w:r>
      <w:r w:rsidR="002820FD">
        <w:rPr>
          <w:rFonts w:ascii="Arial" w:hAnsi="Arial" w:cs="Arial"/>
          <w:b/>
          <w:sz w:val="20"/>
          <w:szCs w:val="20"/>
        </w:rPr>
        <w:t xml:space="preserve"> developing</w:t>
      </w:r>
      <w:r w:rsidR="002820FD" w:rsidRPr="0051366A">
        <w:rPr>
          <w:rFonts w:ascii="Arial" w:hAnsi="Arial" w:cs="Arial"/>
          <w:b/>
          <w:sz w:val="20"/>
          <w:szCs w:val="20"/>
        </w:rPr>
        <w:t xml:space="preserve"> an Energy Ma</w:t>
      </w:r>
      <w:r w:rsidR="002820FD" w:rsidRPr="002820FD">
        <w:rPr>
          <w:rFonts w:ascii="Arial" w:hAnsi="Arial" w:cs="Arial"/>
          <w:b/>
          <w:sz w:val="20"/>
          <w:szCs w:val="20"/>
        </w:rPr>
        <w:t>n</w:t>
      </w:r>
      <w:r w:rsidR="002820FD">
        <w:rPr>
          <w:rFonts w:ascii="Arial" w:hAnsi="Arial" w:cs="Arial"/>
          <w:b/>
          <w:sz w:val="20"/>
          <w:szCs w:val="20"/>
        </w:rPr>
        <w:t>ag</w:t>
      </w:r>
      <w:r w:rsidR="002820FD" w:rsidRPr="0051366A">
        <w:rPr>
          <w:rFonts w:ascii="Arial" w:hAnsi="Arial" w:cs="Arial"/>
          <w:b/>
          <w:sz w:val="20"/>
          <w:szCs w:val="20"/>
        </w:rPr>
        <w:t>ement Certification</w:t>
      </w:r>
      <w:r w:rsidR="002820FD">
        <w:rPr>
          <w:rFonts w:ascii="Arial" w:hAnsi="Arial" w:cs="Arial"/>
          <w:b/>
          <w:sz w:val="20"/>
          <w:szCs w:val="20"/>
        </w:rPr>
        <w:t xml:space="preserve"> </w:t>
      </w:r>
      <w:r w:rsidR="002820FD" w:rsidRPr="0051366A">
        <w:rPr>
          <w:rFonts w:ascii="Arial" w:hAnsi="Arial" w:cs="Arial"/>
          <w:b/>
          <w:sz w:val="20"/>
          <w:szCs w:val="20"/>
        </w:rPr>
        <w:t xml:space="preserve">incentive </w:t>
      </w:r>
      <w:r w:rsidR="002820FD" w:rsidRPr="0051366A">
        <w:rPr>
          <w:rFonts w:ascii="Arial" w:hAnsi="Arial" w:cs="Arial"/>
          <w:sz w:val="20"/>
          <w:szCs w:val="20"/>
        </w:rPr>
        <w:t xml:space="preserve">for </w:t>
      </w:r>
      <w:r w:rsidR="008B43D5" w:rsidRPr="0051366A">
        <w:rPr>
          <w:rFonts w:ascii="Arial" w:hAnsi="Arial" w:cs="Arial"/>
          <w:sz w:val="20"/>
          <w:szCs w:val="20"/>
        </w:rPr>
        <w:t xml:space="preserve">engineers, technicians </w:t>
      </w:r>
      <w:r w:rsidR="00473828">
        <w:rPr>
          <w:rFonts w:ascii="Arial" w:hAnsi="Arial" w:cs="Arial"/>
          <w:sz w:val="20"/>
          <w:szCs w:val="20"/>
        </w:rPr>
        <w:t xml:space="preserve">and </w:t>
      </w:r>
      <w:r w:rsidR="008B43D5" w:rsidRPr="0051366A">
        <w:rPr>
          <w:rFonts w:ascii="Arial" w:hAnsi="Arial" w:cs="Arial"/>
          <w:sz w:val="20"/>
          <w:szCs w:val="20"/>
        </w:rPr>
        <w:t>facility maintenance and energy managers</w:t>
      </w:r>
      <w:r w:rsidR="002820FD" w:rsidRPr="0051366A">
        <w:rPr>
          <w:rFonts w:ascii="Arial" w:hAnsi="Arial" w:cs="Arial"/>
          <w:sz w:val="20"/>
          <w:szCs w:val="20"/>
        </w:rPr>
        <w:t xml:space="preserve">. </w:t>
      </w:r>
      <w:r w:rsidR="00473828">
        <w:rPr>
          <w:rFonts w:ascii="Arial" w:hAnsi="Arial" w:cs="Arial"/>
          <w:sz w:val="20"/>
          <w:szCs w:val="20"/>
        </w:rPr>
        <w:t xml:space="preserve">Participants </w:t>
      </w:r>
      <w:r w:rsidR="002820FD">
        <w:rPr>
          <w:rFonts w:ascii="Arial" w:hAnsi="Arial" w:cs="Arial"/>
          <w:sz w:val="20"/>
          <w:szCs w:val="20"/>
        </w:rPr>
        <w:t xml:space="preserve">learn </w:t>
      </w:r>
      <w:r w:rsidR="002820FD" w:rsidRPr="0051366A">
        <w:rPr>
          <w:rFonts w:ascii="Arial" w:hAnsi="Arial" w:cs="Arial"/>
          <w:sz w:val="20"/>
          <w:szCs w:val="20"/>
        </w:rPr>
        <w:t>energy management principles and techniques</w:t>
      </w:r>
      <w:r w:rsidR="002820FD">
        <w:rPr>
          <w:rFonts w:ascii="Arial" w:hAnsi="Arial" w:cs="Arial"/>
          <w:sz w:val="20"/>
          <w:szCs w:val="20"/>
        </w:rPr>
        <w:t xml:space="preserve">, </w:t>
      </w:r>
      <w:r w:rsidR="002820FD" w:rsidRPr="0051366A">
        <w:rPr>
          <w:rFonts w:ascii="Arial" w:hAnsi="Arial" w:cs="Arial"/>
          <w:sz w:val="20"/>
          <w:szCs w:val="20"/>
        </w:rPr>
        <w:t>includ</w:t>
      </w:r>
      <w:r w:rsidR="002820FD">
        <w:rPr>
          <w:rFonts w:ascii="Arial" w:hAnsi="Arial" w:cs="Arial"/>
          <w:sz w:val="20"/>
          <w:szCs w:val="20"/>
        </w:rPr>
        <w:t>ing</w:t>
      </w:r>
      <w:r w:rsidR="002820FD" w:rsidRPr="0051366A">
        <w:rPr>
          <w:rFonts w:ascii="Arial" w:hAnsi="Arial" w:cs="Arial"/>
          <w:sz w:val="20"/>
          <w:szCs w:val="20"/>
        </w:rPr>
        <w:t xml:space="preserve"> building energy use, glazing, insulation, building envelope, heating</w:t>
      </w:r>
      <w:r w:rsidR="00473828">
        <w:rPr>
          <w:rFonts w:ascii="Arial" w:hAnsi="Arial" w:cs="Arial"/>
          <w:sz w:val="20"/>
          <w:szCs w:val="20"/>
        </w:rPr>
        <w:t xml:space="preserve"> and </w:t>
      </w:r>
      <w:r w:rsidR="002820FD" w:rsidRPr="0051366A">
        <w:rPr>
          <w:rFonts w:ascii="Arial" w:hAnsi="Arial" w:cs="Arial"/>
          <w:sz w:val="20"/>
          <w:szCs w:val="20"/>
        </w:rPr>
        <w:t>cooling, secondary HVAC, controls, central plant equipment, energy auditing</w:t>
      </w:r>
      <w:r w:rsidR="00473828">
        <w:rPr>
          <w:rFonts w:ascii="Arial" w:hAnsi="Arial" w:cs="Arial"/>
          <w:sz w:val="20"/>
          <w:szCs w:val="20"/>
        </w:rPr>
        <w:t xml:space="preserve"> and</w:t>
      </w:r>
      <w:r w:rsidR="002820FD" w:rsidRPr="0051366A">
        <w:rPr>
          <w:rFonts w:ascii="Arial" w:hAnsi="Arial" w:cs="Arial"/>
          <w:sz w:val="20"/>
          <w:szCs w:val="20"/>
        </w:rPr>
        <w:t xml:space="preserve"> operation</w:t>
      </w:r>
      <w:r w:rsidR="00473828">
        <w:rPr>
          <w:rFonts w:ascii="Arial" w:hAnsi="Arial" w:cs="Arial"/>
          <w:sz w:val="20"/>
          <w:szCs w:val="20"/>
        </w:rPr>
        <w:t>s</w:t>
      </w:r>
      <w:r w:rsidR="002820FD" w:rsidRPr="0051366A">
        <w:rPr>
          <w:rFonts w:ascii="Arial" w:hAnsi="Arial" w:cs="Arial"/>
          <w:sz w:val="20"/>
          <w:szCs w:val="20"/>
        </w:rPr>
        <w:t xml:space="preserve"> and maintenance. This </w:t>
      </w:r>
      <w:r w:rsidR="002820FD">
        <w:rPr>
          <w:rFonts w:ascii="Arial" w:hAnsi="Arial" w:cs="Arial"/>
          <w:sz w:val="20"/>
          <w:szCs w:val="20"/>
        </w:rPr>
        <w:t>is being developed</w:t>
      </w:r>
      <w:r w:rsidR="002820FD" w:rsidRPr="0051366A">
        <w:rPr>
          <w:rFonts w:ascii="Arial" w:hAnsi="Arial" w:cs="Arial"/>
          <w:sz w:val="20"/>
          <w:szCs w:val="20"/>
        </w:rPr>
        <w:t xml:space="preserve"> as a possible offering in Washington for 2017 on a limited basis, subject to approval by Energy Trust and the Washington </w:t>
      </w:r>
      <w:r w:rsidR="00473828">
        <w:rPr>
          <w:rFonts w:ascii="Arial" w:hAnsi="Arial" w:cs="Arial"/>
          <w:sz w:val="20"/>
          <w:szCs w:val="20"/>
        </w:rPr>
        <w:t>Utilities and Transportation Commission</w:t>
      </w:r>
      <w:r w:rsidR="002820FD" w:rsidRPr="0051366A">
        <w:rPr>
          <w:rFonts w:ascii="Arial" w:hAnsi="Arial" w:cs="Arial"/>
          <w:sz w:val="20"/>
          <w:szCs w:val="20"/>
        </w:rPr>
        <w:t xml:space="preserve">. </w:t>
      </w:r>
    </w:p>
    <w:p w14:paraId="008830CF" w14:textId="0A22746F" w:rsidR="002820FD" w:rsidRPr="0051366A" w:rsidRDefault="00F1795B" w:rsidP="002E57F2">
      <w:pPr>
        <w:pStyle w:val="ListParagraph"/>
        <w:numPr>
          <w:ilvl w:val="0"/>
          <w:numId w:val="3"/>
        </w:numPr>
        <w:spacing w:line="300" w:lineRule="auto"/>
        <w:ind w:left="720"/>
        <w:rPr>
          <w:rFonts w:ascii="Arial" w:hAnsi="Arial" w:cs="Arial"/>
          <w:sz w:val="20"/>
          <w:szCs w:val="20"/>
        </w:rPr>
      </w:pPr>
      <w:r w:rsidRPr="0051366A">
        <w:rPr>
          <w:rFonts w:ascii="Arial" w:hAnsi="Arial" w:cs="Arial"/>
          <w:b/>
          <w:sz w:val="20"/>
          <w:szCs w:val="20"/>
        </w:rPr>
        <w:t xml:space="preserve">The </w:t>
      </w:r>
      <w:r w:rsidR="002820FD" w:rsidRPr="0051366A">
        <w:rPr>
          <w:rFonts w:ascii="Arial" w:hAnsi="Arial" w:cs="Arial"/>
          <w:b/>
          <w:sz w:val="20"/>
          <w:szCs w:val="20"/>
        </w:rPr>
        <w:t>p</w:t>
      </w:r>
      <w:r w:rsidRPr="0051366A">
        <w:rPr>
          <w:rFonts w:ascii="Arial" w:hAnsi="Arial" w:cs="Arial"/>
          <w:b/>
          <w:sz w:val="20"/>
          <w:szCs w:val="20"/>
        </w:rPr>
        <w:t xml:space="preserve">rogram </w:t>
      </w:r>
      <w:r w:rsidR="00EE6E21" w:rsidRPr="0051366A">
        <w:rPr>
          <w:rFonts w:ascii="Arial" w:hAnsi="Arial" w:cs="Arial"/>
          <w:b/>
          <w:sz w:val="20"/>
          <w:szCs w:val="20"/>
        </w:rPr>
        <w:t xml:space="preserve">promoted </w:t>
      </w:r>
      <w:r w:rsidR="002820FD" w:rsidRPr="0051366A">
        <w:rPr>
          <w:rFonts w:ascii="Arial" w:hAnsi="Arial" w:cs="Arial"/>
          <w:b/>
          <w:sz w:val="20"/>
          <w:szCs w:val="20"/>
        </w:rPr>
        <w:t>market adoption of a</w:t>
      </w:r>
      <w:r w:rsidR="002820FD">
        <w:rPr>
          <w:rFonts w:ascii="Arial" w:hAnsi="Arial" w:cs="Arial"/>
          <w:b/>
          <w:sz w:val="20"/>
          <w:szCs w:val="20"/>
        </w:rPr>
        <w:t xml:space="preserve"> </w:t>
      </w:r>
      <w:r w:rsidR="00EE6E21" w:rsidRPr="0051366A">
        <w:rPr>
          <w:rFonts w:ascii="Arial" w:hAnsi="Arial" w:cs="Arial"/>
          <w:b/>
          <w:sz w:val="20"/>
          <w:szCs w:val="20"/>
        </w:rPr>
        <w:t>B</w:t>
      </w:r>
      <w:r w:rsidR="00C013C4" w:rsidRPr="0051366A">
        <w:rPr>
          <w:rFonts w:ascii="Arial" w:hAnsi="Arial" w:cs="Arial"/>
          <w:b/>
          <w:sz w:val="20"/>
          <w:szCs w:val="20"/>
        </w:rPr>
        <w:t xml:space="preserve">uilding </w:t>
      </w:r>
      <w:r w:rsidR="00EE6E21" w:rsidRPr="0051366A">
        <w:rPr>
          <w:rFonts w:ascii="Arial" w:hAnsi="Arial" w:cs="Arial"/>
          <w:b/>
          <w:sz w:val="20"/>
          <w:szCs w:val="20"/>
        </w:rPr>
        <w:t>O</w:t>
      </w:r>
      <w:r w:rsidR="00C013C4" w:rsidRPr="0051366A">
        <w:rPr>
          <w:rFonts w:ascii="Arial" w:hAnsi="Arial" w:cs="Arial"/>
          <w:b/>
          <w:sz w:val="20"/>
          <w:szCs w:val="20"/>
        </w:rPr>
        <w:t xml:space="preserve">perator </w:t>
      </w:r>
      <w:r w:rsidR="00EE6E21" w:rsidRPr="0051366A">
        <w:rPr>
          <w:rFonts w:ascii="Arial" w:hAnsi="Arial" w:cs="Arial"/>
          <w:b/>
          <w:sz w:val="20"/>
          <w:szCs w:val="20"/>
        </w:rPr>
        <w:t>C</w:t>
      </w:r>
      <w:r w:rsidR="00C013C4" w:rsidRPr="0051366A">
        <w:rPr>
          <w:rFonts w:ascii="Arial" w:hAnsi="Arial" w:cs="Arial"/>
          <w:b/>
          <w:sz w:val="20"/>
          <w:szCs w:val="20"/>
        </w:rPr>
        <w:t xml:space="preserve">ertificate, </w:t>
      </w:r>
      <w:r w:rsidR="002820FD" w:rsidRPr="0051366A">
        <w:rPr>
          <w:rFonts w:ascii="Arial" w:hAnsi="Arial" w:cs="Arial"/>
          <w:sz w:val="20"/>
          <w:szCs w:val="20"/>
        </w:rPr>
        <w:t xml:space="preserve">a professional development program created by </w:t>
      </w:r>
      <w:r w:rsidR="00066CEE" w:rsidRPr="0051366A">
        <w:rPr>
          <w:rFonts w:ascii="Arial" w:hAnsi="Arial" w:cs="Arial"/>
          <w:sz w:val="20"/>
          <w:szCs w:val="20"/>
        </w:rPr>
        <w:t>NEEA</w:t>
      </w:r>
      <w:r w:rsidR="009E7291">
        <w:rPr>
          <w:rFonts w:ascii="Arial" w:hAnsi="Arial" w:cs="Arial"/>
          <w:sz w:val="20"/>
          <w:szCs w:val="20"/>
        </w:rPr>
        <w:t xml:space="preserve"> </w:t>
      </w:r>
      <w:r w:rsidR="002820FD" w:rsidRPr="0051366A">
        <w:rPr>
          <w:rFonts w:ascii="Arial" w:hAnsi="Arial" w:cs="Arial"/>
          <w:sz w:val="20"/>
          <w:szCs w:val="20"/>
        </w:rPr>
        <w:t xml:space="preserve">and available to </w:t>
      </w:r>
      <w:r w:rsidR="00066CEE" w:rsidRPr="0051366A">
        <w:rPr>
          <w:rFonts w:ascii="Arial" w:hAnsi="Arial" w:cs="Arial"/>
          <w:sz w:val="20"/>
          <w:szCs w:val="20"/>
        </w:rPr>
        <w:t xml:space="preserve">eligible </w:t>
      </w:r>
      <w:r w:rsidR="002820FD" w:rsidRPr="0051366A">
        <w:rPr>
          <w:rFonts w:ascii="Arial" w:hAnsi="Arial" w:cs="Arial"/>
          <w:sz w:val="20"/>
          <w:szCs w:val="20"/>
        </w:rPr>
        <w:t>professiona</w:t>
      </w:r>
      <w:r w:rsidR="002820FD" w:rsidRPr="002820FD">
        <w:rPr>
          <w:rFonts w:ascii="Arial" w:hAnsi="Arial" w:cs="Arial"/>
          <w:sz w:val="20"/>
          <w:szCs w:val="20"/>
        </w:rPr>
        <w:t xml:space="preserve">ls working in Washington. </w:t>
      </w:r>
      <w:r w:rsidR="00473828">
        <w:rPr>
          <w:rFonts w:ascii="Arial" w:hAnsi="Arial" w:cs="Arial"/>
          <w:sz w:val="20"/>
          <w:szCs w:val="20"/>
        </w:rPr>
        <w:t>Certification for building operators</w:t>
      </w:r>
      <w:r w:rsidR="00CF04CE" w:rsidRPr="0051366A">
        <w:rPr>
          <w:rFonts w:ascii="Arial" w:hAnsi="Arial" w:cs="Arial"/>
          <w:sz w:val="20"/>
          <w:szCs w:val="20"/>
        </w:rPr>
        <w:t xml:space="preserve"> </w:t>
      </w:r>
      <w:r w:rsidR="002820FD" w:rsidRPr="0051366A">
        <w:rPr>
          <w:rFonts w:ascii="Arial" w:hAnsi="Arial" w:cs="Arial"/>
          <w:sz w:val="20"/>
          <w:szCs w:val="20"/>
        </w:rPr>
        <w:t>help</w:t>
      </w:r>
      <w:r w:rsidR="00473828">
        <w:rPr>
          <w:rFonts w:ascii="Arial" w:hAnsi="Arial" w:cs="Arial"/>
          <w:sz w:val="20"/>
          <w:szCs w:val="20"/>
        </w:rPr>
        <w:t>s</w:t>
      </w:r>
      <w:r w:rsidR="002820FD" w:rsidRPr="0051366A">
        <w:rPr>
          <w:rFonts w:ascii="Arial" w:hAnsi="Arial" w:cs="Arial"/>
          <w:sz w:val="20"/>
          <w:szCs w:val="20"/>
        </w:rPr>
        <w:t xml:space="preserve"> </w:t>
      </w:r>
      <w:r w:rsidR="00473828">
        <w:rPr>
          <w:rFonts w:ascii="Arial" w:hAnsi="Arial" w:cs="Arial"/>
          <w:sz w:val="20"/>
          <w:szCs w:val="20"/>
        </w:rPr>
        <w:t>them</w:t>
      </w:r>
      <w:r w:rsidR="00473828" w:rsidRPr="0051366A">
        <w:rPr>
          <w:rFonts w:ascii="Arial" w:hAnsi="Arial" w:cs="Arial"/>
          <w:sz w:val="20"/>
          <w:szCs w:val="20"/>
        </w:rPr>
        <w:t xml:space="preserve"> </w:t>
      </w:r>
      <w:r w:rsidR="00066CEE" w:rsidRPr="0051366A">
        <w:rPr>
          <w:rFonts w:ascii="Arial" w:hAnsi="Arial" w:cs="Arial"/>
          <w:sz w:val="20"/>
          <w:szCs w:val="20"/>
        </w:rPr>
        <w:t xml:space="preserve">identify and </w:t>
      </w:r>
      <w:r w:rsidR="002820FD" w:rsidRPr="0051366A">
        <w:rPr>
          <w:rFonts w:ascii="Arial" w:hAnsi="Arial" w:cs="Arial"/>
          <w:sz w:val="20"/>
          <w:szCs w:val="20"/>
        </w:rPr>
        <w:t>increase savings</w:t>
      </w:r>
      <w:r w:rsidR="00066CEE" w:rsidRPr="0051366A">
        <w:rPr>
          <w:rFonts w:ascii="Arial" w:hAnsi="Arial" w:cs="Arial"/>
          <w:sz w:val="20"/>
          <w:szCs w:val="20"/>
        </w:rPr>
        <w:t xml:space="preserve"> </w:t>
      </w:r>
      <w:r w:rsidR="002820FD" w:rsidRPr="0051366A">
        <w:rPr>
          <w:rFonts w:ascii="Arial" w:hAnsi="Arial" w:cs="Arial"/>
          <w:sz w:val="20"/>
          <w:szCs w:val="20"/>
        </w:rPr>
        <w:t>opportunities.</w:t>
      </w:r>
    </w:p>
    <w:p w14:paraId="7C3DD1C9" w14:textId="17263B5F" w:rsidR="005F6E32" w:rsidRPr="00EE6E21" w:rsidRDefault="005F6E32" w:rsidP="002E57F2">
      <w:pPr>
        <w:pStyle w:val="ListParagraph"/>
        <w:numPr>
          <w:ilvl w:val="0"/>
          <w:numId w:val="3"/>
        </w:numPr>
        <w:spacing w:line="300" w:lineRule="auto"/>
        <w:ind w:left="720"/>
        <w:rPr>
          <w:rFonts w:ascii="Arial" w:hAnsi="Arial" w:cs="Arial"/>
          <w:sz w:val="20"/>
          <w:szCs w:val="20"/>
        </w:rPr>
      </w:pPr>
      <w:r w:rsidRPr="0051366A">
        <w:rPr>
          <w:rFonts w:ascii="Arial" w:hAnsi="Arial" w:cs="Arial"/>
          <w:b/>
          <w:sz w:val="20"/>
          <w:szCs w:val="20"/>
        </w:rPr>
        <w:t xml:space="preserve">The </w:t>
      </w:r>
      <w:r w:rsidR="00CF04CE" w:rsidRPr="0051366A">
        <w:rPr>
          <w:rFonts w:ascii="Arial" w:hAnsi="Arial" w:cs="Arial"/>
          <w:b/>
          <w:sz w:val="20"/>
          <w:szCs w:val="20"/>
        </w:rPr>
        <w:t>p</w:t>
      </w:r>
      <w:r w:rsidRPr="0051366A">
        <w:rPr>
          <w:rFonts w:ascii="Arial" w:hAnsi="Arial" w:cs="Arial"/>
          <w:b/>
          <w:sz w:val="20"/>
          <w:szCs w:val="20"/>
        </w:rPr>
        <w:t>rogram began explor</w:t>
      </w:r>
      <w:r w:rsidR="004A4AEA" w:rsidRPr="0051366A">
        <w:rPr>
          <w:rFonts w:ascii="Arial" w:hAnsi="Arial" w:cs="Arial"/>
          <w:b/>
          <w:sz w:val="20"/>
          <w:szCs w:val="20"/>
        </w:rPr>
        <w:t xml:space="preserve">ing </w:t>
      </w:r>
      <w:r w:rsidR="004A4AEA" w:rsidRPr="00321E25">
        <w:rPr>
          <w:rFonts w:ascii="Arial" w:hAnsi="Arial" w:cs="Arial"/>
          <w:b/>
          <w:sz w:val="20"/>
          <w:szCs w:val="20"/>
        </w:rPr>
        <w:t xml:space="preserve">savings opportunities </w:t>
      </w:r>
      <w:r w:rsidR="00CF04CE" w:rsidRPr="00321E25">
        <w:rPr>
          <w:rFonts w:ascii="Arial" w:hAnsi="Arial" w:cs="Arial"/>
          <w:b/>
          <w:sz w:val="20"/>
          <w:szCs w:val="20"/>
        </w:rPr>
        <w:t xml:space="preserve">for new construction projects </w:t>
      </w:r>
      <w:r w:rsidR="004A4AEA">
        <w:rPr>
          <w:rFonts w:ascii="Arial" w:hAnsi="Arial" w:cs="Arial"/>
          <w:sz w:val="20"/>
          <w:szCs w:val="20"/>
        </w:rPr>
        <w:t>in NW Natural</w:t>
      </w:r>
      <w:r w:rsidR="00473828">
        <w:rPr>
          <w:rFonts w:ascii="Arial" w:hAnsi="Arial" w:cs="Arial"/>
          <w:sz w:val="20"/>
          <w:szCs w:val="20"/>
        </w:rPr>
        <w:t>’s</w:t>
      </w:r>
      <w:r w:rsidR="004A4AEA">
        <w:rPr>
          <w:rFonts w:ascii="Arial" w:hAnsi="Arial" w:cs="Arial"/>
          <w:sz w:val="20"/>
          <w:szCs w:val="20"/>
        </w:rPr>
        <w:t xml:space="preserve"> Washington t</w:t>
      </w:r>
      <w:r w:rsidRPr="00EE6E21">
        <w:rPr>
          <w:rFonts w:ascii="Arial" w:hAnsi="Arial" w:cs="Arial"/>
          <w:sz w:val="20"/>
          <w:szCs w:val="20"/>
        </w:rPr>
        <w:t>erritory.</w:t>
      </w:r>
    </w:p>
    <w:p w14:paraId="06F07608" w14:textId="77777777" w:rsidR="006C0590" w:rsidRPr="00C87990" w:rsidRDefault="006C0590" w:rsidP="00DB7540">
      <w:pPr>
        <w:pStyle w:val="ListParagraph"/>
        <w:spacing w:line="300" w:lineRule="auto"/>
        <w:ind w:left="540" w:hanging="180"/>
        <w:outlineLvl w:val="0"/>
        <w:rPr>
          <w:rFonts w:cs="Arial"/>
          <w:sz w:val="20"/>
        </w:rPr>
      </w:pPr>
    </w:p>
    <w:p w14:paraId="51ECC85A" w14:textId="77777777" w:rsidR="006C0590" w:rsidRPr="00680880" w:rsidRDefault="006C0590" w:rsidP="00087463">
      <w:pPr>
        <w:pStyle w:val="ListParagraph"/>
        <w:numPr>
          <w:ilvl w:val="0"/>
          <w:numId w:val="6"/>
        </w:numPr>
        <w:spacing w:line="300" w:lineRule="auto"/>
        <w:ind w:left="360"/>
        <w:outlineLvl w:val="0"/>
        <w:rPr>
          <w:rFonts w:ascii="Arial" w:hAnsi="Arial" w:cs="Arial"/>
          <w:b/>
        </w:rPr>
      </w:pPr>
      <w:r w:rsidRPr="00680880">
        <w:rPr>
          <w:rFonts w:ascii="Arial" w:hAnsi="Arial" w:cs="Arial"/>
          <w:b/>
        </w:rPr>
        <w:t>Residential sector highlights</w:t>
      </w:r>
    </w:p>
    <w:p w14:paraId="53F6160D" w14:textId="5B11F2CA" w:rsidR="00B15317" w:rsidRPr="00B15317" w:rsidRDefault="006C0590" w:rsidP="00B15317">
      <w:pPr>
        <w:numPr>
          <w:ilvl w:val="0"/>
          <w:numId w:val="28"/>
        </w:numPr>
        <w:spacing w:line="300" w:lineRule="auto"/>
        <w:ind w:left="720"/>
        <w:contextualSpacing/>
        <w:outlineLvl w:val="0"/>
        <w:rPr>
          <w:rFonts w:eastAsia="Calibri" w:cs="Arial"/>
          <w:i/>
          <w:iCs/>
          <w:sz w:val="20"/>
        </w:rPr>
      </w:pPr>
      <w:r w:rsidRPr="00DB7540">
        <w:rPr>
          <w:rFonts w:cs="Arial"/>
          <w:b/>
          <w:iCs/>
          <w:sz w:val="20"/>
        </w:rPr>
        <w:t xml:space="preserve">The residential sector saved </w:t>
      </w:r>
      <w:r w:rsidR="00615854" w:rsidRPr="005D0B1E">
        <w:rPr>
          <w:rFonts w:cs="Arial"/>
          <w:b/>
          <w:iCs/>
          <w:sz w:val="20"/>
        </w:rPr>
        <w:t>37,606</w:t>
      </w:r>
      <w:r w:rsidRPr="00DB7540">
        <w:rPr>
          <w:rFonts w:cs="Arial"/>
          <w:b/>
          <w:iCs/>
          <w:sz w:val="20"/>
        </w:rPr>
        <w:t xml:space="preserve"> annual therms </w:t>
      </w:r>
      <w:r w:rsidRPr="00C35686">
        <w:rPr>
          <w:rFonts w:cs="Arial"/>
          <w:b/>
          <w:iCs/>
          <w:sz w:val="20"/>
        </w:rPr>
        <w:t>in</w:t>
      </w:r>
      <w:r w:rsidRPr="00DB7540">
        <w:rPr>
          <w:rFonts w:cs="Arial"/>
          <w:iCs/>
          <w:sz w:val="20"/>
        </w:rPr>
        <w:t xml:space="preserve"> </w:t>
      </w:r>
      <w:r w:rsidR="00DB7540" w:rsidRPr="00340E5B">
        <w:rPr>
          <w:rFonts w:cs="Arial"/>
          <w:b/>
          <w:iCs/>
          <w:sz w:val="20"/>
        </w:rPr>
        <w:t>Q</w:t>
      </w:r>
      <w:r w:rsidR="00340E5B" w:rsidRPr="00340E5B">
        <w:rPr>
          <w:rFonts w:cs="Arial"/>
          <w:b/>
          <w:iCs/>
          <w:sz w:val="20"/>
        </w:rPr>
        <w:t>2</w:t>
      </w:r>
      <w:r w:rsidR="00DB493B">
        <w:rPr>
          <w:rFonts w:cs="Arial"/>
          <w:iCs/>
          <w:sz w:val="20"/>
        </w:rPr>
        <w:t xml:space="preserve">, primarily through </w:t>
      </w:r>
      <w:r w:rsidR="00FC348B" w:rsidRPr="00E22076">
        <w:rPr>
          <w:rFonts w:eastAsia="Calibri" w:cs="Arial"/>
          <w:iCs/>
          <w:sz w:val="20"/>
        </w:rPr>
        <w:t>ENERGY STAR</w:t>
      </w:r>
      <w:r w:rsidR="00FC348B" w:rsidRPr="00CE34AE">
        <w:rPr>
          <w:rFonts w:eastAsia="Calibri" w:cs="Arial"/>
          <w:iCs/>
          <w:sz w:val="20"/>
          <w:vertAlign w:val="superscript"/>
        </w:rPr>
        <w:t>®</w:t>
      </w:r>
      <w:r w:rsidR="00FC348B" w:rsidRPr="00E22076">
        <w:rPr>
          <w:rFonts w:eastAsia="Calibri" w:cs="Arial"/>
          <w:iCs/>
          <w:sz w:val="20"/>
        </w:rPr>
        <w:t xml:space="preserve"> </w:t>
      </w:r>
      <w:r w:rsidR="00FC348B">
        <w:rPr>
          <w:rFonts w:eastAsia="Calibri" w:cs="Arial"/>
          <w:iCs/>
          <w:sz w:val="20"/>
        </w:rPr>
        <w:t>and EPS</w:t>
      </w:r>
      <w:r w:rsidR="00066CEE" w:rsidRPr="0051366A">
        <w:rPr>
          <w:rFonts w:eastAsia="Calibri" w:cs="Arial"/>
          <w:iCs/>
          <w:sz w:val="20"/>
        </w:rPr>
        <w:t>™</w:t>
      </w:r>
      <w:r w:rsidR="00FC348B">
        <w:rPr>
          <w:rFonts w:eastAsia="Calibri" w:cs="Arial"/>
          <w:iCs/>
          <w:sz w:val="20"/>
        </w:rPr>
        <w:t xml:space="preserve"> rated </w:t>
      </w:r>
      <w:r w:rsidR="00473828">
        <w:rPr>
          <w:rFonts w:eastAsia="Calibri" w:cs="Arial"/>
          <w:iCs/>
          <w:sz w:val="20"/>
        </w:rPr>
        <w:t>h</w:t>
      </w:r>
      <w:r w:rsidR="00FC348B" w:rsidRPr="00E22076">
        <w:rPr>
          <w:rFonts w:eastAsia="Calibri" w:cs="Arial"/>
          <w:iCs/>
          <w:sz w:val="20"/>
        </w:rPr>
        <w:t xml:space="preserve">omes, </w:t>
      </w:r>
      <w:r w:rsidR="00DB493B" w:rsidRPr="00E22076">
        <w:rPr>
          <w:rFonts w:eastAsia="Calibri" w:cs="Arial"/>
          <w:iCs/>
          <w:sz w:val="20"/>
        </w:rPr>
        <w:t>gas furnaces, gas fireplaces, efficient windows,</w:t>
      </w:r>
      <w:r w:rsidR="00DB493B">
        <w:rPr>
          <w:rFonts w:eastAsia="Calibri" w:cs="Arial"/>
          <w:iCs/>
          <w:sz w:val="20"/>
        </w:rPr>
        <w:t xml:space="preserve"> </w:t>
      </w:r>
      <w:r w:rsidR="00DB493B" w:rsidRPr="00E22076">
        <w:rPr>
          <w:rFonts w:eastAsia="Calibri" w:cs="Arial"/>
          <w:iCs/>
          <w:sz w:val="20"/>
        </w:rPr>
        <w:t>Energy Saver Kits and showerheads.</w:t>
      </w:r>
    </w:p>
    <w:p w14:paraId="4F1D93A5" w14:textId="7D5595CD" w:rsidR="00B15317" w:rsidRPr="00E22076" w:rsidRDefault="00066CEE" w:rsidP="00DB493B">
      <w:pPr>
        <w:numPr>
          <w:ilvl w:val="0"/>
          <w:numId w:val="28"/>
        </w:numPr>
        <w:spacing w:line="300" w:lineRule="auto"/>
        <w:ind w:left="720"/>
        <w:contextualSpacing/>
        <w:outlineLvl w:val="0"/>
        <w:rPr>
          <w:rFonts w:eastAsia="Calibri" w:cs="Arial"/>
          <w:i/>
          <w:iCs/>
          <w:sz w:val="20"/>
        </w:rPr>
      </w:pPr>
      <w:r w:rsidRPr="0051366A">
        <w:rPr>
          <w:rFonts w:eastAsia="Calibri" w:cs="Arial"/>
          <w:b/>
          <w:iCs/>
          <w:sz w:val="20"/>
        </w:rPr>
        <w:t>Energy Trust</w:t>
      </w:r>
      <w:r w:rsidR="00B15317">
        <w:rPr>
          <w:rFonts w:eastAsia="Calibri" w:cs="Arial"/>
          <w:b/>
          <w:iCs/>
          <w:sz w:val="20"/>
        </w:rPr>
        <w:t xml:space="preserve"> collaborated with NW Natural to develop </w:t>
      </w:r>
      <w:r w:rsidR="00B15317" w:rsidRPr="0051366A">
        <w:rPr>
          <w:rFonts w:eastAsia="Calibri" w:cs="Arial"/>
          <w:b/>
          <w:iCs/>
          <w:sz w:val="20"/>
        </w:rPr>
        <w:t>an</w:t>
      </w:r>
      <w:r w:rsidR="00B15317">
        <w:rPr>
          <w:rFonts w:eastAsia="Calibri" w:cs="Arial"/>
          <w:b/>
          <w:iCs/>
          <w:sz w:val="20"/>
        </w:rPr>
        <w:t xml:space="preserve"> outreach plan to engage </w:t>
      </w:r>
      <w:r w:rsidR="00B15317" w:rsidRPr="0051366A">
        <w:rPr>
          <w:rFonts w:eastAsia="Calibri" w:cs="Arial"/>
          <w:iCs/>
          <w:sz w:val="20"/>
        </w:rPr>
        <w:t>nonprofits</w:t>
      </w:r>
      <w:r w:rsidR="00B15317">
        <w:rPr>
          <w:rFonts w:eastAsia="Calibri" w:cs="Arial"/>
          <w:iCs/>
          <w:sz w:val="20"/>
        </w:rPr>
        <w:t xml:space="preserve"> and housing organizations to serve as aggregators in support of streamlined outreach and measure adoption </w:t>
      </w:r>
      <w:r w:rsidR="009514FC">
        <w:rPr>
          <w:rFonts w:eastAsia="Calibri" w:cs="Arial"/>
          <w:iCs/>
          <w:sz w:val="20"/>
        </w:rPr>
        <w:t>and uptake</w:t>
      </w:r>
      <w:r w:rsidR="00B15317">
        <w:rPr>
          <w:rFonts w:eastAsia="Calibri" w:cs="Arial"/>
          <w:iCs/>
          <w:sz w:val="20"/>
        </w:rPr>
        <w:t xml:space="preserve"> for retrofit and new construction markets.</w:t>
      </w:r>
    </w:p>
    <w:p w14:paraId="021A5BA1" w14:textId="77777777" w:rsidR="00DB7540" w:rsidRPr="00DB7540" w:rsidRDefault="00DB7540" w:rsidP="00DB7540">
      <w:pPr>
        <w:pStyle w:val="ListParagraph"/>
        <w:spacing w:line="300" w:lineRule="auto"/>
        <w:ind w:left="540" w:hanging="180"/>
        <w:outlineLvl w:val="0"/>
        <w:rPr>
          <w:rFonts w:cs="Arial"/>
          <w:i/>
          <w:iCs/>
          <w:sz w:val="20"/>
        </w:rPr>
      </w:pPr>
    </w:p>
    <w:p w14:paraId="0CCC3C44" w14:textId="7CCE3F15" w:rsidR="006C0590" w:rsidRPr="00A30824" w:rsidRDefault="006C0590" w:rsidP="007E2B3F">
      <w:pPr>
        <w:tabs>
          <w:tab w:val="left" w:pos="3780"/>
        </w:tabs>
        <w:spacing w:line="300" w:lineRule="auto"/>
        <w:ind w:left="540" w:hanging="180"/>
        <w:outlineLvl w:val="0"/>
        <w:rPr>
          <w:rFonts w:cs="Arial"/>
          <w:i/>
          <w:iCs/>
          <w:sz w:val="20"/>
        </w:rPr>
      </w:pPr>
      <w:r w:rsidRPr="00A30824">
        <w:rPr>
          <w:rFonts w:cs="Arial"/>
          <w:i/>
          <w:iCs/>
          <w:sz w:val="20"/>
        </w:rPr>
        <w:t>Existing Homes</w:t>
      </w:r>
      <w:r w:rsidR="007E2B3F">
        <w:rPr>
          <w:rFonts w:cs="Arial"/>
          <w:i/>
          <w:iCs/>
          <w:sz w:val="20"/>
        </w:rPr>
        <w:tab/>
      </w:r>
    </w:p>
    <w:p w14:paraId="4EBBF4AC" w14:textId="60A1FEBD" w:rsidR="00EF135A" w:rsidRDefault="006C0590" w:rsidP="002E57F2">
      <w:pPr>
        <w:numPr>
          <w:ilvl w:val="0"/>
          <w:numId w:val="28"/>
        </w:numPr>
        <w:spacing w:line="300" w:lineRule="auto"/>
        <w:ind w:left="720"/>
        <w:contextualSpacing/>
        <w:outlineLvl w:val="0"/>
        <w:rPr>
          <w:rFonts w:eastAsia="Calibri" w:cs="Arial"/>
          <w:i/>
          <w:iCs/>
          <w:sz w:val="20"/>
        </w:rPr>
      </w:pPr>
      <w:r w:rsidRPr="00952CDD">
        <w:rPr>
          <w:rFonts w:cs="Arial"/>
          <w:b/>
          <w:iCs/>
          <w:sz w:val="20"/>
        </w:rPr>
        <w:t xml:space="preserve">Existing Homes saved </w:t>
      </w:r>
      <w:r w:rsidRPr="00A30824">
        <w:rPr>
          <w:rFonts w:cs="Arial"/>
          <w:b/>
          <w:sz w:val="20"/>
        </w:rPr>
        <w:fldChar w:fldCharType="begin"/>
      </w:r>
      <w:r w:rsidRPr="00A30824">
        <w:rPr>
          <w:rFonts w:cs="Arial"/>
          <w:b/>
          <w:sz w:val="20"/>
        </w:rPr>
        <w:instrText xml:space="preserve"> INCLUDETEXT  "E:\\TRUST GENERAL\\Public Utility Commission\\Annual reports\\Automation\\QtrRpt_PageValuesWA.xml" \n xmlns:ns1=\"ETO\" \x ns1:Root/ns1:Metrics/ns1:Energy/ns1:Yr/ns1:GasEff/ns1:Res/ns1:Eh  \* MERGEFORMAT </w:instrText>
      </w:r>
      <w:r w:rsidRPr="00A30824">
        <w:rPr>
          <w:rFonts w:cs="Arial"/>
          <w:b/>
          <w:sz w:val="20"/>
        </w:rPr>
        <w:fldChar w:fldCharType="separate"/>
      </w:r>
      <w:r w:rsidR="00615854" w:rsidRPr="005D0B1E">
        <w:rPr>
          <w:rFonts w:cs="Arial"/>
          <w:b/>
          <w:sz w:val="20"/>
        </w:rPr>
        <w:t>15,184</w:t>
      </w:r>
      <w:r w:rsidRPr="00A30824">
        <w:rPr>
          <w:rFonts w:cs="Arial"/>
          <w:b/>
          <w:sz w:val="20"/>
        </w:rPr>
        <w:t xml:space="preserve"> annual therms</w:t>
      </w:r>
      <w:r w:rsidRPr="00A30824">
        <w:rPr>
          <w:rFonts w:cs="Arial"/>
          <w:b/>
          <w:sz w:val="20"/>
        </w:rPr>
        <w:fldChar w:fldCharType="end"/>
      </w:r>
      <w:r w:rsidR="00A30824">
        <w:rPr>
          <w:rFonts w:cs="Arial"/>
          <w:b/>
          <w:sz w:val="20"/>
        </w:rPr>
        <w:t xml:space="preserve"> in </w:t>
      </w:r>
      <w:r w:rsidR="00BD013E">
        <w:rPr>
          <w:rFonts w:cs="Arial"/>
          <w:b/>
          <w:sz w:val="20"/>
        </w:rPr>
        <w:t>Q2</w:t>
      </w:r>
      <w:r w:rsidR="00A30824">
        <w:rPr>
          <w:rFonts w:cs="Arial"/>
          <w:b/>
          <w:sz w:val="20"/>
        </w:rPr>
        <w:t xml:space="preserve">, </w:t>
      </w:r>
      <w:r w:rsidR="00A30824">
        <w:rPr>
          <w:rFonts w:cs="Arial"/>
          <w:sz w:val="20"/>
        </w:rPr>
        <w:t>primarily through</w:t>
      </w:r>
      <w:r w:rsidR="00DB493B">
        <w:rPr>
          <w:rFonts w:cs="Arial"/>
          <w:sz w:val="20"/>
        </w:rPr>
        <w:t xml:space="preserve"> </w:t>
      </w:r>
      <w:r w:rsidR="00DB493B" w:rsidRPr="00E22076">
        <w:rPr>
          <w:rFonts w:eastAsia="Calibri" w:cs="Arial"/>
          <w:iCs/>
          <w:sz w:val="20"/>
        </w:rPr>
        <w:t>gas furnaces</w:t>
      </w:r>
      <w:r w:rsidR="002E57F2" w:rsidRPr="0051366A">
        <w:rPr>
          <w:rFonts w:eastAsia="Calibri" w:cs="Arial"/>
          <w:iCs/>
          <w:sz w:val="20"/>
        </w:rPr>
        <w:t xml:space="preserve"> and energy-saving products, followed by</w:t>
      </w:r>
      <w:r w:rsidR="00DB493B" w:rsidRPr="00E22076">
        <w:rPr>
          <w:rFonts w:eastAsia="Calibri" w:cs="Arial"/>
          <w:iCs/>
          <w:sz w:val="20"/>
        </w:rPr>
        <w:t xml:space="preserve"> gas fireplaces </w:t>
      </w:r>
      <w:r w:rsidR="009514FC">
        <w:rPr>
          <w:rFonts w:eastAsia="Calibri" w:cs="Arial"/>
          <w:iCs/>
          <w:sz w:val="20"/>
        </w:rPr>
        <w:t xml:space="preserve">and </w:t>
      </w:r>
      <w:r w:rsidR="00DB493B" w:rsidRPr="00E22076">
        <w:rPr>
          <w:rFonts w:eastAsia="Calibri" w:cs="Arial"/>
          <w:iCs/>
          <w:sz w:val="20"/>
        </w:rPr>
        <w:t>efficient windows.</w:t>
      </w:r>
    </w:p>
    <w:p w14:paraId="0958FDC5" w14:textId="0CA497D6" w:rsidR="001967D6" w:rsidRPr="00EF135A" w:rsidRDefault="00473828" w:rsidP="002E57F2">
      <w:pPr>
        <w:numPr>
          <w:ilvl w:val="0"/>
          <w:numId w:val="28"/>
        </w:numPr>
        <w:spacing w:line="300" w:lineRule="auto"/>
        <w:ind w:left="720"/>
        <w:contextualSpacing/>
        <w:outlineLvl w:val="0"/>
        <w:rPr>
          <w:rFonts w:eastAsia="Calibri" w:cs="Arial"/>
          <w:i/>
          <w:iCs/>
          <w:sz w:val="20"/>
        </w:rPr>
      </w:pPr>
      <w:r>
        <w:rPr>
          <w:rFonts w:eastAsia="Times New Roman" w:cs="Arial"/>
          <w:b/>
          <w:bCs/>
          <w:color w:val="000000"/>
          <w:sz w:val="20"/>
        </w:rPr>
        <w:t>D</w:t>
      </w:r>
      <w:r w:rsidR="00066CEE" w:rsidRPr="0051366A">
        <w:rPr>
          <w:rFonts w:eastAsia="Times New Roman" w:cs="Arial"/>
          <w:b/>
          <w:bCs/>
          <w:color w:val="000000"/>
          <w:sz w:val="20"/>
        </w:rPr>
        <w:t>emand for energy-efficient</w:t>
      </w:r>
      <w:r w:rsidR="00EF135A" w:rsidRPr="00EF135A">
        <w:rPr>
          <w:rFonts w:eastAsia="Times New Roman" w:cs="Arial"/>
          <w:b/>
          <w:bCs/>
          <w:color w:val="000000"/>
          <w:sz w:val="20"/>
        </w:rPr>
        <w:t xml:space="preserve"> gas furnaces </w:t>
      </w:r>
      <w:r w:rsidR="00066CEE" w:rsidRPr="0051366A">
        <w:rPr>
          <w:rFonts w:eastAsia="Times New Roman" w:cs="Arial"/>
          <w:b/>
          <w:bCs/>
          <w:color w:val="000000"/>
          <w:sz w:val="20"/>
        </w:rPr>
        <w:t>contributed</w:t>
      </w:r>
      <w:r w:rsidR="00547E77">
        <w:rPr>
          <w:rFonts w:eastAsia="Times New Roman" w:cs="Arial"/>
          <w:b/>
          <w:bCs/>
          <w:color w:val="000000"/>
          <w:sz w:val="20"/>
        </w:rPr>
        <w:t xml:space="preserve"> to</w:t>
      </w:r>
      <w:r w:rsidR="00EF135A" w:rsidRPr="0051366A">
        <w:rPr>
          <w:rFonts w:eastAsia="Times New Roman" w:cs="Arial"/>
          <w:b/>
          <w:color w:val="000000"/>
          <w:sz w:val="20"/>
        </w:rPr>
        <w:t xml:space="preserve"> </w:t>
      </w:r>
      <w:r w:rsidR="00066CEE" w:rsidRPr="0051366A">
        <w:rPr>
          <w:rFonts w:eastAsia="Times New Roman" w:cs="Arial"/>
          <w:b/>
          <w:bCs/>
          <w:color w:val="000000"/>
          <w:sz w:val="20"/>
        </w:rPr>
        <w:t>strong</w:t>
      </w:r>
      <w:r w:rsidR="00EF135A" w:rsidRPr="0051366A">
        <w:rPr>
          <w:rFonts w:eastAsia="Times New Roman" w:cs="Arial"/>
          <w:b/>
          <w:color w:val="000000"/>
          <w:sz w:val="20"/>
        </w:rPr>
        <w:t xml:space="preserve"> savings</w:t>
      </w:r>
      <w:r w:rsidR="001967D6" w:rsidRPr="0051366A">
        <w:rPr>
          <w:rFonts w:eastAsia="Times New Roman" w:cs="Arial"/>
          <w:b/>
          <w:color w:val="000000"/>
          <w:sz w:val="20"/>
        </w:rPr>
        <w:t xml:space="preserve"> in </w:t>
      </w:r>
      <w:r w:rsidR="00066CEE" w:rsidRPr="0051366A">
        <w:rPr>
          <w:rFonts w:eastAsia="Times New Roman" w:cs="Arial"/>
          <w:b/>
          <w:bCs/>
          <w:color w:val="000000"/>
          <w:sz w:val="20"/>
        </w:rPr>
        <w:t>Q2</w:t>
      </w:r>
      <w:r w:rsidR="001967D6" w:rsidRPr="0051366A">
        <w:rPr>
          <w:rFonts w:eastAsia="Times New Roman" w:cs="Arial"/>
          <w:bCs/>
          <w:color w:val="000000"/>
          <w:sz w:val="20"/>
        </w:rPr>
        <w:t>.</w:t>
      </w:r>
      <w:r w:rsidR="00EF135A" w:rsidRPr="0051366A">
        <w:rPr>
          <w:rFonts w:eastAsia="Times New Roman" w:cs="Arial"/>
          <w:bCs/>
          <w:color w:val="000000"/>
          <w:sz w:val="20"/>
        </w:rPr>
        <w:t xml:space="preserve"> </w:t>
      </w:r>
    </w:p>
    <w:p w14:paraId="1230A744" w14:textId="278233B8" w:rsidR="006C0590" w:rsidRPr="001967D6" w:rsidRDefault="00EF135A" w:rsidP="002E57F2">
      <w:pPr>
        <w:pStyle w:val="ListParagraph"/>
        <w:numPr>
          <w:ilvl w:val="0"/>
          <w:numId w:val="13"/>
        </w:numPr>
        <w:spacing w:line="300" w:lineRule="auto"/>
        <w:contextualSpacing w:val="0"/>
        <w:rPr>
          <w:rFonts w:ascii="Arial" w:eastAsiaTheme="minorHAnsi" w:hAnsi="Arial" w:cs="Arial"/>
          <w:color w:val="000000" w:themeColor="text1"/>
          <w:sz w:val="20"/>
          <w:szCs w:val="20"/>
        </w:rPr>
      </w:pPr>
      <w:r w:rsidRPr="00547E77">
        <w:rPr>
          <w:rFonts w:ascii="Arial" w:eastAsia="Times New Roman" w:hAnsi="Arial" w:cs="Arial"/>
          <w:b/>
          <w:bCs/>
          <w:color w:val="000000"/>
          <w:sz w:val="20"/>
          <w:szCs w:val="20"/>
        </w:rPr>
        <w:t>T</w:t>
      </w:r>
      <w:r w:rsidR="001967D6" w:rsidRPr="00547E77">
        <w:rPr>
          <w:rFonts w:ascii="Arial" w:eastAsia="Times New Roman" w:hAnsi="Arial" w:cs="Arial"/>
          <w:b/>
          <w:bCs/>
          <w:color w:val="000000"/>
          <w:sz w:val="20"/>
          <w:szCs w:val="20"/>
        </w:rPr>
        <w:t xml:space="preserve">he program </w:t>
      </w:r>
      <w:r w:rsidR="00547E77" w:rsidRPr="00547E77">
        <w:rPr>
          <w:rFonts w:ascii="Arial" w:eastAsia="Times New Roman" w:hAnsi="Arial" w:cs="Arial"/>
          <w:b/>
          <w:bCs/>
          <w:color w:val="000000"/>
          <w:sz w:val="20"/>
          <w:szCs w:val="20"/>
        </w:rPr>
        <w:t>collaborated</w:t>
      </w:r>
      <w:r w:rsidR="00547E77">
        <w:rPr>
          <w:rFonts w:ascii="Arial" w:eastAsia="Times New Roman" w:hAnsi="Arial" w:cs="Arial"/>
          <w:b/>
          <w:bCs/>
          <w:color w:val="000000"/>
          <w:sz w:val="20"/>
          <w:szCs w:val="20"/>
        </w:rPr>
        <w:t xml:space="preserve"> with Clark Public </w:t>
      </w:r>
      <w:r w:rsidR="002E57F2" w:rsidRPr="0051366A">
        <w:rPr>
          <w:rFonts w:ascii="Arial" w:eastAsia="Times New Roman" w:hAnsi="Arial" w:cs="Arial"/>
          <w:b/>
          <w:bCs/>
          <w:color w:val="000000"/>
          <w:sz w:val="20"/>
          <w:szCs w:val="20"/>
        </w:rPr>
        <w:t>U</w:t>
      </w:r>
      <w:r w:rsidR="00547E77" w:rsidRPr="0051366A">
        <w:rPr>
          <w:rFonts w:ascii="Arial" w:eastAsia="Times New Roman" w:hAnsi="Arial" w:cs="Arial"/>
          <w:b/>
          <w:bCs/>
          <w:color w:val="000000"/>
          <w:sz w:val="20"/>
          <w:szCs w:val="20"/>
        </w:rPr>
        <w:t>tilities</w:t>
      </w:r>
      <w:r w:rsidR="00547E77" w:rsidRPr="00547E77">
        <w:rPr>
          <w:rFonts w:ascii="Arial" w:eastAsia="Times New Roman" w:hAnsi="Arial" w:cs="Arial"/>
          <w:b/>
          <w:bCs/>
          <w:color w:val="000000"/>
          <w:sz w:val="20"/>
          <w:szCs w:val="20"/>
        </w:rPr>
        <w:t xml:space="preserve"> </w:t>
      </w:r>
      <w:r w:rsidR="00547E77">
        <w:rPr>
          <w:rFonts w:ascii="Arial" w:eastAsia="Times New Roman" w:hAnsi="Arial" w:cs="Arial"/>
          <w:bCs/>
          <w:color w:val="000000"/>
          <w:sz w:val="20"/>
          <w:szCs w:val="20"/>
        </w:rPr>
        <w:t xml:space="preserve">to deliver LivingWise Kits to sixth graders in Clark County, </w:t>
      </w:r>
      <w:r w:rsidR="00066CEE" w:rsidRPr="0051366A">
        <w:rPr>
          <w:rFonts w:ascii="Arial" w:eastAsia="Times New Roman" w:hAnsi="Arial" w:cs="Arial"/>
          <w:bCs/>
          <w:color w:val="000000"/>
          <w:sz w:val="20"/>
          <w:szCs w:val="20"/>
        </w:rPr>
        <w:t>providing</w:t>
      </w:r>
      <w:r w:rsidR="00547E77">
        <w:rPr>
          <w:rFonts w:ascii="Arial" w:eastAsia="Times New Roman" w:hAnsi="Arial" w:cs="Arial"/>
          <w:bCs/>
          <w:color w:val="000000"/>
          <w:sz w:val="20"/>
          <w:szCs w:val="20"/>
        </w:rPr>
        <w:t xml:space="preserve"> free LEDs funded through Clark </w:t>
      </w:r>
      <w:r w:rsidR="00473828">
        <w:rPr>
          <w:rFonts w:ascii="Arial" w:eastAsia="Times New Roman" w:hAnsi="Arial" w:cs="Arial"/>
          <w:bCs/>
          <w:color w:val="000000"/>
          <w:sz w:val="20"/>
          <w:szCs w:val="20"/>
        </w:rPr>
        <w:t xml:space="preserve">Public Utilities </w:t>
      </w:r>
      <w:r w:rsidR="00547E77">
        <w:rPr>
          <w:rFonts w:ascii="Arial" w:eastAsia="Times New Roman" w:hAnsi="Arial" w:cs="Arial"/>
          <w:bCs/>
          <w:color w:val="000000"/>
          <w:sz w:val="20"/>
          <w:szCs w:val="20"/>
        </w:rPr>
        <w:t>and free showerheads provided through Energy Trust.</w:t>
      </w:r>
    </w:p>
    <w:p w14:paraId="1CFDB1FB" w14:textId="40638465" w:rsidR="001967D6" w:rsidRDefault="00B15317" w:rsidP="002E57F2">
      <w:pPr>
        <w:pStyle w:val="ListParagraph"/>
        <w:numPr>
          <w:ilvl w:val="0"/>
          <w:numId w:val="13"/>
        </w:numPr>
        <w:spacing w:line="300" w:lineRule="auto"/>
        <w:contextualSpacing w:val="0"/>
        <w:rPr>
          <w:rFonts w:ascii="Arial" w:eastAsiaTheme="minorHAnsi" w:hAnsi="Arial" w:cs="Arial"/>
          <w:color w:val="000000" w:themeColor="text1"/>
          <w:sz w:val="20"/>
          <w:szCs w:val="20"/>
        </w:rPr>
      </w:pPr>
      <w:r w:rsidRPr="00B15317">
        <w:rPr>
          <w:rFonts w:ascii="Arial" w:eastAsiaTheme="minorHAnsi" w:hAnsi="Arial" w:cs="Arial"/>
          <w:b/>
          <w:color w:val="000000" w:themeColor="text1"/>
          <w:sz w:val="20"/>
          <w:szCs w:val="20"/>
        </w:rPr>
        <w:t>Gas furnaces, gas hearths and smart thermostats</w:t>
      </w:r>
      <w:r>
        <w:rPr>
          <w:rFonts w:ascii="Arial" w:eastAsiaTheme="minorHAnsi" w:hAnsi="Arial" w:cs="Arial"/>
          <w:color w:val="000000" w:themeColor="text1"/>
          <w:sz w:val="20"/>
          <w:szCs w:val="20"/>
        </w:rPr>
        <w:t xml:space="preserve"> </w:t>
      </w:r>
      <w:r w:rsidRPr="0051366A">
        <w:rPr>
          <w:rFonts w:ascii="Arial" w:eastAsiaTheme="minorHAnsi" w:hAnsi="Arial" w:cs="Arial"/>
          <w:color w:val="000000" w:themeColor="text1"/>
          <w:sz w:val="20"/>
          <w:szCs w:val="20"/>
        </w:rPr>
        <w:t>continue</w:t>
      </w:r>
      <w:r w:rsidR="00066CEE" w:rsidRPr="0051366A">
        <w:rPr>
          <w:rFonts w:ascii="Arial" w:eastAsiaTheme="minorHAnsi" w:hAnsi="Arial" w:cs="Arial"/>
          <w:color w:val="000000" w:themeColor="text1"/>
          <w:sz w:val="20"/>
          <w:szCs w:val="20"/>
        </w:rPr>
        <w:t>d</w:t>
      </w:r>
      <w:r>
        <w:rPr>
          <w:rFonts w:ascii="Arial" w:eastAsiaTheme="minorHAnsi" w:hAnsi="Arial" w:cs="Arial"/>
          <w:color w:val="000000" w:themeColor="text1"/>
          <w:sz w:val="20"/>
          <w:szCs w:val="20"/>
        </w:rPr>
        <w:t xml:space="preserve"> to </w:t>
      </w:r>
      <w:r w:rsidR="00066CEE" w:rsidRPr="0051366A">
        <w:rPr>
          <w:rFonts w:ascii="Arial" w:eastAsiaTheme="minorHAnsi" w:hAnsi="Arial" w:cs="Arial"/>
          <w:color w:val="000000" w:themeColor="text1"/>
          <w:sz w:val="20"/>
          <w:szCs w:val="20"/>
        </w:rPr>
        <w:t>contribute</w:t>
      </w:r>
      <w:r>
        <w:rPr>
          <w:rFonts w:ascii="Arial" w:eastAsiaTheme="minorHAnsi" w:hAnsi="Arial" w:cs="Arial"/>
          <w:color w:val="000000" w:themeColor="text1"/>
          <w:sz w:val="20"/>
          <w:szCs w:val="20"/>
        </w:rPr>
        <w:t xml:space="preserve"> significant </w:t>
      </w:r>
      <w:r w:rsidR="00F6137B" w:rsidRPr="00F6137B">
        <w:rPr>
          <w:rFonts w:ascii="Arial" w:eastAsiaTheme="minorHAnsi" w:hAnsi="Arial" w:cs="Arial"/>
          <w:color w:val="000000" w:themeColor="text1"/>
          <w:sz w:val="20"/>
          <w:szCs w:val="20"/>
        </w:rPr>
        <w:t>savings.</w:t>
      </w:r>
    </w:p>
    <w:p w14:paraId="0DAF6F77" w14:textId="7F1CCA61" w:rsidR="00F6137B" w:rsidRPr="00F6137B" w:rsidRDefault="00547E77" w:rsidP="002E57F2">
      <w:pPr>
        <w:pStyle w:val="ListParagraph"/>
        <w:numPr>
          <w:ilvl w:val="0"/>
          <w:numId w:val="13"/>
        </w:numPr>
        <w:spacing w:line="300" w:lineRule="auto"/>
        <w:contextualSpacing w:val="0"/>
        <w:rPr>
          <w:rFonts w:ascii="Arial" w:eastAsiaTheme="minorHAnsi" w:hAnsi="Arial" w:cs="Arial"/>
          <w:color w:val="000000" w:themeColor="text1"/>
          <w:sz w:val="20"/>
          <w:szCs w:val="20"/>
        </w:rPr>
      </w:pPr>
      <w:r w:rsidRPr="00547E77">
        <w:rPr>
          <w:rFonts w:ascii="Arial" w:eastAsiaTheme="minorHAnsi" w:hAnsi="Arial" w:cs="Arial"/>
          <w:b/>
          <w:bCs/>
          <w:color w:val="000000" w:themeColor="text1"/>
          <w:sz w:val="20"/>
          <w:szCs w:val="20"/>
        </w:rPr>
        <w:lastRenderedPageBreak/>
        <w:t xml:space="preserve">The program initiated </w:t>
      </w:r>
      <w:r w:rsidR="00F6137B" w:rsidRPr="00547E77">
        <w:rPr>
          <w:rFonts w:ascii="Arial" w:eastAsiaTheme="minorHAnsi" w:hAnsi="Arial" w:cs="Arial"/>
          <w:b/>
          <w:bCs/>
          <w:color w:val="000000" w:themeColor="text1"/>
          <w:sz w:val="20"/>
          <w:szCs w:val="20"/>
        </w:rPr>
        <w:t>a rental market analysis</w:t>
      </w:r>
      <w:r w:rsidR="00F6137B" w:rsidRPr="00F6137B">
        <w:rPr>
          <w:rFonts w:ascii="Arial" w:eastAsiaTheme="minorHAnsi" w:hAnsi="Arial" w:cs="Arial"/>
          <w:bCs/>
          <w:color w:val="000000" w:themeColor="text1"/>
          <w:sz w:val="20"/>
          <w:szCs w:val="20"/>
        </w:rPr>
        <w:t xml:space="preserve"> to better understand housing stock</w:t>
      </w:r>
      <w:r>
        <w:rPr>
          <w:rFonts w:ascii="Arial" w:eastAsiaTheme="minorHAnsi" w:hAnsi="Arial" w:cs="Arial"/>
          <w:bCs/>
          <w:color w:val="000000" w:themeColor="text1"/>
          <w:sz w:val="20"/>
          <w:szCs w:val="20"/>
        </w:rPr>
        <w:t xml:space="preserve"> characteristics and inform new strategies to serve</w:t>
      </w:r>
      <w:r w:rsidR="00F6137B" w:rsidRPr="00F6137B">
        <w:rPr>
          <w:rFonts w:ascii="Arial" w:eastAsiaTheme="minorHAnsi" w:hAnsi="Arial" w:cs="Arial"/>
          <w:bCs/>
          <w:color w:val="000000" w:themeColor="text1"/>
          <w:sz w:val="20"/>
          <w:szCs w:val="20"/>
        </w:rPr>
        <w:t xml:space="preserve"> customers</w:t>
      </w:r>
      <w:r>
        <w:rPr>
          <w:rFonts w:ascii="Arial" w:eastAsiaTheme="minorHAnsi" w:hAnsi="Arial" w:cs="Arial"/>
          <w:bCs/>
          <w:color w:val="000000" w:themeColor="text1"/>
          <w:sz w:val="20"/>
          <w:szCs w:val="20"/>
        </w:rPr>
        <w:t xml:space="preserve"> living in rental properties</w:t>
      </w:r>
      <w:r w:rsidR="00F6137B" w:rsidRPr="00F6137B">
        <w:rPr>
          <w:rFonts w:ascii="Arial" w:eastAsiaTheme="minorHAnsi" w:hAnsi="Arial" w:cs="Arial"/>
          <w:bCs/>
          <w:color w:val="000000" w:themeColor="text1"/>
          <w:sz w:val="20"/>
          <w:szCs w:val="20"/>
        </w:rPr>
        <w:t>.</w:t>
      </w:r>
    </w:p>
    <w:p w14:paraId="0348E5B5" w14:textId="492FF75B" w:rsidR="00F6137B" w:rsidRPr="00343749" w:rsidRDefault="00547E77" w:rsidP="002E57F2">
      <w:pPr>
        <w:pStyle w:val="ListParagraph"/>
        <w:numPr>
          <w:ilvl w:val="0"/>
          <w:numId w:val="13"/>
        </w:numPr>
        <w:spacing w:line="300" w:lineRule="auto"/>
        <w:rPr>
          <w:rFonts w:ascii="Arial" w:hAnsi="Arial" w:cs="Arial"/>
          <w:sz w:val="20"/>
          <w:szCs w:val="20"/>
        </w:rPr>
      </w:pPr>
      <w:r w:rsidRPr="00547E77">
        <w:rPr>
          <w:rFonts w:ascii="Arial" w:hAnsi="Arial" w:cs="Arial"/>
          <w:b/>
          <w:sz w:val="20"/>
          <w:szCs w:val="20"/>
        </w:rPr>
        <w:t>Approximately 25 trade allies, distributors, program representatives, utility representatives and other stakeholders</w:t>
      </w:r>
      <w:r>
        <w:rPr>
          <w:rFonts w:ascii="Arial" w:hAnsi="Arial" w:cs="Arial"/>
          <w:sz w:val="20"/>
          <w:szCs w:val="20"/>
        </w:rPr>
        <w:t xml:space="preserve"> attended a</w:t>
      </w:r>
      <w:r w:rsidR="005C7F6D">
        <w:rPr>
          <w:rFonts w:ascii="Arial" w:hAnsi="Arial" w:cs="Arial"/>
          <w:sz w:val="20"/>
          <w:szCs w:val="20"/>
        </w:rPr>
        <w:t xml:space="preserve"> </w:t>
      </w:r>
      <w:r w:rsidR="00AF3D28">
        <w:rPr>
          <w:rFonts w:ascii="Arial" w:hAnsi="Arial" w:cs="Arial"/>
          <w:sz w:val="20"/>
          <w:szCs w:val="20"/>
        </w:rPr>
        <w:t>biannual</w:t>
      </w:r>
      <w:r>
        <w:rPr>
          <w:rFonts w:ascii="Arial" w:hAnsi="Arial" w:cs="Arial"/>
          <w:sz w:val="20"/>
          <w:szCs w:val="20"/>
        </w:rPr>
        <w:t xml:space="preserve"> trade ally </w:t>
      </w:r>
      <w:r w:rsidR="00066CEE" w:rsidRPr="0051366A">
        <w:rPr>
          <w:rFonts w:ascii="Arial" w:hAnsi="Arial" w:cs="Arial"/>
          <w:sz w:val="20"/>
          <w:szCs w:val="20"/>
        </w:rPr>
        <w:t>networking</w:t>
      </w:r>
      <w:r>
        <w:rPr>
          <w:rFonts w:ascii="Arial" w:hAnsi="Arial" w:cs="Arial"/>
          <w:sz w:val="20"/>
          <w:szCs w:val="20"/>
        </w:rPr>
        <w:t xml:space="preserve"> event, hosted in collaboration with Clark Public </w:t>
      </w:r>
      <w:r w:rsidR="00473828">
        <w:rPr>
          <w:rFonts w:ascii="Arial" w:hAnsi="Arial" w:cs="Arial"/>
          <w:sz w:val="20"/>
          <w:szCs w:val="20"/>
        </w:rPr>
        <w:t>U</w:t>
      </w:r>
      <w:r>
        <w:rPr>
          <w:rFonts w:ascii="Arial" w:hAnsi="Arial" w:cs="Arial"/>
          <w:sz w:val="20"/>
          <w:szCs w:val="20"/>
        </w:rPr>
        <w:t>tilities.</w:t>
      </w:r>
      <w:r w:rsidR="00F6137B">
        <w:rPr>
          <w:rFonts w:ascii="Arial" w:hAnsi="Arial" w:cs="Arial"/>
          <w:sz w:val="20"/>
          <w:szCs w:val="20"/>
        </w:rPr>
        <w:t xml:space="preserve"> </w:t>
      </w:r>
    </w:p>
    <w:p w14:paraId="474D535F" w14:textId="77777777" w:rsidR="00A91237" w:rsidRDefault="00A91237" w:rsidP="00DB7540">
      <w:pPr>
        <w:spacing w:line="300" w:lineRule="auto"/>
        <w:ind w:left="540" w:hanging="180"/>
        <w:outlineLvl w:val="0"/>
        <w:rPr>
          <w:rFonts w:cs="Arial"/>
          <w:i/>
          <w:iCs/>
          <w:sz w:val="20"/>
        </w:rPr>
      </w:pPr>
    </w:p>
    <w:p w14:paraId="35F72A69" w14:textId="67F4FDF7" w:rsidR="006C0590" w:rsidRPr="004B41BB" w:rsidRDefault="006C0590" w:rsidP="00DB7540">
      <w:pPr>
        <w:spacing w:line="300" w:lineRule="auto"/>
        <w:ind w:left="540" w:hanging="180"/>
        <w:outlineLvl w:val="0"/>
        <w:rPr>
          <w:rFonts w:cs="Arial"/>
          <w:i/>
          <w:iCs/>
          <w:sz w:val="20"/>
        </w:rPr>
      </w:pPr>
      <w:r w:rsidRPr="004B41BB">
        <w:rPr>
          <w:rFonts w:cs="Arial"/>
          <w:i/>
          <w:iCs/>
          <w:sz w:val="20"/>
        </w:rPr>
        <w:t xml:space="preserve">New Homes </w:t>
      </w:r>
      <w:r w:rsidR="00087463">
        <w:rPr>
          <w:rFonts w:cs="Arial"/>
          <w:i/>
          <w:iCs/>
          <w:sz w:val="20"/>
        </w:rPr>
        <w:t>and Products</w:t>
      </w:r>
    </w:p>
    <w:p w14:paraId="7039E519" w14:textId="7906732B" w:rsidR="00DB493B" w:rsidRPr="00F6137B" w:rsidRDefault="006C0590" w:rsidP="002E57F2">
      <w:pPr>
        <w:numPr>
          <w:ilvl w:val="0"/>
          <w:numId w:val="13"/>
        </w:numPr>
        <w:spacing w:line="300" w:lineRule="auto"/>
        <w:rPr>
          <w:rFonts w:eastAsia="Calibri" w:cs="Arial"/>
          <w:sz w:val="20"/>
        </w:rPr>
      </w:pPr>
      <w:r w:rsidRPr="00F6137B">
        <w:rPr>
          <w:rFonts w:cs="Arial"/>
          <w:b/>
          <w:iCs/>
          <w:sz w:val="20"/>
        </w:rPr>
        <w:t>New Homes</w:t>
      </w:r>
      <w:r w:rsidR="00087463" w:rsidRPr="00F6137B">
        <w:rPr>
          <w:rFonts w:cs="Arial"/>
          <w:b/>
          <w:iCs/>
          <w:sz w:val="20"/>
        </w:rPr>
        <w:t xml:space="preserve"> and Products</w:t>
      </w:r>
      <w:r w:rsidRPr="00F6137B">
        <w:rPr>
          <w:rFonts w:cs="Arial"/>
          <w:b/>
          <w:iCs/>
          <w:sz w:val="20"/>
        </w:rPr>
        <w:t xml:space="preserve"> saved </w:t>
      </w:r>
      <w:r w:rsidRPr="00F6137B">
        <w:rPr>
          <w:rFonts w:cs="Arial"/>
          <w:b/>
          <w:sz w:val="20"/>
        </w:rPr>
        <w:fldChar w:fldCharType="begin"/>
      </w:r>
      <w:r w:rsidRPr="00F6137B">
        <w:rPr>
          <w:rFonts w:cs="Arial"/>
          <w:b/>
          <w:sz w:val="20"/>
        </w:rPr>
        <w:instrText xml:space="preserve"> INCLUDETEXT  "E:\\TRUST GENERAL\\Public Utility Commission\\Annual reports\\Automation\\QtrRpt_PageValuesWA.xml" \n xmlns:ns1=\"ETO\" \x ns1:Root/ns1:Metrics/ns1:Energy/ns1:Yr/ns1:GasEff/ns1:Res/ns1:Nh  \* MERGEFORMAT </w:instrText>
      </w:r>
      <w:r w:rsidRPr="00F6137B">
        <w:rPr>
          <w:rFonts w:cs="Arial"/>
          <w:b/>
          <w:sz w:val="20"/>
        </w:rPr>
        <w:fldChar w:fldCharType="separate"/>
      </w:r>
      <w:r w:rsidR="00615854" w:rsidRPr="005D0B1E">
        <w:rPr>
          <w:rFonts w:cs="Arial"/>
          <w:b/>
          <w:sz w:val="20"/>
        </w:rPr>
        <w:t>22,421</w:t>
      </w:r>
      <w:r w:rsidRPr="00F6137B">
        <w:rPr>
          <w:rFonts w:cs="Arial"/>
          <w:b/>
          <w:sz w:val="20"/>
        </w:rPr>
        <w:t xml:space="preserve"> annual therms</w:t>
      </w:r>
      <w:r w:rsidRPr="00F6137B">
        <w:rPr>
          <w:rFonts w:cs="Arial"/>
          <w:b/>
          <w:sz w:val="20"/>
        </w:rPr>
        <w:fldChar w:fldCharType="end"/>
      </w:r>
      <w:r w:rsidR="004B41BB" w:rsidRPr="00F6137B">
        <w:rPr>
          <w:rFonts w:cs="Arial"/>
          <w:b/>
          <w:iCs/>
          <w:sz w:val="20"/>
        </w:rPr>
        <w:t xml:space="preserve">, </w:t>
      </w:r>
      <w:r w:rsidR="004B41BB" w:rsidRPr="00F6137B">
        <w:rPr>
          <w:rFonts w:cs="Arial"/>
          <w:iCs/>
          <w:sz w:val="20"/>
        </w:rPr>
        <w:t>primarily th</w:t>
      </w:r>
      <w:r w:rsidR="00DB493B" w:rsidRPr="00F6137B">
        <w:rPr>
          <w:rFonts w:cs="Arial"/>
          <w:iCs/>
          <w:sz w:val="20"/>
        </w:rPr>
        <w:t xml:space="preserve">rough </w:t>
      </w:r>
      <w:r w:rsidR="002F718C">
        <w:rPr>
          <w:rFonts w:eastAsia="Calibri" w:cs="Arial"/>
          <w:iCs/>
          <w:sz w:val="20"/>
        </w:rPr>
        <w:t>ENERGY STAR h</w:t>
      </w:r>
      <w:r w:rsidR="00DB493B" w:rsidRPr="00F6137B">
        <w:rPr>
          <w:rFonts w:eastAsia="Calibri" w:cs="Arial"/>
          <w:iCs/>
          <w:sz w:val="20"/>
        </w:rPr>
        <w:t>omes, EPS rated homes and showerheads</w:t>
      </w:r>
      <w:r w:rsidR="00F6137B" w:rsidRPr="00F6137B">
        <w:rPr>
          <w:rFonts w:eastAsia="Calibri" w:cs="Arial"/>
          <w:iCs/>
          <w:sz w:val="20"/>
        </w:rPr>
        <w:t>.</w:t>
      </w:r>
      <w:r w:rsidR="00F6137B">
        <w:rPr>
          <w:rFonts w:eastAsia="Calibri" w:cs="Arial"/>
          <w:iCs/>
          <w:sz w:val="20"/>
        </w:rPr>
        <w:t xml:space="preserve"> </w:t>
      </w:r>
      <w:r w:rsidR="00066CEE" w:rsidRPr="0051366A">
        <w:rPr>
          <w:rFonts w:eastAsia="Calibri" w:cs="Arial"/>
          <w:iCs/>
          <w:sz w:val="20"/>
        </w:rPr>
        <w:t>In Q2, 75</w:t>
      </w:r>
      <w:r w:rsidR="00FC348B">
        <w:rPr>
          <w:rFonts w:eastAsia="Calibri" w:cs="Arial"/>
          <w:iCs/>
          <w:sz w:val="20"/>
        </w:rPr>
        <w:t xml:space="preserve"> pe</w:t>
      </w:r>
      <w:r w:rsidR="00FC348B" w:rsidRPr="00F6137B">
        <w:rPr>
          <w:rFonts w:eastAsia="Times New Roman" w:cs="Arial"/>
          <w:color w:val="000000"/>
          <w:sz w:val="20"/>
        </w:rPr>
        <w:t xml:space="preserve">rcent of New Homes </w:t>
      </w:r>
      <w:r w:rsidR="00FC348B">
        <w:rPr>
          <w:rFonts w:eastAsia="Times New Roman" w:cs="Arial"/>
          <w:color w:val="000000"/>
          <w:sz w:val="20"/>
        </w:rPr>
        <w:t>savings came from w</w:t>
      </w:r>
      <w:r w:rsidR="00F6137B" w:rsidRPr="00F6137B">
        <w:rPr>
          <w:rFonts w:eastAsia="Times New Roman" w:cs="Arial"/>
          <w:color w:val="000000"/>
          <w:sz w:val="20"/>
        </w:rPr>
        <w:t>hole</w:t>
      </w:r>
      <w:r w:rsidR="00066CEE" w:rsidRPr="0051366A">
        <w:rPr>
          <w:rFonts w:eastAsia="Times New Roman" w:cs="Arial"/>
          <w:color w:val="000000"/>
          <w:sz w:val="20"/>
        </w:rPr>
        <w:t>-</w:t>
      </w:r>
      <w:r w:rsidR="00F6137B" w:rsidRPr="00F6137B">
        <w:rPr>
          <w:rFonts w:eastAsia="Times New Roman" w:cs="Arial"/>
          <w:color w:val="000000"/>
          <w:sz w:val="20"/>
        </w:rPr>
        <w:t xml:space="preserve">home improvements </w:t>
      </w:r>
      <w:r w:rsidR="00066CEE" w:rsidRPr="0051366A">
        <w:rPr>
          <w:rFonts w:eastAsia="Times New Roman" w:cs="Arial"/>
          <w:color w:val="000000"/>
          <w:sz w:val="20"/>
        </w:rPr>
        <w:t>supported by</w:t>
      </w:r>
      <w:r w:rsidR="00F6137B" w:rsidRPr="00F6137B">
        <w:rPr>
          <w:rFonts w:eastAsia="Times New Roman" w:cs="Arial"/>
          <w:color w:val="000000"/>
          <w:sz w:val="20"/>
        </w:rPr>
        <w:t xml:space="preserve"> EPS and ENERGY STAR incentives.</w:t>
      </w:r>
    </w:p>
    <w:p w14:paraId="7FEE2A17" w14:textId="1F44CBBD" w:rsidR="00F6137B" w:rsidRPr="00B15317" w:rsidRDefault="00066CEE" w:rsidP="002E57F2">
      <w:pPr>
        <w:pStyle w:val="ListParagraph"/>
        <w:numPr>
          <w:ilvl w:val="0"/>
          <w:numId w:val="13"/>
        </w:numPr>
        <w:spacing w:line="300" w:lineRule="auto"/>
        <w:contextualSpacing w:val="0"/>
        <w:rPr>
          <w:rFonts w:ascii="Arial" w:hAnsi="Arial" w:cs="Arial"/>
          <w:b/>
          <w:sz w:val="20"/>
          <w:szCs w:val="20"/>
        </w:rPr>
      </w:pPr>
      <w:r w:rsidRPr="0051366A">
        <w:rPr>
          <w:rFonts w:ascii="Arial" w:hAnsi="Arial" w:cs="Arial"/>
          <w:b/>
          <w:bCs/>
          <w:iCs/>
          <w:sz w:val="20"/>
          <w:szCs w:val="20"/>
        </w:rPr>
        <w:t>Strong</w:t>
      </w:r>
      <w:r w:rsidR="00F86ABA" w:rsidRPr="00F86ABA">
        <w:rPr>
          <w:rFonts w:ascii="Arial" w:hAnsi="Arial" w:cs="Arial"/>
          <w:b/>
          <w:bCs/>
          <w:iCs/>
          <w:sz w:val="20"/>
          <w:szCs w:val="20"/>
        </w:rPr>
        <w:t xml:space="preserve"> new construction activity </w:t>
      </w:r>
      <w:r w:rsidRPr="0051366A">
        <w:rPr>
          <w:rFonts w:ascii="Arial" w:hAnsi="Arial" w:cs="Arial"/>
          <w:b/>
          <w:bCs/>
          <w:iCs/>
          <w:sz w:val="20"/>
          <w:szCs w:val="20"/>
        </w:rPr>
        <w:t xml:space="preserve">in </w:t>
      </w:r>
      <w:r w:rsidR="00F86ABA" w:rsidRPr="0051366A">
        <w:rPr>
          <w:rFonts w:ascii="Arial" w:hAnsi="Arial" w:cs="Arial"/>
          <w:b/>
          <w:bCs/>
          <w:iCs/>
          <w:sz w:val="20"/>
          <w:szCs w:val="20"/>
        </w:rPr>
        <w:t xml:space="preserve">Clark County </w:t>
      </w:r>
      <w:r w:rsidRPr="0051366A">
        <w:rPr>
          <w:rFonts w:ascii="Arial" w:hAnsi="Arial" w:cs="Arial"/>
          <w:b/>
          <w:bCs/>
          <w:iCs/>
          <w:sz w:val="20"/>
          <w:szCs w:val="20"/>
        </w:rPr>
        <w:t>supported</w:t>
      </w:r>
      <w:r w:rsidR="00F86ABA" w:rsidRPr="00F86ABA">
        <w:rPr>
          <w:rFonts w:ascii="Arial" w:hAnsi="Arial" w:cs="Arial"/>
          <w:b/>
          <w:bCs/>
          <w:iCs/>
          <w:sz w:val="20"/>
          <w:szCs w:val="20"/>
        </w:rPr>
        <w:t xml:space="preserve"> higher</w:t>
      </w:r>
      <w:r w:rsidRPr="0051366A">
        <w:rPr>
          <w:rFonts w:ascii="Arial" w:hAnsi="Arial" w:cs="Arial"/>
          <w:b/>
          <w:bCs/>
          <w:iCs/>
          <w:sz w:val="20"/>
          <w:szCs w:val="20"/>
        </w:rPr>
        <w:t>-</w:t>
      </w:r>
      <w:r w:rsidR="00F86ABA" w:rsidRPr="00F86ABA">
        <w:rPr>
          <w:rFonts w:ascii="Arial" w:hAnsi="Arial" w:cs="Arial"/>
          <w:b/>
          <w:bCs/>
          <w:iCs/>
          <w:sz w:val="20"/>
          <w:szCs w:val="20"/>
        </w:rPr>
        <w:t>than</w:t>
      </w:r>
      <w:r w:rsidRPr="0051366A">
        <w:rPr>
          <w:rFonts w:ascii="Arial" w:hAnsi="Arial" w:cs="Arial"/>
          <w:b/>
          <w:bCs/>
          <w:iCs/>
          <w:sz w:val="20"/>
          <w:szCs w:val="20"/>
        </w:rPr>
        <w:t>-</w:t>
      </w:r>
      <w:r w:rsidR="00F86ABA" w:rsidRPr="00F86ABA">
        <w:rPr>
          <w:rFonts w:ascii="Arial" w:hAnsi="Arial" w:cs="Arial"/>
          <w:b/>
          <w:bCs/>
          <w:iCs/>
          <w:sz w:val="20"/>
          <w:szCs w:val="20"/>
        </w:rPr>
        <w:t>anticipated savings for New Homes</w:t>
      </w:r>
      <w:r w:rsidR="00F86ABA">
        <w:rPr>
          <w:rFonts w:ascii="Arial" w:hAnsi="Arial" w:cs="Arial"/>
          <w:b/>
          <w:bCs/>
          <w:iCs/>
          <w:sz w:val="20"/>
          <w:szCs w:val="20"/>
        </w:rPr>
        <w:t xml:space="preserve">. </w:t>
      </w:r>
      <w:r w:rsidR="00F86ABA" w:rsidRPr="00F86ABA">
        <w:rPr>
          <w:rFonts w:ascii="Arial" w:hAnsi="Arial" w:cs="Arial"/>
          <w:bCs/>
          <w:iCs/>
          <w:sz w:val="20"/>
          <w:szCs w:val="20"/>
        </w:rPr>
        <w:t>The program has recognized</w:t>
      </w:r>
      <w:r w:rsidR="00815700" w:rsidRPr="00F86ABA">
        <w:rPr>
          <w:rFonts w:ascii="Arial" w:hAnsi="Arial" w:cs="Arial"/>
          <w:bCs/>
          <w:iCs/>
          <w:sz w:val="20"/>
          <w:szCs w:val="20"/>
        </w:rPr>
        <w:t xml:space="preserve"> </w:t>
      </w:r>
      <w:r w:rsidR="002F718C">
        <w:rPr>
          <w:rFonts w:ascii="Arial" w:hAnsi="Arial" w:cs="Arial"/>
          <w:bCs/>
          <w:iCs/>
          <w:sz w:val="20"/>
          <w:szCs w:val="20"/>
        </w:rPr>
        <w:t>222</w:t>
      </w:r>
      <w:r w:rsidR="00815700" w:rsidRPr="00F86ABA">
        <w:rPr>
          <w:rFonts w:ascii="Arial" w:hAnsi="Arial" w:cs="Arial"/>
          <w:bCs/>
          <w:iCs/>
          <w:sz w:val="20"/>
          <w:szCs w:val="20"/>
        </w:rPr>
        <w:t xml:space="preserve"> homes</w:t>
      </w:r>
      <w:r w:rsidR="00F86ABA" w:rsidRPr="00F86ABA">
        <w:rPr>
          <w:rFonts w:ascii="Arial" w:hAnsi="Arial" w:cs="Arial"/>
          <w:bCs/>
          <w:iCs/>
          <w:sz w:val="20"/>
          <w:szCs w:val="20"/>
        </w:rPr>
        <w:t xml:space="preserve"> to date</w:t>
      </w:r>
      <w:r w:rsidR="00815700" w:rsidRPr="00F86ABA">
        <w:rPr>
          <w:rFonts w:ascii="Arial" w:hAnsi="Arial" w:cs="Arial"/>
          <w:bCs/>
          <w:iCs/>
          <w:sz w:val="20"/>
          <w:szCs w:val="20"/>
        </w:rPr>
        <w:t>,</w:t>
      </w:r>
      <w:r w:rsidR="00815700" w:rsidRPr="00F86ABA">
        <w:rPr>
          <w:rFonts w:ascii="Arial" w:hAnsi="Arial" w:cs="Arial"/>
          <w:b/>
          <w:bCs/>
          <w:iCs/>
          <w:sz w:val="20"/>
          <w:szCs w:val="20"/>
        </w:rPr>
        <w:t xml:space="preserve"> </w:t>
      </w:r>
      <w:r w:rsidR="00815700" w:rsidRPr="00F86ABA">
        <w:rPr>
          <w:rFonts w:ascii="Arial" w:hAnsi="Arial" w:cs="Arial"/>
          <w:bCs/>
          <w:iCs/>
          <w:sz w:val="20"/>
          <w:szCs w:val="20"/>
        </w:rPr>
        <w:t>compared to</w:t>
      </w:r>
      <w:r w:rsidR="00F6137B" w:rsidRPr="00F86ABA">
        <w:rPr>
          <w:rFonts w:ascii="Arial" w:hAnsi="Arial" w:cs="Arial"/>
          <w:bCs/>
          <w:iCs/>
          <w:sz w:val="20"/>
          <w:szCs w:val="20"/>
        </w:rPr>
        <w:t xml:space="preserve"> approximately 300 homes</w:t>
      </w:r>
      <w:r w:rsidR="00F86ABA" w:rsidRPr="00F86ABA">
        <w:rPr>
          <w:rFonts w:ascii="Arial" w:hAnsi="Arial" w:cs="Arial"/>
          <w:bCs/>
          <w:iCs/>
          <w:sz w:val="20"/>
          <w:szCs w:val="20"/>
        </w:rPr>
        <w:t xml:space="preserve"> budgeted</w:t>
      </w:r>
      <w:r w:rsidR="00F6137B" w:rsidRPr="00F86ABA">
        <w:rPr>
          <w:rFonts w:ascii="Arial" w:hAnsi="Arial" w:cs="Arial"/>
          <w:bCs/>
          <w:iCs/>
          <w:sz w:val="20"/>
          <w:szCs w:val="20"/>
        </w:rPr>
        <w:t xml:space="preserve"> for the 2016 program year.</w:t>
      </w:r>
    </w:p>
    <w:p w14:paraId="2476A43A" w14:textId="0DFA5C26" w:rsidR="00F6137B" w:rsidRPr="00F6137B" w:rsidRDefault="00F6137B" w:rsidP="002E57F2">
      <w:pPr>
        <w:pStyle w:val="ListParagraph"/>
        <w:numPr>
          <w:ilvl w:val="0"/>
          <w:numId w:val="13"/>
        </w:numPr>
        <w:spacing w:line="300" w:lineRule="auto"/>
        <w:contextualSpacing w:val="0"/>
        <w:rPr>
          <w:rFonts w:ascii="Arial" w:hAnsi="Arial" w:cs="Arial"/>
          <w:sz w:val="20"/>
          <w:szCs w:val="20"/>
        </w:rPr>
      </w:pPr>
      <w:r w:rsidRPr="00B15317">
        <w:rPr>
          <w:rFonts w:ascii="Arial" w:eastAsia="Times New Roman" w:hAnsi="Arial" w:cs="Arial"/>
          <w:b/>
          <w:color w:val="000000"/>
          <w:sz w:val="20"/>
          <w:szCs w:val="20"/>
        </w:rPr>
        <w:t xml:space="preserve">The program </w:t>
      </w:r>
      <w:r w:rsidR="00B15317">
        <w:rPr>
          <w:rFonts w:ascii="Arial" w:eastAsia="Times New Roman" w:hAnsi="Arial" w:cs="Arial"/>
          <w:b/>
          <w:color w:val="000000"/>
          <w:sz w:val="20"/>
          <w:szCs w:val="20"/>
        </w:rPr>
        <w:t xml:space="preserve">worked </w:t>
      </w:r>
      <w:r w:rsidRPr="00B15317">
        <w:rPr>
          <w:rFonts w:ascii="Arial" w:eastAsia="Times New Roman" w:hAnsi="Arial" w:cs="Arial"/>
          <w:b/>
          <w:color w:val="000000"/>
          <w:sz w:val="20"/>
          <w:szCs w:val="20"/>
        </w:rPr>
        <w:t>with the Building Industry Association of Clark County</w:t>
      </w:r>
      <w:r>
        <w:rPr>
          <w:rFonts w:ascii="Arial" w:eastAsia="Times New Roman" w:hAnsi="Arial" w:cs="Arial"/>
          <w:color w:val="000000"/>
          <w:sz w:val="20"/>
          <w:szCs w:val="20"/>
        </w:rPr>
        <w:t xml:space="preserve"> to </w:t>
      </w:r>
      <w:r w:rsidR="00B15317">
        <w:rPr>
          <w:rFonts w:ascii="Arial" w:eastAsia="Times New Roman" w:hAnsi="Arial" w:cs="Arial"/>
          <w:color w:val="000000"/>
          <w:sz w:val="20"/>
          <w:szCs w:val="20"/>
        </w:rPr>
        <w:t xml:space="preserve">support development of </w:t>
      </w:r>
      <w:r>
        <w:rPr>
          <w:rFonts w:ascii="Arial" w:eastAsia="Times New Roman" w:hAnsi="Arial" w:cs="Arial"/>
          <w:color w:val="000000"/>
          <w:sz w:val="20"/>
          <w:szCs w:val="20"/>
        </w:rPr>
        <w:t>the first ever Green Homes Street Fair</w:t>
      </w:r>
      <w:r w:rsidR="00B15317">
        <w:rPr>
          <w:rFonts w:ascii="Arial" w:eastAsia="Times New Roman" w:hAnsi="Arial" w:cs="Arial"/>
          <w:color w:val="000000"/>
          <w:sz w:val="20"/>
          <w:szCs w:val="20"/>
        </w:rPr>
        <w:t xml:space="preserve"> </w:t>
      </w:r>
      <w:r>
        <w:rPr>
          <w:rFonts w:ascii="Arial" w:eastAsia="Times New Roman" w:hAnsi="Arial" w:cs="Arial"/>
          <w:color w:val="000000"/>
          <w:sz w:val="20"/>
          <w:szCs w:val="20"/>
        </w:rPr>
        <w:t>in May</w:t>
      </w:r>
      <w:r w:rsidR="00B15317">
        <w:rPr>
          <w:rFonts w:ascii="Arial" w:eastAsia="Times New Roman" w:hAnsi="Arial" w:cs="Arial"/>
          <w:color w:val="000000"/>
          <w:sz w:val="20"/>
          <w:szCs w:val="20"/>
        </w:rPr>
        <w:t xml:space="preserve"> </w:t>
      </w:r>
      <w:r w:rsidR="009514FC">
        <w:rPr>
          <w:rFonts w:ascii="Arial" w:eastAsia="Times New Roman" w:hAnsi="Arial" w:cs="Arial"/>
          <w:color w:val="000000"/>
          <w:sz w:val="20"/>
          <w:szCs w:val="20"/>
        </w:rPr>
        <w:t>2016</w:t>
      </w:r>
      <w:r>
        <w:rPr>
          <w:rFonts w:ascii="Arial" w:eastAsia="Times New Roman" w:hAnsi="Arial" w:cs="Arial"/>
          <w:color w:val="000000"/>
          <w:sz w:val="20"/>
          <w:szCs w:val="20"/>
        </w:rPr>
        <w:t>. The fair feature</w:t>
      </w:r>
      <w:r w:rsidR="00473828">
        <w:rPr>
          <w:rFonts w:ascii="Arial" w:eastAsia="Times New Roman" w:hAnsi="Arial" w:cs="Arial"/>
          <w:color w:val="000000"/>
          <w:sz w:val="20"/>
          <w:szCs w:val="20"/>
        </w:rPr>
        <w:t>d</w:t>
      </w:r>
      <w:r>
        <w:rPr>
          <w:rFonts w:ascii="Arial" w:eastAsia="Times New Roman" w:hAnsi="Arial" w:cs="Arial"/>
          <w:color w:val="000000"/>
          <w:sz w:val="20"/>
          <w:szCs w:val="20"/>
        </w:rPr>
        <w:t xml:space="preserve"> two completed </w:t>
      </w:r>
      <w:r w:rsidR="00066CEE" w:rsidRPr="0051366A">
        <w:rPr>
          <w:rFonts w:ascii="Arial" w:eastAsia="Times New Roman" w:hAnsi="Arial" w:cs="Arial"/>
          <w:color w:val="000000"/>
          <w:sz w:val="20"/>
          <w:szCs w:val="20"/>
        </w:rPr>
        <w:t xml:space="preserve">EPS </w:t>
      </w:r>
      <w:r w:rsidRPr="0051366A">
        <w:rPr>
          <w:rFonts w:ascii="Arial" w:eastAsia="Times New Roman" w:hAnsi="Arial" w:cs="Arial"/>
          <w:color w:val="000000"/>
          <w:sz w:val="20"/>
          <w:szCs w:val="20"/>
        </w:rPr>
        <w:t xml:space="preserve">homes. </w:t>
      </w:r>
    </w:p>
    <w:p w14:paraId="586C3329" w14:textId="6661F1C8" w:rsidR="001D2093" w:rsidRPr="001D2093" w:rsidRDefault="00F6137B" w:rsidP="002E57F2">
      <w:pPr>
        <w:pStyle w:val="ListParagraph"/>
        <w:numPr>
          <w:ilvl w:val="0"/>
          <w:numId w:val="13"/>
        </w:numPr>
        <w:spacing w:line="300" w:lineRule="auto"/>
        <w:contextualSpacing w:val="0"/>
        <w:rPr>
          <w:rFonts w:ascii="Arial" w:hAnsi="Arial" w:cs="Arial"/>
          <w:sz w:val="20"/>
          <w:szCs w:val="20"/>
        </w:rPr>
      </w:pPr>
      <w:r w:rsidRPr="00143925">
        <w:rPr>
          <w:rFonts w:ascii="Arial" w:eastAsia="Times New Roman" w:hAnsi="Arial" w:cs="Arial"/>
          <w:b/>
          <w:bCs/>
          <w:sz w:val="20"/>
          <w:szCs w:val="20"/>
        </w:rPr>
        <w:t xml:space="preserve">The program </w:t>
      </w:r>
      <w:r w:rsidR="00143925" w:rsidRPr="00143925">
        <w:rPr>
          <w:rFonts w:ascii="Arial" w:eastAsia="Times New Roman" w:hAnsi="Arial" w:cs="Arial"/>
          <w:b/>
          <w:bCs/>
          <w:sz w:val="20"/>
          <w:szCs w:val="20"/>
        </w:rPr>
        <w:t>implemented database improvements to</w:t>
      </w:r>
      <w:r w:rsidRPr="00143925">
        <w:rPr>
          <w:rFonts w:ascii="Arial" w:eastAsia="Times New Roman" w:hAnsi="Arial" w:cs="Arial"/>
          <w:b/>
          <w:bCs/>
          <w:sz w:val="20"/>
          <w:szCs w:val="20"/>
        </w:rPr>
        <w:t xml:space="preserve"> </w:t>
      </w:r>
      <w:r w:rsidR="00143925">
        <w:rPr>
          <w:rFonts w:ascii="Arial" w:eastAsia="Times New Roman" w:hAnsi="Arial" w:cs="Arial"/>
          <w:b/>
          <w:bCs/>
          <w:sz w:val="20"/>
          <w:szCs w:val="20"/>
        </w:rPr>
        <w:t>support market</w:t>
      </w:r>
      <w:r w:rsidR="00143925" w:rsidRPr="00143925">
        <w:rPr>
          <w:rFonts w:ascii="Arial" w:eastAsia="Times New Roman" w:hAnsi="Arial" w:cs="Arial"/>
          <w:b/>
          <w:bCs/>
          <w:sz w:val="20"/>
          <w:szCs w:val="20"/>
        </w:rPr>
        <w:t xml:space="preserve"> verifier</w:t>
      </w:r>
      <w:r w:rsidR="00143925">
        <w:rPr>
          <w:rFonts w:ascii="Arial" w:eastAsia="Times New Roman" w:hAnsi="Arial" w:cs="Arial"/>
          <w:b/>
          <w:bCs/>
          <w:sz w:val="20"/>
          <w:szCs w:val="20"/>
        </w:rPr>
        <w:t xml:space="preserve">s in reporting site </w:t>
      </w:r>
      <w:r w:rsidR="002F718C">
        <w:rPr>
          <w:rFonts w:ascii="Arial" w:eastAsia="Times New Roman" w:hAnsi="Arial" w:cs="Arial"/>
          <w:b/>
          <w:bCs/>
          <w:sz w:val="20"/>
          <w:szCs w:val="20"/>
        </w:rPr>
        <w:t>information</w:t>
      </w:r>
      <w:r w:rsidR="00143925">
        <w:rPr>
          <w:rFonts w:ascii="Arial" w:eastAsia="Times New Roman" w:hAnsi="Arial" w:cs="Arial"/>
          <w:bCs/>
          <w:sz w:val="20"/>
          <w:szCs w:val="20"/>
        </w:rPr>
        <w:t xml:space="preserve"> and </w:t>
      </w:r>
      <w:r w:rsidR="00066CEE" w:rsidRPr="0051366A">
        <w:rPr>
          <w:rFonts w:ascii="Arial" w:eastAsia="Times New Roman" w:hAnsi="Arial" w:cs="Arial"/>
          <w:bCs/>
          <w:sz w:val="20"/>
          <w:szCs w:val="20"/>
        </w:rPr>
        <w:t>expedite</w:t>
      </w:r>
      <w:r w:rsidR="00143925">
        <w:rPr>
          <w:rFonts w:ascii="Arial" w:eastAsia="Times New Roman" w:hAnsi="Arial" w:cs="Arial"/>
          <w:bCs/>
          <w:sz w:val="20"/>
          <w:szCs w:val="20"/>
        </w:rPr>
        <w:t xml:space="preserve"> program analysis and incentive processing</w:t>
      </w:r>
      <w:r>
        <w:rPr>
          <w:rFonts w:ascii="Arial" w:eastAsia="Times New Roman" w:hAnsi="Arial" w:cs="Arial"/>
          <w:bCs/>
          <w:sz w:val="20"/>
          <w:szCs w:val="20"/>
        </w:rPr>
        <w:t xml:space="preserve">. </w:t>
      </w:r>
    </w:p>
    <w:p w14:paraId="6622DDE7" w14:textId="262BA316" w:rsidR="006C0590" w:rsidRPr="00E46D53" w:rsidRDefault="001D2093" w:rsidP="002E57F2">
      <w:pPr>
        <w:pStyle w:val="ListParagraph"/>
        <w:numPr>
          <w:ilvl w:val="0"/>
          <w:numId w:val="13"/>
        </w:numPr>
        <w:spacing w:line="300" w:lineRule="auto"/>
        <w:contextualSpacing w:val="0"/>
        <w:rPr>
          <w:rFonts w:ascii="Arial" w:hAnsi="Arial" w:cs="Arial"/>
          <w:sz w:val="20"/>
          <w:szCs w:val="20"/>
        </w:rPr>
      </w:pPr>
      <w:r w:rsidRPr="00B15317">
        <w:rPr>
          <w:rFonts w:ascii="Arial" w:eastAsia="Times New Roman" w:hAnsi="Arial" w:cs="Arial"/>
          <w:b/>
          <w:bCs/>
          <w:sz w:val="20"/>
          <w:szCs w:val="20"/>
        </w:rPr>
        <w:t>The program</w:t>
      </w:r>
      <w:r w:rsidR="00B15317">
        <w:rPr>
          <w:rFonts w:ascii="Arial" w:eastAsia="Times New Roman" w:hAnsi="Arial" w:cs="Arial"/>
          <w:b/>
          <w:bCs/>
          <w:sz w:val="20"/>
          <w:szCs w:val="20"/>
        </w:rPr>
        <w:t xml:space="preserve"> is refining analysis to u</w:t>
      </w:r>
      <w:r w:rsidRPr="00B15317">
        <w:rPr>
          <w:rFonts w:ascii="Arial" w:eastAsia="Times New Roman" w:hAnsi="Arial" w:cs="Arial"/>
          <w:b/>
          <w:bCs/>
          <w:sz w:val="20"/>
          <w:szCs w:val="20"/>
        </w:rPr>
        <w:t>pdate</w:t>
      </w:r>
      <w:r w:rsidR="00B15317">
        <w:rPr>
          <w:rFonts w:ascii="Arial" w:eastAsia="Times New Roman" w:hAnsi="Arial" w:cs="Arial"/>
          <w:b/>
          <w:bCs/>
          <w:sz w:val="20"/>
          <w:szCs w:val="20"/>
        </w:rPr>
        <w:t xml:space="preserve"> the</w:t>
      </w:r>
      <w:r w:rsidRPr="00B15317">
        <w:rPr>
          <w:rFonts w:ascii="Arial" w:eastAsia="Times New Roman" w:hAnsi="Arial" w:cs="Arial"/>
          <w:b/>
          <w:bCs/>
          <w:sz w:val="20"/>
          <w:szCs w:val="20"/>
        </w:rPr>
        <w:t xml:space="preserve"> EPS incentive</w:t>
      </w:r>
      <w:r w:rsidR="00B15317">
        <w:rPr>
          <w:rFonts w:ascii="Arial" w:eastAsia="Times New Roman" w:hAnsi="Arial" w:cs="Arial"/>
          <w:b/>
          <w:bCs/>
          <w:sz w:val="20"/>
          <w:szCs w:val="20"/>
        </w:rPr>
        <w:t xml:space="preserve"> </w:t>
      </w:r>
      <w:r w:rsidR="00B15317" w:rsidRPr="002F718C">
        <w:rPr>
          <w:rFonts w:ascii="Arial" w:eastAsia="Times New Roman" w:hAnsi="Arial" w:cs="Arial"/>
          <w:b/>
          <w:bCs/>
          <w:sz w:val="20"/>
          <w:szCs w:val="20"/>
        </w:rPr>
        <w:t>pathway</w:t>
      </w:r>
      <w:r w:rsidR="0059768A" w:rsidRPr="00B15317">
        <w:rPr>
          <w:rFonts w:ascii="Arial" w:eastAsia="Times New Roman" w:hAnsi="Arial" w:cs="Arial"/>
          <w:bCs/>
          <w:sz w:val="20"/>
          <w:szCs w:val="20"/>
        </w:rPr>
        <w:t xml:space="preserve"> for </w:t>
      </w:r>
      <w:r w:rsidR="00B15317">
        <w:rPr>
          <w:rFonts w:ascii="Arial" w:eastAsia="Times New Roman" w:hAnsi="Arial" w:cs="Arial"/>
          <w:bCs/>
          <w:sz w:val="20"/>
          <w:szCs w:val="20"/>
        </w:rPr>
        <w:t xml:space="preserve">the </w:t>
      </w:r>
      <w:r w:rsidR="0059768A" w:rsidRPr="00B15317">
        <w:rPr>
          <w:rFonts w:ascii="Arial" w:eastAsia="Times New Roman" w:hAnsi="Arial" w:cs="Arial"/>
          <w:bCs/>
          <w:sz w:val="20"/>
          <w:szCs w:val="20"/>
        </w:rPr>
        <w:t>2017</w:t>
      </w:r>
      <w:r w:rsidR="00B15317">
        <w:rPr>
          <w:rFonts w:ascii="Arial" w:eastAsia="Times New Roman" w:hAnsi="Arial" w:cs="Arial"/>
          <w:bCs/>
          <w:sz w:val="20"/>
          <w:szCs w:val="20"/>
        </w:rPr>
        <w:t xml:space="preserve"> program year, due to a </w:t>
      </w:r>
      <w:r>
        <w:rPr>
          <w:rFonts w:ascii="Arial" w:eastAsia="Times New Roman" w:hAnsi="Arial" w:cs="Arial"/>
          <w:bCs/>
          <w:sz w:val="20"/>
          <w:szCs w:val="20"/>
        </w:rPr>
        <w:t xml:space="preserve">new Washington State Energy Code </w:t>
      </w:r>
      <w:r w:rsidR="00066CEE" w:rsidRPr="0051366A">
        <w:rPr>
          <w:rFonts w:ascii="Arial" w:eastAsia="Times New Roman" w:hAnsi="Arial" w:cs="Arial"/>
          <w:bCs/>
          <w:sz w:val="20"/>
          <w:szCs w:val="20"/>
        </w:rPr>
        <w:t>e</w:t>
      </w:r>
      <w:r w:rsidR="00B15317" w:rsidRPr="0051366A">
        <w:rPr>
          <w:rFonts w:ascii="Arial" w:eastAsia="Times New Roman" w:hAnsi="Arial" w:cs="Arial"/>
          <w:bCs/>
          <w:sz w:val="20"/>
          <w:szCs w:val="20"/>
        </w:rPr>
        <w:t>ffect</w:t>
      </w:r>
      <w:r w:rsidR="00066CEE" w:rsidRPr="0051366A">
        <w:rPr>
          <w:rFonts w:ascii="Arial" w:eastAsia="Times New Roman" w:hAnsi="Arial" w:cs="Arial"/>
          <w:bCs/>
          <w:sz w:val="20"/>
          <w:szCs w:val="20"/>
        </w:rPr>
        <w:t>ive</w:t>
      </w:r>
      <w:r>
        <w:rPr>
          <w:rFonts w:ascii="Arial" w:eastAsia="Times New Roman" w:hAnsi="Arial" w:cs="Arial"/>
          <w:bCs/>
          <w:sz w:val="20"/>
          <w:szCs w:val="20"/>
        </w:rPr>
        <w:t xml:space="preserve"> July 1</w:t>
      </w:r>
      <w:r w:rsidR="00B15317">
        <w:rPr>
          <w:rFonts w:ascii="Arial" w:eastAsia="Times New Roman" w:hAnsi="Arial" w:cs="Arial"/>
          <w:bCs/>
          <w:sz w:val="20"/>
          <w:szCs w:val="20"/>
        </w:rPr>
        <w:t>, 2016</w:t>
      </w:r>
      <w:r>
        <w:rPr>
          <w:rFonts w:ascii="Arial" w:eastAsia="Times New Roman" w:hAnsi="Arial" w:cs="Arial"/>
          <w:bCs/>
          <w:sz w:val="20"/>
          <w:szCs w:val="20"/>
        </w:rPr>
        <w:t>.</w:t>
      </w:r>
      <w:r w:rsidR="00F6137B" w:rsidRPr="00F6137B">
        <w:rPr>
          <w:rFonts w:ascii="Arial" w:hAnsi="Arial" w:cs="Arial"/>
          <w:bCs/>
          <w:iCs/>
          <w:sz w:val="20"/>
          <w:szCs w:val="20"/>
        </w:rPr>
        <w:t xml:space="preserve"> </w:t>
      </w:r>
      <w:r w:rsidR="006C0590" w:rsidRPr="00FA3004">
        <w:rPr>
          <w:rFonts w:ascii="Arial" w:hAnsi="Arial" w:cs="Arial"/>
          <w:iCs/>
          <w:sz w:val="20"/>
          <w:szCs w:val="20"/>
        </w:rPr>
        <w:t xml:space="preserve"> </w:t>
      </w:r>
    </w:p>
    <w:p w14:paraId="3BBB933D" w14:textId="7F10E18D" w:rsidR="00552B4C" w:rsidRDefault="00552B4C">
      <w:pPr>
        <w:spacing w:after="200" w:line="276" w:lineRule="auto"/>
        <w:rPr>
          <w:rFonts w:cs="Arial"/>
          <w:sz w:val="20"/>
        </w:rPr>
      </w:pPr>
      <w:r>
        <w:rPr>
          <w:rFonts w:cs="Arial"/>
          <w:sz w:val="20"/>
        </w:rPr>
        <w:br w:type="page"/>
      </w:r>
    </w:p>
    <w:p w14:paraId="28A86164" w14:textId="77777777" w:rsidR="007E2B3F" w:rsidRPr="00E65CF7" w:rsidRDefault="007E2B3F" w:rsidP="007E2B3F">
      <w:pPr>
        <w:pStyle w:val="ListParagraph"/>
        <w:numPr>
          <w:ilvl w:val="0"/>
          <w:numId w:val="6"/>
        </w:numPr>
        <w:spacing w:line="300" w:lineRule="auto"/>
        <w:ind w:left="450"/>
        <w:outlineLvl w:val="0"/>
        <w:rPr>
          <w:rFonts w:ascii="Arial" w:hAnsi="Arial" w:cs="Arial"/>
          <w:b/>
        </w:rPr>
      </w:pPr>
      <w:r w:rsidRPr="00E65CF7">
        <w:rPr>
          <w:rFonts w:ascii="Arial" w:hAnsi="Arial" w:cs="Arial"/>
          <w:b/>
        </w:rPr>
        <w:lastRenderedPageBreak/>
        <w:t>Washington Utilities and Transportation Commission performance metrics</w:t>
      </w:r>
    </w:p>
    <w:p w14:paraId="2B6A07FC" w14:textId="36E929D3" w:rsidR="007E2B3F" w:rsidRDefault="007E2B3F" w:rsidP="002E57F2">
      <w:pPr>
        <w:tabs>
          <w:tab w:val="left" w:pos="90"/>
        </w:tabs>
        <w:spacing w:line="300" w:lineRule="auto"/>
        <w:ind w:left="90"/>
        <w:outlineLvl w:val="0"/>
        <w:rPr>
          <w:rFonts w:cs="Arial"/>
          <w:iCs/>
          <w:sz w:val="20"/>
        </w:rPr>
      </w:pPr>
      <w:r w:rsidRPr="00680880">
        <w:rPr>
          <w:rFonts w:cs="Arial"/>
          <w:iCs/>
          <w:sz w:val="20"/>
        </w:rPr>
        <w:t xml:space="preserve">The table below compares </w:t>
      </w:r>
      <w:r>
        <w:rPr>
          <w:rFonts w:cs="Arial"/>
          <w:iCs/>
          <w:sz w:val="20"/>
        </w:rPr>
        <w:t>quarterly</w:t>
      </w:r>
      <w:r w:rsidRPr="00680880">
        <w:rPr>
          <w:rFonts w:cs="Arial"/>
          <w:iCs/>
          <w:sz w:val="20"/>
        </w:rPr>
        <w:t xml:space="preserve"> results to 201</w:t>
      </w:r>
      <w:r>
        <w:rPr>
          <w:rFonts w:cs="Arial"/>
          <w:iCs/>
          <w:sz w:val="20"/>
        </w:rPr>
        <w:t>6</w:t>
      </w:r>
      <w:r w:rsidRPr="00680880">
        <w:rPr>
          <w:rFonts w:cs="Arial"/>
          <w:iCs/>
          <w:sz w:val="20"/>
        </w:rPr>
        <w:t xml:space="preserve"> goals, as established in NW Natura</w:t>
      </w:r>
      <w:r w:rsidR="008D2240">
        <w:rPr>
          <w:rFonts w:cs="Arial"/>
          <w:iCs/>
          <w:sz w:val="20"/>
        </w:rPr>
        <w:t xml:space="preserve">l’s Energy </w:t>
      </w:r>
      <w:r w:rsidRPr="00680880">
        <w:rPr>
          <w:rFonts w:cs="Arial"/>
          <w:iCs/>
          <w:sz w:val="20"/>
        </w:rPr>
        <w:t>Efficiency Plan for Washington (</w:t>
      </w:r>
      <w:r w:rsidR="00B448F0">
        <w:rPr>
          <w:rFonts w:cs="Arial"/>
          <w:iCs/>
          <w:sz w:val="20"/>
        </w:rPr>
        <w:t>filed</w:t>
      </w:r>
      <w:r w:rsidRPr="00680880">
        <w:rPr>
          <w:rFonts w:cs="Arial"/>
          <w:iCs/>
          <w:sz w:val="20"/>
        </w:rPr>
        <w:t xml:space="preserve"> December 201</w:t>
      </w:r>
      <w:r w:rsidR="009B61F1">
        <w:rPr>
          <w:rFonts w:cs="Arial"/>
          <w:iCs/>
          <w:sz w:val="20"/>
        </w:rPr>
        <w:t>5</w:t>
      </w:r>
      <w:r w:rsidRPr="00680880">
        <w:rPr>
          <w:rFonts w:cs="Arial"/>
          <w:iCs/>
          <w:sz w:val="20"/>
        </w:rPr>
        <w:t xml:space="preserve">). </w:t>
      </w:r>
    </w:p>
    <w:p w14:paraId="06F1DD60" w14:textId="77777777" w:rsidR="00582885" w:rsidRPr="00680880" w:rsidRDefault="00582885" w:rsidP="002E57F2">
      <w:pPr>
        <w:tabs>
          <w:tab w:val="left" w:pos="90"/>
        </w:tabs>
        <w:spacing w:line="300" w:lineRule="auto"/>
        <w:ind w:left="90"/>
        <w:outlineLvl w:val="0"/>
        <w:rPr>
          <w:rFonts w:cs="Arial"/>
          <w:iCs/>
          <w:sz w:val="20"/>
        </w:rPr>
      </w:pPr>
    </w:p>
    <w:p w14:paraId="1DC10ACB" w14:textId="13248DA8" w:rsidR="007E2B3F" w:rsidRPr="00680880" w:rsidRDefault="00373C72" w:rsidP="00E46D53">
      <w:pPr>
        <w:spacing w:line="300" w:lineRule="auto"/>
        <w:ind w:left="360" w:hanging="360"/>
        <w:outlineLvl w:val="0"/>
        <w:rPr>
          <w:rFonts w:cs="Arial"/>
          <w:b/>
          <w:iCs/>
          <w:sz w:val="20"/>
        </w:rPr>
      </w:pPr>
      <w:r w:rsidRPr="00973152">
        <w:rPr>
          <w:noProof/>
        </w:rPr>
        <w:drawing>
          <wp:inline distT="0" distB="0" distL="0" distR="0" wp14:anchorId="066495F7" wp14:editId="14039383">
            <wp:extent cx="5943600" cy="18484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48488"/>
                    </a:xfrm>
                    <a:prstGeom prst="rect">
                      <a:avLst/>
                    </a:prstGeom>
                    <a:noFill/>
                    <a:ln>
                      <a:noFill/>
                    </a:ln>
                  </pic:spPr>
                </pic:pic>
              </a:graphicData>
            </a:graphic>
          </wp:inline>
        </w:drawing>
      </w:r>
    </w:p>
    <w:p w14:paraId="11C7C2B9" w14:textId="7BF3C2FD" w:rsidR="007E2B3F" w:rsidRPr="00FD5BEA" w:rsidRDefault="00CC2069" w:rsidP="00FD5BEA">
      <w:pPr>
        <w:pStyle w:val="ListParagraph"/>
        <w:numPr>
          <w:ilvl w:val="0"/>
          <w:numId w:val="34"/>
        </w:numPr>
        <w:spacing w:line="300" w:lineRule="auto"/>
        <w:outlineLvl w:val="0"/>
        <w:rPr>
          <w:rFonts w:cs="Arial"/>
          <w:iCs/>
          <w:sz w:val="20"/>
          <w:szCs w:val="22"/>
        </w:rPr>
      </w:pPr>
      <w:r w:rsidRPr="00FD5BEA">
        <w:rPr>
          <w:rFonts w:ascii="Arial" w:hAnsi="Arial" w:cs="Arial"/>
          <w:b/>
          <w:sz w:val="20"/>
          <w:szCs w:val="22"/>
        </w:rPr>
        <w:t>Dollars spent per therm saved</w:t>
      </w:r>
      <w:r w:rsidRPr="00E37B1D">
        <w:rPr>
          <w:rFonts w:ascii="Arial" w:hAnsi="Arial" w:cs="Arial"/>
          <w:sz w:val="20"/>
          <w:szCs w:val="22"/>
        </w:rPr>
        <w:t xml:space="preserve"> </w:t>
      </w:r>
      <w:r w:rsidRPr="00FD5BEA">
        <w:rPr>
          <w:rFonts w:ascii="Arial" w:hAnsi="Arial" w:cs="Arial"/>
          <w:b/>
          <w:sz w:val="20"/>
          <w:szCs w:val="22"/>
        </w:rPr>
        <w:t>are typically higher in the first half of the year</w:t>
      </w:r>
      <w:r w:rsidRPr="00E37B1D">
        <w:rPr>
          <w:rFonts w:ascii="Arial" w:hAnsi="Arial" w:cs="Arial"/>
          <w:sz w:val="20"/>
          <w:szCs w:val="22"/>
        </w:rPr>
        <w:t xml:space="preserve"> as Energy Trust invests in studies and outreach that result in completed projects by year-end.</w:t>
      </w:r>
      <w:r w:rsidRPr="00E37B1D">
        <w:rPr>
          <w:rFonts w:ascii="Arial" w:hAnsi="Arial" w:cs="Arial"/>
          <w:iCs/>
          <w:sz w:val="20"/>
          <w:szCs w:val="22"/>
        </w:rPr>
        <w:t xml:space="preserve"> </w:t>
      </w:r>
    </w:p>
    <w:p w14:paraId="4C5325DA" w14:textId="7A4DE8E4" w:rsidR="0001404D" w:rsidRPr="00FD5BEA" w:rsidRDefault="002A1161" w:rsidP="00FD5BEA">
      <w:pPr>
        <w:pStyle w:val="ListParagraph"/>
        <w:numPr>
          <w:ilvl w:val="0"/>
          <w:numId w:val="34"/>
        </w:numPr>
        <w:spacing w:line="300" w:lineRule="auto"/>
        <w:outlineLvl w:val="0"/>
        <w:rPr>
          <w:rFonts w:cs="Arial"/>
          <w:iCs/>
          <w:sz w:val="20"/>
          <w:szCs w:val="22"/>
        </w:rPr>
      </w:pPr>
      <w:r w:rsidRPr="00FD5BEA">
        <w:rPr>
          <w:rFonts w:ascii="Arial" w:hAnsi="Arial" w:cs="Arial"/>
          <w:b/>
          <w:iCs/>
          <w:sz w:val="20"/>
          <w:szCs w:val="22"/>
        </w:rPr>
        <w:t>This t</w:t>
      </w:r>
      <w:r w:rsidR="00AD2009" w:rsidRPr="00FD5BEA">
        <w:rPr>
          <w:rFonts w:ascii="Arial" w:hAnsi="Arial" w:cs="Arial"/>
          <w:b/>
          <w:iCs/>
          <w:sz w:val="20"/>
          <w:szCs w:val="22"/>
        </w:rPr>
        <w:t>able does not include therm goal or budget</w:t>
      </w:r>
      <w:r w:rsidR="00AD2009">
        <w:rPr>
          <w:rFonts w:ascii="Arial" w:hAnsi="Arial" w:cs="Arial"/>
          <w:iCs/>
          <w:sz w:val="20"/>
          <w:szCs w:val="22"/>
        </w:rPr>
        <w:t xml:space="preserve"> associated with</w:t>
      </w:r>
      <w:r>
        <w:rPr>
          <w:rFonts w:ascii="Arial" w:hAnsi="Arial" w:cs="Arial"/>
          <w:iCs/>
          <w:sz w:val="20"/>
          <w:szCs w:val="22"/>
        </w:rPr>
        <w:t xml:space="preserve"> NW Natural’s Washington Low-Income Energy Efficiency program</w:t>
      </w:r>
      <w:r w:rsidR="00AD2009">
        <w:rPr>
          <w:rFonts w:ascii="Arial" w:hAnsi="Arial" w:cs="Arial"/>
          <w:iCs/>
          <w:sz w:val="20"/>
          <w:szCs w:val="22"/>
        </w:rPr>
        <w:t xml:space="preserve"> delivery</w:t>
      </w:r>
      <w:r>
        <w:rPr>
          <w:rFonts w:ascii="Arial" w:hAnsi="Arial" w:cs="Arial"/>
          <w:iCs/>
          <w:sz w:val="20"/>
          <w:szCs w:val="22"/>
        </w:rPr>
        <w:t>.</w:t>
      </w:r>
    </w:p>
    <w:p w14:paraId="6C128EC2" w14:textId="6E4C7073" w:rsidR="0001404D" w:rsidRPr="00FD5BEA" w:rsidRDefault="0001404D" w:rsidP="00FD5BEA">
      <w:pPr>
        <w:pStyle w:val="ListParagraph"/>
        <w:numPr>
          <w:ilvl w:val="0"/>
          <w:numId w:val="34"/>
        </w:numPr>
        <w:spacing w:line="300" w:lineRule="auto"/>
        <w:outlineLvl w:val="0"/>
        <w:rPr>
          <w:rFonts w:cs="Arial"/>
          <w:iCs/>
          <w:sz w:val="20"/>
          <w:szCs w:val="22"/>
        </w:rPr>
      </w:pPr>
      <w:r w:rsidRPr="00FD5BEA">
        <w:rPr>
          <w:rFonts w:ascii="Arial" w:hAnsi="Arial" w:cs="Arial"/>
          <w:b/>
          <w:iCs/>
          <w:sz w:val="20"/>
          <w:szCs w:val="22"/>
        </w:rPr>
        <w:t>Energy Trust allocated budget to NEEA for gas market transformation activities</w:t>
      </w:r>
      <w:r w:rsidR="00821D03">
        <w:rPr>
          <w:rFonts w:ascii="Arial" w:hAnsi="Arial" w:cs="Arial"/>
          <w:b/>
          <w:iCs/>
          <w:sz w:val="20"/>
          <w:szCs w:val="22"/>
        </w:rPr>
        <w:t>,</w:t>
      </w:r>
      <w:r w:rsidR="00821D03">
        <w:rPr>
          <w:rFonts w:ascii="Arial" w:hAnsi="Arial" w:cs="Arial"/>
          <w:iCs/>
          <w:sz w:val="20"/>
          <w:szCs w:val="22"/>
        </w:rPr>
        <w:t xml:space="preserve"> which is not included in this table.</w:t>
      </w:r>
      <w:r w:rsidRPr="00FD5BEA">
        <w:rPr>
          <w:rFonts w:ascii="Arial" w:hAnsi="Arial" w:cs="Arial"/>
          <w:iCs/>
          <w:sz w:val="20"/>
          <w:szCs w:val="22"/>
        </w:rPr>
        <w:t xml:space="preserve"> </w:t>
      </w:r>
    </w:p>
    <w:p w14:paraId="509FA2D6" w14:textId="77777777" w:rsidR="00251A03" w:rsidRPr="00680880" w:rsidRDefault="00251A03" w:rsidP="007E2B3F">
      <w:pPr>
        <w:spacing w:line="300" w:lineRule="auto"/>
        <w:ind w:left="360"/>
        <w:outlineLvl w:val="0"/>
        <w:rPr>
          <w:rFonts w:cs="Arial"/>
          <w:b/>
          <w:iCs/>
          <w:sz w:val="20"/>
        </w:rPr>
      </w:pPr>
    </w:p>
    <w:p w14:paraId="3785F6CB" w14:textId="2A691A97" w:rsidR="007E2B3F" w:rsidRPr="0051366A" w:rsidRDefault="007E2B3F" w:rsidP="005B5BA9">
      <w:pPr>
        <w:spacing w:line="300" w:lineRule="auto"/>
        <w:outlineLvl w:val="0"/>
        <w:rPr>
          <w:rFonts w:cs="Arial"/>
          <w:sz w:val="20"/>
        </w:rPr>
      </w:pPr>
      <w:r w:rsidRPr="007E3532">
        <w:rPr>
          <w:rFonts w:cs="Arial"/>
          <w:b/>
          <w:iCs/>
          <w:sz w:val="20"/>
        </w:rPr>
        <w:t>2</w:t>
      </w:r>
      <w:r w:rsidR="002E24EC" w:rsidRPr="0051366A">
        <w:rPr>
          <w:rFonts w:cs="Arial"/>
          <w:b/>
          <w:sz w:val="20"/>
        </w:rPr>
        <w:t>015</w:t>
      </w:r>
      <w:r w:rsidRPr="0051366A">
        <w:rPr>
          <w:rFonts w:cs="Arial"/>
          <w:b/>
          <w:sz w:val="20"/>
        </w:rPr>
        <w:t xml:space="preserve"> Utility Cost and Total Resource Cost benefit</w:t>
      </w:r>
      <w:r w:rsidR="00473828">
        <w:rPr>
          <w:rFonts w:cs="Arial"/>
          <w:b/>
          <w:sz w:val="20"/>
        </w:rPr>
        <w:t>/</w:t>
      </w:r>
      <w:r w:rsidRPr="0051366A">
        <w:rPr>
          <w:rFonts w:cs="Arial"/>
          <w:b/>
          <w:sz w:val="20"/>
        </w:rPr>
        <w:t>cost ratios by program</w:t>
      </w:r>
      <w:r w:rsidRPr="0051366A">
        <w:rPr>
          <w:rFonts w:cs="Arial"/>
          <w:sz w:val="20"/>
        </w:rPr>
        <w:t xml:space="preserve"> </w:t>
      </w:r>
    </w:p>
    <w:p w14:paraId="4E8E7F89" w14:textId="5F7277B3" w:rsidR="007E2B3F" w:rsidRPr="0051366A" w:rsidRDefault="00723FE9" w:rsidP="00FD5BEA">
      <w:pPr>
        <w:spacing w:line="300" w:lineRule="auto"/>
        <w:outlineLvl w:val="0"/>
        <w:rPr>
          <w:rFonts w:cs="Arial"/>
          <w:sz w:val="20"/>
        </w:rPr>
      </w:pPr>
      <w:r w:rsidRPr="00723FE9">
        <w:rPr>
          <w:noProof/>
        </w:rPr>
        <w:drawing>
          <wp:inline distT="0" distB="0" distL="0" distR="0" wp14:anchorId="6A06A91A" wp14:editId="4B4FB77B">
            <wp:extent cx="59150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1171575"/>
                    </a:xfrm>
                    <a:prstGeom prst="rect">
                      <a:avLst/>
                    </a:prstGeom>
                    <a:noFill/>
                    <a:ln>
                      <a:noFill/>
                    </a:ln>
                  </pic:spPr>
                </pic:pic>
              </a:graphicData>
            </a:graphic>
          </wp:inline>
        </w:drawing>
      </w:r>
    </w:p>
    <w:p w14:paraId="02D6C604" w14:textId="77777777" w:rsidR="00A60C7A" w:rsidRDefault="00A60C7A" w:rsidP="005B5BA9">
      <w:pPr>
        <w:tabs>
          <w:tab w:val="center" w:pos="4680"/>
        </w:tabs>
        <w:spacing w:line="300" w:lineRule="auto"/>
        <w:outlineLvl w:val="0"/>
        <w:rPr>
          <w:rFonts w:cs="Arial"/>
          <w:b/>
          <w:sz w:val="20"/>
        </w:rPr>
      </w:pPr>
    </w:p>
    <w:p w14:paraId="4BBF9B03" w14:textId="6C440824" w:rsidR="007E2B3F" w:rsidRPr="0051366A" w:rsidRDefault="007E2B3F" w:rsidP="005B5BA9">
      <w:pPr>
        <w:tabs>
          <w:tab w:val="center" w:pos="4680"/>
        </w:tabs>
        <w:spacing w:line="300" w:lineRule="auto"/>
        <w:outlineLvl w:val="0"/>
        <w:rPr>
          <w:rFonts w:cs="Arial"/>
          <w:b/>
          <w:sz w:val="20"/>
        </w:rPr>
      </w:pPr>
      <w:r w:rsidRPr="0051366A">
        <w:rPr>
          <w:rFonts w:cs="Arial"/>
          <w:b/>
          <w:sz w:val="20"/>
        </w:rPr>
        <w:t>201</w:t>
      </w:r>
      <w:r w:rsidR="002E24EC" w:rsidRPr="0051366A">
        <w:rPr>
          <w:rFonts w:cs="Arial"/>
          <w:b/>
          <w:sz w:val="20"/>
        </w:rPr>
        <w:t>5</w:t>
      </w:r>
      <w:r w:rsidRPr="0051366A">
        <w:rPr>
          <w:rFonts w:cs="Arial"/>
          <w:b/>
          <w:sz w:val="20"/>
        </w:rPr>
        <w:t xml:space="preserve"> Total Utility Cost and Total Resource Cost benefit</w:t>
      </w:r>
      <w:r w:rsidR="00A60C7A">
        <w:rPr>
          <w:rFonts w:cs="Arial"/>
          <w:b/>
          <w:sz w:val="20"/>
        </w:rPr>
        <w:t>/</w:t>
      </w:r>
      <w:r w:rsidRPr="0051366A">
        <w:rPr>
          <w:rFonts w:cs="Arial"/>
          <w:b/>
          <w:sz w:val="20"/>
        </w:rPr>
        <w:t>cost ratios</w:t>
      </w:r>
    </w:p>
    <w:p w14:paraId="666F1836" w14:textId="4566EA44" w:rsidR="006C0590" w:rsidRDefault="00723FE9" w:rsidP="002E57F2">
      <w:pPr>
        <w:spacing w:line="300" w:lineRule="auto"/>
        <w:rPr>
          <w:rFonts w:cs="Arial"/>
          <w:b/>
          <w:sz w:val="28"/>
          <w:szCs w:val="28"/>
        </w:rPr>
      </w:pPr>
      <w:r w:rsidRPr="00723FE9">
        <w:rPr>
          <w:noProof/>
        </w:rPr>
        <w:drawing>
          <wp:inline distT="0" distB="0" distL="0" distR="0" wp14:anchorId="2CDB4C5A" wp14:editId="1FCB9233">
            <wp:extent cx="591502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990600"/>
                    </a:xfrm>
                    <a:prstGeom prst="rect">
                      <a:avLst/>
                    </a:prstGeom>
                    <a:noFill/>
                    <a:ln>
                      <a:noFill/>
                    </a:ln>
                  </pic:spPr>
                </pic:pic>
              </a:graphicData>
            </a:graphic>
          </wp:inline>
        </w:drawing>
      </w:r>
      <w:r w:rsidR="006C0590">
        <w:rPr>
          <w:rFonts w:cs="Arial"/>
          <w:b/>
          <w:sz w:val="28"/>
          <w:szCs w:val="28"/>
        </w:rPr>
        <w:br w:type="page"/>
      </w:r>
    </w:p>
    <w:p w14:paraId="4F00C2A2" w14:textId="2E2AB3B0" w:rsidR="006C0590" w:rsidRPr="00973152" w:rsidRDefault="0034220A" w:rsidP="00027DEC">
      <w:pPr>
        <w:pStyle w:val="ListParagraph"/>
        <w:numPr>
          <w:ilvl w:val="0"/>
          <w:numId w:val="21"/>
        </w:numPr>
        <w:spacing w:line="300" w:lineRule="auto"/>
        <w:ind w:hanging="180"/>
        <w:rPr>
          <w:rFonts w:ascii="Arial" w:hAnsi="Arial" w:cs="Arial"/>
          <w:b/>
        </w:rPr>
      </w:pPr>
      <w:r w:rsidRPr="00973152">
        <w:rPr>
          <w:rFonts w:ascii="Arial" w:hAnsi="Arial" w:cs="Arial"/>
          <w:b/>
        </w:rPr>
        <w:lastRenderedPageBreak/>
        <w:t>QUARTERLY</w:t>
      </w:r>
      <w:r w:rsidR="006C0590" w:rsidRPr="00973152">
        <w:rPr>
          <w:rFonts w:ascii="Arial" w:hAnsi="Arial" w:cs="Arial"/>
          <w:b/>
        </w:rPr>
        <w:t xml:space="preserve"> RESULTS</w:t>
      </w:r>
    </w:p>
    <w:p w14:paraId="0C36D233" w14:textId="77777777" w:rsidR="00A85741" w:rsidRPr="00A76EED" w:rsidRDefault="00A85741" w:rsidP="00A85741">
      <w:pPr>
        <w:pStyle w:val="ListParagraph"/>
        <w:spacing w:line="300" w:lineRule="auto"/>
        <w:ind w:left="360"/>
        <w:rPr>
          <w:rFonts w:ascii="Arial" w:hAnsi="Arial" w:cs="Arial"/>
          <w:b/>
        </w:rPr>
      </w:pPr>
    </w:p>
    <w:p w14:paraId="4E2AF600" w14:textId="03B7C38E" w:rsidR="006C0590" w:rsidRPr="00973152" w:rsidRDefault="006C0590" w:rsidP="00027DEC">
      <w:pPr>
        <w:pStyle w:val="ListParagraph"/>
        <w:numPr>
          <w:ilvl w:val="0"/>
          <w:numId w:val="7"/>
        </w:numPr>
        <w:spacing w:line="300" w:lineRule="auto"/>
        <w:rPr>
          <w:rFonts w:ascii="Arial" w:hAnsi="Arial" w:cs="Arial"/>
          <w:b/>
          <w:lang w:val="fr-FR"/>
        </w:rPr>
      </w:pPr>
      <w:r w:rsidRPr="00973152">
        <w:rPr>
          <w:rFonts w:ascii="Arial" w:hAnsi="Arial" w:cs="Arial"/>
          <w:b/>
          <w:lang w:val="fr-FR"/>
        </w:rPr>
        <w:t xml:space="preserve"> </w:t>
      </w:r>
      <w:r w:rsidR="00A85741" w:rsidRPr="00973152">
        <w:rPr>
          <w:rFonts w:ascii="Arial" w:hAnsi="Arial" w:cs="Arial"/>
          <w:b/>
          <w:lang w:val="fr-FR"/>
        </w:rPr>
        <w:t>Expenditures</w:t>
      </w:r>
      <w:r w:rsidR="00526C8B" w:rsidRPr="00973152">
        <w:rPr>
          <w:rFonts w:ascii="Arial" w:hAnsi="Arial" w:cs="Arial"/>
          <w:b/>
          <w:sz w:val="32"/>
          <w:lang w:val="fr-FR"/>
        </w:rPr>
        <w:t>¹</w:t>
      </w:r>
    </w:p>
    <w:p w14:paraId="612C3717" w14:textId="7E7D158B" w:rsidR="006C0590" w:rsidRPr="00C35686" w:rsidRDefault="00C662A9" w:rsidP="005C3FEA">
      <w:pPr>
        <w:spacing w:line="300" w:lineRule="auto"/>
        <w:rPr>
          <w:rFonts w:cs="Arial"/>
          <w:b/>
          <w:lang w:val="fr-FR"/>
        </w:rPr>
      </w:pPr>
      <w:r w:rsidRPr="00C662A9">
        <w:rPr>
          <w:noProof/>
        </w:rPr>
        <w:drawing>
          <wp:inline distT="0" distB="0" distL="0" distR="0" wp14:anchorId="3344E878" wp14:editId="33F19C5A">
            <wp:extent cx="5943600" cy="205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14:paraId="484AB6CC" w14:textId="41ACCDEF" w:rsidR="005F0F5C" w:rsidRPr="00DB7936" w:rsidRDefault="00207FA4" w:rsidP="00027DEC">
      <w:pPr>
        <w:spacing w:line="300" w:lineRule="auto"/>
        <w:rPr>
          <w:rFonts w:cs="Arial"/>
          <w:sz w:val="16"/>
          <w:szCs w:val="18"/>
          <w:lang w:val="fr-FR"/>
        </w:rPr>
      </w:pPr>
      <w:r w:rsidRPr="00973152">
        <w:rPr>
          <w:rFonts w:cs="Arial"/>
          <w:sz w:val="16"/>
          <w:szCs w:val="18"/>
          <w:lang w:val="fr-FR"/>
        </w:rPr>
        <w:t>Energy Trust allocated budget to NEEA for gas m</w:t>
      </w:r>
      <w:r w:rsidR="004834B3">
        <w:rPr>
          <w:rFonts w:cs="Arial"/>
          <w:sz w:val="16"/>
          <w:szCs w:val="18"/>
          <w:lang w:val="fr-FR"/>
        </w:rPr>
        <w:t>arket transformation activities in 2016.</w:t>
      </w:r>
      <w:r w:rsidRPr="00973152">
        <w:rPr>
          <w:rFonts w:cs="Arial"/>
          <w:sz w:val="16"/>
          <w:szCs w:val="18"/>
          <w:lang w:val="fr-FR"/>
        </w:rPr>
        <w:t xml:space="preserve">  </w:t>
      </w:r>
    </w:p>
    <w:p w14:paraId="5407B7EA" w14:textId="30E8546F" w:rsidR="00B2132C" w:rsidRPr="00952CDD" w:rsidRDefault="00B2132C" w:rsidP="00B2132C">
      <w:pPr>
        <w:spacing w:line="300" w:lineRule="auto"/>
        <w:rPr>
          <w:rFonts w:cs="Arial"/>
          <w:b/>
          <w:lang w:val="fr-FR"/>
        </w:rPr>
      </w:pPr>
    </w:p>
    <w:p w14:paraId="784A4611" w14:textId="77A4AC25" w:rsidR="006C0590" w:rsidRPr="00973152" w:rsidRDefault="005F0F5C" w:rsidP="00027DEC">
      <w:pPr>
        <w:pStyle w:val="ListParagraph"/>
        <w:numPr>
          <w:ilvl w:val="0"/>
          <w:numId w:val="7"/>
        </w:numPr>
        <w:spacing w:line="300" w:lineRule="auto"/>
        <w:rPr>
          <w:rFonts w:ascii="Arial" w:hAnsi="Arial" w:cs="Arial"/>
        </w:rPr>
      </w:pPr>
      <w:r w:rsidRPr="00973152">
        <w:rPr>
          <w:rFonts w:ascii="Arial" w:hAnsi="Arial" w:cs="Arial"/>
          <w:b/>
          <w:lang w:val="fr-FR"/>
        </w:rPr>
        <w:t xml:space="preserve">Incentives paid </w:t>
      </w:r>
    </w:p>
    <w:p w14:paraId="6FE6C793" w14:textId="50B6ADF8" w:rsidR="005F0F5C" w:rsidRPr="00C35686" w:rsidRDefault="004A0289" w:rsidP="005C3FEA">
      <w:pPr>
        <w:tabs>
          <w:tab w:val="left" w:pos="900"/>
        </w:tabs>
        <w:spacing w:line="300" w:lineRule="auto"/>
        <w:rPr>
          <w:rFonts w:cs="Arial"/>
          <w:b/>
          <w:sz w:val="20"/>
          <w:lang w:val="fr-FR"/>
        </w:rPr>
      </w:pPr>
      <w:r w:rsidRPr="004A0289">
        <w:rPr>
          <w:noProof/>
        </w:rPr>
        <w:drawing>
          <wp:inline distT="0" distB="0" distL="0" distR="0" wp14:anchorId="6BD61F57" wp14:editId="37DFE3C4">
            <wp:extent cx="4057650" cy="1438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1438275"/>
                    </a:xfrm>
                    <a:prstGeom prst="rect">
                      <a:avLst/>
                    </a:prstGeom>
                    <a:noFill/>
                    <a:ln>
                      <a:noFill/>
                    </a:ln>
                  </pic:spPr>
                </pic:pic>
              </a:graphicData>
            </a:graphic>
          </wp:inline>
        </w:drawing>
      </w:r>
    </w:p>
    <w:p w14:paraId="72DF08E9" w14:textId="1969E1F6" w:rsidR="005F0F5C" w:rsidRPr="00241118" w:rsidRDefault="005F0F5C" w:rsidP="00241118">
      <w:pPr>
        <w:tabs>
          <w:tab w:val="left" w:pos="900"/>
        </w:tabs>
        <w:spacing w:line="300" w:lineRule="auto"/>
        <w:ind w:left="720" w:hanging="720"/>
        <w:rPr>
          <w:rFonts w:cs="Arial"/>
          <w:b/>
          <w:sz w:val="20"/>
          <w:lang w:val="fr-FR"/>
        </w:rPr>
      </w:pPr>
    </w:p>
    <w:p w14:paraId="3DD2AB8F" w14:textId="2F1409A0" w:rsidR="005F0F5C" w:rsidRPr="00FC4436" w:rsidRDefault="005F0F5C" w:rsidP="00027DEC">
      <w:pPr>
        <w:pStyle w:val="ListParagraph"/>
        <w:numPr>
          <w:ilvl w:val="0"/>
          <w:numId w:val="7"/>
        </w:numPr>
        <w:spacing w:line="300" w:lineRule="auto"/>
        <w:rPr>
          <w:rFonts w:ascii="Arial" w:hAnsi="Arial" w:cs="Arial"/>
          <w:b/>
        </w:rPr>
      </w:pPr>
      <w:r w:rsidRPr="00FC4436">
        <w:rPr>
          <w:rFonts w:ascii="Arial" w:hAnsi="Arial" w:cs="Arial"/>
          <w:b/>
        </w:rPr>
        <w:t xml:space="preserve">Savings </w:t>
      </w:r>
    </w:p>
    <w:p w14:paraId="5C7B2ED8" w14:textId="51FF049C" w:rsidR="005F0F5C" w:rsidRPr="00C35686" w:rsidRDefault="00B75E27" w:rsidP="00582885">
      <w:pPr>
        <w:spacing w:line="300" w:lineRule="auto"/>
        <w:rPr>
          <w:rFonts w:cs="Arial"/>
          <w:sz w:val="18"/>
        </w:rPr>
      </w:pPr>
      <w:r w:rsidRPr="00B75E27">
        <w:rPr>
          <w:noProof/>
        </w:rPr>
        <w:drawing>
          <wp:inline distT="0" distB="0" distL="0" distR="0" wp14:anchorId="759AE647" wp14:editId="414F9DDA">
            <wp:extent cx="5924550" cy="1647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1647825"/>
                    </a:xfrm>
                    <a:prstGeom prst="rect">
                      <a:avLst/>
                    </a:prstGeom>
                    <a:noFill/>
                    <a:ln>
                      <a:noFill/>
                    </a:ln>
                  </pic:spPr>
                </pic:pic>
              </a:graphicData>
            </a:graphic>
          </wp:inline>
        </w:drawing>
      </w:r>
    </w:p>
    <w:p w14:paraId="1C3F7DA1" w14:textId="590052B4" w:rsidR="005E5C0D" w:rsidRDefault="005E5C0D" w:rsidP="00373DEC">
      <w:pPr>
        <w:spacing w:line="300" w:lineRule="auto"/>
        <w:rPr>
          <w:rFonts w:cs="Arial"/>
          <w:sz w:val="16"/>
          <w:lang w:val="fr-FR"/>
        </w:rPr>
      </w:pPr>
      <w:r w:rsidRPr="0051366A">
        <w:rPr>
          <w:rFonts w:cs="Arial"/>
          <w:sz w:val="16"/>
          <w:lang w:val="fr-FR"/>
        </w:rPr>
        <w:t xml:space="preserve">Energy </w:t>
      </w:r>
      <w:r w:rsidR="00473828">
        <w:rPr>
          <w:rFonts w:cs="Arial"/>
          <w:sz w:val="16"/>
          <w:lang w:val="fr-FR"/>
        </w:rPr>
        <w:t>T</w:t>
      </w:r>
      <w:r w:rsidRPr="0051366A">
        <w:rPr>
          <w:rFonts w:cs="Arial"/>
          <w:sz w:val="16"/>
          <w:lang w:val="fr-FR"/>
        </w:rPr>
        <w:t>rust allocated budget to NEEA for gas market transformation activities</w:t>
      </w:r>
      <w:r w:rsidR="004834B3">
        <w:rPr>
          <w:rFonts w:cs="Arial"/>
          <w:sz w:val="16"/>
          <w:lang w:val="fr-FR"/>
        </w:rPr>
        <w:t xml:space="preserve"> in 2016.</w:t>
      </w:r>
      <w:r w:rsidRPr="0051366A">
        <w:rPr>
          <w:rFonts w:cs="Arial"/>
          <w:sz w:val="16"/>
          <w:lang w:val="fr-FR"/>
        </w:rPr>
        <w:t xml:space="preserve">. While there were no associated savings </w:t>
      </w:r>
      <w:r w:rsidR="004834B3">
        <w:rPr>
          <w:rFonts w:cs="Arial"/>
          <w:sz w:val="16"/>
          <w:lang w:val="fr-FR"/>
        </w:rPr>
        <w:t>through</w:t>
      </w:r>
      <w:r w:rsidRPr="0051366A">
        <w:rPr>
          <w:rFonts w:cs="Arial"/>
          <w:sz w:val="16"/>
          <w:lang w:val="fr-FR"/>
        </w:rPr>
        <w:t xml:space="preserve"> </w:t>
      </w:r>
      <w:r w:rsidR="00BD013E" w:rsidRPr="0051366A">
        <w:rPr>
          <w:rFonts w:cs="Arial"/>
          <w:sz w:val="16"/>
          <w:lang w:val="fr-FR"/>
        </w:rPr>
        <w:t>Q2</w:t>
      </w:r>
      <w:r w:rsidRPr="0051366A">
        <w:rPr>
          <w:rFonts w:cs="Arial"/>
          <w:sz w:val="16"/>
          <w:lang w:val="fr-FR"/>
        </w:rPr>
        <w:t>, savings are expected in subsequent quarters.</w:t>
      </w:r>
      <w:r w:rsidRPr="005E5C0D">
        <w:rPr>
          <w:rFonts w:cs="Arial"/>
          <w:sz w:val="16"/>
          <w:lang w:val="fr-FR"/>
        </w:rPr>
        <w:t xml:space="preserve"> </w:t>
      </w:r>
    </w:p>
    <w:p w14:paraId="6586E6F3" w14:textId="77777777" w:rsidR="005E5C0D" w:rsidRPr="005E5C0D" w:rsidRDefault="005E5C0D" w:rsidP="00373DEC">
      <w:pPr>
        <w:spacing w:line="300" w:lineRule="auto"/>
        <w:rPr>
          <w:rFonts w:cs="Arial"/>
          <w:sz w:val="16"/>
          <w:lang w:val="fr-FR"/>
        </w:rPr>
      </w:pPr>
    </w:p>
    <w:p w14:paraId="6CF6EA95" w14:textId="7920B7B0" w:rsidR="005F0F5C" w:rsidRDefault="005F0F5C" w:rsidP="00027DEC">
      <w:pPr>
        <w:tabs>
          <w:tab w:val="left" w:pos="720"/>
        </w:tabs>
        <w:spacing w:line="300" w:lineRule="auto"/>
        <w:ind w:left="720" w:hanging="720"/>
        <w:rPr>
          <w:rFonts w:cs="Arial"/>
          <w:b/>
          <w:sz w:val="21"/>
          <w:szCs w:val="21"/>
          <w:lang w:val="fr-FR"/>
        </w:rPr>
      </w:pPr>
    </w:p>
    <w:p w14:paraId="21651DAD" w14:textId="29A0D53F" w:rsidR="00946E5C" w:rsidRDefault="00946E5C" w:rsidP="00027DEC">
      <w:pPr>
        <w:tabs>
          <w:tab w:val="left" w:pos="720"/>
        </w:tabs>
        <w:spacing w:line="300" w:lineRule="auto"/>
        <w:ind w:left="720" w:hanging="720"/>
        <w:rPr>
          <w:rFonts w:cs="Arial"/>
          <w:b/>
          <w:sz w:val="21"/>
          <w:szCs w:val="21"/>
          <w:lang w:val="fr-FR"/>
        </w:rPr>
      </w:pPr>
    </w:p>
    <w:p w14:paraId="5A62A09E" w14:textId="6F57A349" w:rsidR="00373DEC" w:rsidRDefault="00373DEC" w:rsidP="00241118">
      <w:pPr>
        <w:tabs>
          <w:tab w:val="left" w:pos="720"/>
        </w:tabs>
        <w:spacing w:line="300" w:lineRule="auto"/>
        <w:rPr>
          <w:rFonts w:cs="Arial"/>
          <w:b/>
          <w:sz w:val="21"/>
          <w:szCs w:val="21"/>
          <w:lang w:val="fr-FR"/>
        </w:rPr>
      </w:pPr>
    </w:p>
    <w:p w14:paraId="7C233FE8" w14:textId="77777777" w:rsidR="00241118" w:rsidRDefault="00241118" w:rsidP="00241118">
      <w:pPr>
        <w:tabs>
          <w:tab w:val="left" w:pos="720"/>
        </w:tabs>
        <w:spacing w:line="300" w:lineRule="auto"/>
        <w:rPr>
          <w:rFonts w:cs="Arial"/>
          <w:b/>
          <w:sz w:val="21"/>
          <w:szCs w:val="21"/>
          <w:lang w:val="fr-FR"/>
        </w:rPr>
      </w:pPr>
    </w:p>
    <w:p w14:paraId="75B0FD52" w14:textId="5792416D" w:rsidR="0034220A" w:rsidRPr="005C3FEA" w:rsidRDefault="0034220A" w:rsidP="005F0F5C">
      <w:pPr>
        <w:spacing w:line="300" w:lineRule="auto"/>
        <w:rPr>
          <w:rFonts w:cs="Arial"/>
          <w:b/>
          <w:szCs w:val="21"/>
          <w:lang w:val="fr-FR"/>
        </w:rPr>
      </w:pPr>
      <w:r w:rsidRPr="005C3FEA">
        <w:rPr>
          <w:rFonts w:cs="Arial"/>
          <w:b/>
          <w:sz w:val="24"/>
        </w:rPr>
        <w:lastRenderedPageBreak/>
        <w:t>III</w:t>
      </w:r>
      <w:r w:rsidRPr="005C3FEA">
        <w:rPr>
          <w:rFonts w:cs="Arial"/>
          <w:b/>
          <w:sz w:val="24"/>
        </w:rPr>
        <w:tab/>
        <w:t xml:space="preserve">YEAR-TO-DATE RESULTS </w:t>
      </w:r>
    </w:p>
    <w:p w14:paraId="6F96BA33" w14:textId="77777777" w:rsidR="00A85741" w:rsidRPr="00973152" w:rsidRDefault="00A85741" w:rsidP="0034220A">
      <w:pPr>
        <w:spacing w:line="300" w:lineRule="auto"/>
        <w:rPr>
          <w:rFonts w:cs="Arial"/>
          <w:b/>
        </w:rPr>
      </w:pPr>
    </w:p>
    <w:p w14:paraId="3288941E" w14:textId="2CC5ABE5" w:rsidR="005F0F5C" w:rsidRPr="00973152" w:rsidRDefault="005F0F5C" w:rsidP="003F7ED2">
      <w:pPr>
        <w:pStyle w:val="ListParagraph"/>
        <w:numPr>
          <w:ilvl w:val="0"/>
          <w:numId w:val="23"/>
        </w:numPr>
        <w:spacing w:line="300" w:lineRule="auto"/>
        <w:rPr>
          <w:rFonts w:ascii="Arial" w:hAnsi="Arial" w:cs="Arial"/>
          <w:b/>
          <w:sz w:val="21"/>
          <w:szCs w:val="21"/>
          <w:lang w:val="fr-FR"/>
        </w:rPr>
      </w:pPr>
      <w:r w:rsidRPr="00973152">
        <w:rPr>
          <w:rFonts w:cs="Arial"/>
          <w:b/>
          <w:lang w:val="fr-FR"/>
        </w:rPr>
        <w:t xml:space="preserve"> </w:t>
      </w:r>
      <w:r w:rsidR="00A85741" w:rsidRPr="00973152">
        <w:rPr>
          <w:rFonts w:ascii="Arial" w:hAnsi="Arial" w:cs="Arial"/>
          <w:b/>
          <w:lang w:val="fr-FR"/>
        </w:rPr>
        <w:t xml:space="preserve">Activity highlights—sites served </w:t>
      </w:r>
    </w:p>
    <w:p w14:paraId="0DF5E101" w14:textId="5D09AFD6" w:rsidR="003F7ED2" w:rsidRPr="00C35686" w:rsidRDefault="00E710CB" w:rsidP="005C3FEA">
      <w:pPr>
        <w:spacing w:line="300" w:lineRule="auto"/>
        <w:rPr>
          <w:rFonts w:cs="Arial"/>
          <w:b/>
          <w:sz w:val="21"/>
          <w:szCs w:val="21"/>
          <w:lang w:val="fr-FR"/>
        </w:rPr>
      </w:pPr>
      <w:r w:rsidRPr="00E710CB">
        <w:rPr>
          <w:noProof/>
        </w:rPr>
        <w:drawing>
          <wp:inline distT="0" distB="0" distL="0" distR="0" wp14:anchorId="20DF6DC2" wp14:editId="073590FA">
            <wp:extent cx="5667375" cy="3581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3581400"/>
                    </a:xfrm>
                    <a:prstGeom prst="rect">
                      <a:avLst/>
                    </a:prstGeom>
                    <a:noFill/>
                    <a:ln>
                      <a:noFill/>
                    </a:ln>
                  </pic:spPr>
                </pic:pic>
              </a:graphicData>
            </a:graphic>
          </wp:inline>
        </w:drawing>
      </w:r>
    </w:p>
    <w:p w14:paraId="39AD001A" w14:textId="77777777" w:rsidR="003F7ED2" w:rsidRPr="0051366A" w:rsidRDefault="003F7ED2" w:rsidP="003F7ED2">
      <w:pPr>
        <w:pStyle w:val="ListParagraph"/>
        <w:spacing w:line="300" w:lineRule="auto"/>
        <w:ind w:left="360"/>
        <w:rPr>
          <w:rFonts w:ascii="Arial" w:hAnsi="Arial" w:cs="Arial"/>
          <w:b/>
          <w:lang w:val="fr-FR"/>
        </w:rPr>
      </w:pPr>
    </w:p>
    <w:p w14:paraId="6B5EEAB0" w14:textId="7A4874A7" w:rsidR="005F0F5C" w:rsidRPr="00B86DD9" w:rsidRDefault="005F0F5C" w:rsidP="00E46D53">
      <w:pPr>
        <w:pStyle w:val="ListParagraph"/>
        <w:numPr>
          <w:ilvl w:val="0"/>
          <w:numId w:val="23"/>
        </w:numPr>
        <w:spacing w:line="300" w:lineRule="auto"/>
        <w:rPr>
          <w:rFonts w:ascii="Arial" w:hAnsi="Arial" w:cs="Arial"/>
          <w:b/>
          <w:lang w:val="fr-FR"/>
        </w:rPr>
      </w:pPr>
      <w:r w:rsidRPr="00B86DD9">
        <w:rPr>
          <w:rFonts w:ascii="Arial" w:hAnsi="Arial" w:cs="Arial"/>
          <w:b/>
          <w:lang w:val="fr-FR"/>
        </w:rPr>
        <w:t>Revenue</w:t>
      </w:r>
    </w:p>
    <w:p w14:paraId="2852AEB2" w14:textId="384F00C3" w:rsidR="003F7ED2" w:rsidRPr="0051366A" w:rsidRDefault="00B86DD9" w:rsidP="00E61FB0">
      <w:pPr>
        <w:spacing w:line="300" w:lineRule="auto"/>
        <w:rPr>
          <w:lang w:val="fr-FR"/>
        </w:rPr>
      </w:pPr>
      <w:r w:rsidRPr="00B86DD9">
        <w:rPr>
          <w:noProof/>
        </w:rPr>
        <w:drawing>
          <wp:inline distT="0" distB="0" distL="0" distR="0" wp14:anchorId="393C92A2" wp14:editId="7A372064">
            <wp:extent cx="43243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476250"/>
                    </a:xfrm>
                    <a:prstGeom prst="rect">
                      <a:avLst/>
                    </a:prstGeom>
                    <a:noFill/>
                    <a:ln>
                      <a:noFill/>
                    </a:ln>
                  </pic:spPr>
                </pic:pic>
              </a:graphicData>
            </a:graphic>
          </wp:inline>
        </w:drawing>
      </w:r>
    </w:p>
    <w:p w14:paraId="30416CA8" w14:textId="524AE93E" w:rsidR="00914466" w:rsidRDefault="00914466" w:rsidP="003F7ED2">
      <w:pPr>
        <w:spacing w:line="300" w:lineRule="auto"/>
        <w:ind w:left="720" w:hanging="630"/>
        <w:rPr>
          <w:rFonts w:cs="Arial"/>
          <w:b/>
          <w:sz w:val="21"/>
          <w:szCs w:val="21"/>
        </w:rPr>
      </w:pPr>
    </w:p>
    <w:p w14:paraId="4EFA2B1D" w14:textId="12769611" w:rsidR="003F7ED2" w:rsidRPr="00F54B2D" w:rsidRDefault="00E46D53" w:rsidP="002C4BD6">
      <w:pPr>
        <w:pStyle w:val="ListParagraph"/>
        <w:numPr>
          <w:ilvl w:val="0"/>
          <w:numId w:val="23"/>
        </w:numPr>
        <w:spacing w:line="300" w:lineRule="auto"/>
        <w:rPr>
          <w:rFonts w:ascii="Arial" w:hAnsi="Arial" w:cs="Arial"/>
          <w:b/>
          <w:lang w:val="fr-FR"/>
        </w:rPr>
      </w:pPr>
      <w:r w:rsidRPr="00F54B2D">
        <w:rPr>
          <w:rFonts w:ascii="Arial" w:hAnsi="Arial" w:cs="Arial"/>
          <w:b/>
          <w:lang w:val="fr-FR"/>
        </w:rPr>
        <w:t>Expenditures</w:t>
      </w:r>
    </w:p>
    <w:p w14:paraId="435AEE59" w14:textId="57AB91B0" w:rsidR="002C4BD6" w:rsidRPr="00C35686" w:rsidRDefault="00972050" w:rsidP="005C3FEA">
      <w:pPr>
        <w:spacing w:line="300" w:lineRule="auto"/>
        <w:rPr>
          <w:rFonts w:cs="Arial"/>
          <w:b/>
          <w:lang w:val="fr-FR"/>
        </w:rPr>
      </w:pPr>
      <w:r w:rsidRPr="00972050">
        <w:rPr>
          <w:noProof/>
        </w:rPr>
        <w:drawing>
          <wp:inline distT="0" distB="0" distL="0" distR="0" wp14:anchorId="1C406EE6" wp14:editId="3FC32F43">
            <wp:extent cx="5943600" cy="2047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550D38A8" w14:textId="77777777" w:rsidR="00CB1619" w:rsidRDefault="00946E5C" w:rsidP="00946E5C">
      <w:pPr>
        <w:spacing w:line="300" w:lineRule="auto"/>
        <w:rPr>
          <w:rFonts w:cs="Arial"/>
          <w:sz w:val="16"/>
          <w:szCs w:val="18"/>
          <w:lang w:val="fr-FR"/>
        </w:rPr>
      </w:pPr>
      <w:r w:rsidRPr="0051366A" w:rsidDel="00473828">
        <w:rPr>
          <w:rFonts w:cs="Arial"/>
          <w:sz w:val="16"/>
          <w:szCs w:val="18"/>
          <w:lang w:val="fr-FR"/>
        </w:rPr>
        <w:t>Energy Trust allocated budget to NEEA for gas market transformation activities</w:t>
      </w:r>
      <w:r w:rsidR="00607346">
        <w:rPr>
          <w:rFonts w:cs="Arial"/>
          <w:sz w:val="16"/>
          <w:szCs w:val="18"/>
          <w:lang w:val="fr-FR"/>
        </w:rPr>
        <w:t xml:space="preserve"> in 2016</w:t>
      </w:r>
      <w:r w:rsidR="009F7EC1" w:rsidRPr="0051366A" w:rsidDel="00473828">
        <w:rPr>
          <w:rFonts w:cs="Arial"/>
          <w:sz w:val="16"/>
          <w:szCs w:val="18"/>
          <w:lang w:val="fr-FR"/>
        </w:rPr>
        <w:t xml:space="preserve">. While there were no associated savings </w:t>
      </w:r>
      <w:r w:rsidR="007E12C3">
        <w:rPr>
          <w:rFonts w:cs="Arial"/>
          <w:sz w:val="16"/>
          <w:szCs w:val="18"/>
          <w:lang w:val="fr-FR"/>
        </w:rPr>
        <w:t>through</w:t>
      </w:r>
      <w:r w:rsidR="009F7EC1" w:rsidRPr="0051366A" w:rsidDel="00473828">
        <w:rPr>
          <w:rFonts w:cs="Arial"/>
          <w:sz w:val="16"/>
          <w:szCs w:val="18"/>
          <w:lang w:val="fr-FR"/>
        </w:rPr>
        <w:t xml:space="preserve"> Q</w:t>
      </w:r>
      <w:r w:rsidR="00B7735A" w:rsidRPr="0051366A" w:rsidDel="00473828">
        <w:rPr>
          <w:rFonts w:cs="Arial"/>
          <w:sz w:val="16"/>
          <w:szCs w:val="18"/>
          <w:lang w:val="fr-FR"/>
        </w:rPr>
        <w:t>2</w:t>
      </w:r>
      <w:r w:rsidR="009F7EC1" w:rsidRPr="0051366A" w:rsidDel="00473828">
        <w:rPr>
          <w:rFonts w:cs="Arial"/>
          <w:sz w:val="16"/>
          <w:szCs w:val="18"/>
          <w:lang w:val="fr-FR"/>
        </w:rPr>
        <w:t>, savings are expected in subsequent years.</w:t>
      </w:r>
    </w:p>
    <w:p w14:paraId="70DB1684" w14:textId="77435F64" w:rsidR="00E46D53" w:rsidRPr="0051366A" w:rsidDel="00473828" w:rsidRDefault="009F7EC1" w:rsidP="00946E5C">
      <w:pPr>
        <w:spacing w:line="300" w:lineRule="auto"/>
        <w:rPr>
          <w:rFonts w:cs="Arial"/>
          <w:sz w:val="21"/>
          <w:szCs w:val="21"/>
        </w:rPr>
      </w:pPr>
      <w:r w:rsidRPr="0051366A" w:rsidDel="00473828">
        <w:rPr>
          <w:rFonts w:cs="Arial"/>
          <w:sz w:val="16"/>
          <w:szCs w:val="18"/>
          <w:lang w:val="fr-FR"/>
        </w:rPr>
        <w:t xml:space="preserve"> </w:t>
      </w:r>
    </w:p>
    <w:p w14:paraId="3F644E5F" w14:textId="35029D3C" w:rsidR="00E46D53" w:rsidRPr="008D3A80" w:rsidRDefault="00E46D53" w:rsidP="00E46D53">
      <w:pPr>
        <w:pStyle w:val="ListParagraph"/>
        <w:numPr>
          <w:ilvl w:val="0"/>
          <w:numId w:val="23"/>
        </w:numPr>
        <w:spacing w:line="300" w:lineRule="auto"/>
        <w:rPr>
          <w:rFonts w:ascii="Arial" w:hAnsi="Arial" w:cs="Arial"/>
        </w:rPr>
      </w:pPr>
      <w:r w:rsidRPr="008D3A80">
        <w:rPr>
          <w:rFonts w:ascii="Arial" w:hAnsi="Arial" w:cs="Arial"/>
          <w:b/>
          <w:lang w:val="fr-FR"/>
        </w:rPr>
        <w:lastRenderedPageBreak/>
        <w:t xml:space="preserve">Incentives paid </w:t>
      </w:r>
    </w:p>
    <w:p w14:paraId="67792DFD" w14:textId="6C00EAD2" w:rsidR="00E46D53" w:rsidRPr="00C35686" w:rsidRDefault="00972050" w:rsidP="005C3FEA">
      <w:pPr>
        <w:spacing w:line="300" w:lineRule="auto"/>
        <w:rPr>
          <w:rFonts w:cs="Arial"/>
        </w:rPr>
      </w:pPr>
      <w:r w:rsidRPr="00972050">
        <w:rPr>
          <w:noProof/>
        </w:rPr>
        <w:drawing>
          <wp:inline distT="0" distB="0" distL="0" distR="0" wp14:anchorId="1FA603AD" wp14:editId="17EC70A8">
            <wp:extent cx="4057650" cy="1495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7650" cy="1495425"/>
                    </a:xfrm>
                    <a:prstGeom prst="rect">
                      <a:avLst/>
                    </a:prstGeom>
                    <a:noFill/>
                    <a:ln>
                      <a:noFill/>
                    </a:ln>
                  </pic:spPr>
                </pic:pic>
              </a:graphicData>
            </a:graphic>
          </wp:inline>
        </w:drawing>
      </w:r>
    </w:p>
    <w:p w14:paraId="2EE62691" w14:textId="1538F9F1" w:rsidR="00E46D53" w:rsidRPr="00973152" w:rsidRDefault="00E46D53" w:rsidP="00E46D53">
      <w:pPr>
        <w:pStyle w:val="ListParagraph"/>
        <w:numPr>
          <w:ilvl w:val="0"/>
          <w:numId w:val="25"/>
        </w:numPr>
        <w:spacing w:line="300" w:lineRule="auto"/>
        <w:ind w:left="360"/>
        <w:rPr>
          <w:rFonts w:ascii="Arial" w:hAnsi="Arial" w:cs="Arial"/>
          <w:sz w:val="20"/>
          <w:szCs w:val="20"/>
        </w:rPr>
      </w:pPr>
      <w:r w:rsidRPr="00423BA8">
        <w:rPr>
          <w:rFonts w:ascii="Arial" w:hAnsi="Arial" w:cs="Arial"/>
          <w:b/>
          <w:sz w:val="20"/>
          <w:szCs w:val="20"/>
        </w:rPr>
        <w:t xml:space="preserve">Incentives paid account for approximately </w:t>
      </w:r>
      <w:r w:rsidR="00AA0B4C" w:rsidRPr="00472C36">
        <w:rPr>
          <w:rFonts w:ascii="Arial" w:hAnsi="Arial" w:cs="Arial"/>
          <w:b/>
          <w:sz w:val="20"/>
          <w:szCs w:val="20"/>
        </w:rPr>
        <w:t>4</w:t>
      </w:r>
      <w:r w:rsidR="00472C36" w:rsidRPr="00472C36">
        <w:rPr>
          <w:rFonts w:ascii="Arial" w:hAnsi="Arial" w:cs="Arial"/>
          <w:b/>
          <w:sz w:val="20"/>
          <w:szCs w:val="20"/>
        </w:rPr>
        <w:t>4</w:t>
      </w:r>
      <w:r w:rsidRPr="00423BA8">
        <w:rPr>
          <w:rFonts w:ascii="Arial" w:hAnsi="Arial" w:cs="Arial"/>
          <w:b/>
          <w:sz w:val="20"/>
          <w:szCs w:val="20"/>
        </w:rPr>
        <w:t xml:space="preserve"> percent of year-to-date program expenses, </w:t>
      </w:r>
      <w:r w:rsidRPr="00973152">
        <w:rPr>
          <w:rFonts w:ascii="Arial" w:hAnsi="Arial" w:cs="Arial"/>
          <w:sz w:val="20"/>
          <w:szCs w:val="20"/>
        </w:rPr>
        <w:t xml:space="preserve">when total program expense is adjusted down by 15 percent to account for costs that a utility-delivered program would recover through rates. </w:t>
      </w:r>
    </w:p>
    <w:p w14:paraId="3641A5AD" w14:textId="77777777" w:rsidR="00946E5C" w:rsidRDefault="00946E5C" w:rsidP="00946E5C">
      <w:pPr>
        <w:spacing w:line="300" w:lineRule="auto"/>
        <w:rPr>
          <w:rFonts w:cs="Arial"/>
          <w:sz w:val="20"/>
        </w:rPr>
      </w:pPr>
    </w:p>
    <w:p w14:paraId="580942AF" w14:textId="4A1F2C3D" w:rsidR="00946E5C" w:rsidRPr="00FC4436" w:rsidRDefault="00946E5C" w:rsidP="007624C0">
      <w:pPr>
        <w:pStyle w:val="ListParagraph"/>
        <w:numPr>
          <w:ilvl w:val="0"/>
          <w:numId w:val="23"/>
        </w:numPr>
        <w:spacing w:line="300" w:lineRule="auto"/>
        <w:rPr>
          <w:rFonts w:ascii="Arial" w:hAnsi="Arial" w:cs="Arial"/>
          <w:b/>
        </w:rPr>
      </w:pPr>
      <w:r w:rsidRPr="00FC4436">
        <w:rPr>
          <w:rFonts w:ascii="Arial" w:hAnsi="Arial" w:cs="Arial"/>
          <w:b/>
        </w:rPr>
        <w:t xml:space="preserve">Savings </w:t>
      </w:r>
    </w:p>
    <w:p w14:paraId="0B32FE2F" w14:textId="087FDC09" w:rsidR="00611B3B" w:rsidRPr="00FF31C0" w:rsidRDefault="00282216" w:rsidP="00FE1036">
      <w:pPr>
        <w:spacing w:line="300" w:lineRule="auto"/>
        <w:rPr>
          <w:rFonts w:cs="Arial"/>
          <w:b/>
          <w:sz w:val="21"/>
          <w:szCs w:val="21"/>
        </w:rPr>
      </w:pPr>
      <w:r w:rsidRPr="00282216">
        <w:rPr>
          <w:noProof/>
        </w:rPr>
        <w:drawing>
          <wp:inline distT="0" distB="0" distL="0" distR="0" wp14:anchorId="76E9BACD" wp14:editId="21CF8705">
            <wp:extent cx="5924550" cy="16097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4550" cy="1609725"/>
                    </a:xfrm>
                    <a:prstGeom prst="rect">
                      <a:avLst/>
                    </a:prstGeom>
                    <a:noFill/>
                    <a:ln>
                      <a:noFill/>
                    </a:ln>
                  </pic:spPr>
                </pic:pic>
              </a:graphicData>
            </a:graphic>
          </wp:inline>
        </w:drawing>
      </w:r>
    </w:p>
    <w:p w14:paraId="4AE8BD24" w14:textId="47BD430E" w:rsidR="00473828" w:rsidRDefault="00473828" w:rsidP="00473828">
      <w:pPr>
        <w:spacing w:line="300" w:lineRule="auto"/>
        <w:rPr>
          <w:rFonts w:cs="Arial"/>
          <w:sz w:val="16"/>
          <w:lang w:val="fr-FR"/>
        </w:rPr>
      </w:pPr>
      <w:r w:rsidRPr="0051366A">
        <w:rPr>
          <w:rFonts w:cs="Arial"/>
          <w:sz w:val="16"/>
          <w:lang w:val="fr-FR"/>
        </w:rPr>
        <w:t xml:space="preserve">Energy </w:t>
      </w:r>
      <w:r>
        <w:rPr>
          <w:rFonts w:cs="Arial"/>
          <w:sz w:val="16"/>
          <w:lang w:val="fr-FR"/>
        </w:rPr>
        <w:t>T</w:t>
      </w:r>
      <w:r w:rsidRPr="0051366A">
        <w:rPr>
          <w:rFonts w:cs="Arial"/>
          <w:sz w:val="16"/>
          <w:lang w:val="fr-FR"/>
        </w:rPr>
        <w:t>rust allocated budget to NEEA for gas market transformation activities</w:t>
      </w:r>
      <w:r w:rsidR="00607346">
        <w:rPr>
          <w:rFonts w:cs="Arial"/>
          <w:sz w:val="16"/>
          <w:lang w:val="fr-FR"/>
        </w:rPr>
        <w:t xml:space="preserve"> in 2016</w:t>
      </w:r>
      <w:r w:rsidRPr="0051366A">
        <w:rPr>
          <w:rFonts w:cs="Arial"/>
          <w:sz w:val="16"/>
          <w:lang w:val="fr-FR"/>
        </w:rPr>
        <w:t>. While ther</w:t>
      </w:r>
      <w:r>
        <w:rPr>
          <w:rFonts w:cs="Arial"/>
          <w:sz w:val="16"/>
          <w:lang w:val="fr-FR"/>
        </w:rPr>
        <w:t>e were no associated savings through Q2</w:t>
      </w:r>
      <w:r w:rsidRPr="0051366A">
        <w:rPr>
          <w:rFonts w:cs="Arial"/>
          <w:sz w:val="16"/>
          <w:lang w:val="fr-FR"/>
        </w:rPr>
        <w:t>, savings are expected in subsequent quarters.</w:t>
      </w:r>
      <w:r w:rsidRPr="005E5C0D">
        <w:rPr>
          <w:rFonts w:cs="Arial"/>
          <w:sz w:val="16"/>
          <w:lang w:val="fr-FR"/>
        </w:rPr>
        <w:t xml:space="preserve"> </w:t>
      </w:r>
    </w:p>
    <w:p w14:paraId="39D1D5B0" w14:textId="77777777" w:rsidR="002E24EC" w:rsidRDefault="002E24EC" w:rsidP="001B6B96">
      <w:pPr>
        <w:spacing w:line="300" w:lineRule="auto"/>
        <w:rPr>
          <w:rFonts w:cs="Arial"/>
          <w:b/>
        </w:rPr>
      </w:pPr>
    </w:p>
    <w:p w14:paraId="1A58E9DF" w14:textId="4CD38472" w:rsidR="001B6B96" w:rsidRPr="00610B57" w:rsidRDefault="001B6B96" w:rsidP="00E96E18">
      <w:pPr>
        <w:spacing w:line="300" w:lineRule="auto"/>
        <w:ind w:left="360" w:hanging="360"/>
        <w:rPr>
          <w:rFonts w:cs="Arial"/>
          <w:sz w:val="20"/>
        </w:rPr>
      </w:pPr>
      <w:r w:rsidRPr="006B4897">
        <w:rPr>
          <w:rFonts w:cs="Arial"/>
          <w:b/>
        </w:rPr>
        <w:t xml:space="preserve">F. </w:t>
      </w:r>
      <w:r w:rsidR="00E96E18">
        <w:rPr>
          <w:rFonts w:cs="Arial"/>
          <w:b/>
        </w:rPr>
        <w:t xml:space="preserve"> </w:t>
      </w:r>
      <w:r w:rsidRPr="00610B57">
        <w:rPr>
          <w:rFonts w:cs="Arial"/>
          <w:b/>
        </w:rPr>
        <w:t>Program evaluations</w:t>
      </w:r>
    </w:p>
    <w:p w14:paraId="6F3333D8" w14:textId="7B31ECC4" w:rsidR="00987D4E" w:rsidRPr="00430FEA" w:rsidRDefault="001B6B96" w:rsidP="005F367D">
      <w:pPr>
        <w:pStyle w:val="ListParagraph"/>
        <w:numPr>
          <w:ilvl w:val="0"/>
          <w:numId w:val="25"/>
        </w:numPr>
        <w:spacing w:line="300" w:lineRule="auto"/>
        <w:ind w:left="360"/>
        <w:outlineLvl w:val="0"/>
        <w:rPr>
          <w:rFonts w:ascii="Arial" w:hAnsi="Arial" w:cs="Arial"/>
          <w:sz w:val="16"/>
          <w:szCs w:val="16"/>
        </w:rPr>
      </w:pPr>
      <w:r w:rsidRPr="00E66D42">
        <w:rPr>
          <w:rFonts w:ascii="Arial" w:hAnsi="Arial" w:cs="Arial"/>
          <w:b/>
          <w:sz w:val="20"/>
          <w:szCs w:val="20"/>
        </w:rPr>
        <w:t xml:space="preserve">In </w:t>
      </w:r>
      <w:r w:rsidR="002B2BE5">
        <w:rPr>
          <w:rFonts w:ascii="Arial" w:hAnsi="Arial" w:cs="Arial"/>
          <w:b/>
          <w:sz w:val="20"/>
          <w:szCs w:val="20"/>
        </w:rPr>
        <w:t>Q2 Energy Trust worked with Illume Advising on a process evaluation</w:t>
      </w:r>
      <w:r w:rsidR="002B2BE5" w:rsidRPr="00321E25">
        <w:rPr>
          <w:rFonts w:ascii="Arial" w:hAnsi="Arial" w:cs="Arial"/>
          <w:sz w:val="20"/>
          <w:szCs w:val="20"/>
        </w:rPr>
        <w:t xml:space="preserve"> </w:t>
      </w:r>
      <w:r w:rsidR="00321E25">
        <w:rPr>
          <w:rFonts w:ascii="Arial" w:hAnsi="Arial" w:cs="Arial"/>
          <w:sz w:val="20"/>
          <w:szCs w:val="20"/>
        </w:rPr>
        <w:t>expected</w:t>
      </w:r>
      <w:r w:rsidR="002B2BE5">
        <w:rPr>
          <w:rFonts w:ascii="Arial" w:hAnsi="Arial" w:cs="Arial"/>
          <w:sz w:val="20"/>
          <w:szCs w:val="20"/>
        </w:rPr>
        <w:t xml:space="preserve"> to </w:t>
      </w:r>
      <w:r w:rsidR="00321E25">
        <w:rPr>
          <w:rFonts w:ascii="Arial" w:hAnsi="Arial" w:cs="Arial"/>
          <w:sz w:val="20"/>
          <w:szCs w:val="20"/>
        </w:rPr>
        <w:t>complete</w:t>
      </w:r>
      <w:r w:rsidR="002B2BE5">
        <w:rPr>
          <w:rFonts w:ascii="Arial" w:hAnsi="Arial" w:cs="Arial"/>
          <w:sz w:val="20"/>
          <w:szCs w:val="20"/>
        </w:rPr>
        <w:t xml:space="preserve"> in 2016</w:t>
      </w:r>
      <w:r w:rsidR="00321E25">
        <w:rPr>
          <w:rFonts w:ascii="Arial" w:hAnsi="Arial" w:cs="Arial"/>
          <w:sz w:val="20"/>
          <w:szCs w:val="20"/>
        </w:rPr>
        <w:t>. The evaluation will focus</w:t>
      </w:r>
      <w:r w:rsidR="002B2BE5" w:rsidRPr="00321E25">
        <w:rPr>
          <w:rFonts w:ascii="Arial" w:hAnsi="Arial" w:cs="Arial"/>
          <w:sz w:val="20"/>
          <w:szCs w:val="20"/>
        </w:rPr>
        <w:t xml:space="preserve"> on </w:t>
      </w:r>
      <w:r w:rsidR="00321E25">
        <w:rPr>
          <w:rFonts w:ascii="Arial" w:hAnsi="Arial" w:cs="Arial"/>
          <w:sz w:val="20"/>
          <w:szCs w:val="20"/>
        </w:rPr>
        <w:t>Energy Trust’s</w:t>
      </w:r>
      <w:r w:rsidR="002B2BE5">
        <w:rPr>
          <w:rFonts w:ascii="Arial" w:hAnsi="Arial" w:cs="Arial"/>
          <w:sz w:val="20"/>
          <w:szCs w:val="20"/>
        </w:rPr>
        <w:t xml:space="preserve"> </w:t>
      </w:r>
      <w:r w:rsidR="002B2BE5" w:rsidRPr="00321E25">
        <w:rPr>
          <w:rFonts w:ascii="Arial" w:hAnsi="Arial" w:cs="Arial"/>
          <w:sz w:val="20"/>
          <w:szCs w:val="20"/>
        </w:rPr>
        <w:t>Existing Homes program</w:t>
      </w:r>
      <w:r w:rsidR="00607346">
        <w:rPr>
          <w:rFonts w:ascii="Arial" w:hAnsi="Arial" w:cs="Arial"/>
          <w:sz w:val="20"/>
          <w:szCs w:val="20"/>
        </w:rPr>
        <w:t xml:space="preserve"> in Oregon,</w:t>
      </w:r>
      <w:r w:rsidR="002B2BE5" w:rsidRPr="00321E25">
        <w:rPr>
          <w:rFonts w:ascii="Arial" w:hAnsi="Arial" w:cs="Arial"/>
          <w:sz w:val="20"/>
          <w:szCs w:val="20"/>
        </w:rPr>
        <w:t xml:space="preserve"> and will </w:t>
      </w:r>
      <w:r w:rsidR="00321E25">
        <w:rPr>
          <w:rFonts w:ascii="Arial" w:hAnsi="Arial" w:cs="Arial"/>
          <w:sz w:val="20"/>
          <w:szCs w:val="20"/>
        </w:rPr>
        <w:t>also feature</w:t>
      </w:r>
      <w:r w:rsidR="002B2BE5">
        <w:rPr>
          <w:rFonts w:ascii="Arial" w:hAnsi="Arial" w:cs="Arial"/>
          <w:sz w:val="20"/>
          <w:szCs w:val="20"/>
        </w:rPr>
        <w:t xml:space="preserve"> residential programs in </w:t>
      </w:r>
      <w:r w:rsidR="00321E25">
        <w:rPr>
          <w:rFonts w:ascii="Arial" w:hAnsi="Arial" w:cs="Arial"/>
          <w:sz w:val="20"/>
          <w:szCs w:val="20"/>
        </w:rPr>
        <w:t>Washington, including</w:t>
      </w:r>
      <w:r w:rsidR="002B2BE5">
        <w:rPr>
          <w:rFonts w:ascii="Arial" w:hAnsi="Arial" w:cs="Arial"/>
          <w:sz w:val="20"/>
          <w:szCs w:val="20"/>
        </w:rPr>
        <w:t xml:space="preserve"> installation rates of </w:t>
      </w:r>
      <w:r w:rsidR="00321E25">
        <w:rPr>
          <w:rFonts w:ascii="Arial" w:hAnsi="Arial" w:cs="Arial"/>
          <w:sz w:val="20"/>
          <w:szCs w:val="20"/>
        </w:rPr>
        <w:t>energy-</w:t>
      </w:r>
      <w:r w:rsidR="002B2BE5">
        <w:rPr>
          <w:rFonts w:ascii="Arial" w:hAnsi="Arial" w:cs="Arial"/>
          <w:sz w:val="20"/>
          <w:szCs w:val="20"/>
        </w:rPr>
        <w:t xml:space="preserve">saving </w:t>
      </w:r>
      <w:r w:rsidR="00321E25">
        <w:rPr>
          <w:rFonts w:ascii="Arial" w:hAnsi="Arial" w:cs="Arial"/>
          <w:sz w:val="20"/>
          <w:szCs w:val="20"/>
        </w:rPr>
        <w:t>sho</w:t>
      </w:r>
      <w:r w:rsidR="003E58CD">
        <w:rPr>
          <w:rFonts w:ascii="Arial" w:hAnsi="Arial" w:cs="Arial"/>
          <w:sz w:val="20"/>
          <w:szCs w:val="20"/>
        </w:rPr>
        <w:t>w</w:t>
      </w:r>
      <w:r w:rsidR="00321E25">
        <w:rPr>
          <w:rFonts w:ascii="Arial" w:hAnsi="Arial" w:cs="Arial"/>
          <w:sz w:val="20"/>
          <w:szCs w:val="20"/>
        </w:rPr>
        <w:t>erheads and faucet aerators</w:t>
      </w:r>
      <w:r w:rsidR="002B2BE5">
        <w:rPr>
          <w:rFonts w:ascii="Arial" w:hAnsi="Arial" w:cs="Arial"/>
          <w:sz w:val="20"/>
          <w:szCs w:val="20"/>
        </w:rPr>
        <w:t xml:space="preserve"> and the associated customer experience. </w:t>
      </w:r>
    </w:p>
    <w:p w14:paraId="7DC4D359" w14:textId="77777777" w:rsidR="00430FEA" w:rsidRDefault="00430FEA" w:rsidP="00430FEA">
      <w:pPr>
        <w:spacing w:line="300" w:lineRule="auto"/>
        <w:outlineLvl w:val="0"/>
        <w:rPr>
          <w:rFonts w:cs="Arial"/>
          <w:sz w:val="16"/>
          <w:szCs w:val="16"/>
        </w:rPr>
      </w:pPr>
    </w:p>
    <w:p w14:paraId="364638AA" w14:textId="77777777" w:rsidR="00430FEA" w:rsidRDefault="00430FEA" w:rsidP="00430FEA">
      <w:pPr>
        <w:spacing w:line="300" w:lineRule="auto"/>
        <w:outlineLvl w:val="0"/>
        <w:rPr>
          <w:rFonts w:cs="Arial"/>
          <w:sz w:val="16"/>
          <w:szCs w:val="16"/>
        </w:rPr>
      </w:pPr>
    </w:p>
    <w:p w14:paraId="3EF8AB4C" w14:textId="77777777" w:rsidR="00430FEA" w:rsidRDefault="00430FEA" w:rsidP="00430FEA">
      <w:pPr>
        <w:spacing w:line="300" w:lineRule="auto"/>
        <w:outlineLvl w:val="0"/>
        <w:rPr>
          <w:rFonts w:cs="Arial"/>
          <w:sz w:val="16"/>
          <w:szCs w:val="16"/>
        </w:rPr>
      </w:pPr>
    </w:p>
    <w:p w14:paraId="64D05EC5" w14:textId="77777777" w:rsidR="00430FEA" w:rsidRDefault="00430FEA" w:rsidP="00430FEA">
      <w:pPr>
        <w:spacing w:line="300" w:lineRule="auto"/>
        <w:outlineLvl w:val="0"/>
        <w:rPr>
          <w:rFonts w:cs="Arial"/>
          <w:sz w:val="16"/>
          <w:szCs w:val="16"/>
        </w:rPr>
      </w:pPr>
    </w:p>
    <w:p w14:paraId="28D09571" w14:textId="77777777" w:rsidR="00430FEA" w:rsidRDefault="00430FEA" w:rsidP="00430FEA">
      <w:pPr>
        <w:spacing w:line="300" w:lineRule="auto"/>
        <w:outlineLvl w:val="0"/>
        <w:rPr>
          <w:rFonts w:cs="Arial"/>
          <w:sz w:val="16"/>
          <w:szCs w:val="16"/>
        </w:rPr>
      </w:pPr>
    </w:p>
    <w:p w14:paraId="6501DCC7" w14:textId="77777777" w:rsidR="00430FEA" w:rsidRDefault="00430FEA" w:rsidP="00430FEA">
      <w:pPr>
        <w:spacing w:line="300" w:lineRule="auto"/>
        <w:outlineLvl w:val="0"/>
        <w:rPr>
          <w:rFonts w:cs="Arial"/>
          <w:sz w:val="16"/>
          <w:szCs w:val="16"/>
        </w:rPr>
      </w:pPr>
    </w:p>
    <w:p w14:paraId="137F9823" w14:textId="77777777" w:rsidR="00430FEA" w:rsidRDefault="00430FEA" w:rsidP="00430FEA">
      <w:pPr>
        <w:spacing w:line="300" w:lineRule="auto"/>
        <w:outlineLvl w:val="0"/>
        <w:rPr>
          <w:rFonts w:cs="Arial"/>
          <w:sz w:val="16"/>
          <w:szCs w:val="16"/>
        </w:rPr>
      </w:pPr>
    </w:p>
    <w:p w14:paraId="20FC2207" w14:textId="77777777" w:rsidR="00430FEA" w:rsidRDefault="00430FEA" w:rsidP="00430FEA">
      <w:pPr>
        <w:spacing w:line="300" w:lineRule="auto"/>
        <w:outlineLvl w:val="0"/>
        <w:rPr>
          <w:rFonts w:cs="Arial"/>
          <w:sz w:val="16"/>
          <w:szCs w:val="16"/>
        </w:rPr>
      </w:pPr>
    </w:p>
    <w:p w14:paraId="48CCF46C" w14:textId="77777777" w:rsidR="00430FEA" w:rsidRDefault="00430FEA" w:rsidP="00430FEA">
      <w:pPr>
        <w:spacing w:line="300" w:lineRule="auto"/>
        <w:outlineLvl w:val="0"/>
        <w:rPr>
          <w:rFonts w:cs="Arial"/>
          <w:sz w:val="16"/>
          <w:szCs w:val="16"/>
        </w:rPr>
      </w:pPr>
    </w:p>
    <w:p w14:paraId="79C9AB7F" w14:textId="77777777" w:rsidR="00430FEA" w:rsidRDefault="00430FEA" w:rsidP="00430FEA">
      <w:pPr>
        <w:spacing w:line="300" w:lineRule="auto"/>
        <w:outlineLvl w:val="0"/>
        <w:rPr>
          <w:rFonts w:cs="Arial"/>
          <w:sz w:val="16"/>
          <w:szCs w:val="16"/>
        </w:rPr>
      </w:pPr>
    </w:p>
    <w:p w14:paraId="48C5264A" w14:textId="77777777" w:rsidR="00430FEA" w:rsidRDefault="00430FEA" w:rsidP="00430FEA">
      <w:pPr>
        <w:spacing w:line="300" w:lineRule="auto"/>
        <w:outlineLvl w:val="0"/>
        <w:rPr>
          <w:rFonts w:cs="Arial"/>
          <w:sz w:val="16"/>
          <w:szCs w:val="16"/>
        </w:rPr>
      </w:pPr>
    </w:p>
    <w:p w14:paraId="4E5AC82A" w14:textId="77777777" w:rsidR="00430FEA" w:rsidRDefault="00430FEA" w:rsidP="00430FEA">
      <w:pPr>
        <w:spacing w:line="300" w:lineRule="auto"/>
        <w:outlineLvl w:val="0"/>
        <w:rPr>
          <w:rFonts w:cs="Arial"/>
          <w:sz w:val="16"/>
          <w:szCs w:val="16"/>
        </w:rPr>
      </w:pPr>
    </w:p>
    <w:p w14:paraId="0BBDC096" w14:textId="77777777" w:rsidR="00430FEA" w:rsidRDefault="00430FEA" w:rsidP="00430FEA">
      <w:pPr>
        <w:spacing w:line="300" w:lineRule="auto"/>
        <w:outlineLvl w:val="0"/>
        <w:rPr>
          <w:rFonts w:cs="Arial"/>
          <w:sz w:val="16"/>
          <w:szCs w:val="16"/>
        </w:rPr>
      </w:pPr>
    </w:p>
    <w:p w14:paraId="0991FF5B" w14:textId="77777777" w:rsidR="00430FEA" w:rsidRDefault="00430FEA" w:rsidP="00430FEA">
      <w:pPr>
        <w:spacing w:line="300" w:lineRule="auto"/>
        <w:outlineLvl w:val="0"/>
        <w:rPr>
          <w:rFonts w:cs="Arial"/>
          <w:sz w:val="16"/>
          <w:szCs w:val="16"/>
        </w:rPr>
      </w:pPr>
    </w:p>
    <w:p w14:paraId="40FDF6C3" w14:textId="77777777" w:rsidR="00430FEA" w:rsidRDefault="00430FEA" w:rsidP="00430FEA">
      <w:pPr>
        <w:spacing w:line="300" w:lineRule="auto"/>
        <w:outlineLvl w:val="0"/>
        <w:rPr>
          <w:rFonts w:cs="Arial"/>
          <w:sz w:val="16"/>
          <w:szCs w:val="16"/>
        </w:rPr>
      </w:pPr>
    </w:p>
    <w:p w14:paraId="69F07339" w14:textId="77777777" w:rsidR="00430FEA" w:rsidRDefault="00430FEA" w:rsidP="00430FEA">
      <w:pPr>
        <w:spacing w:line="300" w:lineRule="auto"/>
        <w:outlineLvl w:val="0"/>
        <w:rPr>
          <w:rFonts w:cs="Arial"/>
          <w:sz w:val="16"/>
          <w:szCs w:val="16"/>
        </w:rPr>
      </w:pPr>
    </w:p>
    <w:p w14:paraId="198B95F3" w14:textId="352E28F0" w:rsidR="00430FEA" w:rsidRPr="00430FEA" w:rsidRDefault="00430FEA" w:rsidP="00430FEA">
      <w:pPr>
        <w:jc w:val="center"/>
        <w:outlineLvl w:val="0"/>
        <w:rPr>
          <w:rFonts w:ascii="Calibri" w:eastAsiaTheme="minorHAnsi" w:hAnsi="Calibri" w:cs="Calibri"/>
          <w:b/>
          <w:sz w:val="28"/>
          <w:szCs w:val="28"/>
        </w:rPr>
      </w:pPr>
      <w:r>
        <w:rPr>
          <w:rFonts w:cs="Arial"/>
          <w:i/>
          <w:noProof/>
          <w:sz w:val="21"/>
          <w:szCs w:val="21"/>
        </w:rPr>
        <w:lastRenderedPageBreak/>
        <mc:AlternateContent>
          <mc:Choice Requires="wps">
            <w:drawing>
              <wp:anchor distT="0" distB="0" distL="114300" distR="114300" simplePos="0" relativeHeight="251660288" behindDoc="0" locked="0" layoutInCell="1" allowOverlap="1" wp14:anchorId="0FD0B17F" wp14:editId="54360564">
                <wp:simplePos x="0" y="0"/>
                <wp:positionH relativeFrom="column">
                  <wp:posOffset>10029825</wp:posOffset>
                </wp:positionH>
                <wp:positionV relativeFrom="paragraph">
                  <wp:posOffset>532765</wp:posOffset>
                </wp:positionV>
                <wp:extent cx="5962650" cy="51339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A76E" w14:textId="77777777" w:rsidR="00430FEA" w:rsidRPr="00F27A2F" w:rsidRDefault="00430FEA" w:rsidP="00430FEA">
                            <w:pPr>
                              <w:rPr>
                                <w:rFonts w:cs="Arial"/>
                                <w:i/>
                                <w:sz w:val="21"/>
                                <w:szCs w:val="21"/>
                              </w:rPr>
                            </w:pPr>
                          </w:p>
                          <w:p w14:paraId="1777E441" w14:textId="77777777" w:rsidR="00430FEA" w:rsidRPr="00592DD0" w:rsidRDefault="00430FEA" w:rsidP="00430FEA">
                            <w:pPr>
                              <w:rPr>
                                <w:rFonts w:cs="Arial"/>
                                <w:sz w:val="40"/>
                                <w:szCs w:val="40"/>
                              </w:rPr>
                            </w:pPr>
                          </w:p>
                          <w:p w14:paraId="6D7C5B6A" w14:textId="77777777" w:rsidR="00430FEA" w:rsidRPr="00F27A2F" w:rsidRDefault="00430FEA" w:rsidP="00430FEA">
                            <w:pPr>
                              <w:rPr>
                                <w:rFonts w:cs="Arial"/>
                                <w:i/>
                                <w:sz w:val="21"/>
                                <w:szCs w:val="21"/>
                              </w:rPr>
                            </w:pPr>
                          </w:p>
                          <w:p w14:paraId="56CBEE7D" w14:textId="77777777" w:rsidR="00430FEA" w:rsidRPr="00F27A2F" w:rsidRDefault="00430FEA" w:rsidP="00430FEA">
                            <w:pPr>
                              <w:rPr>
                                <w:rFonts w:cs="Arial"/>
                                <w:i/>
                                <w:sz w:val="21"/>
                                <w:szCs w:val="21"/>
                              </w:rPr>
                            </w:pPr>
                          </w:p>
                          <w:p w14:paraId="68890A59" w14:textId="77777777" w:rsidR="00430FEA" w:rsidRPr="00F27A2F" w:rsidRDefault="00430FEA" w:rsidP="00430FEA">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9.75pt;margin-top:41.95pt;width:469.5pt;height:4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BmuA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" filled="f" stroked="f">
                <v:textbox>
                  <w:txbxContent>
                    <w:p w14:paraId="1364A76E" w14:textId="77777777" w:rsidR="00430FEA" w:rsidRPr="00F27A2F" w:rsidRDefault="00430FEA" w:rsidP="00430FEA">
                      <w:pPr>
                        <w:rPr>
                          <w:rFonts w:cs="Arial"/>
                          <w:i/>
                          <w:sz w:val="21"/>
                          <w:szCs w:val="21"/>
                        </w:rPr>
                      </w:pPr>
                    </w:p>
                    <w:p w14:paraId="1777E441" w14:textId="77777777" w:rsidR="00430FEA" w:rsidRPr="00592DD0" w:rsidRDefault="00430FEA" w:rsidP="00430FEA">
                      <w:pPr>
                        <w:rPr>
                          <w:rFonts w:cs="Arial"/>
                          <w:sz w:val="40"/>
                          <w:szCs w:val="40"/>
                        </w:rPr>
                      </w:pPr>
                    </w:p>
                    <w:p w14:paraId="6D7C5B6A" w14:textId="77777777" w:rsidR="00430FEA" w:rsidRPr="00F27A2F" w:rsidRDefault="00430FEA" w:rsidP="00430FEA">
                      <w:pPr>
                        <w:rPr>
                          <w:rFonts w:cs="Arial"/>
                          <w:i/>
                          <w:sz w:val="21"/>
                          <w:szCs w:val="21"/>
                        </w:rPr>
                      </w:pPr>
                    </w:p>
                    <w:p w14:paraId="56CBEE7D" w14:textId="77777777" w:rsidR="00430FEA" w:rsidRPr="00F27A2F" w:rsidRDefault="00430FEA" w:rsidP="00430FEA">
                      <w:pPr>
                        <w:rPr>
                          <w:rFonts w:cs="Arial"/>
                          <w:i/>
                          <w:sz w:val="21"/>
                          <w:szCs w:val="21"/>
                        </w:rPr>
                      </w:pPr>
                    </w:p>
                    <w:p w14:paraId="68890A59" w14:textId="77777777" w:rsidR="00430FEA" w:rsidRPr="00F27A2F" w:rsidRDefault="00430FEA" w:rsidP="00430FEA">
                      <w:pPr>
                        <w:rPr>
                          <w:rFonts w:cs="Arial"/>
                          <w:sz w:val="21"/>
                          <w:szCs w:val="21"/>
                        </w:rPr>
                      </w:pPr>
                    </w:p>
                  </w:txbxContent>
                </v:textbox>
              </v:shape>
            </w:pict>
          </mc:Fallback>
        </mc:AlternateContent>
      </w:r>
      <w:r w:rsidRPr="00430FEA">
        <w:rPr>
          <w:rFonts w:ascii="Calibri" w:eastAsiaTheme="minorHAnsi" w:hAnsi="Calibri" w:cs="Calibri"/>
          <w:b/>
          <w:sz w:val="28"/>
          <w:szCs w:val="28"/>
        </w:rPr>
        <w:t>Washington Low Income Energy Efficiency Program (WA-LIEE)</w:t>
      </w:r>
    </w:p>
    <w:p w14:paraId="1B045502" w14:textId="4CBAFE63" w:rsidR="00430FEA" w:rsidRPr="00430FEA" w:rsidRDefault="00430FEA" w:rsidP="00430FEA">
      <w:pPr>
        <w:jc w:val="center"/>
        <w:rPr>
          <w:rFonts w:ascii="Calibri" w:eastAsiaTheme="minorHAnsi" w:hAnsi="Calibri" w:cs="Calibri"/>
          <w:b/>
          <w:sz w:val="16"/>
          <w:szCs w:val="16"/>
        </w:rPr>
      </w:pPr>
      <w:r w:rsidRPr="00430FEA">
        <w:rPr>
          <w:rFonts w:ascii="Calibri" w:eastAsiaTheme="minorHAnsi" w:hAnsi="Calibri" w:cs="Calibri"/>
          <w:b/>
          <w:sz w:val="28"/>
          <w:szCs w:val="28"/>
        </w:rPr>
        <w:t>Q2</w:t>
      </w:r>
      <w:r w:rsidR="00EE3864">
        <w:rPr>
          <w:rFonts w:ascii="Calibri" w:eastAsiaTheme="minorHAnsi" w:hAnsi="Calibri" w:cs="Calibri"/>
          <w:b/>
          <w:sz w:val="28"/>
          <w:szCs w:val="28"/>
        </w:rPr>
        <w:t xml:space="preserve"> 2016</w:t>
      </w:r>
      <w:r w:rsidRPr="00430FEA">
        <w:rPr>
          <w:rFonts w:ascii="Calibri" w:eastAsiaTheme="minorHAnsi" w:hAnsi="Calibri" w:cs="Calibri"/>
          <w:b/>
          <w:sz w:val="28"/>
          <w:szCs w:val="28"/>
        </w:rPr>
        <w:t xml:space="preserve"> Status</w:t>
      </w:r>
    </w:p>
    <w:p w14:paraId="42AA1E99" w14:textId="77777777" w:rsidR="00430FEA" w:rsidRPr="00430FEA" w:rsidRDefault="00430FEA" w:rsidP="00430FEA">
      <w:pPr>
        <w:jc w:val="center"/>
        <w:rPr>
          <w:rFonts w:ascii="Calibri" w:eastAsiaTheme="minorHAnsi" w:hAnsi="Calibri" w:cs="Calibri"/>
          <w:sz w:val="16"/>
          <w:szCs w:val="16"/>
        </w:rPr>
      </w:pPr>
    </w:p>
    <w:p w14:paraId="21C18C3A" w14:textId="77777777" w:rsidR="00430FEA" w:rsidRPr="00430FEA" w:rsidRDefault="00430FEA" w:rsidP="00430FEA">
      <w:pPr>
        <w:rPr>
          <w:rFonts w:ascii="Calibri" w:eastAsiaTheme="minorHAnsi" w:hAnsi="Calibri" w:cs="Calibri"/>
          <w:sz w:val="16"/>
          <w:szCs w:val="16"/>
        </w:rPr>
      </w:pPr>
      <w:r w:rsidRPr="00430FEA">
        <w:rPr>
          <w:rFonts w:ascii="Calibri" w:eastAsiaTheme="minorHAnsi" w:hAnsi="Calibri" w:cs="Calibri"/>
          <w:sz w:val="24"/>
          <w:szCs w:val="24"/>
        </w:rPr>
        <w:t>NW Natural (NWN) partners with Clark County’s Housing Weatherization Program to administer its Washington Low Income Energy Efficiency (WA-LIEE) program.  The WA-LIEE program now reimburses 100% of all cost-effective measures up to $5,200 per home</w:t>
      </w:r>
      <w:r w:rsidRPr="00430FEA">
        <w:rPr>
          <w:rFonts w:ascii="Calibri" w:eastAsiaTheme="minorHAnsi" w:hAnsi="Calibri" w:cs="Calibri"/>
          <w:sz w:val="24"/>
          <w:szCs w:val="24"/>
          <w:vertAlign w:val="superscript"/>
        </w:rPr>
        <w:footnoteReference w:id="3"/>
      </w:r>
      <w:r w:rsidRPr="00430FEA">
        <w:rPr>
          <w:rFonts w:ascii="Calibri" w:eastAsiaTheme="minorHAnsi" w:hAnsi="Calibri" w:cs="Calibri"/>
          <w:sz w:val="24"/>
          <w:szCs w:val="24"/>
        </w:rPr>
        <w:t xml:space="preserve">.  The agency is also allotted 15% of job costs (up to the cap) for administrative costs and an average of $440 per home for Health, Safety, and Repairs (HSR), which are not subject to cost effectiveness tests. A WA-LIEE job could cost the program no more than $6,420. Measures must be modeled as cost-effective to be reimbursed by WA-LIEE. The measures included in the program - as well as number of completions of each - during the first half of 2016, are listed in the table below: </w:t>
      </w:r>
    </w:p>
    <w:p w14:paraId="192D5468" w14:textId="77777777" w:rsidR="00430FEA" w:rsidRPr="00430FEA" w:rsidRDefault="00430FEA" w:rsidP="00430FEA">
      <w:pPr>
        <w:ind w:left="360"/>
        <w:rPr>
          <w:rFonts w:ascii="Calibri" w:eastAsiaTheme="minorHAnsi" w:hAnsi="Calibri" w:cs="Calibri"/>
          <w:bCs/>
          <w:sz w:val="16"/>
          <w:szCs w:val="16"/>
          <w:u w:val="single"/>
        </w:rPr>
      </w:pPr>
    </w:p>
    <w:tbl>
      <w:tblPr>
        <w:tblStyle w:val="LightShading"/>
        <w:tblW w:w="0" w:type="auto"/>
        <w:jc w:val="center"/>
        <w:tblLook w:val="04A0" w:firstRow="1" w:lastRow="0" w:firstColumn="1" w:lastColumn="0" w:noHBand="0" w:noVBand="1"/>
      </w:tblPr>
      <w:tblGrid>
        <w:gridCol w:w="3357"/>
        <w:gridCol w:w="3357"/>
      </w:tblGrid>
      <w:tr w:rsidR="00430FEA" w:rsidRPr="00430FEA" w14:paraId="373D45C8" w14:textId="77777777" w:rsidTr="00C363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7" w:type="dxa"/>
          </w:tcPr>
          <w:p w14:paraId="7B0BCA42" w14:textId="77777777" w:rsidR="00430FEA" w:rsidRPr="00430FEA" w:rsidRDefault="00430FEA" w:rsidP="00430FEA">
            <w:pPr>
              <w:ind w:left="360"/>
              <w:jc w:val="center"/>
              <w:rPr>
                <w:rFonts w:ascii="Calibri" w:eastAsiaTheme="minorHAnsi" w:hAnsi="Calibri" w:cs="Calibri"/>
                <w:sz w:val="24"/>
                <w:szCs w:val="24"/>
              </w:rPr>
            </w:pPr>
            <w:r w:rsidRPr="00430FEA">
              <w:rPr>
                <w:rFonts w:ascii="Calibri" w:eastAsiaTheme="minorHAnsi" w:hAnsi="Calibri" w:cs="Calibri"/>
                <w:sz w:val="24"/>
                <w:szCs w:val="24"/>
              </w:rPr>
              <w:t>WA-LIEE funded measures</w:t>
            </w:r>
          </w:p>
          <w:p w14:paraId="0E5B33D3" w14:textId="77777777" w:rsidR="00430FEA" w:rsidRPr="00430FEA" w:rsidRDefault="00430FEA" w:rsidP="00430FEA">
            <w:pPr>
              <w:jc w:val="center"/>
              <w:rPr>
                <w:rFonts w:ascii="Calibri" w:eastAsiaTheme="minorHAnsi" w:hAnsi="Calibri" w:cs="Calibri"/>
                <w:sz w:val="24"/>
                <w:szCs w:val="24"/>
              </w:rPr>
            </w:pPr>
          </w:p>
        </w:tc>
        <w:tc>
          <w:tcPr>
            <w:tcW w:w="3357" w:type="dxa"/>
          </w:tcPr>
          <w:p w14:paraId="5BDFE411" w14:textId="77777777" w:rsidR="00430FEA" w:rsidRPr="00430FEA" w:rsidRDefault="00430FEA" w:rsidP="00430FEA">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Number of occurrences</w:t>
            </w:r>
          </w:p>
        </w:tc>
      </w:tr>
      <w:tr w:rsidR="00430FEA" w:rsidRPr="00430FEA" w14:paraId="46CBAD83" w14:textId="77777777" w:rsidTr="00C363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7" w:type="dxa"/>
          </w:tcPr>
          <w:p w14:paraId="44AAC8D2" w14:textId="77777777" w:rsidR="00430FEA" w:rsidRPr="00430FEA" w:rsidRDefault="00430FEA" w:rsidP="00430FEA">
            <w:pPr>
              <w:rPr>
                <w:rFonts w:ascii="Calibri" w:eastAsiaTheme="minorHAnsi" w:hAnsi="Calibri" w:cs="Calibri"/>
                <w:sz w:val="24"/>
                <w:szCs w:val="24"/>
              </w:rPr>
            </w:pPr>
            <w:r w:rsidRPr="00430FEA">
              <w:rPr>
                <w:rFonts w:ascii="Calibri" w:eastAsiaTheme="minorHAnsi" w:hAnsi="Calibri" w:cs="Calibri"/>
                <w:sz w:val="24"/>
                <w:szCs w:val="24"/>
              </w:rPr>
              <w:t>Ceiling Insulation</w:t>
            </w:r>
          </w:p>
        </w:tc>
        <w:tc>
          <w:tcPr>
            <w:tcW w:w="3357" w:type="dxa"/>
          </w:tcPr>
          <w:p w14:paraId="66E6FED9" w14:textId="77777777" w:rsidR="00430FEA" w:rsidRPr="00430FEA" w:rsidRDefault="00430FEA" w:rsidP="00430FEA">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11</w:t>
            </w:r>
          </w:p>
        </w:tc>
      </w:tr>
      <w:tr w:rsidR="00430FEA" w:rsidRPr="00430FEA" w14:paraId="1FBECAE3" w14:textId="77777777" w:rsidTr="00C3630C">
        <w:trPr>
          <w:jc w:val="center"/>
        </w:trPr>
        <w:tc>
          <w:tcPr>
            <w:cnfStyle w:val="001000000000" w:firstRow="0" w:lastRow="0" w:firstColumn="1" w:lastColumn="0" w:oddVBand="0" w:evenVBand="0" w:oddHBand="0" w:evenHBand="0" w:firstRowFirstColumn="0" w:firstRowLastColumn="0" w:lastRowFirstColumn="0" w:lastRowLastColumn="0"/>
            <w:tcW w:w="3357" w:type="dxa"/>
          </w:tcPr>
          <w:p w14:paraId="0ECC5CE6" w14:textId="77777777" w:rsidR="00430FEA" w:rsidRPr="00430FEA" w:rsidRDefault="00430FEA" w:rsidP="00430FEA">
            <w:pPr>
              <w:rPr>
                <w:rFonts w:ascii="Calibri" w:eastAsiaTheme="minorHAnsi" w:hAnsi="Calibri" w:cs="Calibri"/>
                <w:sz w:val="24"/>
                <w:szCs w:val="24"/>
              </w:rPr>
            </w:pPr>
            <w:r w:rsidRPr="00430FEA">
              <w:rPr>
                <w:rFonts w:ascii="Calibri" w:eastAsiaTheme="minorHAnsi" w:hAnsi="Calibri" w:cs="Calibri"/>
                <w:sz w:val="24"/>
                <w:szCs w:val="24"/>
              </w:rPr>
              <w:t>Duct Insulation</w:t>
            </w:r>
          </w:p>
        </w:tc>
        <w:tc>
          <w:tcPr>
            <w:tcW w:w="3357" w:type="dxa"/>
          </w:tcPr>
          <w:p w14:paraId="5114A305" w14:textId="77777777" w:rsidR="00430FEA" w:rsidRPr="00430FEA" w:rsidRDefault="00430FEA" w:rsidP="00430FEA">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10</w:t>
            </w:r>
          </w:p>
        </w:tc>
      </w:tr>
      <w:tr w:rsidR="00430FEA" w:rsidRPr="00430FEA" w14:paraId="646E6F44" w14:textId="77777777" w:rsidTr="00C363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7" w:type="dxa"/>
          </w:tcPr>
          <w:p w14:paraId="757A38A9" w14:textId="77777777" w:rsidR="00430FEA" w:rsidRPr="00430FEA" w:rsidRDefault="00430FEA" w:rsidP="00430FEA">
            <w:pPr>
              <w:rPr>
                <w:rFonts w:ascii="Calibri" w:eastAsiaTheme="minorHAnsi" w:hAnsi="Calibri" w:cs="Calibri"/>
                <w:sz w:val="24"/>
                <w:szCs w:val="24"/>
              </w:rPr>
            </w:pPr>
            <w:r w:rsidRPr="00430FEA">
              <w:rPr>
                <w:rFonts w:ascii="Calibri" w:eastAsiaTheme="minorHAnsi" w:hAnsi="Calibri" w:cs="Calibri"/>
                <w:sz w:val="24"/>
                <w:szCs w:val="24"/>
              </w:rPr>
              <w:t>Floor Insulation</w:t>
            </w:r>
          </w:p>
        </w:tc>
        <w:tc>
          <w:tcPr>
            <w:tcW w:w="3357" w:type="dxa"/>
          </w:tcPr>
          <w:p w14:paraId="6CDC8F32" w14:textId="77777777" w:rsidR="00430FEA" w:rsidRPr="00430FEA" w:rsidRDefault="00430FEA" w:rsidP="00430FEA">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8</w:t>
            </w:r>
          </w:p>
        </w:tc>
      </w:tr>
      <w:tr w:rsidR="00430FEA" w:rsidRPr="00430FEA" w14:paraId="7F4E86A5" w14:textId="77777777" w:rsidTr="00C3630C">
        <w:trPr>
          <w:jc w:val="center"/>
        </w:trPr>
        <w:tc>
          <w:tcPr>
            <w:cnfStyle w:val="001000000000" w:firstRow="0" w:lastRow="0" w:firstColumn="1" w:lastColumn="0" w:oddVBand="0" w:evenVBand="0" w:oddHBand="0" w:evenHBand="0" w:firstRowFirstColumn="0" w:firstRowLastColumn="0" w:lastRowFirstColumn="0" w:lastRowLastColumn="0"/>
            <w:tcW w:w="3357" w:type="dxa"/>
          </w:tcPr>
          <w:p w14:paraId="7BAF7883" w14:textId="77777777" w:rsidR="00430FEA" w:rsidRPr="00430FEA" w:rsidRDefault="00430FEA" w:rsidP="00430FEA">
            <w:pPr>
              <w:rPr>
                <w:rFonts w:ascii="Calibri" w:eastAsiaTheme="minorHAnsi" w:hAnsi="Calibri" w:cs="Calibri"/>
                <w:sz w:val="24"/>
                <w:szCs w:val="24"/>
              </w:rPr>
            </w:pPr>
            <w:r w:rsidRPr="00430FEA">
              <w:rPr>
                <w:rFonts w:ascii="Calibri" w:eastAsiaTheme="minorHAnsi" w:hAnsi="Calibri" w:cs="Calibri"/>
                <w:sz w:val="24"/>
                <w:szCs w:val="24"/>
              </w:rPr>
              <w:t>Infiltration (Shell Sealing)</w:t>
            </w:r>
          </w:p>
        </w:tc>
        <w:tc>
          <w:tcPr>
            <w:tcW w:w="3357" w:type="dxa"/>
          </w:tcPr>
          <w:p w14:paraId="15AF409D" w14:textId="77777777" w:rsidR="00430FEA" w:rsidRPr="00430FEA" w:rsidRDefault="00430FEA" w:rsidP="00430FEA">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7</w:t>
            </w:r>
          </w:p>
        </w:tc>
      </w:tr>
      <w:tr w:rsidR="00430FEA" w:rsidRPr="00430FEA" w14:paraId="56AFB902" w14:textId="77777777" w:rsidTr="00C363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7" w:type="dxa"/>
          </w:tcPr>
          <w:p w14:paraId="02907051" w14:textId="77777777" w:rsidR="00430FEA" w:rsidRPr="00430FEA" w:rsidRDefault="00430FEA" w:rsidP="00430FEA">
            <w:pPr>
              <w:rPr>
                <w:rFonts w:ascii="Calibri" w:eastAsiaTheme="minorHAnsi" w:hAnsi="Calibri" w:cs="Calibri"/>
                <w:sz w:val="24"/>
                <w:szCs w:val="24"/>
              </w:rPr>
            </w:pPr>
            <w:r w:rsidRPr="00430FEA">
              <w:rPr>
                <w:rFonts w:ascii="Calibri" w:eastAsiaTheme="minorHAnsi" w:hAnsi="Calibri" w:cs="Calibri"/>
                <w:sz w:val="24"/>
                <w:szCs w:val="24"/>
              </w:rPr>
              <w:t xml:space="preserve">Wall Insulation  </w:t>
            </w:r>
          </w:p>
        </w:tc>
        <w:tc>
          <w:tcPr>
            <w:tcW w:w="3357" w:type="dxa"/>
          </w:tcPr>
          <w:p w14:paraId="7A317703" w14:textId="77777777" w:rsidR="00430FEA" w:rsidRPr="00430FEA" w:rsidRDefault="00430FEA" w:rsidP="00430FEA">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2</w:t>
            </w:r>
          </w:p>
        </w:tc>
      </w:tr>
      <w:tr w:rsidR="00430FEA" w:rsidRPr="00430FEA" w14:paraId="1B629A9B" w14:textId="77777777" w:rsidTr="00C3630C">
        <w:trPr>
          <w:jc w:val="center"/>
        </w:trPr>
        <w:tc>
          <w:tcPr>
            <w:cnfStyle w:val="001000000000" w:firstRow="0" w:lastRow="0" w:firstColumn="1" w:lastColumn="0" w:oddVBand="0" w:evenVBand="0" w:oddHBand="0" w:evenHBand="0" w:firstRowFirstColumn="0" w:firstRowLastColumn="0" w:lastRowFirstColumn="0" w:lastRowLastColumn="0"/>
            <w:tcW w:w="3357" w:type="dxa"/>
          </w:tcPr>
          <w:p w14:paraId="2E59695B" w14:textId="77777777" w:rsidR="00430FEA" w:rsidRPr="00430FEA" w:rsidRDefault="00430FEA" w:rsidP="00430FEA">
            <w:pPr>
              <w:rPr>
                <w:rFonts w:ascii="Calibri" w:eastAsiaTheme="minorHAnsi" w:hAnsi="Calibri" w:cs="Calibri"/>
                <w:sz w:val="24"/>
                <w:szCs w:val="24"/>
              </w:rPr>
            </w:pPr>
            <w:r w:rsidRPr="00430FEA">
              <w:rPr>
                <w:rFonts w:ascii="Calibri" w:eastAsiaTheme="minorHAnsi" w:hAnsi="Calibri" w:cs="Calibri"/>
                <w:sz w:val="24"/>
                <w:szCs w:val="24"/>
              </w:rPr>
              <w:t xml:space="preserve">Hot Water Pipe Insulation  </w:t>
            </w:r>
          </w:p>
        </w:tc>
        <w:tc>
          <w:tcPr>
            <w:tcW w:w="3357" w:type="dxa"/>
          </w:tcPr>
          <w:p w14:paraId="372B838D" w14:textId="77777777" w:rsidR="00430FEA" w:rsidRPr="00430FEA" w:rsidRDefault="00430FEA" w:rsidP="00430FEA">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1</w:t>
            </w:r>
          </w:p>
        </w:tc>
      </w:tr>
      <w:tr w:rsidR="00430FEA" w:rsidRPr="00430FEA" w14:paraId="7C624D06" w14:textId="77777777" w:rsidTr="00C363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7" w:type="dxa"/>
          </w:tcPr>
          <w:p w14:paraId="30D1F2BE" w14:textId="77777777" w:rsidR="00430FEA" w:rsidRPr="00430FEA" w:rsidRDefault="00430FEA" w:rsidP="00430FEA">
            <w:pPr>
              <w:rPr>
                <w:rFonts w:ascii="Calibri" w:eastAsiaTheme="minorHAnsi" w:hAnsi="Calibri" w:cs="Calibri"/>
                <w:sz w:val="24"/>
                <w:szCs w:val="24"/>
              </w:rPr>
            </w:pPr>
            <w:r w:rsidRPr="00430FEA">
              <w:rPr>
                <w:rFonts w:ascii="Calibri" w:eastAsiaTheme="minorHAnsi" w:hAnsi="Calibri" w:cs="Calibri"/>
                <w:sz w:val="24"/>
                <w:szCs w:val="24"/>
              </w:rPr>
              <w:t xml:space="preserve">Duct Sealing  </w:t>
            </w:r>
          </w:p>
        </w:tc>
        <w:tc>
          <w:tcPr>
            <w:tcW w:w="3357" w:type="dxa"/>
          </w:tcPr>
          <w:p w14:paraId="015A32FA" w14:textId="77777777" w:rsidR="00430FEA" w:rsidRPr="00430FEA" w:rsidRDefault="00430FEA" w:rsidP="00430FEA">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0</w:t>
            </w:r>
          </w:p>
        </w:tc>
      </w:tr>
      <w:tr w:rsidR="00430FEA" w:rsidRPr="00430FEA" w14:paraId="6265A9A1" w14:textId="77777777" w:rsidTr="00C3630C">
        <w:trPr>
          <w:jc w:val="center"/>
        </w:trPr>
        <w:tc>
          <w:tcPr>
            <w:cnfStyle w:val="001000000000" w:firstRow="0" w:lastRow="0" w:firstColumn="1" w:lastColumn="0" w:oddVBand="0" w:evenVBand="0" w:oddHBand="0" w:evenHBand="0" w:firstRowFirstColumn="0" w:firstRowLastColumn="0" w:lastRowFirstColumn="0" w:lastRowLastColumn="0"/>
            <w:tcW w:w="3357" w:type="dxa"/>
          </w:tcPr>
          <w:p w14:paraId="6231E5D3" w14:textId="77777777" w:rsidR="00430FEA" w:rsidRPr="00430FEA" w:rsidRDefault="00430FEA" w:rsidP="00430FEA">
            <w:pPr>
              <w:rPr>
                <w:rFonts w:ascii="Calibri" w:eastAsiaTheme="minorHAnsi" w:hAnsi="Calibri" w:cs="Calibri"/>
                <w:sz w:val="24"/>
                <w:szCs w:val="24"/>
              </w:rPr>
            </w:pPr>
            <w:r w:rsidRPr="00430FEA">
              <w:rPr>
                <w:rFonts w:ascii="Calibri" w:eastAsiaTheme="minorHAnsi" w:hAnsi="Calibri" w:cs="Calibri"/>
                <w:sz w:val="24"/>
                <w:szCs w:val="24"/>
              </w:rPr>
              <w:t xml:space="preserve">90% + High Efficiency Furnace  </w:t>
            </w:r>
          </w:p>
        </w:tc>
        <w:tc>
          <w:tcPr>
            <w:tcW w:w="3357" w:type="dxa"/>
          </w:tcPr>
          <w:p w14:paraId="2F4AC49E" w14:textId="77777777" w:rsidR="00430FEA" w:rsidRPr="00430FEA" w:rsidRDefault="00430FEA" w:rsidP="00430FEA">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sz w:val="24"/>
                <w:szCs w:val="24"/>
              </w:rPr>
            </w:pPr>
            <w:r w:rsidRPr="00430FEA">
              <w:rPr>
                <w:rFonts w:ascii="Calibri" w:eastAsiaTheme="minorHAnsi" w:hAnsi="Calibri" w:cs="Calibri"/>
                <w:sz w:val="24"/>
                <w:szCs w:val="24"/>
              </w:rPr>
              <w:t>0</w:t>
            </w:r>
          </w:p>
        </w:tc>
      </w:tr>
    </w:tbl>
    <w:p w14:paraId="71296339" w14:textId="77777777" w:rsidR="00430FEA" w:rsidRPr="00430FEA" w:rsidRDefault="00430FEA" w:rsidP="00430FEA">
      <w:pPr>
        <w:tabs>
          <w:tab w:val="num" w:pos="1080"/>
        </w:tabs>
        <w:ind w:left="1080"/>
        <w:rPr>
          <w:rFonts w:ascii="Calibri" w:eastAsiaTheme="minorHAnsi" w:hAnsi="Calibri" w:cs="Calibri"/>
          <w:bCs/>
          <w:sz w:val="16"/>
          <w:szCs w:val="16"/>
        </w:rPr>
      </w:pPr>
    </w:p>
    <w:p w14:paraId="64AAEC24" w14:textId="733337D4" w:rsidR="00430FEA" w:rsidRPr="001B0EE5" w:rsidRDefault="00430FEA" w:rsidP="00430FEA">
      <w:pPr>
        <w:rPr>
          <w:rFonts w:ascii="Calibri" w:eastAsiaTheme="minorHAnsi" w:hAnsi="Calibri" w:cs="Calibri"/>
          <w:sz w:val="12"/>
          <w:szCs w:val="12"/>
        </w:rPr>
      </w:pPr>
      <w:r w:rsidRPr="00430FEA">
        <w:rPr>
          <w:rFonts w:ascii="Calibri" w:eastAsiaTheme="minorHAnsi" w:hAnsi="Calibri" w:cs="Calibri"/>
          <w:sz w:val="24"/>
          <w:szCs w:val="24"/>
        </w:rPr>
        <w:t>The next table lists the 2016 program goals for WA-LIEE as stated in the Company’s EE Plan and the actual results as of June 30, 2016 as compared to our progress at this point over the last three years:</w:t>
      </w:r>
    </w:p>
    <w:p w14:paraId="08A27E2D" w14:textId="0DF9D3E4" w:rsidR="00430FEA" w:rsidRPr="00430FEA" w:rsidRDefault="001B0EE5" w:rsidP="00430FEA">
      <w:pPr>
        <w:rPr>
          <w:rFonts w:ascii="Calibri" w:eastAsiaTheme="minorHAnsi" w:hAnsi="Calibri" w:cs="Calibri"/>
          <w:sz w:val="12"/>
          <w:szCs w:val="12"/>
        </w:rPr>
      </w:pPr>
      <w:r w:rsidRPr="001B0EE5">
        <w:rPr>
          <w:rFonts w:ascii="Calibri" w:eastAsiaTheme="minorHAnsi" w:hAnsi="Calibri" w:cs="Calibri"/>
          <w:sz w:val="12"/>
          <w:szCs w:val="12"/>
        </w:rPr>
        <w:t xml:space="preserve">  </w:t>
      </w:r>
    </w:p>
    <w:tbl>
      <w:tblPr>
        <w:tblW w:w="8910" w:type="dxa"/>
        <w:tblInd w:w="198" w:type="dxa"/>
        <w:tblCellMar>
          <w:left w:w="0" w:type="dxa"/>
          <w:right w:w="0" w:type="dxa"/>
        </w:tblCellMar>
        <w:tblLook w:val="04A0" w:firstRow="1" w:lastRow="0" w:firstColumn="1" w:lastColumn="0" w:noHBand="0" w:noVBand="1"/>
      </w:tblPr>
      <w:tblGrid>
        <w:gridCol w:w="2445"/>
        <w:gridCol w:w="1313"/>
        <w:gridCol w:w="1288"/>
        <w:gridCol w:w="1288"/>
        <w:gridCol w:w="1288"/>
        <w:gridCol w:w="1288"/>
      </w:tblGrid>
      <w:tr w:rsidR="00430FEA" w:rsidRPr="00430FEA" w14:paraId="142D496A" w14:textId="77777777" w:rsidTr="00C3630C">
        <w:trPr>
          <w:trHeight w:val="400"/>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3202CA" w14:textId="77777777" w:rsidR="00430FEA" w:rsidRPr="00430FEA" w:rsidRDefault="00430FEA" w:rsidP="00430FEA">
            <w:pPr>
              <w:rPr>
                <w:rFonts w:ascii="Calibri" w:eastAsiaTheme="minorHAnsi" w:hAnsi="Calibri" w:cs="Calibri"/>
                <w:szCs w:val="22"/>
              </w:rPr>
            </w:pPr>
          </w:p>
        </w:tc>
        <w:tc>
          <w:tcPr>
            <w:tcW w:w="1325"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14:paraId="75A1AD76" w14:textId="77777777" w:rsidR="00430FEA" w:rsidRPr="00430FEA" w:rsidRDefault="00430FEA" w:rsidP="00430FEA">
            <w:pPr>
              <w:jc w:val="center"/>
              <w:rPr>
                <w:rFonts w:ascii="Calibri" w:eastAsiaTheme="minorHAnsi" w:hAnsi="Calibri" w:cs="Calibri"/>
                <w:b/>
                <w:bCs/>
                <w:szCs w:val="22"/>
              </w:rPr>
            </w:pPr>
            <w:r w:rsidRPr="00430FEA">
              <w:rPr>
                <w:rFonts w:ascii="Calibri" w:eastAsiaTheme="minorHAnsi" w:hAnsi="Calibri" w:cs="Calibri"/>
                <w:b/>
                <w:bCs/>
                <w:szCs w:val="22"/>
              </w:rPr>
              <w:t>Estimated for 2016</w:t>
            </w:r>
          </w:p>
        </w:tc>
        <w:tc>
          <w:tcPr>
            <w:tcW w:w="1325" w:type="dxa"/>
            <w:tcBorders>
              <w:top w:val="single" w:sz="4" w:space="0" w:color="auto"/>
              <w:left w:val="single" w:sz="4" w:space="0" w:color="auto"/>
              <w:bottom w:val="single" w:sz="4" w:space="0" w:color="auto"/>
              <w:right w:val="single" w:sz="4" w:space="0" w:color="auto"/>
            </w:tcBorders>
            <w:shd w:val="pct12" w:color="FFFF00" w:fill="D9D9D9" w:themeFill="background1" w:themeFillShade="D9"/>
          </w:tcPr>
          <w:p w14:paraId="56887CE7" w14:textId="77777777" w:rsidR="00430FEA" w:rsidRPr="00430FEA" w:rsidRDefault="00430FEA" w:rsidP="00430FEA">
            <w:pPr>
              <w:jc w:val="center"/>
              <w:rPr>
                <w:rFonts w:ascii="Calibri" w:eastAsiaTheme="minorHAnsi" w:hAnsi="Calibri" w:cs="Calibri"/>
                <w:b/>
                <w:bCs/>
                <w:szCs w:val="22"/>
              </w:rPr>
            </w:pPr>
            <w:r w:rsidRPr="00430FEA">
              <w:rPr>
                <w:rFonts w:ascii="Calibri" w:eastAsiaTheme="minorHAnsi" w:hAnsi="Calibri" w:cs="Calibri"/>
                <w:b/>
                <w:bCs/>
                <w:szCs w:val="22"/>
              </w:rPr>
              <w:t>Actual as of 6/30/16</w:t>
            </w:r>
          </w:p>
        </w:tc>
        <w:tc>
          <w:tcPr>
            <w:tcW w:w="1325" w:type="dxa"/>
            <w:tcBorders>
              <w:top w:val="single" w:sz="8" w:space="0" w:color="000000"/>
              <w:left w:val="single" w:sz="4" w:space="0" w:color="auto"/>
              <w:bottom w:val="single" w:sz="8" w:space="0" w:color="000000"/>
              <w:right w:val="single" w:sz="4" w:space="0" w:color="auto"/>
            </w:tcBorders>
            <w:shd w:val="clear" w:color="auto" w:fill="auto"/>
          </w:tcPr>
          <w:p w14:paraId="4D2C9F7B" w14:textId="77777777" w:rsidR="00430FEA" w:rsidRPr="00430FEA" w:rsidRDefault="00430FEA" w:rsidP="00430FEA">
            <w:pPr>
              <w:jc w:val="center"/>
              <w:rPr>
                <w:rFonts w:ascii="Calibri" w:eastAsiaTheme="minorHAnsi" w:hAnsi="Calibri" w:cs="Calibri"/>
                <w:b/>
                <w:bCs/>
                <w:szCs w:val="22"/>
              </w:rPr>
            </w:pPr>
            <w:r w:rsidRPr="00430FEA">
              <w:rPr>
                <w:rFonts w:ascii="Calibri" w:eastAsiaTheme="minorHAnsi" w:hAnsi="Calibri" w:cs="Calibri"/>
                <w:b/>
                <w:bCs/>
                <w:szCs w:val="22"/>
              </w:rPr>
              <w:t>Actual as of 6/30/15</w:t>
            </w:r>
          </w:p>
        </w:tc>
        <w:tc>
          <w:tcPr>
            <w:tcW w:w="1325" w:type="dxa"/>
            <w:tcBorders>
              <w:top w:val="single" w:sz="4" w:space="0" w:color="auto"/>
              <w:left w:val="single" w:sz="4" w:space="0" w:color="auto"/>
              <w:bottom w:val="single" w:sz="6" w:space="0" w:color="auto"/>
              <w:right w:val="single" w:sz="4" w:space="0" w:color="auto"/>
            </w:tcBorders>
            <w:shd w:val="clear" w:color="FFFF00" w:fill="auto"/>
          </w:tcPr>
          <w:p w14:paraId="43EF0B4C" w14:textId="77777777" w:rsidR="00430FEA" w:rsidRPr="00430FEA" w:rsidRDefault="00430FEA" w:rsidP="00430FEA">
            <w:pPr>
              <w:jc w:val="center"/>
              <w:rPr>
                <w:rFonts w:ascii="Calibri" w:eastAsiaTheme="minorHAnsi" w:hAnsi="Calibri" w:cs="Calibri"/>
                <w:b/>
                <w:bCs/>
                <w:szCs w:val="22"/>
              </w:rPr>
            </w:pPr>
            <w:r w:rsidRPr="00430FEA">
              <w:rPr>
                <w:rFonts w:ascii="Calibri" w:eastAsiaTheme="minorHAnsi" w:hAnsi="Calibri" w:cs="Calibri"/>
                <w:b/>
                <w:bCs/>
                <w:szCs w:val="22"/>
              </w:rPr>
              <w:t>Actual as of 6/30/14</w:t>
            </w:r>
          </w:p>
        </w:tc>
        <w:tc>
          <w:tcPr>
            <w:tcW w:w="1325" w:type="dxa"/>
            <w:tcBorders>
              <w:top w:val="single" w:sz="8" w:space="0" w:color="000000"/>
              <w:left w:val="single" w:sz="4" w:space="0" w:color="auto"/>
              <w:bottom w:val="single" w:sz="8" w:space="0" w:color="000000"/>
              <w:right w:val="single" w:sz="8" w:space="0" w:color="000000"/>
            </w:tcBorders>
            <w:shd w:val="pct12" w:color="FFFF00" w:fill="auto"/>
            <w:vAlign w:val="center"/>
          </w:tcPr>
          <w:p w14:paraId="449145BD" w14:textId="77777777" w:rsidR="00430FEA" w:rsidRPr="00430FEA" w:rsidRDefault="00430FEA" w:rsidP="00430FEA">
            <w:pPr>
              <w:jc w:val="center"/>
              <w:rPr>
                <w:rFonts w:ascii="Calibri" w:eastAsiaTheme="minorHAnsi" w:hAnsi="Calibri" w:cs="Calibri"/>
                <w:b/>
                <w:bCs/>
                <w:szCs w:val="22"/>
              </w:rPr>
            </w:pPr>
            <w:r w:rsidRPr="00430FEA">
              <w:rPr>
                <w:rFonts w:ascii="Calibri" w:eastAsiaTheme="minorHAnsi" w:hAnsi="Calibri" w:cs="Calibri"/>
                <w:b/>
                <w:bCs/>
                <w:szCs w:val="22"/>
              </w:rPr>
              <w:t>Actual as of 6/30/13</w:t>
            </w:r>
          </w:p>
        </w:tc>
      </w:tr>
      <w:tr w:rsidR="00430FEA" w:rsidRPr="00430FEA" w14:paraId="59A96FE1" w14:textId="77777777" w:rsidTr="001B0EE5">
        <w:trPr>
          <w:trHeight w:val="349"/>
        </w:trPr>
        <w:tc>
          <w:tcPr>
            <w:tcW w:w="2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66349C" w14:textId="77777777" w:rsidR="00430FEA" w:rsidRPr="00430FEA" w:rsidRDefault="00430FEA" w:rsidP="00430FEA">
            <w:pPr>
              <w:rPr>
                <w:rFonts w:ascii="Calibri" w:eastAsiaTheme="minorHAnsi" w:hAnsi="Calibri" w:cs="Calibri"/>
                <w:szCs w:val="22"/>
              </w:rPr>
            </w:pPr>
            <w:r w:rsidRPr="00430FEA">
              <w:rPr>
                <w:rFonts w:ascii="Calibri" w:eastAsiaTheme="minorHAnsi" w:hAnsi="Calibri" w:cs="Calibri"/>
                <w:szCs w:val="22"/>
              </w:rPr>
              <w:t>Homes served</w:t>
            </w:r>
          </w:p>
        </w:tc>
        <w:tc>
          <w:tcPr>
            <w:tcW w:w="1325"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73FD1AFD"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15-25</w:t>
            </w:r>
          </w:p>
        </w:tc>
        <w:tc>
          <w:tcPr>
            <w:tcW w:w="1325" w:type="dxa"/>
            <w:tcBorders>
              <w:top w:val="single" w:sz="4" w:space="0" w:color="auto"/>
              <w:left w:val="single" w:sz="4" w:space="0" w:color="auto"/>
              <w:bottom w:val="single" w:sz="4" w:space="0" w:color="auto"/>
              <w:right w:val="single" w:sz="4" w:space="0" w:color="auto"/>
            </w:tcBorders>
            <w:shd w:val="pct12" w:color="FFFF00" w:fill="D9D9D9" w:themeFill="background1" w:themeFillShade="D9"/>
            <w:vAlign w:val="center"/>
          </w:tcPr>
          <w:p w14:paraId="50013F57"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11</w:t>
            </w:r>
          </w:p>
        </w:tc>
        <w:tc>
          <w:tcPr>
            <w:tcW w:w="1325" w:type="dxa"/>
            <w:tcBorders>
              <w:top w:val="single" w:sz="8" w:space="0" w:color="000000"/>
              <w:left w:val="single" w:sz="4" w:space="0" w:color="auto"/>
              <w:bottom w:val="single" w:sz="8" w:space="0" w:color="000000"/>
              <w:right w:val="single" w:sz="4" w:space="0" w:color="auto"/>
            </w:tcBorders>
            <w:shd w:val="clear" w:color="auto" w:fill="auto"/>
            <w:vAlign w:val="center"/>
          </w:tcPr>
          <w:p w14:paraId="5AE7C7F1"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6</w:t>
            </w:r>
          </w:p>
        </w:tc>
        <w:tc>
          <w:tcPr>
            <w:tcW w:w="1325" w:type="dxa"/>
            <w:tcBorders>
              <w:top w:val="single" w:sz="6" w:space="0" w:color="auto"/>
              <w:left w:val="single" w:sz="4" w:space="0" w:color="auto"/>
              <w:bottom w:val="single" w:sz="6" w:space="0" w:color="auto"/>
              <w:right w:val="single" w:sz="4" w:space="0" w:color="auto"/>
            </w:tcBorders>
            <w:shd w:val="clear" w:color="FFFF00" w:fill="auto"/>
            <w:vAlign w:val="center"/>
          </w:tcPr>
          <w:p w14:paraId="08EE5281"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4</w:t>
            </w:r>
          </w:p>
        </w:tc>
        <w:tc>
          <w:tcPr>
            <w:tcW w:w="1325" w:type="dxa"/>
            <w:tcBorders>
              <w:top w:val="single" w:sz="8" w:space="0" w:color="000000"/>
              <w:left w:val="single" w:sz="4" w:space="0" w:color="auto"/>
              <w:bottom w:val="single" w:sz="6" w:space="0" w:color="000000"/>
              <w:right w:val="single" w:sz="8" w:space="0" w:color="000000"/>
            </w:tcBorders>
            <w:shd w:val="pct12" w:color="FFFF00" w:fill="auto"/>
            <w:vAlign w:val="center"/>
          </w:tcPr>
          <w:p w14:paraId="39DFCC32"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7</w:t>
            </w:r>
          </w:p>
        </w:tc>
      </w:tr>
      <w:tr w:rsidR="00430FEA" w:rsidRPr="00430FEA" w14:paraId="08C4D9B9" w14:textId="77777777" w:rsidTr="00C3630C">
        <w:trPr>
          <w:trHeight w:val="400"/>
        </w:trPr>
        <w:tc>
          <w:tcPr>
            <w:tcW w:w="2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60326" w14:textId="77777777" w:rsidR="00430FEA" w:rsidRPr="00430FEA" w:rsidRDefault="00430FEA" w:rsidP="00430FEA">
            <w:pPr>
              <w:rPr>
                <w:rFonts w:ascii="Calibri" w:eastAsiaTheme="minorHAnsi" w:hAnsi="Calibri" w:cs="Calibri"/>
                <w:szCs w:val="22"/>
              </w:rPr>
            </w:pPr>
            <w:r w:rsidRPr="00430FEA">
              <w:rPr>
                <w:rFonts w:ascii="Calibri" w:eastAsiaTheme="minorHAnsi" w:hAnsi="Calibri" w:cs="Calibri"/>
                <w:szCs w:val="22"/>
              </w:rPr>
              <w:t>Average Cost of Incentives per home</w:t>
            </w:r>
          </w:p>
        </w:tc>
        <w:tc>
          <w:tcPr>
            <w:tcW w:w="1325"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37239EAC"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$5,200</w:t>
            </w:r>
          </w:p>
        </w:tc>
        <w:tc>
          <w:tcPr>
            <w:tcW w:w="1325" w:type="dxa"/>
            <w:tcBorders>
              <w:top w:val="single" w:sz="4" w:space="0" w:color="auto"/>
              <w:left w:val="single" w:sz="4" w:space="0" w:color="auto"/>
              <w:bottom w:val="single" w:sz="4" w:space="0" w:color="auto"/>
              <w:right w:val="single" w:sz="4" w:space="0" w:color="auto"/>
            </w:tcBorders>
            <w:shd w:val="pct12" w:color="FFFF00" w:fill="D9D9D9" w:themeFill="background1" w:themeFillShade="D9"/>
            <w:vAlign w:val="center"/>
          </w:tcPr>
          <w:p w14:paraId="6C8B0C77"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$4,629</w:t>
            </w:r>
          </w:p>
        </w:tc>
        <w:tc>
          <w:tcPr>
            <w:tcW w:w="1325" w:type="dxa"/>
            <w:tcBorders>
              <w:top w:val="single" w:sz="8" w:space="0" w:color="000000"/>
              <w:left w:val="single" w:sz="4" w:space="0" w:color="auto"/>
              <w:bottom w:val="single" w:sz="8" w:space="0" w:color="000000"/>
              <w:right w:val="single" w:sz="4" w:space="0" w:color="auto"/>
            </w:tcBorders>
            <w:shd w:val="clear" w:color="auto" w:fill="auto"/>
            <w:vAlign w:val="center"/>
          </w:tcPr>
          <w:p w14:paraId="2D6A2539"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$3,500</w:t>
            </w:r>
          </w:p>
        </w:tc>
        <w:tc>
          <w:tcPr>
            <w:tcW w:w="1325" w:type="dxa"/>
            <w:tcBorders>
              <w:top w:val="single" w:sz="6" w:space="0" w:color="auto"/>
              <w:left w:val="single" w:sz="4" w:space="0" w:color="auto"/>
              <w:bottom w:val="single" w:sz="6" w:space="0" w:color="auto"/>
              <w:right w:val="single" w:sz="4" w:space="0" w:color="auto"/>
            </w:tcBorders>
            <w:shd w:val="clear" w:color="FFFF00" w:fill="auto"/>
            <w:vAlign w:val="center"/>
          </w:tcPr>
          <w:p w14:paraId="5C22B613"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$3,238</w:t>
            </w:r>
          </w:p>
        </w:tc>
        <w:tc>
          <w:tcPr>
            <w:tcW w:w="1325" w:type="dxa"/>
            <w:tcBorders>
              <w:top w:val="single" w:sz="6" w:space="0" w:color="000000"/>
              <w:left w:val="single" w:sz="4" w:space="0" w:color="auto"/>
              <w:bottom w:val="single" w:sz="6" w:space="0" w:color="000000"/>
              <w:right w:val="single" w:sz="8" w:space="0" w:color="000000"/>
            </w:tcBorders>
            <w:shd w:val="pct12" w:color="FFFF00" w:fill="auto"/>
            <w:vAlign w:val="center"/>
          </w:tcPr>
          <w:p w14:paraId="3AAFE3D9"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$3,334</w:t>
            </w:r>
          </w:p>
        </w:tc>
      </w:tr>
      <w:tr w:rsidR="00430FEA" w:rsidRPr="00430FEA" w14:paraId="7BD8709C" w14:textId="77777777" w:rsidTr="00C3630C">
        <w:trPr>
          <w:trHeight w:val="400"/>
        </w:trPr>
        <w:tc>
          <w:tcPr>
            <w:tcW w:w="2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E1322D" w14:textId="77777777" w:rsidR="00430FEA" w:rsidRPr="00430FEA" w:rsidRDefault="00430FEA" w:rsidP="00430FEA">
            <w:pPr>
              <w:rPr>
                <w:rFonts w:ascii="Calibri" w:eastAsiaTheme="minorHAnsi" w:hAnsi="Calibri" w:cs="Calibri"/>
                <w:szCs w:val="22"/>
              </w:rPr>
            </w:pPr>
            <w:r w:rsidRPr="00430FEA">
              <w:rPr>
                <w:rFonts w:ascii="Calibri" w:eastAsiaTheme="minorHAnsi" w:hAnsi="Calibri" w:cs="Calibri"/>
                <w:szCs w:val="22"/>
              </w:rPr>
              <w:t>Cost per home ($5,200 incentives + $440 health, safety and repairs and $780 administration costs)</w:t>
            </w:r>
          </w:p>
        </w:tc>
        <w:tc>
          <w:tcPr>
            <w:tcW w:w="1325"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144EA305"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$6,420</w:t>
            </w:r>
          </w:p>
        </w:tc>
        <w:tc>
          <w:tcPr>
            <w:tcW w:w="1325" w:type="dxa"/>
            <w:tcBorders>
              <w:top w:val="single" w:sz="4" w:space="0" w:color="auto"/>
              <w:left w:val="single" w:sz="4" w:space="0" w:color="auto"/>
              <w:bottom w:val="single" w:sz="4" w:space="0" w:color="auto"/>
              <w:right w:val="single" w:sz="4" w:space="0" w:color="auto"/>
            </w:tcBorders>
            <w:shd w:val="pct12" w:color="FFFF00" w:fill="D9D9D9" w:themeFill="background1" w:themeFillShade="D9"/>
            <w:vAlign w:val="center"/>
          </w:tcPr>
          <w:p w14:paraId="27D0B2EA"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$5,646</w:t>
            </w:r>
          </w:p>
        </w:tc>
        <w:tc>
          <w:tcPr>
            <w:tcW w:w="1325" w:type="dxa"/>
            <w:tcBorders>
              <w:top w:val="single" w:sz="8" w:space="0" w:color="000000"/>
              <w:left w:val="single" w:sz="4" w:space="0" w:color="auto"/>
              <w:bottom w:val="single" w:sz="8" w:space="0" w:color="000000"/>
              <w:right w:val="single" w:sz="4" w:space="0" w:color="auto"/>
            </w:tcBorders>
            <w:shd w:val="clear" w:color="auto" w:fill="auto"/>
            <w:vAlign w:val="center"/>
          </w:tcPr>
          <w:p w14:paraId="0C6C790D"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$4,465</w:t>
            </w:r>
          </w:p>
        </w:tc>
        <w:tc>
          <w:tcPr>
            <w:tcW w:w="1325" w:type="dxa"/>
            <w:tcBorders>
              <w:top w:val="single" w:sz="6" w:space="0" w:color="auto"/>
              <w:left w:val="single" w:sz="4" w:space="0" w:color="auto"/>
              <w:bottom w:val="single" w:sz="6" w:space="0" w:color="auto"/>
              <w:right w:val="single" w:sz="4" w:space="0" w:color="auto"/>
            </w:tcBorders>
            <w:shd w:val="clear" w:color="FFFF00" w:fill="auto"/>
            <w:vAlign w:val="center"/>
          </w:tcPr>
          <w:p w14:paraId="386CAA7C"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$4,164</w:t>
            </w:r>
          </w:p>
        </w:tc>
        <w:tc>
          <w:tcPr>
            <w:tcW w:w="1325" w:type="dxa"/>
            <w:tcBorders>
              <w:top w:val="single" w:sz="6" w:space="0" w:color="000000"/>
              <w:left w:val="single" w:sz="4" w:space="0" w:color="auto"/>
              <w:bottom w:val="single" w:sz="6" w:space="0" w:color="000000"/>
              <w:right w:val="single" w:sz="8" w:space="0" w:color="000000"/>
            </w:tcBorders>
            <w:shd w:val="pct12" w:color="FFFF00" w:fill="auto"/>
            <w:vAlign w:val="center"/>
          </w:tcPr>
          <w:p w14:paraId="3BD52AD1"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$4,274</w:t>
            </w:r>
          </w:p>
        </w:tc>
      </w:tr>
      <w:tr w:rsidR="00430FEA" w:rsidRPr="00430FEA" w14:paraId="252ABF74" w14:textId="77777777" w:rsidTr="00C3630C">
        <w:trPr>
          <w:trHeight w:val="400"/>
        </w:trPr>
        <w:tc>
          <w:tcPr>
            <w:tcW w:w="2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6504F6" w14:textId="77777777" w:rsidR="00430FEA" w:rsidRPr="00430FEA" w:rsidRDefault="00430FEA" w:rsidP="00430FEA">
            <w:pPr>
              <w:rPr>
                <w:rFonts w:ascii="Calibri" w:eastAsiaTheme="minorHAnsi" w:hAnsi="Calibri" w:cs="Calibri"/>
                <w:szCs w:val="22"/>
              </w:rPr>
            </w:pPr>
            <w:r w:rsidRPr="00430FEA">
              <w:rPr>
                <w:rFonts w:ascii="Calibri" w:eastAsiaTheme="minorHAnsi" w:hAnsi="Calibri" w:cs="Calibri"/>
                <w:szCs w:val="22"/>
              </w:rPr>
              <w:t xml:space="preserve">Total cost </w:t>
            </w:r>
          </w:p>
        </w:tc>
        <w:tc>
          <w:tcPr>
            <w:tcW w:w="1325"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737C279B"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$96,300 to $160,500</w:t>
            </w:r>
          </w:p>
        </w:tc>
        <w:tc>
          <w:tcPr>
            <w:tcW w:w="1325" w:type="dxa"/>
            <w:tcBorders>
              <w:top w:val="single" w:sz="4" w:space="0" w:color="auto"/>
              <w:left w:val="single" w:sz="4" w:space="0" w:color="auto"/>
              <w:bottom w:val="single" w:sz="4" w:space="0" w:color="auto"/>
              <w:right w:val="single" w:sz="4" w:space="0" w:color="auto"/>
            </w:tcBorders>
            <w:shd w:val="pct12" w:color="FFFF00" w:fill="D9D9D9" w:themeFill="background1" w:themeFillShade="D9"/>
            <w:vAlign w:val="center"/>
          </w:tcPr>
          <w:p w14:paraId="7D086821"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$62,110</w:t>
            </w:r>
          </w:p>
        </w:tc>
        <w:tc>
          <w:tcPr>
            <w:tcW w:w="1325" w:type="dxa"/>
            <w:tcBorders>
              <w:top w:val="single" w:sz="8" w:space="0" w:color="000000"/>
              <w:left w:val="single" w:sz="4" w:space="0" w:color="auto"/>
              <w:bottom w:val="single" w:sz="8" w:space="0" w:color="000000"/>
              <w:right w:val="single" w:sz="4" w:space="0" w:color="auto"/>
            </w:tcBorders>
            <w:shd w:val="clear" w:color="auto" w:fill="auto"/>
            <w:vAlign w:val="center"/>
          </w:tcPr>
          <w:p w14:paraId="468FBFBC"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$26,790</w:t>
            </w:r>
          </w:p>
        </w:tc>
        <w:tc>
          <w:tcPr>
            <w:tcW w:w="1325" w:type="dxa"/>
            <w:tcBorders>
              <w:top w:val="single" w:sz="6" w:space="0" w:color="auto"/>
              <w:left w:val="single" w:sz="4" w:space="0" w:color="auto"/>
              <w:bottom w:val="single" w:sz="6" w:space="0" w:color="auto"/>
              <w:right w:val="single" w:sz="4" w:space="0" w:color="auto"/>
            </w:tcBorders>
            <w:shd w:val="clear" w:color="FFFF00" w:fill="auto"/>
            <w:vAlign w:val="center"/>
          </w:tcPr>
          <w:p w14:paraId="13BB71FB"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$16,654</w:t>
            </w:r>
          </w:p>
        </w:tc>
        <w:tc>
          <w:tcPr>
            <w:tcW w:w="1325" w:type="dxa"/>
            <w:tcBorders>
              <w:top w:val="single" w:sz="6" w:space="0" w:color="000000"/>
              <w:left w:val="single" w:sz="4" w:space="0" w:color="auto"/>
              <w:bottom w:val="single" w:sz="6" w:space="0" w:color="000000"/>
              <w:right w:val="single" w:sz="8" w:space="0" w:color="000000"/>
            </w:tcBorders>
            <w:shd w:val="pct12" w:color="FFFF00" w:fill="auto"/>
            <w:vAlign w:val="center"/>
          </w:tcPr>
          <w:p w14:paraId="19106621"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$29,920</w:t>
            </w:r>
          </w:p>
        </w:tc>
      </w:tr>
      <w:tr w:rsidR="00430FEA" w:rsidRPr="00430FEA" w14:paraId="4EBF8A3C" w14:textId="77777777" w:rsidTr="00C3630C">
        <w:trPr>
          <w:trHeight w:val="400"/>
        </w:trPr>
        <w:tc>
          <w:tcPr>
            <w:tcW w:w="2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FF9935" w14:textId="77777777" w:rsidR="00430FEA" w:rsidRPr="00430FEA" w:rsidRDefault="00430FEA" w:rsidP="00430FEA">
            <w:pPr>
              <w:rPr>
                <w:rFonts w:ascii="Calibri" w:eastAsiaTheme="minorHAnsi" w:hAnsi="Calibri" w:cs="Calibri"/>
                <w:szCs w:val="22"/>
              </w:rPr>
            </w:pPr>
            <w:r w:rsidRPr="00430FEA">
              <w:rPr>
                <w:rFonts w:ascii="Calibri" w:eastAsiaTheme="minorHAnsi" w:hAnsi="Calibri" w:cs="Calibri"/>
                <w:szCs w:val="22"/>
              </w:rPr>
              <w:t>Modeled therms saved per home</w:t>
            </w:r>
          </w:p>
        </w:tc>
        <w:tc>
          <w:tcPr>
            <w:tcW w:w="1325"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2FA57ED1"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211</w:t>
            </w:r>
          </w:p>
        </w:tc>
        <w:tc>
          <w:tcPr>
            <w:tcW w:w="1325" w:type="dxa"/>
            <w:tcBorders>
              <w:top w:val="single" w:sz="4" w:space="0" w:color="auto"/>
              <w:left w:val="single" w:sz="4" w:space="0" w:color="auto"/>
              <w:bottom w:val="single" w:sz="4" w:space="0" w:color="auto"/>
              <w:right w:val="single" w:sz="4" w:space="0" w:color="auto"/>
            </w:tcBorders>
            <w:shd w:val="pct12" w:color="FFFF00" w:fill="D9D9D9" w:themeFill="background1" w:themeFillShade="D9"/>
            <w:vAlign w:val="center"/>
          </w:tcPr>
          <w:p w14:paraId="7AFED570"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304</w:t>
            </w:r>
          </w:p>
        </w:tc>
        <w:tc>
          <w:tcPr>
            <w:tcW w:w="1325" w:type="dxa"/>
            <w:tcBorders>
              <w:top w:val="single" w:sz="8" w:space="0" w:color="000000"/>
              <w:left w:val="single" w:sz="4" w:space="0" w:color="auto"/>
              <w:bottom w:val="single" w:sz="4" w:space="0" w:color="auto"/>
              <w:right w:val="single" w:sz="4" w:space="0" w:color="auto"/>
            </w:tcBorders>
            <w:shd w:val="clear" w:color="auto" w:fill="auto"/>
            <w:vAlign w:val="center"/>
          </w:tcPr>
          <w:p w14:paraId="1D4F2EC3"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377</w:t>
            </w:r>
          </w:p>
        </w:tc>
        <w:tc>
          <w:tcPr>
            <w:tcW w:w="1325" w:type="dxa"/>
            <w:tcBorders>
              <w:top w:val="single" w:sz="6" w:space="0" w:color="auto"/>
              <w:left w:val="single" w:sz="4" w:space="0" w:color="auto"/>
              <w:bottom w:val="single" w:sz="6" w:space="0" w:color="auto"/>
              <w:right w:val="single" w:sz="4" w:space="0" w:color="auto"/>
            </w:tcBorders>
            <w:shd w:val="clear" w:color="FFFF00" w:fill="auto"/>
            <w:vAlign w:val="center"/>
          </w:tcPr>
          <w:p w14:paraId="01C1B919"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262</w:t>
            </w:r>
          </w:p>
        </w:tc>
        <w:tc>
          <w:tcPr>
            <w:tcW w:w="1325" w:type="dxa"/>
            <w:tcBorders>
              <w:top w:val="single" w:sz="6" w:space="0" w:color="000000"/>
              <w:left w:val="single" w:sz="4" w:space="0" w:color="auto"/>
              <w:bottom w:val="single" w:sz="4" w:space="0" w:color="auto"/>
              <w:right w:val="single" w:sz="8" w:space="0" w:color="000000"/>
            </w:tcBorders>
            <w:shd w:val="pct12" w:color="FFFF00" w:fill="auto"/>
            <w:vAlign w:val="center"/>
          </w:tcPr>
          <w:p w14:paraId="7FE6A7C7"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458</w:t>
            </w:r>
          </w:p>
        </w:tc>
      </w:tr>
      <w:tr w:rsidR="00430FEA" w:rsidRPr="00430FEA" w14:paraId="702AEE2B" w14:textId="77777777" w:rsidTr="00C3630C">
        <w:trPr>
          <w:trHeight w:val="400"/>
        </w:trPr>
        <w:tc>
          <w:tcPr>
            <w:tcW w:w="2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2703D4" w14:textId="77777777" w:rsidR="00430FEA" w:rsidRPr="00430FEA" w:rsidRDefault="00430FEA" w:rsidP="00430FEA">
            <w:pPr>
              <w:rPr>
                <w:rFonts w:ascii="Calibri" w:eastAsiaTheme="minorHAnsi" w:hAnsi="Calibri" w:cs="Calibri"/>
                <w:szCs w:val="22"/>
              </w:rPr>
            </w:pPr>
            <w:r w:rsidRPr="00430FEA">
              <w:rPr>
                <w:rFonts w:ascii="Calibri" w:eastAsiaTheme="minorHAnsi" w:hAnsi="Calibri" w:cs="Calibri"/>
                <w:szCs w:val="22"/>
              </w:rPr>
              <w:t>Total modeled therms saved</w:t>
            </w:r>
          </w:p>
        </w:tc>
        <w:tc>
          <w:tcPr>
            <w:tcW w:w="1325"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64CAA24C"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3,165 to 5,275</w:t>
            </w:r>
          </w:p>
        </w:tc>
        <w:tc>
          <w:tcPr>
            <w:tcW w:w="1325" w:type="dxa"/>
            <w:tcBorders>
              <w:top w:val="single" w:sz="4" w:space="0" w:color="auto"/>
              <w:left w:val="single" w:sz="4" w:space="0" w:color="auto"/>
              <w:bottom w:val="single" w:sz="4" w:space="0" w:color="auto"/>
              <w:right w:val="single" w:sz="4" w:space="0" w:color="auto"/>
            </w:tcBorders>
            <w:shd w:val="pct12" w:color="FFFF00" w:fill="D9D9D9" w:themeFill="background1" w:themeFillShade="D9"/>
            <w:vAlign w:val="center"/>
          </w:tcPr>
          <w:p w14:paraId="4CC125FC"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3,344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8DB0F5D"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2,262</w:t>
            </w:r>
          </w:p>
        </w:tc>
        <w:tc>
          <w:tcPr>
            <w:tcW w:w="1325" w:type="dxa"/>
            <w:tcBorders>
              <w:top w:val="single" w:sz="6" w:space="0" w:color="auto"/>
              <w:left w:val="single" w:sz="4" w:space="0" w:color="auto"/>
              <w:bottom w:val="single" w:sz="4" w:space="0" w:color="auto"/>
              <w:right w:val="single" w:sz="4" w:space="0" w:color="auto"/>
            </w:tcBorders>
            <w:shd w:val="clear" w:color="FFFF00" w:fill="auto"/>
            <w:vAlign w:val="center"/>
          </w:tcPr>
          <w:p w14:paraId="76E91BF4" w14:textId="77777777" w:rsidR="00430FEA" w:rsidRPr="00430FEA" w:rsidRDefault="00430FEA" w:rsidP="00430FEA">
            <w:pPr>
              <w:jc w:val="center"/>
              <w:rPr>
                <w:rFonts w:ascii="Calibri" w:eastAsiaTheme="minorHAnsi" w:hAnsi="Calibri" w:cs="Calibri"/>
                <w:szCs w:val="22"/>
              </w:rPr>
            </w:pPr>
            <w:r w:rsidRPr="00430FEA">
              <w:rPr>
                <w:rFonts w:ascii="Calibri" w:eastAsiaTheme="minorHAnsi" w:hAnsi="Calibri" w:cs="Calibri"/>
                <w:szCs w:val="22"/>
              </w:rPr>
              <w:t>1,048</w:t>
            </w:r>
          </w:p>
        </w:tc>
        <w:tc>
          <w:tcPr>
            <w:tcW w:w="1325" w:type="dxa"/>
            <w:tcBorders>
              <w:top w:val="single" w:sz="4" w:space="0" w:color="auto"/>
              <w:left w:val="single" w:sz="4" w:space="0" w:color="auto"/>
              <w:bottom w:val="single" w:sz="4" w:space="0" w:color="auto"/>
              <w:right w:val="single" w:sz="4" w:space="0" w:color="auto"/>
            </w:tcBorders>
            <w:shd w:val="pct12" w:color="FFFFFF" w:themeColor="background1" w:fill="auto"/>
            <w:vAlign w:val="center"/>
          </w:tcPr>
          <w:p w14:paraId="67E2502E" w14:textId="77777777" w:rsidR="00430FEA" w:rsidRPr="00430FEA" w:rsidRDefault="00430FEA" w:rsidP="00430FEA">
            <w:pPr>
              <w:jc w:val="center"/>
              <w:rPr>
                <w:rFonts w:ascii="Calibri" w:eastAsiaTheme="minorHAnsi" w:hAnsi="Calibri" w:cs="Calibri"/>
                <w:szCs w:val="22"/>
                <w:highlight w:val="yellow"/>
              </w:rPr>
            </w:pPr>
            <w:r w:rsidRPr="00430FEA">
              <w:rPr>
                <w:rFonts w:ascii="Calibri" w:eastAsiaTheme="minorHAnsi" w:hAnsi="Calibri" w:cs="Calibri"/>
                <w:szCs w:val="22"/>
              </w:rPr>
              <w:t>3,206</w:t>
            </w:r>
          </w:p>
        </w:tc>
      </w:tr>
    </w:tbl>
    <w:p w14:paraId="39FFD252" w14:textId="77777777" w:rsidR="00430FEA" w:rsidRPr="00430FEA" w:rsidRDefault="00430FEA" w:rsidP="00430FEA">
      <w:pPr>
        <w:rPr>
          <w:rFonts w:ascii="Calibri" w:eastAsiaTheme="minorHAnsi" w:hAnsi="Calibri" w:cs="Calibri"/>
          <w:szCs w:val="22"/>
        </w:rPr>
      </w:pPr>
    </w:p>
    <w:p w14:paraId="26346071" w14:textId="77777777" w:rsidR="00430FEA" w:rsidRPr="00430FEA" w:rsidRDefault="00430FEA" w:rsidP="00430FEA">
      <w:pPr>
        <w:spacing w:after="120"/>
        <w:rPr>
          <w:rFonts w:ascii="Calibri" w:eastAsiaTheme="minorHAnsi" w:hAnsi="Calibri" w:cs="Calibri"/>
          <w:sz w:val="24"/>
          <w:szCs w:val="24"/>
        </w:rPr>
      </w:pPr>
      <w:r w:rsidRPr="00430FEA">
        <w:rPr>
          <w:rFonts w:ascii="Calibri" w:eastAsiaTheme="minorHAnsi" w:hAnsi="Calibri" w:cs="Calibri"/>
          <w:sz w:val="24"/>
          <w:szCs w:val="24"/>
        </w:rPr>
        <w:t xml:space="preserve">The biggest challenge of this program has been finding qualified customers and eligible gas homes to weatherize.  NW Natural and our Clark County Agency partner are taking a two tiered approach to resolving this. </w:t>
      </w:r>
    </w:p>
    <w:p w14:paraId="4264A1EC" w14:textId="77777777" w:rsidR="00430FEA" w:rsidRPr="00430FEA" w:rsidRDefault="00430FEA" w:rsidP="00430FEA">
      <w:pPr>
        <w:numPr>
          <w:ilvl w:val="0"/>
          <w:numId w:val="35"/>
        </w:numPr>
        <w:spacing w:after="200" w:line="276" w:lineRule="auto"/>
        <w:rPr>
          <w:rFonts w:ascii="Calibri" w:eastAsiaTheme="minorHAnsi" w:hAnsi="Calibri" w:cs="Arial"/>
          <w:sz w:val="24"/>
          <w:szCs w:val="24"/>
        </w:rPr>
      </w:pPr>
      <w:r w:rsidRPr="00430FEA">
        <w:rPr>
          <w:rFonts w:ascii="Calibri" w:eastAsiaTheme="minorHAnsi" w:hAnsi="Calibri"/>
          <w:sz w:val="24"/>
          <w:szCs w:val="24"/>
        </w:rPr>
        <w:t xml:space="preserve">The Clark County’s Housing Weatherization Program </w:t>
      </w:r>
      <w:r w:rsidRPr="00430FEA">
        <w:rPr>
          <w:rFonts w:ascii="Calibri" w:eastAsiaTheme="minorHAnsi" w:hAnsi="Calibri" w:cs="Arial"/>
          <w:sz w:val="24"/>
          <w:szCs w:val="24"/>
        </w:rPr>
        <w:t>Manager, Mike Selig, began educating bill assistance applicants, as well as the intake workers, on the merits of weatherization.  This audience is most primed for WA-LIEE as they already qualify, are being proactive and want help managing their energy bills. The fruits of this education were immediately apparent.</w:t>
      </w:r>
    </w:p>
    <w:p w14:paraId="29A4B087" w14:textId="3AB8424D" w:rsidR="00430FEA" w:rsidRPr="00430FEA" w:rsidRDefault="00430FEA" w:rsidP="00430FEA">
      <w:pPr>
        <w:numPr>
          <w:ilvl w:val="0"/>
          <w:numId w:val="35"/>
        </w:numPr>
        <w:spacing w:after="200" w:line="276" w:lineRule="auto"/>
        <w:rPr>
          <w:rFonts w:ascii="Calibri" w:eastAsiaTheme="minorHAnsi" w:hAnsi="Calibri" w:cs="Arial"/>
          <w:sz w:val="24"/>
          <w:szCs w:val="24"/>
        </w:rPr>
      </w:pPr>
      <w:r w:rsidRPr="00430FEA">
        <w:rPr>
          <w:rFonts w:ascii="Calibri" w:eastAsiaTheme="minorHAnsi" w:hAnsi="Calibri" w:cs="Arial"/>
          <w:sz w:val="24"/>
          <w:szCs w:val="24"/>
        </w:rPr>
        <w:t>However, the pool of bill assistance applicants doesn’t represent the population of everyone eligible for WA-LIEE. Therefore, to bring additional customers into the program, NW Natural has commissioned an agency to develop a targeted social media campaign.  This ca</w:t>
      </w:r>
      <w:r w:rsidR="00EE3864">
        <w:rPr>
          <w:rFonts w:ascii="Calibri" w:eastAsiaTheme="minorHAnsi" w:hAnsi="Calibri" w:cs="Arial"/>
          <w:sz w:val="24"/>
          <w:szCs w:val="24"/>
        </w:rPr>
        <w:t>mpaign will run from September through</w:t>
      </w:r>
      <w:r w:rsidRPr="00430FEA">
        <w:rPr>
          <w:rFonts w:ascii="Calibri" w:eastAsiaTheme="minorHAnsi" w:hAnsi="Calibri" w:cs="Arial"/>
          <w:sz w:val="24"/>
          <w:szCs w:val="24"/>
        </w:rPr>
        <w:t xml:space="preserve"> December 2016. We are testing a multitude of messages – the ones that generate the least clicks will drop out of rotation until we have refined the messaging to the most effective ones. NW Natural will provide an update on these efforts, the messages and results to date during the September EEAG call.</w:t>
      </w:r>
    </w:p>
    <w:p w14:paraId="2E15040F" w14:textId="4DB72A75" w:rsidR="00430FEA" w:rsidRPr="00430FEA" w:rsidRDefault="00430FEA" w:rsidP="00430FEA">
      <w:pPr>
        <w:spacing w:after="200" w:line="276" w:lineRule="auto"/>
        <w:rPr>
          <w:rFonts w:ascii="Calibri" w:eastAsiaTheme="minorHAnsi" w:hAnsi="Calibri" w:cs="Arial"/>
          <w:sz w:val="24"/>
          <w:szCs w:val="24"/>
        </w:rPr>
      </w:pPr>
      <w:r w:rsidRPr="00430FEA">
        <w:rPr>
          <w:rFonts w:ascii="Calibri" w:eastAsiaTheme="minorHAnsi" w:hAnsi="Calibri" w:cs="Arial"/>
          <w:sz w:val="24"/>
          <w:szCs w:val="24"/>
        </w:rPr>
        <w:t xml:space="preserve">Our County partner has indicated the increased funds, and removal of the 10% minimum matching requirement, have been very helpful for program implementation. For homes completed in the first </w:t>
      </w:r>
      <w:r w:rsidR="00EE3864">
        <w:rPr>
          <w:rFonts w:ascii="Calibri" w:eastAsiaTheme="minorHAnsi" w:hAnsi="Calibri" w:cs="Arial"/>
          <w:sz w:val="24"/>
          <w:szCs w:val="24"/>
        </w:rPr>
        <w:t>six</w:t>
      </w:r>
      <w:r w:rsidRPr="00430FEA">
        <w:rPr>
          <w:rFonts w:ascii="Calibri" w:eastAsiaTheme="minorHAnsi" w:hAnsi="Calibri" w:cs="Arial"/>
          <w:sz w:val="24"/>
          <w:szCs w:val="24"/>
        </w:rPr>
        <w:t xml:space="preserve"> months, WA-LIEE reimbursed 82% of job costs. Using the prior reimbursement limits, WA-LIEE would have covered only 60% of job costs putting additional pressure on limited state and federal funding used to supplement WA-LIEE weatherization.</w:t>
      </w:r>
    </w:p>
    <w:p w14:paraId="77498531" w14:textId="77777777" w:rsidR="00430FEA" w:rsidRPr="00430FEA" w:rsidRDefault="00430FEA" w:rsidP="00430FEA">
      <w:pPr>
        <w:spacing w:after="200" w:line="276" w:lineRule="auto"/>
        <w:rPr>
          <w:rFonts w:ascii="Calibri" w:eastAsiaTheme="minorHAnsi" w:hAnsi="Calibri" w:cs="Arial"/>
          <w:sz w:val="24"/>
          <w:szCs w:val="24"/>
        </w:rPr>
      </w:pPr>
      <w:r w:rsidRPr="00430FEA">
        <w:rPr>
          <w:rFonts w:ascii="Calibri" w:eastAsiaTheme="minorHAnsi" w:hAnsi="Calibri" w:cs="Arial"/>
          <w:sz w:val="24"/>
          <w:szCs w:val="24"/>
        </w:rPr>
        <w:t>We are pleased to see YTD progress in line with the annual goals; further, Mike Selig has confirmed the County is on track to meet their annual target of 20 homes.</w:t>
      </w:r>
    </w:p>
    <w:p w14:paraId="5A87AF85" w14:textId="77777777" w:rsidR="00430FEA" w:rsidRPr="00430FEA" w:rsidRDefault="00430FEA" w:rsidP="00430FEA">
      <w:pPr>
        <w:spacing w:after="200" w:line="276" w:lineRule="auto"/>
        <w:rPr>
          <w:rFonts w:ascii="Calibri" w:eastAsiaTheme="minorHAnsi" w:hAnsi="Calibri" w:cs="Arial"/>
          <w:sz w:val="24"/>
          <w:szCs w:val="24"/>
        </w:rPr>
      </w:pPr>
    </w:p>
    <w:p w14:paraId="226571C9" w14:textId="77777777" w:rsidR="00430FEA" w:rsidRPr="00430FEA" w:rsidRDefault="00430FEA" w:rsidP="00430FEA">
      <w:pPr>
        <w:rPr>
          <w:rFonts w:ascii="Calibri" w:eastAsiaTheme="minorHAnsi" w:hAnsi="Calibri" w:cs="Calibri"/>
          <w:sz w:val="24"/>
          <w:szCs w:val="24"/>
        </w:rPr>
      </w:pPr>
    </w:p>
    <w:p w14:paraId="4881507C" w14:textId="77777777" w:rsidR="00430FEA" w:rsidRDefault="00430FEA" w:rsidP="00430FEA">
      <w:pPr>
        <w:spacing w:line="300" w:lineRule="auto"/>
        <w:outlineLvl w:val="0"/>
        <w:rPr>
          <w:rFonts w:cs="Arial"/>
          <w:sz w:val="16"/>
          <w:szCs w:val="16"/>
        </w:rPr>
      </w:pPr>
    </w:p>
    <w:p w14:paraId="1765633A" w14:textId="77777777" w:rsidR="001B0EE5" w:rsidRDefault="001B0EE5" w:rsidP="00430FEA">
      <w:pPr>
        <w:spacing w:line="300" w:lineRule="auto"/>
        <w:outlineLvl w:val="0"/>
        <w:rPr>
          <w:rFonts w:cs="Arial"/>
          <w:sz w:val="16"/>
          <w:szCs w:val="16"/>
        </w:rPr>
      </w:pPr>
    </w:p>
    <w:p w14:paraId="279C75EC" w14:textId="77777777" w:rsidR="001B0EE5" w:rsidRDefault="001B0EE5" w:rsidP="00430FEA">
      <w:pPr>
        <w:spacing w:line="300" w:lineRule="auto"/>
        <w:outlineLvl w:val="0"/>
        <w:rPr>
          <w:rFonts w:cs="Arial"/>
          <w:sz w:val="16"/>
          <w:szCs w:val="16"/>
        </w:rPr>
      </w:pPr>
    </w:p>
    <w:p w14:paraId="3864AE02" w14:textId="77777777" w:rsidR="001B0EE5" w:rsidRDefault="001B0EE5" w:rsidP="00430FEA">
      <w:pPr>
        <w:spacing w:line="300" w:lineRule="auto"/>
        <w:outlineLvl w:val="0"/>
        <w:rPr>
          <w:rFonts w:cs="Arial"/>
          <w:sz w:val="16"/>
          <w:szCs w:val="16"/>
        </w:rPr>
      </w:pPr>
    </w:p>
    <w:p w14:paraId="09746350" w14:textId="77777777" w:rsidR="001B0EE5" w:rsidRDefault="001B0EE5" w:rsidP="00430FEA">
      <w:pPr>
        <w:spacing w:line="300" w:lineRule="auto"/>
        <w:outlineLvl w:val="0"/>
        <w:rPr>
          <w:rFonts w:cs="Arial"/>
          <w:sz w:val="16"/>
          <w:szCs w:val="16"/>
        </w:rPr>
      </w:pPr>
    </w:p>
    <w:p w14:paraId="5112ACB5" w14:textId="77777777" w:rsidR="001B0EE5" w:rsidRDefault="001B0EE5" w:rsidP="00430FEA">
      <w:pPr>
        <w:spacing w:line="300" w:lineRule="auto"/>
        <w:outlineLvl w:val="0"/>
        <w:rPr>
          <w:rFonts w:cs="Arial"/>
          <w:sz w:val="16"/>
          <w:szCs w:val="16"/>
        </w:rPr>
      </w:pPr>
    </w:p>
    <w:p w14:paraId="547881E1" w14:textId="77777777" w:rsidR="001B0EE5" w:rsidRDefault="001B0EE5" w:rsidP="00430FEA">
      <w:pPr>
        <w:spacing w:line="300" w:lineRule="auto"/>
        <w:outlineLvl w:val="0"/>
        <w:rPr>
          <w:rFonts w:cs="Arial"/>
          <w:sz w:val="16"/>
          <w:szCs w:val="16"/>
        </w:rPr>
      </w:pPr>
    </w:p>
    <w:p w14:paraId="2E1B84AF" w14:textId="77777777" w:rsidR="001B0EE5" w:rsidRDefault="001B0EE5" w:rsidP="00430FEA">
      <w:pPr>
        <w:spacing w:line="300" w:lineRule="auto"/>
        <w:outlineLvl w:val="0"/>
        <w:rPr>
          <w:rFonts w:cs="Arial"/>
          <w:sz w:val="16"/>
          <w:szCs w:val="16"/>
        </w:rPr>
      </w:pPr>
    </w:p>
    <w:p w14:paraId="70BDEF49" w14:textId="77777777" w:rsidR="001B0EE5" w:rsidRDefault="001B0EE5" w:rsidP="00430FEA">
      <w:pPr>
        <w:spacing w:line="300" w:lineRule="auto"/>
        <w:outlineLvl w:val="0"/>
        <w:rPr>
          <w:rFonts w:cs="Arial"/>
          <w:sz w:val="16"/>
          <w:szCs w:val="16"/>
        </w:rPr>
      </w:pPr>
    </w:p>
    <w:p w14:paraId="4191A8D3" w14:textId="77777777" w:rsidR="001B0EE5" w:rsidRDefault="001B0EE5" w:rsidP="00430FEA">
      <w:pPr>
        <w:spacing w:line="300" w:lineRule="auto"/>
        <w:outlineLvl w:val="0"/>
        <w:rPr>
          <w:rFonts w:cs="Arial"/>
          <w:sz w:val="16"/>
          <w:szCs w:val="16"/>
        </w:rPr>
      </w:pPr>
    </w:p>
    <w:p w14:paraId="0C06704F" w14:textId="77777777" w:rsidR="001B0EE5" w:rsidRDefault="001B0EE5" w:rsidP="00430FEA">
      <w:pPr>
        <w:spacing w:line="300" w:lineRule="auto"/>
        <w:outlineLvl w:val="0"/>
        <w:rPr>
          <w:rFonts w:cs="Arial"/>
          <w:sz w:val="16"/>
          <w:szCs w:val="16"/>
        </w:rPr>
      </w:pPr>
    </w:p>
    <w:p w14:paraId="6E0F4F61" w14:textId="77777777" w:rsidR="001B0EE5" w:rsidRDefault="001B0EE5" w:rsidP="00430FEA">
      <w:pPr>
        <w:spacing w:line="300" w:lineRule="auto"/>
        <w:outlineLvl w:val="0"/>
        <w:rPr>
          <w:rFonts w:cs="Arial"/>
          <w:sz w:val="16"/>
          <w:szCs w:val="16"/>
        </w:rPr>
      </w:pPr>
    </w:p>
    <w:p w14:paraId="5C651D6B" w14:textId="77777777" w:rsidR="001B0EE5" w:rsidRDefault="001B0EE5" w:rsidP="00430FEA">
      <w:pPr>
        <w:spacing w:line="300" w:lineRule="auto"/>
        <w:outlineLvl w:val="0"/>
        <w:rPr>
          <w:rFonts w:cs="Arial"/>
          <w:sz w:val="16"/>
          <w:szCs w:val="16"/>
        </w:rPr>
      </w:pPr>
    </w:p>
    <w:p w14:paraId="2E268257" w14:textId="77777777" w:rsidR="001B0EE5" w:rsidRDefault="001B0EE5" w:rsidP="00430FEA">
      <w:pPr>
        <w:spacing w:line="300" w:lineRule="auto"/>
        <w:outlineLvl w:val="0"/>
        <w:rPr>
          <w:rFonts w:cs="Arial"/>
          <w:sz w:val="16"/>
          <w:szCs w:val="16"/>
        </w:rPr>
      </w:pPr>
    </w:p>
    <w:p w14:paraId="16630FBC" w14:textId="741C2363" w:rsidR="001B0EE5" w:rsidRPr="001B0EE5" w:rsidRDefault="001B0EE5" w:rsidP="001B0EE5">
      <w:pPr>
        <w:spacing w:line="300" w:lineRule="auto"/>
        <w:jc w:val="center"/>
        <w:outlineLvl w:val="0"/>
        <w:rPr>
          <w:rFonts w:asciiTheme="minorHAnsi" w:hAnsiTheme="minorHAnsi" w:cs="Arial"/>
          <w:b/>
          <w:sz w:val="28"/>
          <w:szCs w:val="28"/>
        </w:rPr>
      </w:pPr>
      <w:r w:rsidRPr="001B0EE5">
        <w:rPr>
          <w:rFonts w:asciiTheme="minorHAnsi" w:hAnsiTheme="minorHAnsi" w:cs="Arial"/>
          <w:b/>
          <w:sz w:val="28"/>
          <w:szCs w:val="28"/>
        </w:rPr>
        <w:lastRenderedPageBreak/>
        <w:t>Washington Energy Efficiency Program</w:t>
      </w:r>
    </w:p>
    <w:p w14:paraId="715F67C0" w14:textId="137AEAF5" w:rsidR="001B0EE5" w:rsidRPr="001B0EE5" w:rsidRDefault="001B0EE5" w:rsidP="001B0EE5">
      <w:pPr>
        <w:spacing w:line="300" w:lineRule="auto"/>
        <w:jc w:val="center"/>
        <w:outlineLvl w:val="0"/>
        <w:rPr>
          <w:rFonts w:asciiTheme="minorHAnsi" w:hAnsiTheme="minorHAnsi" w:cs="Arial"/>
          <w:b/>
          <w:sz w:val="28"/>
          <w:szCs w:val="28"/>
        </w:rPr>
      </w:pPr>
      <w:r w:rsidRPr="001B0EE5">
        <w:rPr>
          <w:rFonts w:asciiTheme="minorHAnsi" w:hAnsiTheme="minorHAnsi" w:cs="Arial"/>
          <w:b/>
          <w:sz w:val="28"/>
          <w:szCs w:val="28"/>
        </w:rPr>
        <w:t>Q2 2016 T</w:t>
      </w:r>
      <w:r>
        <w:rPr>
          <w:rFonts w:asciiTheme="minorHAnsi" w:hAnsiTheme="minorHAnsi" w:cs="Arial"/>
          <w:b/>
          <w:sz w:val="28"/>
          <w:szCs w:val="28"/>
        </w:rPr>
        <w:t>ransactional Audit Results</w:t>
      </w:r>
    </w:p>
    <w:p w14:paraId="1E462E61" w14:textId="77777777" w:rsidR="001B0EE5" w:rsidRDefault="001B0EE5" w:rsidP="00430FEA">
      <w:pPr>
        <w:spacing w:line="300" w:lineRule="auto"/>
        <w:outlineLvl w:val="0"/>
        <w:rPr>
          <w:rFonts w:cs="Arial"/>
          <w:sz w:val="16"/>
          <w:szCs w:val="16"/>
        </w:rPr>
      </w:pPr>
    </w:p>
    <w:p w14:paraId="45FA616C" w14:textId="77777777" w:rsidR="001B0EE5" w:rsidRPr="00EE3864" w:rsidRDefault="001B0EE5" w:rsidP="001B0EE5">
      <w:pPr>
        <w:pStyle w:val="Default"/>
        <w:rPr>
          <w:rFonts w:asciiTheme="minorHAnsi" w:hAnsiTheme="minorHAnsi"/>
        </w:rPr>
      </w:pPr>
      <w:r w:rsidRPr="00EE3864">
        <w:rPr>
          <w:rFonts w:asciiTheme="minorHAnsi" w:hAnsiTheme="minorHAnsi"/>
        </w:rPr>
        <w:t xml:space="preserve">With the Washington Utilities and Transportation Commission (“WUTC”) review and approval of NW Natural’s (“NW Natural” or “Company”) request for amortization of 2013 energy efficiency program costs (Docket UG-143333), the Commission adopted the recommendation made by Commission Staff that NW Natural conduct a transactional audit of program costs relating to the Energy Trust of Oregon’s (“Energy Trust”) administration of the Company’s Washington energy efficiency programs. NW Natural agreed to the following audit schedule: </w:t>
      </w:r>
    </w:p>
    <w:p w14:paraId="5DAE3622" w14:textId="77777777" w:rsidR="001B0EE5" w:rsidRPr="00EE3864" w:rsidRDefault="001B0EE5" w:rsidP="001B0EE5">
      <w:pPr>
        <w:pStyle w:val="Default"/>
        <w:rPr>
          <w:rFonts w:asciiTheme="minorHAnsi" w:hAnsiTheme="minorHAnsi"/>
        </w:rPr>
      </w:pPr>
    </w:p>
    <w:p w14:paraId="6E4A76E4" w14:textId="4DF4D012" w:rsidR="001B0EE5" w:rsidRDefault="001B0EE5" w:rsidP="001B0EE5">
      <w:pPr>
        <w:pStyle w:val="Default"/>
        <w:numPr>
          <w:ilvl w:val="0"/>
          <w:numId w:val="25"/>
        </w:numPr>
        <w:rPr>
          <w:rFonts w:asciiTheme="minorHAnsi" w:hAnsiTheme="minorHAnsi"/>
        </w:rPr>
      </w:pPr>
      <w:r w:rsidRPr="00EE3864">
        <w:rPr>
          <w:rFonts w:asciiTheme="minorHAnsi" w:hAnsiTheme="minorHAnsi"/>
        </w:rPr>
        <w:t xml:space="preserve">By April 1 of each year, NW Natural will select a random sample of prior year program cost transactions from the Energy Trust. The sample size will be based on the population of transactions. A summary of the audit process and the Company’s findings or recommendations will be included in the April 25 Annual EE Report. </w:t>
      </w:r>
    </w:p>
    <w:p w14:paraId="43DF2E83" w14:textId="77777777" w:rsidR="00EE3864" w:rsidRPr="00EE3864" w:rsidRDefault="00EE3864" w:rsidP="00EE3864">
      <w:pPr>
        <w:pStyle w:val="Default"/>
        <w:ind w:left="720"/>
        <w:rPr>
          <w:rFonts w:asciiTheme="minorHAnsi" w:hAnsiTheme="minorHAnsi"/>
        </w:rPr>
      </w:pPr>
    </w:p>
    <w:p w14:paraId="39BFF95F" w14:textId="59E2454E" w:rsidR="001B0EE5" w:rsidRPr="00EE3864" w:rsidRDefault="001B0EE5" w:rsidP="00E171AE">
      <w:pPr>
        <w:pStyle w:val="Default"/>
        <w:numPr>
          <w:ilvl w:val="0"/>
          <w:numId w:val="25"/>
        </w:numPr>
        <w:rPr>
          <w:rFonts w:asciiTheme="minorHAnsi" w:hAnsiTheme="minorHAnsi"/>
        </w:rPr>
      </w:pPr>
      <w:r w:rsidRPr="00EE3864">
        <w:rPr>
          <w:rFonts w:asciiTheme="minorHAnsi" w:hAnsiTheme="minorHAnsi"/>
        </w:rPr>
        <w:t xml:space="preserve">By August 1 of each year, NW Natural will select a random sample of program cost transactions from the Energy Trust for the current year January through June 30 time period. The sample size will be based on the population of transactions. A summary of the audit process and the Company’s findings or recommendations will be included in the August 25th second quarter EE Report. </w:t>
      </w:r>
    </w:p>
    <w:p w14:paraId="14CE849C" w14:textId="77777777" w:rsidR="001B0EE5" w:rsidRPr="00EE3864" w:rsidRDefault="001B0EE5" w:rsidP="001B0EE5">
      <w:pPr>
        <w:pStyle w:val="Default"/>
        <w:rPr>
          <w:rFonts w:asciiTheme="minorHAnsi" w:hAnsiTheme="minorHAnsi"/>
        </w:rPr>
      </w:pPr>
    </w:p>
    <w:p w14:paraId="6AB991F6" w14:textId="6C2189BE" w:rsidR="001B0EE5" w:rsidRPr="00EE3864" w:rsidRDefault="001B0EE5" w:rsidP="001B0EE5">
      <w:pPr>
        <w:spacing w:line="300" w:lineRule="auto"/>
        <w:outlineLvl w:val="0"/>
        <w:rPr>
          <w:rFonts w:asciiTheme="minorHAnsi" w:hAnsiTheme="minorHAnsi"/>
          <w:sz w:val="24"/>
          <w:szCs w:val="24"/>
          <w:u w:val="single"/>
        </w:rPr>
      </w:pPr>
      <w:r w:rsidRPr="00EE3864">
        <w:rPr>
          <w:rFonts w:asciiTheme="minorHAnsi" w:hAnsiTheme="minorHAnsi"/>
          <w:sz w:val="24"/>
          <w:szCs w:val="24"/>
          <w:u w:val="single"/>
        </w:rPr>
        <w:t>Q2 2016 Program Cost Audit</w:t>
      </w:r>
    </w:p>
    <w:p w14:paraId="05E6FAA0" w14:textId="77777777" w:rsidR="001B0EE5" w:rsidRPr="00EE3864" w:rsidRDefault="001B0EE5" w:rsidP="00EE3864">
      <w:pPr>
        <w:autoSpaceDE w:val="0"/>
        <w:autoSpaceDN w:val="0"/>
        <w:adjustRightInd w:val="0"/>
        <w:rPr>
          <w:rFonts w:asciiTheme="minorHAnsi" w:hAnsiTheme="minorHAnsi"/>
          <w:sz w:val="24"/>
          <w:szCs w:val="24"/>
          <w:u w:val="single"/>
        </w:rPr>
      </w:pPr>
    </w:p>
    <w:p w14:paraId="7580015F" w14:textId="5528B7E0" w:rsidR="00E171AE" w:rsidRPr="003579FF" w:rsidRDefault="001B0EE5" w:rsidP="00E171AE">
      <w:pPr>
        <w:autoSpaceDE w:val="0"/>
        <w:autoSpaceDN w:val="0"/>
        <w:adjustRightInd w:val="0"/>
        <w:rPr>
          <w:rFonts w:asciiTheme="minorHAnsi" w:hAnsiTheme="minorHAnsi"/>
          <w:sz w:val="24"/>
          <w:szCs w:val="24"/>
        </w:rPr>
      </w:pPr>
      <w:r w:rsidRPr="00EE3864">
        <w:rPr>
          <w:rFonts w:asciiTheme="minorHAnsi" w:hAnsiTheme="minorHAnsi"/>
          <w:sz w:val="24"/>
          <w:szCs w:val="24"/>
        </w:rPr>
        <w:t>NW Natural’s Internal Audit Department (IA) completed a review of transactions from the period of 1/1/2016 – 6/30/2016.</w:t>
      </w:r>
      <w:r w:rsidR="008403C6">
        <w:rPr>
          <w:rFonts w:asciiTheme="minorHAnsi" w:hAnsiTheme="minorHAnsi"/>
          <w:sz w:val="24"/>
          <w:szCs w:val="24"/>
        </w:rPr>
        <w:t xml:space="preserve"> </w:t>
      </w:r>
      <w:r w:rsidR="00E171AE" w:rsidRPr="001B0EE5">
        <w:rPr>
          <w:rFonts w:asciiTheme="minorHAnsi" w:eastAsiaTheme="minorHAnsi" w:hAnsiTheme="minorHAnsi"/>
          <w:color w:val="000000"/>
          <w:sz w:val="24"/>
          <w:szCs w:val="24"/>
        </w:rPr>
        <w:t xml:space="preserve">The assessment consisted of a review of </w:t>
      </w:r>
      <w:r w:rsidR="00E171AE" w:rsidRPr="00EE3864">
        <w:rPr>
          <w:rFonts w:asciiTheme="minorHAnsi" w:eastAsiaTheme="minorHAnsi" w:hAnsiTheme="minorHAnsi"/>
          <w:color w:val="000000"/>
          <w:sz w:val="24"/>
          <w:szCs w:val="24"/>
        </w:rPr>
        <w:t>Energy Trust</w:t>
      </w:r>
      <w:r w:rsidR="00E171AE" w:rsidRPr="001B0EE5">
        <w:rPr>
          <w:rFonts w:asciiTheme="minorHAnsi" w:eastAsiaTheme="minorHAnsi" w:hAnsiTheme="minorHAnsi"/>
          <w:color w:val="000000"/>
          <w:sz w:val="24"/>
          <w:szCs w:val="24"/>
        </w:rPr>
        <w:t>’s allocation and territory reporting policies, chart of accounts, and Report data relating to program effectiveness.</w:t>
      </w:r>
      <w:r w:rsidR="003579FF">
        <w:rPr>
          <w:rFonts w:asciiTheme="minorHAnsi" w:hAnsiTheme="minorHAnsi"/>
          <w:sz w:val="24"/>
          <w:szCs w:val="24"/>
        </w:rPr>
        <w:t xml:space="preserve"> </w:t>
      </w:r>
      <w:r w:rsidR="00E171AE" w:rsidRPr="001B0EE5">
        <w:rPr>
          <w:rFonts w:asciiTheme="minorHAnsi" w:eastAsiaTheme="minorHAnsi" w:hAnsiTheme="minorHAnsi"/>
          <w:color w:val="000000"/>
          <w:sz w:val="24"/>
          <w:szCs w:val="24"/>
        </w:rPr>
        <w:t xml:space="preserve">Utilizing a statistical sampling model a representative sample of 40 (based on 80% confidence level and a 10% margin of error) transactions were selected for detail review. </w:t>
      </w:r>
    </w:p>
    <w:p w14:paraId="4AC195BE" w14:textId="77777777" w:rsidR="00E171AE" w:rsidRPr="001B0EE5" w:rsidRDefault="00E171AE" w:rsidP="00E171AE">
      <w:pPr>
        <w:autoSpaceDE w:val="0"/>
        <w:autoSpaceDN w:val="0"/>
        <w:adjustRightInd w:val="0"/>
        <w:rPr>
          <w:rFonts w:asciiTheme="minorHAnsi" w:eastAsiaTheme="minorHAnsi" w:hAnsiTheme="minorHAnsi"/>
          <w:color w:val="000000"/>
          <w:sz w:val="24"/>
          <w:szCs w:val="24"/>
        </w:rPr>
      </w:pPr>
    </w:p>
    <w:p w14:paraId="7F9A7A01" w14:textId="6F5CF707" w:rsidR="00E171AE" w:rsidRPr="00EE3864" w:rsidRDefault="00E171AE" w:rsidP="00E171AE">
      <w:pPr>
        <w:autoSpaceDE w:val="0"/>
        <w:autoSpaceDN w:val="0"/>
        <w:adjustRightInd w:val="0"/>
        <w:rPr>
          <w:rFonts w:asciiTheme="minorHAnsi" w:eastAsiaTheme="minorHAnsi" w:hAnsiTheme="minorHAnsi"/>
          <w:color w:val="000000"/>
          <w:sz w:val="24"/>
          <w:szCs w:val="24"/>
        </w:rPr>
      </w:pPr>
      <w:r w:rsidRPr="001B0EE5">
        <w:rPr>
          <w:rFonts w:asciiTheme="minorHAnsi" w:eastAsiaTheme="minorHAnsi" w:hAnsiTheme="minorHAnsi"/>
          <w:color w:val="000000"/>
          <w:sz w:val="24"/>
          <w:szCs w:val="24"/>
        </w:rPr>
        <w:t xml:space="preserve">For selected transactions IA verified balances were correctly captured within the proper period, transactions were appropriately classified and coded to NW Natural territories, allocations were completed per </w:t>
      </w:r>
      <w:r w:rsidR="00667A66">
        <w:rPr>
          <w:rFonts w:asciiTheme="minorHAnsi" w:eastAsiaTheme="minorHAnsi" w:hAnsiTheme="minorHAnsi"/>
          <w:color w:val="000000"/>
          <w:sz w:val="24"/>
          <w:szCs w:val="24"/>
        </w:rPr>
        <w:t>Energy Trust</w:t>
      </w:r>
      <w:bookmarkStart w:id="0" w:name="_GoBack"/>
      <w:bookmarkEnd w:id="0"/>
      <w:r w:rsidRPr="001B0EE5">
        <w:rPr>
          <w:rFonts w:asciiTheme="minorHAnsi" w:eastAsiaTheme="minorHAnsi" w:hAnsiTheme="minorHAnsi"/>
          <w:color w:val="000000"/>
          <w:sz w:val="24"/>
          <w:szCs w:val="24"/>
        </w:rPr>
        <w:t xml:space="preserve"> policy and were related to NW Natural specific programs and territories, incentive details were properly captured, and management and program expenses appeared appropriate. Lastly, IA verified that programs captured within the detail testing were included within the 2016 Energy Efficiency Plan analysis and reviewed for program effectiveness. </w:t>
      </w:r>
    </w:p>
    <w:p w14:paraId="64476C5A" w14:textId="77777777" w:rsidR="00E171AE" w:rsidRPr="001B0EE5" w:rsidRDefault="00E171AE" w:rsidP="00E171AE">
      <w:pPr>
        <w:autoSpaceDE w:val="0"/>
        <w:autoSpaceDN w:val="0"/>
        <w:adjustRightInd w:val="0"/>
        <w:rPr>
          <w:rFonts w:asciiTheme="minorHAnsi" w:eastAsiaTheme="minorHAnsi" w:hAnsiTheme="minorHAnsi"/>
          <w:color w:val="000000"/>
          <w:sz w:val="24"/>
          <w:szCs w:val="24"/>
        </w:rPr>
      </w:pPr>
    </w:p>
    <w:p w14:paraId="2314996E" w14:textId="77777777" w:rsidR="00E171AE" w:rsidRPr="00EE3864" w:rsidRDefault="00E171AE" w:rsidP="00EE3864">
      <w:pPr>
        <w:autoSpaceDE w:val="0"/>
        <w:autoSpaceDN w:val="0"/>
        <w:adjustRightInd w:val="0"/>
        <w:rPr>
          <w:rFonts w:asciiTheme="minorHAnsi" w:hAnsiTheme="minorHAnsi" w:cs="Arial"/>
          <w:sz w:val="24"/>
          <w:szCs w:val="24"/>
          <w:u w:val="single"/>
        </w:rPr>
      </w:pPr>
      <w:r w:rsidRPr="00EE3864">
        <w:rPr>
          <w:rFonts w:asciiTheme="minorHAnsi" w:eastAsiaTheme="minorHAnsi" w:hAnsiTheme="minorHAnsi"/>
          <w:color w:val="000000"/>
          <w:sz w:val="24"/>
          <w:szCs w:val="24"/>
        </w:rPr>
        <w:t>IA noted no issues as a result of the review. All expenditures reviewed appear to be appropriate.</w:t>
      </w:r>
    </w:p>
    <w:p w14:paraId="678B12D0" w14:textId="77777777" w:rsidR="001B0EE5" w:rsidRPr="00EE3864" w:rsidRDefault="001B0EE5" w:rsidP="001B0EE5">
      <w:pPr>
        <w:spacing w:line="300" w:lineRule="auto"/>
        <w:outlineLvl w:val="0"/>
        <w:rPr>
          <w:rFonts w:asciiTheme="minorHAnsi" w:hAnsiTheme="minorHAnsi"/>
          <w:sz w:val="24"/>
          <w:szCs w:val="24"/>
        </w:rPr>
      </w:pPr>
    </w:p>
    <w:p w14:paraId="2D6E4BA9" w14:textId="77777777" w:rsidR="001B0EE5" w:rsidRPr="001B0EE5" w:rsidRDefault="001B0EE5" w:rsidP="001B0EE5">
      <w:pPr>
        <w:autoSpaceDE w:val="0"/>
        <w:autoSpaceDN w:val="0"/>
        <w:adjustRightInd w:val="0"/>
        <w:rPr>
          <w:rFonts w:asciiTheme="minorHAnsi" w:eastAsiaTheme="minorHAnsi" w:hAnsiTheme="minorHAnsi"/>
          <w:color w:val="000000"/>
          <w:sz w:val="24"/>
          <w:szCs w:val="24"/>
        </w:rPr>
      </w:pPr>
    </w:p>
    <w:sectPr w:rsidR="001B0EE5" w:rsidRPr="001B0EE5" w:rsidSect="007E2B3F">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770D7" w14:textId="77777777" w:rsidR="0041496E" w:rsidRDefault="0041496E" w:rsidP="003114A3">
      <w:r>
        <w:separator/>
      </w:r>
    </w:p>
  </w:endnote>
  <w:endnote w:type="continuationSeparator" w:id="0">
    <w:p w14:paraId="4E826125" w14:textId="77777777" w:rsidR="0041496E" w:rsidRDefault="0041496E" w:rsidP="003114A3">
      <w:r>
        <w:continuationSeparator/>
      </w:r>
    </w:p>
  </w:endnote>
  <w:endnote w:type="continuationNotice" w:id="1">
    <w:p w14:paraId="6ECB4C54" w14:textId="77777777" w:rsidR="0041496E" w:rsidRDefault="00414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66192"/>
      <w:docPartObj>
        <w:docPartGallery w:val="Page Numbers (Bottom of Page)"/>
        <w:docPartUnique/>
      </w:docPartObj>
    </w:sdtPr>
    <w:sdtEndPr/>
    <w:sdtContent>
      <w:sdt>
        <w:sdtPr>
          <w:id w:val="1728636285"/>
          <w:docPartObj>
            <w:docPartGallery w:val="Page Numbers (Top of Page)"/>
            <w:docPartUnique/>
          </w:docPartObj>
        </w:sdtPr>
        <w:sdtEndPr/>
        <w:sdtContent>
          <w:p w14:paraId="3CD96B9D" w14:textId="32E84004" w:rsidR="007F3AF3" w:rsidRDefault="007F3AF3">
            <w:pPr>
              <w:pStyle w:val="Footer"/>
              <w:jc w:val="center"/>
            </w:pPr>
            <w:r w:rsidRPr="006B4897">
              <w:rPr>
                <w:rFonts w:cs="Arial"/>
                <w:sz w:val="18"/>
                <w:szCs w:val="18"/>
              </w:rPr>
              <w:fldChar w:fldCharType="begin"/>
            </w:r>
            <w:r w:rsidRPr="006B4897">
              <w:rPr>
                <w:rFonts w:cs="Arial"/>
                <w:sz w:val="18"/>
                <w:szCs w:val="18"/>
              </w:rPr>
              <w:instrText xml:space="preserve"> INCLUDETEXT  "\\\\eto-share\\Edrive\\TRUST GENERAL\\Quarterly Reports\\Automation\\utility.data.for.text.xml" \c XML \n xmlns:ns1=\"ETO\" \x ns1:Root/ns1:Date/ns1:quarterLabel  \* MERGEFORMAT </w:instrText>
            </w:r>
            <w:r w:rsidRPr="006B4897">
              <w:rPr>
                <w:rFonts w:cs="Arial"/>
                <w:sz w:val="18"/>
                <w:szCs w:val="18"/>
              </w:rPr>
              <w:fldChar w:fldCharType="separate"/>
            </w:r>
            <w:r w:rsidRPr="006B4897">
              <w:rPr>
                <w:rFonts w:cs="Arial"/>
                <w:sz w:val="18"/>
                <w:szCs w:val="18"/>
              </w:rPr>
              <w:t>Q</w:t>
            </w:r>
            <w:r w:rsidRPr="006B4897">
              <w:rPr>
                <w:rFonts w:cs="Arial"/>
                <w:sz w:val="18"/>
                <w:szCs w:val="18"/>
              </w:rPr>
              <w:fldChar w:fldCharType="end"/>
            </w:r>
            <w:r>
              <w:rPr>
                <w:rFonts w:cs="Arial"/>
                <w:sz w:val="18"/>
                <w:szCs w:val="18"/>
              </w:rPr>
              <w:t>2</w:t>
            </w:r>
            <w:r w:rsidRPr="006B4897">
              <w:rPr>
                <w:rFonts w:cs="Arial"/>
                <w:sz w:val="18"/>
                <w:szCs w:val="18"/>
              </w:rPr>
              <w:t xml:space="preserve"> </w:t>
            </w:r>
            <w:r>
              <w:rPr>
                <w:rFonts w:cs="Arial"/>
                <w:sz w:val="18"/>
                <w:szCs w:val="18"/>
              </w:rPr>
              <w:t>2016</w:t>
            </w:r>
            <w:r w:rsidRPr="006B4897">
              <w:rPr>
                <w:rFonts w:cs="Arial"/>
                <w:sz w:val="18"/>
                <w:szCs w:val="18"/>
              </w:rPr>
              <w:t xml:space="preserve"> NW Natural Washington</w:t>
            </w:r>
            <w:r>
              <w:rPr>
                <w:rFonts w:cs="Arial"/>
                <w:sz w:val="18"/>
                <w:szCs w:val="18"/>
              </w:rPr>
              <w:t xml:space="preserve"> Report</w:t>
            </w:r>
            <w:r w:rsidRPr="00F03B1B">
              <w:rPr>
                <w:rFonts w:cs="Arial"/>
                <w:sz w:val="18"/>
                <w:szCs w:val="18"/>
              </w:rPr>
              <w:tab/>
              <w:t xml:space="preserve">Page </w:t>
            </w:r>
            <w:r w:rsidRPr="00F03B1B">
              <w:rPr>
                <w:rFonts w:cs="Arial"/>
                <w:sz w:val="18"/>
                <w:szCs w:val="18"/>
              </w:rPr>
              <w:fldChar w:fldCharType="begin"/>
            </w:r>
            <w:r w:rsidRPr="00F03B1B">
              <w:rPr>
                <w:rFonts w:cs="Arial"/>
                <w:sz w:val="18"/>
                <w:szCs w:val="18"/>
              </w:rPr>
              <w:instrText xml:space="preserve"> PAGE </w:instrText>
            </w:r>
            <w:r w:rsidRPr="00F03B1B">
              <w:rPr>
                <w:rFonts w:cs="Arial"/>
                <w:sz w:val="18"/>
                <w:szCs w:val="18"/>
              </w:rPr>
              <w:fldChar w:fldCharType="separate"/>
            </w:r>
            <w:r w:rsidR="00667A66">
              <w:rPr>
                <w:rFonts w:cs="Arial"/>
                <w:noProof/>
                <w:sz w:val="18"/>
                <w:szCs w:val="18"/>
              </w:rPr>
              <w:t>10</w:t>
            </w:r>
            <w:r w:rsidRPr="00F03B1B">
              <w:rPr>
                <w:rFonts w:cs="Arial"/>
                <w:sz w:val="18"/>
                <w:szCs w:val="18"/>
              </w:rPr>
              <w:fldChar w:fldCharType="end"/>
            </w:r>
            <w:r w:rsidRPr="00F03B1B">
              <w:rPr>
                <w:rFonts w:cs="Arial"/>
                <w:sz w:val="18"/>
                <w:szCs w:val="18"/>
              </w:rPr>
              <w:t xml:space="preserve"> of </w:t>
            </w:r>
            <w:r w:rsidRPr="00F03B1B">
              <w:rPr>
                <w:rFonts w:cs="Arial"/>
                <w:sz w:val="18"/>
                <w:szCs w:val="18"/>
              </w:rPr>
              <w:fldChar w:fldCharType="begin"/>
            </w:r>
            <w:r w:rsidRPr="00F03B1B">
              <w:rPr>
                <w:rFonts w:cs="Arial"/>
                <w:sz w:val="18"/>
                <w:szCs w:val="18"/>
              </w:rPr>
              <w:instrText xml:space="preserve"> NUMPAGES  </w:instrText>
            </w:r>
            <w:r w:rsidRPr="00F03B1B">
              <w:rPr>
                <w:rFonts w:cs="Arial"/>
                <w:sz w:val="18"/>
                <w:szCs w:val="18"/>
              </w:rPr>
              <w:fldChar w:fldCharType="separate"/>
            </w:r>
            <w:r w:rsidR="00667A66">
              <w:rPr>
                <w:rFonts w:cs="Arial"/>
                <w:noProof/>
                <w:sz w:val="18"/>
                <w:szCs w:val="18"/>
              </w:rPr>
              <w:t>10</w:t>
            </w:r>
            <w:r w:rsidRPr="00F03B1B">
              <w:rPr>
                <w:rFonts w:cs="Arial"/>
                <w:sz w:val="18"/>
                <w:szCs w:val="18"/>
              </w:rPr>
              <w:fldChar w:fldCharType="end"/>
            </w:r>
            <w:r>
              <w:rPr>
                <w:rFonts w:cs="Arial"/>
                <w:sz w:val="18"/>
                <w:szCs w:val="18"/>
              </w:rPr>
              <w:t xml:space="preserve"> </w:t>
            </w:r>
            <w:r>
              <w:rPr>
                <w:rFonts w:cs="Arial"/>
                <w:sz w:val="18"/>
                <w:szCs w:val="18"/>
              </w:rPr>
              <w:tab/>
              <w:t xml:space="preserve">August </w:t>
            </w:r>
            <w:r w:rsidR="0023441B">
              <w:rPr>
                <w:rFonts w:cs="Arial"/>
                <w:sz w:val="18"/>
                <w:szCs w:val="18"/>
              </w:rPr>
              <w:t>19</w:t>
            </w:r>
            <w:r w:rsidRPr="00D51FCD">
              <w:rPr>
                <w:rFonts w:cs="Arial"/>
                <w:sz w:val="18"/>
                <w:szCs w:val="18"/>
              </w:rPr>
              <w:t>, 2016</w:t>
            </w:r>
          </w:p>
        </w:sdtContent>
      </w:sdt>
    </w:sdtContent>
  </w:sdt>
  <w:p w14:paraId="015F87C3" w14:textId="77777777" w:rsidR="007F3AF3" w:rsidRDefault="007F3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26825"/>
      <w:docPartObj>
        <w:docPartGallery w:val="Page Numbers (Bottom of Page)"/>
        <w:docPartUnique/>
      </w:docPartObj>
    </w:sdtPr>
    <w:sdtEndPr/>
    <w:sdtContent>
      <w:sdt>
        <w:sdtPr>
          <w:id w:val="-639576476"/>
          <w:docPartObj>
            <w:docPartGallery w:val="Page Numbers (Top of Page)"/>
            <w:docPartUnique/>
          </w:docPartObj>
        </w:sdtPr>
        <w:sdtEndPr/>
        <w:sdtContent>
          <w:p w14:paraId="070B4E60" w14:textId="0D4F377D" w:rsidR="007F3AF3" w:rsidRDefault="007F3AF3" w:rsidP="007E2B3F">
            <w:pPr>
              <w:pStyle w:val="Footer"/>
              <w:tabs>
                <w:tab w:val="clear" w:pos="4680"/>
                <w:tab w:val="center" w:pos="2520"/>
              </w:tabs>
              <w:jc w:val="center"/>
            </w:pPr>
            <w:r w:rsidRPr="007E2B3F">
              <w:rPr>
                <w:sz w:val="18"/>
                <w:szCs w:val="18"/>
              </w:rPr>
              <w:t xml:space="preserve">Page </w:t>
            </w:r>
            <w:r w:rsidRPr="007E2B3F">
              <w:rPr>
                <w:bCs/>
                <w:sz w:val="18"/>
                <w:szCs w:val="18"/>
              </w:rPr>
              <w:fldChar w:fldCharType="begin"/>
            </w:r>
            <w:r w:rsidRPr="007E2B3F">
              <w:rPr>
                <w:bCs/>
                <w:sz w:val="18"/>
                <w:szCs w:val="18"/>
              </w:rPr>
              <w:instrText xml:space="preserve"> PAGE </w:instrText>
            </w:r>
            <w:r w:rsidRPr="007E2B3F">
              <w:rPr>
                <w:bCs/>
                <w:sz w:val="18"/>
                <w:szCs w:val="18"/>
              </w:rPr>
              <w:fldChar w:fldCharType="separate"/>
            </w:r>
            <w:r>
              <w:rPr>
                <w:bCs/>
                <w:noProof/>
                <w:sz w:val="18"/>
                <w:szCs w:val="18"/>
              </w:rPr>
              <w:t>1</w:t>
            </w:r>
            <w:r w:rsidRPr="007E2B3F">
              <w:rPr>
                <w:bCs/>
                <w:sz w:val="18"/>
                <w:szCs w:val="18"/>
              </w:rPr>
              <w:fldChar w:fldCharType="end"/>
            </w:r>
            <w:r w:rsidRPr="007E2B3F">
              <w:rPr>
                <w:sz w:val="18"/>
                <w:szCs w:val="18"/>
              </w:rPr>
              <w:t xml:space="preserve"> of </w:t>
            </w:r>
            <w:r w:rsidRPr="007E2B3F">
              <w:rPr>
                <w:bCs/>
                <w:sz w:val="18"/>
                <w:szCs w:val="18"/>
              </w:rPr>
              <w:fldChar w:fldCharType="begin"/>
            </w:r>
            <w:r w:rsidRPr="007E2B3F">
              <w:rPr>
                <w:bCs/>
                <w:sz w:val="18"/>
                <w:szCs w:val="18"/>
              </w:rPr>
              <w:instrText xml:space="preserve"> NUMPAGES  </w:instrText>
            </w:r>
            <w:r w:rsidRPr="007E2B3F">
              <w:rPr>
                <w:bCs/>
                <w:sz w:val="18"/>
                <w:szCs w:val="18"/>
              </w:rPr>
              <w:fldChar w:fldCharType="separate"/>
            </w:r>
            <w:r w:rsidR="00CB1619">
              <w:rPr>
                <w:bCs/>
                <w:noProof/>
                <w:sz w:val="18"/>
                <w:szCs w:val="18"/>
              </w:rPr>
              <w:t>7</w:t>
            </w:r>
            <w:r w:rsidRPr="007E2B3F">
              <w:rPr>
                <w:bCs/>
                <w:sz w:val="18"/>
                <w:szCs w:val="18"/>
              </w:rPr>
              <w:fldChar w:fldCharType="end"/>
            </w:r>
          </w:p>
        </w:sdtContent>
      </w:sdt>
    </w:sdtContent>
  </w:sdt>
  <w:p w14:paraId="7D177949" w14:textId="1082EE30" w:rsidR="007F3AF3" w:rsidRPr="007E2B3F" w:rsidRDefault="007F3AF3" w:rsidP="007E2B3F">
    <w:pPr>
      <w:pStyle w:val="Foot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s>
      <w:rPr>
        <w:sz w:val="18"/>
        <w:szCs w:val="18"/>
      </w:rPr>
    </w:pPr>
    <w:r w:rsidRPr="007E2B3F">
      <w:rPr>
        <w:sz w:val="18"/>
        <w:szCs w:val="18"/>
      </w:rPr>
      <w:t>Q1 2016 NW Natural Washington Report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May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DF7EB" w14:textId="77777777" w:rsidR="0041496E" w:rsidRDefault="0041496E" w:rsidP="003114A3">
      <w:r>
        <w:separator/>
      </w:r>
    </w:p>
  </w:footnote>
  <w:footnote w:type="continuationSeparator" w:id="0">
    <w:p w14:paraId="4B094BD0" w14:textId="77777777" w:rsidR="0041496E" w:rsidRDefault="0041496E" w:rsidP="003114A3">
      <w:r>
        <w:continuationSeparator/>
      </w:r>
    </w:p>
  </w:footnote>
  <w:footnote w:type="continuationNotice" w:id="1">
    <w:p w14:paraId="3D832C10" w14:textId="77777777" w:rsidR="0041496E" w:rsidRDefault="0041496E"/>
  </w:footnote>
  <w:footnote w:id="2">
    <w:p w14:paraId="12C6ACCB" w14:textId="10EB1C07" w:rsidR="007F3AF3" w:rsidRPr="00A37B76" w:rsidRDefault="007F3AF3">
      <w:pPr>
        <w:pStyle w:val="FootnoteText"/>
        <w:rPr>
          <w:rFonts w:ascii="Arial" w:hAnsi="Arial" w:cs="Arial"/>
          <w:sz w:val="18"/>
          <w:szCs w:val="18"/>
        </w:rPr>
      </w:pPr>
      <w:r w:rsidRPr="007F3AF3">
        <w:rPr>
          <w:rStyle w:val="FootnoteReference"/>
          <w:rFonts w:ascii="Arial" w:hAnsi="Arial" w:cs="Arial"/>
          <w:sz w:val="16"/>
          <w:szCs w:val="18"/>
        </w:rPr>
        <w:footnoteRef/>
      </w:r>
      <w:r w:rsidRPr="007F3AF3">
        <w:rPr>
          <w:rFonts w:ascii="Arial" w:hAnsi="Arial" w:cs="Arial"/>
          <w:sz w:val="16"/>
          <w:szCs w:val="18"/>
        </w:rPr>
        <w:t xml:space="preserve"> Energy Trust’s 2016 board-approved budgeted goal for NW Natural territory in Washington differs slightly due to timing. Q2 2016 savings were approximately 18 percent of Energy Trust’s 2016 budgeted goal of 265,079</w:t>
      </w:r>
      <w:r w:rsidR="002F718C">
        <w:rPr>
          <w:rFonts w:ascii="Arial" w:hAnsi="Arial" w:cs="Arial"/>
          <w:sz w:val="16"/>
          <w:szCs w:val="18"/>
        </w:rPr>
        <w:t xml:space="preserve"> therms</w:t>
      </w:r>
      <w:r w:rsidRPr="007F3AF3">
        <w:rPr>
          <w:rFonts w:ascii="Arial" w:hAnsi="Arial" w:cs="Arial"/>
          <w:sz w:val="16"/>
          <w:szCs w:val="18"/>
        </w:rPr>
        <w:t>.</w:t>
      </w:r>
    </w:p>
  </w:footnote>
  <w:footnote w:id="3">
    <w:p w14:paraId="28CAF826" w14:textId="77777777" w:rsidR="00430FEA" w:rsidRPr="00EE3864" w:rsidRDefault="00430FEA" w:rsidP="00430FEA">
      <w:pPr>
        <w:pStyle w:val="FootnoteText"/>
        <w:rPr>
          <w:rFonts w:asciiTheme="minorHAnsi" w:hAnsiTheme="minorHAnsi"/>
        </w:rPr>
      </w:pPr>
      <w:r w:rsidRPr="00EE3864">
        <w:rPr>
          <w:rStyle w:val="FootnoteReference"/>
          <w:rFonts w:asciiTheme="minorHAnsi" w:hAnsiTheme="minorHAnsi"/>
        </w:rPr>
        <w:footnoteRef/>
      </w:r>
      <w:r w:rsidRPr="00EE3864">
        <w:rPr>
          <w:rFonts w:asciiTheme="minorHAnsi" w:hAnsiTheme="minorHAnsi"/>
        </w:rPr>
        <w:t xml:space="preserve"> Until 2016, the program reimbursed 90% of job costs up to $3,500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945"/>
    <w:multiLevelType w:val="hybridMultilevel"/>
    <w:tmpl w:val="27B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4C14"/>
    <w:multiLevelType w:val="hybridMultilevel"/>
    <w:tmpl w:val="D85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BE431D"/>
    <w:multiLevelType w:val="hybridMultilevel"/>
    <w:tmpl w:val="02E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5E7E53"/>
    <w:multiLevelType w:val="hybridMultilevel"/>
    <w:tmpl w:val="0E262D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E6A0829"/>
    <w:multiLevelType w:val="hybridMultilevel"/>
    <w:tmpl w:val="C3F4DA9C"/>
    <w:lvl w:ilvl="0" w:tplc="6BE46F2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5655CB"/>
    <w:multiLevelType w:val="hybridMultilevel"/>
    <w:tmpl w:val="5F12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C6C4C"/>
    <w:multiLevelType w:val="hybridMultilevel"/>
    <w:tmpl w:val="C526EF0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F05E3"/>
    <w:multiLevelType w:val="hybridMultilevel"/>
    <w:tmpl w:val="BB88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24500"/>
    <w:multiLevelType w:val="hybridMultilevel"/>
    <w:tmpl w:val="7CE4D9AA"/>
    <w:lvl w:ilvl="0" w:tplc="B568DA26">
      <w:start w:val="1"/>
      <w:numFmt w:val="upperLetter"/>
      <w:lvlText w:val="%1."/>
      <w:lvlJc w:val="left"/>
      <w:pPr>
        <w:ind w:left="0" w:hanging="360"/>
      </w:pPr>
      <w:rPr>
        <w:rFonts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BAA48B7"/>
    <w:multiLevelType w:val="hybridMultilevel"/>
    <w:tmpl w:val="15AC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40E7E"/>
    <w:multiLevelType w:val="hybridMultilevel"/>
    <w:tmpl w:val="5BF89F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28A1A8B"/>
    <w:multiLevelType w:val="hybridMultilevel"/>
    <w:tmpl w:val="ECF415C6"/>
    <w:lvl w:ilvl="0" w:tplc="AEF44144">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5DF6181"/>
    <w:multiLevelType w:val="hybridMultilevel"/>
    <w:tmpl w:val="B7AE2E00"/>
    <w:lvl w:ilvl="0" w:tplc="396C35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00E08"/>
    <w:multiLevelType w:val="hybridMultilevel"/>
    <w:tmpl w:val="2894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937436"/>
    <w:multiLevelType w:val="hybridMultilevel"/>
    <w:tmpl w:val="357C476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85F90"/>
    <w:multiLevelType w:val="hybridMultilevel"/>
    <w:tmpl w:val="A77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E732C"/>
    <w:multiLevelType w:val="hybridMultilevel"/>
    <w:tmpl w:val="3DF0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3111D"/>
    <w:multiLevelType w:val="hybridMultilevel"/>
    <w:tmpl w:val="2CBA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D6454"/>
    <w:multiLevelType w:val="hybridMultilevel"/>
    <w:tmpl w:val="ECF415C6"/>
    <w:lvl w:ilvl="0" w:tplc="AEF44144">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CA63EE0"/>
    <w:multiLevelType w:val="hybridMultilevel"/>
    <w:tmpl w:val="F3021D0E"/>
    <w:lvl w:ilvl="0" w:tplc="4F40C7B2">
      <w:start w:val="1"/>
      <w:numFmt w:val="bullet"/>
      <w:lvlText w:val=""/>
      <w:lvlJc w:val="left"/>
      <w:pPr>
        <w:tabs>
          <w:tab w:val="num" w:pos="720"/>
        </w:tabs>
        <w:ind w:left="720" w:hanging="360"/>
      </w:pPr>
      <w:rPr>
        <w:rFonts w:ascii="Symbol" w:hAnsi="Symbol" w:hint="default"/>
        <w:sz w:val="22"/>
        <w:szCs w:val="22"/>
      </w:rPr>
    </w:lvl>
    <w:lvl w:ilvl="1" w:tplc="F7E47B8E">
      <w:start w:val="1"/>
      <w:numFmt w:val="bullet"/>
      <w:lvlText w:val=""/>
      <w:lvlJc w:val="left"/>
      <w:pPr>
        <w:tabs>
          <w:tab w:val="num" w:pos="1260"/>
        </w:tabs>
        <w:ind w:left="1260" w:hanging="18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496BC2"/>
    <w:multiLevelType w:val="hybridMultilevel"/>
    <w:tmpl w:val="C262A864"/>
    <w:lvl w:ilvl="0" w:tplc="8E362272">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8372D1"/>
    <w:multiLevelType w:val="hybridMultilevel"/>
    <w:tmpl w:val="19DA0FC0"/>
    <w:lvl w:ilvl="0" w:tplc="95322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90034"/>
    <w:multiLevelType w:val="hybridMultilevel"/>
    <w:tmpl w:val="CDF24340"/>
    <w:lvl w:ilvl="0" w:tplc="FA505D80">
      <w:start w:val="1"/>
      <w:numFmt w:val="bullet"/>
      <w:lvlText w:val="•"/>
      <w:lvlJc w:val="left"/>
      <w:pPr>
        <w:ind w:left="1350" w:hanging="360"/>
      </w:pPr>
      <w:rPr>
        <w:rFonts w:ascii="Arial" w:hAnsi="Arial" w:hint="default"/>
        <w:b/>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7B0508C"/>
    <w:multiLevelType w:val="hybridMultilevel"/>
    <w:tmpl w:val="2CF03EF0"/>
    <w:lvl w:ilvl="0" w:tplc="88B40A08">
      <w:start w:val="201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816CE"/>
    <w:multiLevelType w:val="hybridMultilevel"/>
    <w:tmpl w:val="D0F867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D468B"/>
    <w:multiLevelType w:val="hybridMultilevel"/>
    <w:tmpl w:val="58B2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C201A"/>
    <w:multiLevelType w:val="hybridMultilevel"/>
    <w:tmpl w:val="33CE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E18EB"/>
    <w:multiLevelType w:val="hybridMultilevel"/>
    <w:tmpl w:val="5458098E"/>
    <w:lvl w:ilvl="0" w:tplc="5AA4CC90">
      <w:start w:val="3"/>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C12293"/>
    <w:multiLevelType w:val="hybridMultilevel"/>
    <w:tmpl w:val="8DFECF6C"/>
    <w:lvl w:ilvl="0" w:tplc="FB8CF62A">
      <w:start w:val="1"/>
      <w:numFmt w:val="upperRoman"/>
      <w:lvlText w:val="%1."/>
      <w:lvlJc w:val="righ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8930B5"/>
    <w:multiLevelType w:val="hybridMultilevel"/>
    <w:tmpl w:val="749E3C3A"/>
    <w:lvl w:ilvl="0" w:tplc="A6F0B626">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73566A3B"/>
    <w:multiLevelType w:val="hybridMultilevel"/>
    <w:tmpl w:val="0D303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9B022C"/>
    <w:multiLevelType w:val="hybridMultilevel"/>
    <w:tmpl w:val="0A4EC1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1"/>
  </w:num>
  <w:num w:numId="3">
    <w:abstractNumId w:val="29"/>
  </w:num>
  <w:num w:numId="4">
    <w:abstractNumId w:val="12"/>
  </w:num>
  <w:num w:numId="5">
    <w:abstractNumId w:val="26"/>
  </w:num>
  <w:num w:numId="6">
    <w:abstractNumId w:val="8"/>
  </w:num>
  <w:num w:numId="7">
    <w:abstractNumId w:val="18"/>
  </w:num>
  <w:num w:numId="8">
    <w:abstractNumId w:val="1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3"/>
  </w:num>
  <w:num w:numId="12">
    <w:abstractNumId w:val="16"/>
  </w:num>
  <w:num w:numId="13">
    <w:abstractNumId w:val="13"/>
  </w:num>
  <w:num w:numId="14">
    <w:abstractNumId w:val="2"/>
  </w:num>
  <w:num w:numId="15">
    <w:abstractNumId w:val="1"/>
  </w:num>
  <w:num w:numId="16">
    <w:abstractNumId w:val="7"/>
  </w:num>
  <w:num w:numId="17">
    <w:abstractNumId w:val="29"/>
  </w:num>
  <w:num w:numId="18">
    <w:abstractNumId w:val="19"/>
  </w:num>
  <w:num w:numId="19">
    <w:abstractNumId w:val="25"/>
  </w:num>
  <w:num w:numId="20">
    <w:abstractNumId w:val="22"/>
  </w:num>
  <w:num w:numId="21">
    <w:abstractNumId w:val="28"/>
  </w:num>
  <w:num w:numId="22">
    <w:abstractNumId w:val="11"/>
  </w:num>
  <w:num w:numId="23">
    <w:abstractNumId w:val="20"/>
  </w:num>
  <w:num w:numId="24">
    <w:abstractNumId w:val="24"/>
  </w:num>
  <w:num w:numId="25">
    <w:abstractNumId w:val="17"/>
  </w:num>
  <w:num w:numId="26">
    <w:abstractNumId w:val="27"/>
  </w:num>
  <w:num w:numId="27">
    <w:abstractNumId w:val="5"/>
  </w:num>
  <w:num w:numId="28">
    <w:abstractNumId w:val="10"/>
  </w:num>
  <w:num w:numId="29">
    <w:abstractNumId w:val="6"/>
  </w:num>
  <w:num w:numId="30">
    <w:abstractNumId w:val="3"/>
  </w:num>
  <w:num w:numId="31">
    <w:abstractNumId w:val="30"/>
  </w:num>
  <w:num w:numId="32">
    <w:abstractNumId w:val="31"/>
  </w:num>
  <w:num w:numId="33">
    <w:abstractNumId w:val="29"/>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A3"/>
    <w:rsid w:val="0000221B"/>
    <w:rsid w:val="0000347A"/>
    <w:rsid w:val="00003540"/>
    <w:rsid w:val="00007354"/>
    <w:rsid w:val="0001034F"/>
    <w:rsid w:val="0001404D"/>
    <w:rsid w:val="00016104"/>
    <w:rsid w:val="0002396F"/>
    <w:rsid w:val="00027DEC"/>
    <w:rsid w:val="000379CB"/>
    <w:rsid w:val="00041072"/>
    <w:rsid w:val="000503CC"/>
    <w:rsid w:val="00052616"/>
    <w:rsid w:val="0005596A"/>
    <w:rsid w:val="00063122"/>
    <w:rsid w:val="00066CEE"/>
    <w:rsid w:val="000761F7"/>
    <w:rsid w:val="0008732D"/>
    <w:rsid w:val="00087463"/>
    <w:rsid w:val="00087BDA"/>
    <w:rsid w:val="000A72EA"/>
    <w:rsid w:val="000B0ABC"/>
    <w:rsid w:val="000D1008"/>
    <w:rsid w:val="000D4762"/>
    <w:rsid w:val="000E35D8"/>
    <w:rsid w:val="000F756F"/>
    <w:rsid w:val="00110791"/>
    <w:rsid w:val="00125A00"/>
    <w:rsid w:val="0013427A"/>
    <w:rsid w:val="0014324F"/>
    <w:rsid w:val="00143925"/>
    <w:rsid w:val="00151E48"/>
    <w:rsid w:val="001522B6"/>
    <w:rsid w:val="00152438"/>
    <w:rsid w:val="001608D6"/>
    <w:rsid w:val="001650B1"/>
    <w:rsid w:val="00175784"/>
    <w:rsid w:val="00180684"/>
    <w:rsid w:val="00183791"/>
    <w:rsid w:val="00186BAB"/>
    <w:rsid w:val="00190E8B"/>
    <w:rsid w:val="0019563D"/>
    <w:rsid w:val="001967D6"/>
    <w:rsid w:val="001B0EE5"/>
    <w:rsid w:val="001B6B96"/>
    <w:rsid w:val="001B7BB1"/>
    <w:rsid w:val="001C0052"/>
    <w:rsid w:val="001C379A"/>
    <w:rsid w:val="001D2093"/>
    <w:rsid w:val="001D3B1E"/>
    <w:rsid w:val="001F0260"/>
    <w:rsid w:val="001F03D0"/>
    <w:rsid w:val="001F2373"/>
    <w:rsid w:val="001F2800"/>
    <w:rsid w:val="00200C87"/>
    <w:rsid w:val="002042D5"/>
    <w:rsid w:val="002061A6"/>
    <w:rsid w:val="00207FA4"/>
    <w:rsid w:val="00210643"/>
    <w:rsid w:val="00214BF8"/>
    <w:rsid w:val="00216F7D"/>
    <w:rsid w:val="00217F4A"/>
    <w:rsid w:val="00224FC4"/>
    <w:rsid w:val="002335D4"/>
    <w:rsid w:val="0023441B"/>
    <w:rsid w:val="00241118"/>
    <w:rsid w:val="00243D35"/>
    <w:rsid w:val="002465E7"/>
    <w:rsid w:val="00247E16"/>
    <w:rsid w:val="002501FF"/>
    <w:rsid w:val="00251A03"/>
    <w:rsid w:val="0025309F"/>
    <w:rsid w:val="002778DB"/>
    <w:rsid w:val="002820FD"/>
    <w:rsid w:val="00282216"/>
    <w:rsid w:val="002901C5"/>
    <w:rsid w:val="00295322"/>
    <w:rsid w:val="002A1161"/>
    <w:rsid w:val="002B28D9"/>
    <w:rsid w:val="002B2BE5"/>
    <w:rsid w:val="002C14F8"/>
    <w:rsid w:val="002C1CB1"/>
    <w:rsid w:val="002C4BD6"/>
    <w:rsid w:val="002C62FC"/>
    <w:rsid w:val="002C68EC"/>
    <w:rsid w:val="002D0E82"/>
    <w:rsid w:val="002E24EC"/>
    <w:rsid w:val="002E57F2"/>
    <w:rsid w:val="002F030F"/>
    <w:rsid w:val="002F718C"/>
    <w:rsid w:val="003027AA"/>
    <w:rsid w:val="003114A3"/>
    <w:rsid w:val="00321E25"/>
    <w:rsid w:val="003236FD"/>
    <w:rsid w:val="00323C30"/>
    <w:rsid w:val="00326871"/>
    <w:rsid w:val="00327902"/>
    <w:rsid w:val="003377D4"/>
    <w:rsid w:val="00340E5B"/>
    <w:rsid w:val="0034220A"/>
    <w:rsid w:val="00343749"/>
    <w:rsid w:val="00346B04"/>
    <w:rsid w:val="0034704D"/>
    <w:rsid w:val="00347287"/>
    <w:rsid w:val="00357870"/>
    <w:rsid w:val="003579FF"/>
    <w:rsid w:val="00373C72"/>
    <w:rsid w:val="00373DEC"/>
    <w:rsid w:val="0038260B"/>
    <w:rsid w:val="00385052"/>
    <w:rsid w:val="00385CA4"/>
    <w:rsid w:val="0039066C"/>
    <w:rsid w:val="00390BD1"/>
    <w:rsid w:val="00391265"/>
    <w:rsid w:val="0039580E"/>
    <w:rsid w:val="00396147"/>
    <w:rsid w:val="003A39C7"/>
    <w:rsid w:val="003A4071"/>
    <w:rsid w:val="003B55C9"/>
    <w:rsid w:val="003B59C2"/>
    <w:rsid w:val="003C7A6C"/>
    <w:rsid w:val="003D4B97"/>
    <w:rsid w:val="003D4C6A"/>
    <w:rsid w:val="003D629A"/>
    <w:rsid w:val="003E58CD"/>
    <w:rsid w:val="003E7675"/>
    <w:rsid w:val="003F0195"/>
    <w:rsid w:val="003F2A76"/>
    <w:rsid w:val="003F730A"/>
    <w:rsid w:val="003F7ED2"/>
    <w:rsid w:val="00404C4D"/>
    <w:rsid w:val="00407375"/>
    <w:rsid w:val="00410A89"/>
    <w:rsid w:val="004110C3"/>
    <w:rsid w:val="0041496E"/>
    <w:rsid w:val="00416F1C"/>
    <w:rsid w:val="00430FEA"/>
    <w:rsid w:val="00431880"/>
    <w:rsid w:val="0043297E"/>
    <w:rsid w:val="00433996"/>
    <w:rsid w:val="00445D31"/>
    <w:rsid w:val="00460642"/>
    <w:rsid w:val="00462887"/>
    <w:rsid w:val="00462BC4"/>
    <w:rsid w:val="00463F84"/>
    <w:rsid w:val="00470139"/>
    <w:rsid w:val="00472C36"/>
    <w:rsid w:val="00472F65"/>
    <w:rsid w:val="00473828"/>
    <w:rsid w:val="004834B3"/>
    <w:rsid w:val="00493A74"/>
    <w:rsid w:val="004A0289"/>
    <w:rsid w:val="004A4AEA"/>
    <w:rsid w:val="004A7FE6"/>
    <w:rsid w:val="004B41BB"/>
    <w:rsid w:val="004D721E"/>
    <w:rsid w:val="00501770"/>
    <w:rsid w:val="00504184"/>
    <w:rsid w:val="00506647"/>
    <w:rsid w:val="005132A2"/>
    <w:rsid w:val="0051366A"/>
    <w:rsid w:val="00515071"/>
    <w:rsid w:val="00517F6A"/>
    <w:rsid w:val="0052304B"/>
    <w:rsid w:val="00526C8B"/>
    <w:rsid w:val="00527210"/>
    <w:rsid w:val="005275DB"/>
    <w:rsid w:val="00547E77"/>
    <w:rsid w:val="00552373"/>
    <w:rsid w:val="00552B4C"/>
    <w:rsid w:val="0055469F"/>
    <w:rsid w:val="00555F3D"/>
    <w:rsid w:val="00564CCF"/>
    <w:rsid w:val="00571564"/>
    <w:rsid w:val="00574A2B"/>
    <w:rsid w:val="00582885"/>
    <w:rsid w:val="005828A0"/>
    <w:rsid w:val="00587B1E"/>
    <w:rsid w:val="0059768A"/>
    <w:rsid w:val="005A686D"/>
    <w:rsid w:val="005B1EB9"/>
    <w:rsid w:val="005B5BA9"/>
    <w:rsid w:val="005C3FEA"/>
    <w:rsid w:val="005C7F6D"/>
    <w:rsid w:val="005D0B1E"/>
    <w:rsid w:val="005E1105"/>
    <w:rsid w:val="005E19ED"/>
    <w:rsid w:val="005E5C0D"/>
    <w:rsid w:val="005F0D21"/>
    <w:rsid w:val="005F0ECD"/>
    <w:rsid w:val="005F0F5C"/>
    <w:rsid w:val="005F367D"/>
    <w:rsid w:val="005F583D"/>
    <w:rsid w:val="005F6E32"/>
    <w:rsid w:val="00607346"/>
    <w:rsid w:val="00611B3B"/>
    <w:rsid w:val="00615854"/>
    <w:rsid w:val="00620D55"/>
    <w:rsid w:val="006210FA"/>
    <w:rsid w:val="00630A4E"/>
    <w:rsid w:val="00645B55"/>
    <w:rsid w:val="00653764"/>
    <w:rsid w:val="006552E7"/>
    <w:rsid w:val="00660CD4"/>
    <w:rsid w:val="00665992"/>
    <w:rsid w:val="00667A66"/>
    <w:rsid w:val="006737A1"/>
    <w:rsid w:val="00684816"/>
    <w:rsid w:val="006848C4"/>
    <w:rsid w:val="006A1FD1"/>
    <w:rsid w:val="006B0014"/>
    <w:rsid w:val="006C0590"/>
    <w:rsid w:val="006D6951"/>
    <w:rsid w:val="00703B8C"/>
    <w:rsid w:val="007127BD"/>
    <w:rsid w:val="00723771"/>
    <w:rsid w:val="00723FE9"/>
    <w:rsid w:val="0072724F"/>
    <w:rsid w:val="00735EE1"/>
    <w:rsid w:val="00757804"/>
    <w:rsid w:val="007624C0"/>
    <w:rsid w:val="00773052"/>
    <w:rsid w:val="00786F08"/>
    <w:rsid w:val="0079408B"/>
    <w:rsid w:val="0079501F"/>
    <w:rsid w:val="00796D40"/>
    <w:rsid w:val="007A23C7"/>
    <w:rsid w:val="007A5ABD"/>
    <w:rsid w:val="007A6B34"/>
    <w:rsid w:val="007B4C66"/>
    <w:rsid w:val="007B652A"/>
    <w:rsid w:val="007C2EE2"/>
    <w:rsid w:val="007D0125"/>
    <w:rsid w:val="007E12C3"/>
    <w:rsid w:val="007E2B3F"/>
    <w:rsid w:val="007E3532"/>
    <w:rsid w:val="007F0999"/>
    <w:rsid w:val="007F3AF3"/>
    <w:rsid w:val="00806F8F"/>
    <w:rsid w:val="00815700"/>
    <w:rsid w:val="00817FB3"/>
    <w:rsid w:val="00821D03"/>
    <w:rsid w:val="00834FE6"/>
    <w:rsid w:val="008403C6"/>
    <w:rsid w:val="00843D54"/>
    <w:rsid w:val="0084594F"/>
    <w:rsid w:val="00857871"/>
    <w:rsid w:val="00861E8D"/>
    <w:rsid w:val="00874314"/>
    <w:rsid w:val="008750AD"/>
    <w:rsid w:val="008904B2"/>
    <w:rsid w:val="00894F9E"/>
    <w:rsid w:val="008B43D5"/>
    <w:rsid w:val="008C1654"/>
    <w:rsid w:val="008D2240"/>
    <w:rsid w:val="008D3A80"/>
    <w:rsid w:val="008E4CC2"/>
    <w:rsid w:val="008F0087"/>
    <w:rsid w:val="008F4218"/>
    <w:rsid w:val="009024AC"/>
    <w:rsid w:val="00914466"/>
    <w:rsid w:val="0092388D"/>
    <w:rsid w:val="00933D4E"/>
    <w:rsid w:val="00946E5C"/>
    <w:rsid w:val="009514FC"/>
    <w:rsid w:val="00951A22"/>
    <w:rsid w:val="00952CDD"/>
    <w:rsid w:val="00964E2E"/>
    <w:rsid w:val="009665EF"/>
    <w:rsid w:val="00972050"/>
    <w:rsid w:val="00973152"/>
    <w:rsid w:val="00984B85"/>
    <w:rsid w:val="009851AF"/>
    <w:rsid w:val="00987D4E"/>
    <w:rsid w:val="00990B1D"/>
    <w:rsid w:val="00995723"/>
    <w:rsid w:val="009A7C21"/>
    <w:rsid w:val="009B61F1"/>
    <w:rsid w:val="009D7D0D"/>
    <w:rsid w:val="009E7291"/>
    <w:rsid w:val="009F7EC1"/>
    <w:rsid w:val="00A0226E"/>
    <w:rsid w:val="00A03035"/>
    <w:rsid w:val="00A035D9"/>
    <w:rsid w:val="00A30824"/>
    <w:rsid w:val="00A31D9D"/>
    <w:rsid w:val="00A35992"/>
    <w:rsid w:val="00A37B76"/>
    <w:rsid w:val="00A53481"/>
    <w:rsid w:val="00A537E1"/>
    <w:rsid w:val="00A53A94"/>
    <w:rsid w:val="00A540F3"/>
    <w:rsid w:val="00A60C7A"/>
    <w:rsid w:val="00A70B60"/>
    <w:rsid w:val="00A74B9A"/>
    <w:rsid w:val="00A74CA4"/>
    <w:rsid w:val="00A76EED"/>
    <w:rsid w:val="00A802AA"/>
    <w:rsid w:val="00A821EF"/>
    <w:rsid w:val="00A85741"/>
    <w:rsid w:val="00A91237"/>
    <w:rsid w:val="00A9478E"/>
    <w:rsid w:val="00AA0B4C"/>
    <w:rsid w:val="00AC7786"/>
    <w:rsid w:val="00AD0096"/>
    <w:rsid w:val="00AD2009"/>
    <w:rsid w:val="00AE3243"/>
    <w:rsid w:val="00AF19A6"/>
    <w:rsid w:val="00AF19B9"/>
    <w:rsid w:val="00AF3D28"/>
    <w:rsid w:val="00AF65FD"/>
    <w:rsid w:val="00B10B81"/>
    <w:rsid w:val="00B15317"/>
    <w:rsid w:val="00B2089D"/>
    <w:rsid w:val="00B2132C"/>
    <w:rsid w:val="00B448F0"/>
    <w:rsid w:val="00B60008"/>
    <w:rsid w:val="00B6083D"/>
    <w:rsid w:val="00B7497A"/>
    <w:rsid w:val="00B75E27"/>
    <w:rsid w:val="00B7735A"/>
    <w:rsid w:val="00B86DD9"/>
    <w:rsid w:val="00B9240F"/>
    <w:rsid w:val="00B92411"/>
    <w:rsid w:val="00B940AF"/>
    <w:rsid w:val="00B97B9B"/>
    <w:rsid w:val="00BA574F"/>
    <w:rsid w:val="00BC1AEE"/>
    <w:rsid w:val="00BC5698"/>
    <w:rsid w:val="00BC7134"/>
    <w:rsid w:val="00BD013E"/>
    <w:rsid w:val="00BD24B8"/>
    <w:rsid w:val="00BE4C9A"/>
    <w:rsid w:val="00C013C4"/>
    <w:rsid w:val="00C14265"/>
    <w:rsid w:val="00C1758F"/>
    <w:rsid w:val="00C17E5A"/>
    <w:rsid w:val="00C200C9"/>
    <w:rsid w:val="00C34ED7"/>
    <w:rsid w:val="00C3551A"/>
    <w:rsid w:val="00C35686"/>
    <w:rsid w:val="00C36B5F"/>
    <w:rsid w:val="00C36FFA"/>
    <w:rsid w:val="00C45736"/>
    <w:rsid w:val="00C46F9F"/>
    <w:rsid w:val="00C5400A"/>
    <w:rsid w:val="00C54E01"/>
    <w:rsid w:val="00C62DEC"/>
    <w:rsid w:val="00C662A9"/>
    <w:rsid w:val="00C750C3"/>
    <w:rsid w:val="00C87990"/>
    <w:rsid w:val="00C9625F"/>
    <w:rsid w:val="00CB1619"/>
    <w:rsid w:val="00CB4B75"/>
    <w:rsid w:val="00CC2069"/>
    <w:rsid w:val="00CD44C1"/>
    <w:rsid w:val="00CE166B"/>
    <w:rsid w:val="00CE1845"/>
    <w:rsid w:val="00CE2097"/>
    <w:rsid w:val="00CE3B74"/>
    <w:rsid w:val="00CE4285"/>
    <w:rsid w:val="00CE4DBC"/>
    <w:rsid w:val="00CE5F04"/>
    <w:rsid w:val="00CF04CE"/>
    <w:rsid w:val="00D01B25"/>
    <w:rsid w:val="00D01BEE"/>
    <w:rsid w:val="00D035DD"/>
    <w:rsid w:val="00D1289E"/>
    <w:rsid w:val="00D3721E"/>
    <w:rsid w:val="00D42FBA"/>
    <w:rsid w:val="00D43EF8"/>
    <w:rsid w:val="00D4539D"/>
    <w:rsid w:val="00D51FCD"/>
    <w:rsid w:val="00D5544F"/>
    <w:rsid w:val="00D5783F"/>
    <w:rsid w:val="00D6572A"/>
    <w:rsid w:val="00D66DB8"/>
    <w:rsid w:val="00D70020"/>
    <w:rsid w:val="00D77D41"/>
    <w:rsid w:val="00D8209F"/>
    <w:rsid w:val="00D97677"/>
    <w:rsid w:val="00DA0325"/>
    <w:rsid w:val="00DA1EB0"/>
    <w:rsid w:val="00DA6648"/>
    <w:rsid w:val="00DA6E16"/>
    <w:rsid w:val="00DB334A"/>
    <w:rsid w:val="00DB493B"/>
    <w:rsid w:val="00DB4E2A"/>
    <w:rsid w:val="00DB5723"/>
    <w:rsid w:val="00DB7540"/>
    <w:rsid w:val="00DB7936"/>
    <w:rsid w:val="00DC1B4B"/>
    <w:rsid w:val="00DD22BB"/>
    <w:rsid w:val="00DE3E2C"/>
    <w:rsid w:val="00DF15E6"/>
    <w:rsid w:val="00DF53B4"/>
    <w:rsid w:val="00E11B36"/>
    <w:rsid w:val="00E171AE"/>
    <w:rsid w:val="00E22D87"/>
    <w:rsid w:val="00E30B68"/>
    <w:rsid w:val="00E335B9"/>
    <w:rsid w:val="00E35C5B"/>
    <w:rsid w:val="00E37741"/>
    <w:rsid w:val="00E37B1D"/>
    <w:rsid w:val="00E405A1"/>
    <w:rsid w:val="00E468DF"/>
    <w:rsid w:val="00E46D53"/>
    <w:rsid w:val="00E5074F"/>
    <w:rsid w:val="00E51355"/>
    <w:rsid w:val="00E570FC"/>
    <w:rsid w:val="00E61FB0"/>
    <w:rsid w:val="00E63D22"/>
    <w:rsid w:val="00E65CF7"/>
    <w:rsid w:val="00E710CB"/>
    <w:rsid w:val="00E86D4F"/>
    <w:rsid w:val="00E96E18"/>
    <w:rsid w:val="00EA7D06"/>
    <w:rsid w:val="00ED1F40"/>
    <w:rsid w:val="00ED2063"/>
    <w:rsid w:val="00EE12F1"/>
    <w:rsid w:val="00EE3864"/>
    <w:rsid w:val="00EE6E21"/>
    <w:rsid w:val="00EE79E3"/>
    <w:rsid w:val="00EF135A"/>
    <w:rsid w:val="00F07C58"/>
    <w:rsid w:val="00F103DA"/>
    <w:rsid w:val="00F1795B"/>
    <w:rsid w:val="00F179A5"/>
    <w:rsid w:val="00F246A0"/>
    <w:rsid w:val="00F32FD6"/>
    <w:rsid w:val="00F339AC"/>
    <w:rsid w:val="00F34385"/>
    <w:rsid w:val="00F3795F"/>
    <w:rsid w:val="00F4127A"/>
    <w:rsid w:val="00F42A7A"/>
    <w:rsid w:val="00F523D4"/>
    <w:rsid w:val="00F54B2D"/>
    <w:rsid w:val="00F6137B"/>
    <w:rsid w:val="00F67A91"/>
    <w:rsid w:val="00F711C2"/>
    <w:rsid w:val="00F720CE"/>
    <w:rsid w:val="00F86ABA"/>
    <w:rsid w:val="00F940CD"/>
    <w:rsid w:val="00F94D9F"/>
    <w:rsid w:val="00F96C84"/>
    <w:rsid w:val="00FA3004"/>
    <w:rsid w:val="00FC348B"/>
    <w:rsid w:val="00FC4436"/>
    <w:rsid w:val="00FD5BEA"/>
    <w:rsid w:val="00FD6CBA"/>
    <w:rsid w:val="00FE1036"/>
    <w:rsid w:val="00FE1C36"/>
    <w:rsid w:val="00FE6CD7"/>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List Paragraph1,List Bullet 1"/>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List Paragraph1 Char,List Bullet 1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iPriority w:val="99"/>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 w:type="table" w:styleId="LightShading">
    <w:name w:val="Light Shading"/>
    <w:basedOn w:val="TableNormal"/>
    <w:uiPriority w:val="60"/>
    <w:rsid w:val="00430F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B0EE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List Paragraph1,List Bullet 1"/>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List Paragraph1 Char,List Bullet 1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iPriority w:val="99"/>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 w:type="table" w:styleId="LightShading">
    <w:name w:val="Light Shading"/>
    <w:basedOn w:val="TableNormal"/>
    <w:uiPriority w:val="60"/>
    <w:rsid w:val="00430F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B0E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064">
      <w:bodyDiv w:val="1"/>
      <w:marLeft w:val="0"/>
      <w:marRight w:val="0"/>
      <w:marTop w:val="0"/>
      <w:marBottom w:val="0"/>
      <w:divBdr>
        <w:top w:val="none" w:sz="0" w:space="0" w:color="auto"/>
        <w:left w:val="none" w:sz="0" w:space="0" w:color="auto"/>
        <w:bottom w:val="none" w:sz="0" w:space="0" w:color="auto"/>
        <w:right w:val="none" w:sz="0" w:space="0" w:color="auto"/>
      </w:divBdr>
    </w:div>
    <w:div w:id="456802108">
      <w:bodyDiv w:val="1"/>
      <w:marLeft w:val="0"/>
      <w:marRight w:val="0"/>
      <w:marTop w:val="0"/>
      <w:marBottom w:val="0"/>
      <w:divBdr>
        <w:top w:val="none" w:sz="0" w:space="0" w:color="auto"/>
        <w:left w:val="none" w:sz="0" w:space="0" w:color="auto"/>
        <w:bottom w:val="none" w:sz="0" w:space="0" w:color="auto"/>
        <w:right w:val="none" w:sz="0" w:space="0" w:color="auto"/>
      </w:divBdr>
    </w:div>
    <w:div w:id="596139826">
      <w:bodyDiv w:val="1"/>
      <w:marLeft w:val="0"/>
      <w:marRight w:val="0"/>
      <w:marTop w:val="0"/>
      <w:marBottom w:val="0"/>
      <w:divBdr>
        <w:top w:val="none" w:sz="0" w:space="0" w:color="auto"/>
        <w:left w:val="none" w:sz="0" w:space="0" w:color="auto"/>
        <w:bottom w:val="none" w:sz="0" w:space="0" w:color="auto"/>
        <w:right w:val="none" w:sz="0" w:space="0" w:color="auto"/>
      </w:divBdr>
    </w:div>
    <w:div w:id="875965467">
      <w:bodyDiv w:val="1"/>
      <w:marLeft w:val="0"/>
      <w:marRight w:val="0"/>
      <w:marTop w:val="0"/>
      <w:marBottom w:val="0"/>
      <w:divBdr>
        <w:top w:val="none" w:sz="0" w:space="0" w:color="auto"/>
        <w:left w:val="none" w:sz="0" w:space="0" w:color="auto"/>
        <w:bottom w:val="none" w:sz="0" w:space="0" w:color="auto"/>
        <w:right w:val="none" w:sz="0" w:space="0" w:color="auto"/>
      </w:divBdr>
    </w:div>
    <w:div w:id="971713588">
      <w:bodyDiv w:val="1"/>
      <w:marLeft w:val="0"/>
      <w:marRight w:val="0"/>
      <w:marTop w:val="0"/>
      <w:marBottom w:val="0"/>
      <w:divBdr>
        <w:top w:val="none" w:sz="0" w:space="0" w:color="auto"/>
        <w:left w:val="none" w:sz="0" w:space="0" w:color="auto"/>
        <w:bottom w:val="none" w:sz="0" w:space="0" w:color="auto"/>
        <w:right w:val="none" w:sz="0" w:space="0" w:color="auto"/>
      </w:divBdr>
    </w:div>
    <w:div w:id="1219828340">
      <w:bodyDiv w:val="1"/>
      <w:marLeft w:val="0"/>
      <w:marRight w:val="0"/>
      <w:marTop w:val="0"/>
      <w:marBottom w:val="0"/>
      <w:divBdr>
        <w:top w:val="none" w:sz="0" w:space="0" w:color="auto"/>
        <w:left w:val="none" w:sz="0" w:space="0" w:color="auto"/>
        <w:bottom w:val="none" w:sz="0" w:space="0" w:color="auto"/>
        <w:right w:val="none" w:sz="0" w:space="0" w:color="auto"/>
      </w:divBdr>
    </w:div>
    <w:div w:id="1469739549">
      <w:bodyDiv w:val="1"/>
      <w:marLeft w:val="0"/>
      <w:marRight w:val="0"/>
      <w:marTop w:val="0"/>
      <w:marBottom w:val="0"/>
      <w:divBdr>
        <w:top w:val="none" w:sz="0" w:space="0" w:color="auto"/>
        <w:left w:val="none" w:sz="0" w:space="0" w:color="auto"/>
        <w:bottom w:val="none" w:sz="0" w:space="0" w:color="auto"/>
        <w:right w:val="none" w:sz="0" w:space="0" w:color="auto"/>
      </w:divBdr>
    </w:div>
    <w:div w:id="1658873223">
      <w:bodyDiv w:val="1"/>
      <w:marLeft w:val="0"/>
      <w:marRight w:val="0"/>
      <w:marTop w:val="0"/>
      <w:marBottom w:val="0"/>
      <w:divBdr>
        <w:top w:val="none" w:sz="0" w:space="0" w:color="auto"/>
        <w:left w:val="none" w:sz="0" w:space="0" w:color="auto"/>
        <w:bottom w:val="none" w:sz="0" w:space="0" w:color="auto"/>
        <w:right w:val="none" w:sz="0" w:space="0" w:color="auto"/>
      </w:divBdr>
    </w:div>
    <w:div w:id="1734891045">
      <w:bodyDiv w:val="1"/>
      <w:marLeft w:val="0"/>
      <w:marRight w:val="0"/>
      <w:marTop w:val="0"/>
      <w:marBottom w:val="0"/>
      <w:divBdr>
        <w:top w:val="none" w:sz="0" w:space="0" w:color="auto"/>
        <w:left w:val="none" w:sz="0" w:space="0" w:color="auto"/>
        <w:bottom w:val="none" w:sz="0" w:space="0" w:color="auto"/>
        <w:right w:val="none" w:sz="0" w:space="0" w:color="auto"/>
      </w:divBdr>
    </w:div>
    <w:div w:id="1857032853">
      <w:bodyDiv w:val="1"/>
      <w:marLeft w:val="0"/>
      <w:marRight w:val="0"/>
      <w:marTop w:val="0"/>
      <w:marBottom w:val="0"/>
      <w:divBdr>
        <w:top w:val="none" w:sz="0" w:space="0" w:color="auto"/>
        <w:left w:val="none" w:sz="0" w:space="0" w:color="auto"/>
        <w:bottom w:val="none" w:sz="0" w:space="0" w:color="auto"/>
        <w:right w:val="none" w:sz="0" w:space="0" w:color="auto"/>
      </w:divBdr>
    </w:div>
    <w:div w:id="2136605299">
      <w:bodyDiv w:val="1"/>
      <w:marLeft w:val="0"/>
      <w:marRight w:val="0"/>
      <w:marTop w:val="0"/>
      <w:marBottom w:val="0"/>
      <w:divBdr>
        <w:top w:val="none" w:sz="0" w:space="0" w:color="auto"/>
        <w:left w:val="none" w:sz="0" w:space="0" w:color="auto"/>
        <w:bottom w:val="none" w:sz="0" w:space="0" w:color="auto"/>
        <w:right w:val="none" w:sz="0" w:space="0" w:color="auto"/>
      </w:divBdr>
    </w:div>
    <w:div w:id="21458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2016-08-19T07:00:00+00:00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FE677-7AC7-41DB-80C1-F8F2BEECC2E1}"/>
</file>

<file path=customXml/itemProps2.xml><?xml version="1.0" encoding="utf-8"?>
<ds:datastoreItem xmlns:ds="http://schemas.openxmlformats.org/officeDocument/2006/customXml" ds:itemID="{21DC86CB-EA6D-4C02-B3FE-B35DB6D5F225}"/>
</file>

<file path=customXml/itemProps3.xml><?xml version="1.0" encoding="utf-8"?>
<ds:datastoreItem xmlns:ds="http://schemas.openxmlformats.org/officeDocument/2006/customXml" ds:itemID="{1AA71C17-FAE6-4AA9-9C22-DFF4E3E80280}"/>
</file>

<file path=customXml/itemProps4.xml><?xml version="1.0" encoding="utf-8"?>
<ds:datastoreItem xmlns:ds="http://schemas.openxmlformats.org/officeDocument/2006/customXml" ds:itemID="{E0640F59-C775-4BE6-BAA0-5809474012C8}"/>
</file>

<file path=customXml/itemProps5.xml><?xml version="1.0" encoding="utf-8"?>
<ds:datastoreItem xmlns:ds="http://schemas.openxmlformats.org/officeDocument/2006/customXml" ds:itemID="{2F3FE066-6797-4FD9-8959-78BA07E49050}"/>
</file>

<file path=docProps/app.xml><?xml version="1.0" encoding="utf-8"?>
<Properties xmlns="http://schemas.openxmlformats.org/officeDocument/2006/extended-properties" xmlns:vt="http://schemas.openxmlformats.org/officeDocument/2006/docPropsVTypes">
  <Template>Normal.dotm</Template>
  <TotalTime>52</TotalTime>
  <Pages>10</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ETO.Q1.16.Quarterly.Report.NWNWA</vt:lpstr>
    </vt:vector>
  </TitlesOfParts>
  <Company>Energy Trust of Oregon</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ETO.Q1.16.Quarterly.Report.NWNWA</dc:title>
  <dc:creator>Julianne Thacher</dc:creator>
  <cp:lastModifiedBy>Hammer, Gail </cp:lastModifiedBy>
  <cp:revision>6</cp:revision>
  <cp:lastPrinted>2016-08-12T17:22:00Z</cp:lastPrinted>
  <dcterms:created xsi:type="dcterms:W3CDTF">2016-08-17T16:21:00Z</dcterms:created>
  <dcterms:modified xsi:type="dcterms:W3CDTF">2016-08-19T14:23:00Z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The annual report for NWN WASHINGTON. Fiscal year is Oct - Sep, so includes Q4 2009 data. </vt:lpwstr>
  </property>
  <property fmtid="{D5CDD505-2E9C-101B-9397-08002B2CF9AE}" pid="3" name="ContentTypeId">
    <vt:lpwstr>0x0101006E56B4D1795A2E4DB2F0B01679ED314A00B9D47D3FFA0C4E438A251DA7753C113E</vt:lpwstr>
  </property>
  <property fmtid="{D5CDD505-2E9C-101B-9397-08002B2CF9AE}" pid="4" name="_dlc_DocIdItemGuid">
    <vt:lpwstr>f2f50711-e4e9-4df5-91cd-08367639b20a</vt:lpwstr>
  </property>
  <property fmtid="{D5CDD505-2E9C-101B-9397-08002B2CF9AE}" pid="5" name="_docset_NoMedatataSyncRequired">
    <vt:lpwstr>False</vt:lpwstr>
  </property>
</Properties>
</file>