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67" w:rsidRPr="001F6D67" w:rsidRDefault="001F6D67" w:rsidP="001F6D67">
      <w:pPr>
        <w:rPr>
          <w:rFonts w:ascii="Times Roman" w:hAnsi="Times Roman"/>
          <w:b/>
          <w:sz w:val="24"/>
          <w:szCs w:val="24"/>
        </w:rPr>
      </w:pPr>
      <w:bookmarkStart w:id="0" w:name="_GoBack"/>
      <w:bookmarkEnd w:id="0"/>
      <w:r w:rsidRPr="001F6D67">
        <w:rPr>
          <w:rFonts w:ascii="Times Roman" w:hAnsi="Times Roman"/>
          <w:b/>
          <w:sz w:val="24"/>
          <w:szCs w:val="24"/>
        </w:rPr>
        <w:t xml:space="preserve">VIA ELECTRONIC DELIVERY </w:t>
      </w:r>
    </w:p>
    <w:p w:rsidR="001F6D67" w:rsidRPr="001F6D67" w:rsidRDefault="001F6D67" w:rsidP="001F6D67">
      <w:pPr>
        <w:rPr>
          <w:rFonts w:ascii="Times Roman" w:hAnsi="Times Roman"/>
          <w:sz w:val="24"/>
          <w:szCs w:val="24"/>
        </w:rPr>
      </w:pPr>
    </w:p>
    <w:p w:rsidR="001F6D67" w:rsidRPr="001F6D67" w:rsidRDefault="00B12694" w:rsidP="001F6D67">
      <w:pPr>
        <w:rPr>
          <w:rFonts w:ascii="Times Roman" w:hAnsi="Times Roman"/>
          <w:sz w:val="24"/>
          <w:szCs w:val="24"/>
        </w:rPr>
      </w:pPr>
      <w:r>
        <w:rPr>
          <w:rFonts w:ascii="Times Roman" w:hAnsi="Times Roman"/>
          <w:sz w:val="24"/>
          <w:szCs w:val="24"/>
        </w:rPr>
        <w:t>September 2</w:t>
      </w:r>
      <w:r w:rsidR="00D4058D">
        <w:rPr>
          <w:rFonts w:ascii="Times Roman" w:hAnsi="Times Roman"/>
          <w:sz w:val="24"/>
          <w:szCs w:val="24"/>
        </w:rPr>
        <w:t>5</w:t>
      </w:r>
      <w:r w:rsidR="001F6D67" w:rsidRPr="001F6D67">
        <w:rPr>
          <w:rFonts w:ascii="Times Roman" w:hAnsi="Times Roman"/>
          <w:sz w:val="24"/>
          <w:szCs w:val="24"/>
        </w:rPr>
        <w:t>, 2015</w:t>
      </w:r>
    </w:p>
    <w:p w:rsidR="001F6D67" w:rsidRPr="001F6D67" w:rsidRDefault="001F6D67" w:rsidP="001F6D67">
      <w:pPr>
        <w:rPr>
          <w:rFonts w:ascii="Times Roman" w:hAnsi="Times Roman"/>
          <w:sz w:val="24"/>
          <w:szCs w:val="24"/>
        </w:rPr>
      </w:pPr>
    </w:p>
    <w:p w:rsidR="00B12694" w:rsidRPr="00B12694" w:rsidRDefault="001F6D67" w:rsidP="00B12694">
      <w:pPr>
        <w:rPr>
          <w:rFonts w:ascii="Times Roman" w:hAnsi="Times Roman"/>
          <w:sz w:val="24"/>
          <w:szCs w:val="24"/>
        </w:rPr>
      </w:pPr>
      <w:r w:rsidRPr="001F6D67">
        <w:rPr>
          <w:rFonts w:ascii="Times Roman" w:hAnsi="Times Roman"/>
          <w:sz w:val="24"/>
          <w:szCs w:val="24"/>
        </w:rPr>
        <w:t>TO:</w:t>
      </w:r>
      <w:r w:rsidRPr="001F6D67">
        <w:rPr>
          <w:rFonts w:ascii="Times Roman" w:hAnsi="Times Roman"/>
          <w:sz w:val="24"/>
          <w:szCs w:val="24"/>
        </w:rPr>
        <w:tab/>
      </w:r>
      <w:r w:rsidR="00B12694" w:rsidRPr="00B12694">
        <w:rPr>
          <w:rFonts w:ascii="Times Roman" w:hAnsi="Times Roman"/>
          <w:sz w:val="24"/>
          <w:szCs w:val="24"/>
        </w:rPr>
        <w:t>Mr. Steven V. King</w:t>
      </w:r>
    </w:p>
    <w:p w:rsidR="00B12694" w:rsidRPr="00B12694" w:rsidRDefault="00B12694" w:rsidP="00B12694">
      <w:pPr>
        <w:ind w:firstLine="720"/>
        <w:rPr>
          <w:rFonts w:ascii="Times Roman" w:hAnsi="Times Roman"/>
          <w:sz w:val="24"/>
          <w:szCs w:val="24"/>
        </w:rPr>
      </w:pPr>
      <w:r w:rsidRPr="00B12694">
        <w:rPr>
          <w:rFonts w:ascii="Times Roman" w:hAnsi="Times Roman"/>
          <w:sz w:val="24"/>
          <w:szCs w:val="24"/>
        </w:rPr>
        <w:t>Executive Director and Secretary</w:t>
      </w:r>
    </w:p>
    <w:p w:rsidR="00B12694" w:rsidRPr="00B12694" w:rsidRDefault="00B12694" w:rsidP="00B12694">
      <w:pPr>
        <w:ind w:firstLine="720"/>
        <w:rPr>
          <w:rFonts w:ascii="Times Roman" w:hAnsi="Times Roman"/>
          <w:sz w:val="24"/>
          <w:szCs w:val="24"/>
        </w:rPr>
      </w:pPr>
      <w:r w:rsidRPr="00B12694">
        <w:rPr>
          <w:rFonts w:ascii="Times Roman" w:hAnsi="Times Roman"/>
          <w:sz w:val="24"/>
          <w:szCs w:val="24"/>
        </w:rPr>
        <w:t>Washington Utilities and Transportation Commission</w:t>
      </w:r>
    </w:p>
    <w:p w:rsidR="00B12694" w:rsidRPr="00B12694" w:rsidRDefault="00B12694" w:rsidP="00B12694">
      <w:pPr>
        <w:ind w:firstLine="720"/>
        <w:rPr>
          <w:rFonts w:ascii="Times Roman" w:hAnsi="Times Roman"/>
          <w:sz w:val="24"/>
          <w:szCs w:val="24"/>
        </w:rPr>
      </w:pPr>
      <w:r w:rsidRPr="00B12694">
        <w:rPr>
          <w:rFonts w:ascii="Times Roman" w:hAnsi="Times Roman"/>
          <w:sz w:val="24"/>
          <w:szCs w:val="24"/>
        </w:rPr>
        <w:t>1300 South Evergreen Park Drive</w:t>
      </w:r>
    </w:p>
    <w:p w:rsidR="00B12694" w:rsidRPr="00B12694" w:rsidRDefault="00B12694" w:rsidP="00B12694">
      <w:pPr>
        <w:ind w:firstLine="720"/>
        <w:rPr>
          <w:rFonts w:ascii="Times Roman" w:hAnsi="Times Roman"/>
          <w:sz w:val="24"/>
          <w:szCs w:val="24"/>
        </w:rPr>
      </w:pPr>
      <w:r w:rsidRPr="00B12694">
        <w:rPr>
          <w:rFonts w:ascii="Times Roman" w:hAnsi="Times Roman"/>
          <w:sz w:val="24"/>
          <w:szCs w:val="24"/>
        </w:rPr>
        <w:t>Olympia, WA 98504-7250</w:t>
      </w:r>
    </w:p>
    <w:p w:rsidR="0000057B" w:rsidRPr="00B12694" w:rsidRDefault="0000057B" w:rsidP="00B12694">
      <w:pPr>
        <w:rPr>
          <w:rFonts w:ascii="Times Roman" w:hAnsi="Times Roman"/>
          <w:sz w:val="24"/>
          <w:szCs w:val="24"/>
        </w:rPr>
      </w:pPr>
    </w:p>
    <w:p w:rsidR="001F6D67" w:rsidRPr="001F6D67" w:rsidRDefault="001F6D67" w:rsidP="001F6D67">
      <w:pPr>
        <w:ind w:firstLine="720"/>
        <w:rPr>
          <w:rFonts w:ascii="Times Roman" w:hAnsi="Times Roman"/>
          <w:sz w:val="24"/>
          <w:szCs w:val="24"/>
        </w:rPr>
      </w:pPr>
    </w:p>
    <w:p w:rsidR="001F6D67" w:rsidRPr="00B12694" w:rsidRDefault="001F6D67" w:rsidP="001F6D67">
      <w:pPr>
        <w:ind w:left="720" w:hanging="720"/>
        <w:rPr>
          <w:rFonts w:ascii="Times Roman" w:hAnsi="Times Roman"/>
          <w:sz w:val="24"/>
          <w:szCs w:val="24"/>
        </w:rPr>
      </w:pPr>
      <w:r w:rsidRPr="001F6D67">
        <w:rPr>
          <w:rFonts w:ascii="Times Roman" w:hAnsi="Times Roman"/>
          <w:sz w:val="24"/>
          <w:szCs w:val="24"/>
        </w:rPr>
        <w:t>RE:</w:t>
      </w:r>
      <w:r w:rsidRPr="001F6D67">
        <w:rPr>
          <w:rFonts w:ascii="Times Roman" w:hAnsi="Times Roman"/>
          <w:sz w:val="24"/>
          <w:szCs w:val="24"/>
        </w:rPr>
        <w:tab/>
        <w:t xml:space="preserve">Comments on </w:t>
      </w:r>
      <w:r w:rsidR="00B12694">
        <w:rPr>
          <w:rFonts w:ascii="Times Roman" w:hAnsi="Times Roman"/>
          <w:sz w:val="24"/>
          <w:szCs w:val="24"/>
        </w:rPr>
        <w:t>UTC</w:t>
      </w:r>
      <w:r w:rsidR="00D4058D">
        <w:rPr>
          <w:rFonts w:ascii="Times Roman" w:hAnsi="Times Roman"/>
          <w:sz w:val="24"/>
          <w:szCs w:val="24"/>
        </w:rPr>
        <w:t xml:space="preserve"> </w:t>
      </w:r>
      <w:r w:rsidR="00B12694" w:rsidRPr="00B12694">
        <w:rPr>
          <w:rFonts w:ascii="Times Roman" w:hAnsi="Times Roman"/>
          <w:sz w:val="24"/>
          <w:szCs w:val="24"/>
        </w:rPr>
        <w:t>Docket UE-151069, Modeling Energy Storage in Integrated Resource Planning</w:t>
      </w:r>
    </w:p>
    <w:p w:rsidR="001F6D67" w:rsidRPr="001F6D67" w:rsidRDefault="001F6D67" w:rsidP="001F6D67">
      <w:pPr>
        <w:rPr>
          <w:rFonts w:ascii="Times Roman" w:hAnsi="Times Roman"/>
          <w:sz w:val="24"/>
          <w:szCs w:val="24"/>
        </w:rPr>
      </w:pPr>
    </w:p>
    <w:p w:rsidR="001F6D67" w:rsidRDefault="001F6D67" w:rsidP="001F6D67">
      <w:pPr>
        <w:rPr>
          <w:rFonts w:ascii="Times Roman" w:hAnsi="Times Roman"/>
          <w:sz w:val="24"/>
          <w:szCs w:val="24"/>
        </w:rPr>
      </w:pPr>
      <w:r w:rsidRPr="001F6D67">
        <w:rPr>
          <w:rFonts w:ascii="Times Roman" w:hAnsi="Times Roman"/>
          <w:sz w:val="24"/>
          <w:szCs w:val="24"/>
        </w:rPr>
        <w:t xml:space="preserve">Dear </w:t>
      </w:r>
      <w:r w:rsidR="0000057B">
        <w:rPr>
          <w:rFonts w:ascii="Times Roman" w:hAnsi="Times Roman"/>
          <w:sz w:val="24"/>
          <w:szCs w:val="24"/>
        </w:rPr>
        <w:t xml:space="preserve">Mr. </w:t>
      </w:r>
      <w:r w:rsidR="00B12694">
        <w:rPr>
          <w:rFonts w:ascii="Times Roman" w:hAnsi="Times Roman"/>
          <w:sz w:val="24"/>
          <w:szCs w:val="24"/>
        </w:rPr>
        <w:t>King</w:t>
      </w:r>
      <w:r w:rsidR="00A910BF">
        <w:rPr>
          <w:rFonts w:ascii="Times Roman" w:hAnsi="Times Roman"/>
          <w:sz w:val="24"/>
          <w:szCs w:val="24"/>
        </w:rPr>
        <w:t>:</w:t>
      </w:r>
    </w:p>
    <w:p w:rsidR="001F6D67" w:rsidRDefault="001F6D67" w:rsidP="001F6D67">
      <w:pPr>
        <w:rPr>
          <w:rFonts w:ascii="Times Roman" w:hAnsi="Times Roman"/>
          <w:sz w:val="24"/>
          <w:szCs w:val="24"/>
        </w:rPr>
      </w:pPr>
    </w:p>
    <w:p w:rsidR="006252FA" w:rsidRDefault="006252FA" w:rsidP="006252FA">
      <w:pPr>
        <w:rPr>
          <w:rFonts w:ascii="Times Roman" w:hAnsi="Times Roman"/>
          <w:sz w:val="24"/>
          <w:szCs w:val="24"/>
        </w:rPr>
      </w:pPr>
    </w:p>
    <w:p w:rsidR="006252FA" w:rsidRDefault="006252FA" w:rsidP="006252FA">
      <w:pPr>
        <w:rPr>
          <w:rFonts w:ascii="Times Roman" w:hAnsi="Times Roman"/>
          <w:sz w:val="24"/>
          <w:szCs w:val="24"/>
        </w:rPr>
      </w:pPr>
      <w:r w:rsidRPr="006252FA">
        <w:rPr>
          <w:rFonts w:ascii="Times Roman" w:hAnsi="Times Roman"/>
          <w:sz w:val="24"/>
          <w:szCs w:val="24"/>
        </w:rPr>
        <w:t xml:space="preserve">Renewable Energy Systems Americas Inc. </w:t>
      </w:r>
      <w:r>
        <w:rPr>
          <w:rFonts w:ascii="Times Roman" w:hAnsi="Times Roman"/>
          <w:sz w:val="24"/>
          <w:szCs w:val="24"/>
        </w:rPr>
        <w:t xml:space="preserve">(RES) </w:t>
      </w:r>
      <w:r w:rsidRPr="006252FA">
        <w:rPr>
          <w:rFonts w:ascii="Times Roman" w:hAnsi="Times Roman"/>
          <w:sz w:val="24"/>
          <w:szCs w:val="24"/>
        </w:rPr>
        <w:t xml:space="preserve">hereby submits </w:t>
      </w:r>
      <w:r>
        <w:rPr>
          <w:rFonts w:ascii="Times Roman" w:hAnsi="Times Roman"/>
          <w:sz w:val="24"/>
          <w:szCs w:val="24"/>
        </w:rPr>
        <w:t xml:space="preserve">the attached comments to the above-captioned </w:t>
      </w:r>
      <w:r w:rsidR="00D4058D">
        <w:rPr>
          <w:rFonts w:ascii="Times Roman" w:hAnsi="Times Roman"/>
          <w:sz w:val="24"/>
          <w:szCs w:val="24"/>
        </w:rPr>
        <w:t xml:space="preserve">Docket </w:t>
      </w:r>
      <w:r w:rsidR="00FE52E2" w:rsidRPr="00FE52E2">
        <w:rPr>
          <w:rFonts w:ascii="Times Roman" w:hAnsi="Times Roman"/>
          <w:sz w:val="24"/>
          <w:szCs w:val="24"/>
        </w:rPr>
        <w:t>UE-151069</w:t>
      </w:r>
      <w:r w:rsidR="00FE52E2">
        <w:rPr>
          <w:rFonts w:ascii="Times Roman" w:hAnsi="Times Roman"/>
          <w:sz w:val="24"/>
          <w:szCs w:val="24"/>
        </w:rPr>
        <w:t xml:space="preserve"> </w:t>
      </w:r>
      <w:r>
        <w:rPr>
          <w:rFonts w:ascii="Times Roman" w:hAnsi="Times Roman"/>
          <w:sz w:val="24"/>
          <w:szCs w:val="24"/>
        </w:rPr>
        <w:t xml:space="preserve">before the </w:t>
      </w:r>
      <w:r w:rsidR="00D4058D">
        <w:rPr>
          <w:rFonts w:ascii="Times Roman" w:hAnsi="Times Roman"/>
          <w:sz w:val="24"/>
          <w:szCs w:val="24"/>
        </w:rPr>
        <w:t xml:space="preserve">State of </w:t>
      </w:r>
      <w:r w:rsidR="00FE52E2">
        <w:rPr>
          <w:rFonts w:ascii="Times Roman" w:hAnsi="Times Roman"/>
          <w:sz w:val="24"/>
          <w:szCs w:val="24"/>
        </w:rPr>
        <w:t>Washington</w:t>
      </w:r>
      <w:r w:rsidR="00D4058D">
        <w:rPr>
          <w:rFonts w:ascii="Times Roman" w:hAnsi="Times Roman"/>
          <w:sz w:val="24"/>
          <w:szCs w:val="24"/>
        </w:rPr>
        <w:t xml:space="preserve"> Utilities</w:t>
      </w:r>
      <w:r w:rsidR="00FE52E2">
        <w:rPr>
          <w:rFonts w:ascii="Times Roman" w:hAnsi="Times Roman"/>
          <w:sz w:val="24"/>
          <w:szCs w:val="24"/>
        </w:rPr>
        <w:t xml:space="preserve"> and Transportation</w:t>
      </w:r>
      <w:r w:rsidR="00D4058D">
        <w:rPr>
          <w:rFonts w:ascii="Times Roman" w:hAnsi="Times Roman"/>
          <w:sz w:val="24"/>
          <w:szCs w:val="24"/>
        </w:rPr>
        <w:t xml:space="preserve"> Commission</w:t>
      </w:r>
      <w:r>
        <w:rPr>
          <w:rFonts w:ascii="Times Roman" w:hAnsi="Times Roman"/>
          <w:sz w:val="24"/>
          <w:szCs w:val="24"/>
        </w:rPr>
        <w:t xml:space="preserve">.  </w:t>
      </w:r>
      <w:r w:rsidR="007115FC">
        <w:rPr>
          <w:rFonts w:ascii="Times Roman" w:hAnsi="Times Roman"/>
          <w:sz w:val="24"/>
          <w:szCs w:val="24"/>
        </w:rPr>
        <w:t>RES appreciate</w:t>
      </w:r>
      <w:r w:rsidR="00A57B21">
        <w:rPr>
          <w:rFonts w:ascii="Times Roman" w:hAnsi="Times Roman"/>
          <w:sz w:val="24"/>
          <w:szCs w:val="24"/>
        </w:rPr>
        <w:t>s</w:t>
      </w:r>
      <w:r w:rsidR="007115FC">
        <w:rPr>
          <w:rFonts w:ascii="Times Roman" w:hAnsi="Times Roman"/>
          <w:sz w:val="24"/>
          <w:szCs w:val="24"/>
        </w:rPr>
        <w:t xml:space="preserve"> the opportunity to comment; please contact me directly should you have any questions regarding this filing.</w:t>
      </w:r>
    </w:p>
    <w:p w:rsidR="007115FC" w:rsidRDefault="007115FC" w:rsidP="006252FA">
      <w:pPr>
        <w:rPr>
          <w:rFonts w:ascii="Times Roman" w:hAnsi="Times Roman"/>
          <w:sz w:val="24"/>
          <w:szCs w:val="24"/>
        </w:rPr>
      </w:pPr>
    </w:p>
    <w:p w:rsidR="007115FC" w:rsidRPr="007115FC" w:rsidRDefault="007115FC" w:rsidP="007115FC">
      <w:pPr>
        <w:ind w:left="4320" w:firstLine="720"/>
        <w:rPr>
          <w:rFonts w:ascii="Times Roman" w:hAnsi="Times Roman"/>
          <w:sz w:val="24"/>
          <w:szCs w:val="24"/>
        </w:rPr>
      </w:pPr>
      <w:r>
        <w:rPr>
          <w:rFonts w:ascii="Times Roman" w:hAnsi="Times Roman"/>
          <w:sz w:val="24"/>
          <w:szCs w:val="24"/>
        </w:rPr>
        <w:t>Regards</w:t>
      </w:r>
      <w:r w:rsidRPr="007115FC">
        <w:rPr>
          <w:rFonts w:ascii="Times Roman" w:hAnsi="Times Roman"/>
          <w:sz w:val="24"/>
          <w:szCs w:val="24"/>
        </w:rPr>
        <w:t>,</w:t>
      </w:r>
    </w:p>
    <w:p w:rsidR="007115FC" w:rsidRDefault="007115FC" w:rsidP="007115FC">
      <w:pPr>
        <w:rPr>
          <w:rFonts w:ascii="Times Roman" w:hAnsi="Times Roman"/>
          <w:sz w:val="24"/>
          <w:szCs w:val="24"/>
        </w:rPr>
      </w:pPr>
      <w:r w:rsidRPr="007115FC">
        <w:rPr>
          <w:rFonts w:ascii="Times Roman" w:hAnsi="Times Roman"/>
          <w:sz w:val="24"/>
          <w:szCs w:val="24"/>
        </w:rPr>
        <w:tab/>
      </w:r>
      <w:r w:rsidRPr="007115FC">
        <w:rPr>
          <w:rFonts w:ascii="Times Roman" w:hAnsi="Times Roman"/>
          <w:sz w:val="24"/>
          <w:szCs w:val="24"/>
        </w:rPr>
        <w:tab/>
      </w:r>
      <w:r w:rsidRPr="007115FC">
        <w:rPr>
          <w:rFonts w:ascii="Times Roman" w:hAnsi="Times Roman"/>
          <w:sz w:val="24"/>
          <w:szCs w:val="24"/>
        </w:rPr>
        <w:tab/>
      </w:r>
      <w:r w:rsidRPr="007115FC">
        <w:rPr>
          <w:rFonts w:ascii="Times Roman" w:hAnsi="Times Roman"/>
          <w:sz w:val="24"/>
          <w:szCs w:val="24"/>
        </w:rPr>
        <w:tab/>
      </w:r>
      <w:r w:rsidRPr="007115FC">
        <w:rPr>
          <w:rFonts w:ascii="Times Roman" w:hAnsi="Times Roman"/>
          <w:sz w:val="24"/>
          <w:szCs w:val="24"/>
        </w:rPr>
        <w:tab/>
      </w:r>
      <w:r w:rsidRPr="007115FC">
        <w:rPr>
          <w:rFonts w:ascii="Times Roman" w:hAnsi="Times Roman"/>
          <w:sz w:val="24"/>
          <w:szCs w:val="24"/>
        </w:rPr>
        <w:tab/>
      </w:r>
      <w:r w:rsidRPr="007115FC">
        <w:rPr>
          <w:rFonts w:ascii="Times Roman" w:hAnsi="Times Roman"/>
          <w:sz w:val="24"/>
          <w:szCs w:val="24"/>
        </w:rPr>
        <w:tab/>
      </w:r>
    </w:p>
    <w:p w:rsidR="007115FC" w:rsidRPr="007115FC" w:rsidRDefault="007115FC" w:rsidP="007115FC">
      <w:pPr>
        <w:ind w:left="4320" w:firstLine="720"/>
        <w:rPr>
          <w:rFonts w:ascii="Times Roman" w:hAnsi="Times Roman"/>
          <w:i/>
          <w:sz w:val="24"/>
          <w:szCs w:val="24"/>
        </w:rPr>
      </w:pPr>
      <w:r w:rsidRPr="007115FC">
        <w:rPr>
          <w:rFonts w:ascii="Times Roman" w:hAnsi="Times Roman"/>
          <w:i/>
          <w:sz w:val="24"/>
          <w:szCs w:val="24"/>
        </w:rPr>
        <w:t>John Fernandes</w:t>
      </w:r>
    </w:p>
    <w:p w:rsidR="007115FC" w:rsidRDefault="007115FC" w:rsidP="007115FC">
      <w:pPr>
        <w:rPr>
          <w:rFonts w:ascii="Times Roman" w:hAnsi="Times Roman"/>
          <w:sz w:val="24"/>
          <w:szCs w:val="24"/>
        </w:rPr>
      </w:pPr>
    </w:p>
    <w:p w:rsidR="007115FC" w:rsidRPr="007115FC" w:rsidRDefault="007115FC" w:rsidP="007115FC">
      <w:pPr>
        <w:ind w:left="5040"/>
        <w:rPr>
          <w:rFonts w:ascii="Times Roman" w:hAnsi="Times Roman"/>
          <w:sz w:val="24"/>
          <w:szCs w:val="24"/>
        </w:rPr>
      </w:pPr>
      <w:r w:rsidRPr="007115FC">
        <w:rPr>
          <w:rFonts w:ascii="Times Roman" w:hAnsi="Times Roman"/>
          <w:sz w:val="24"/>
          <w:szCs w:val="24"/>
        </w:rPr>
        <w:t>John Fernandes</w:t>
      </w:r>
    </w:p>
    <w:p w:rsidR="007115FC" w:rsidRPr="007115FC" w:rsidRDefault="007115FC" w:rsidP="007115FC">
      <w:pPr>
        <w:ind w:left="5040"/>
        <w:rPr>
          <w:rFonts w:ascii="Times Roman" w:hAnsi="Times Roman"/>
          <w:sz w:val="24"/>
          <w:szCs w:val="24"/>
        </w:rPr>
      </w:pPr>
      <w:r w:rsidRPr="007115FC">
        <w:rPr>
          <w:rFonts w:ascii="Times Roman" w:hAnsi="Times Roman"/>
          <w:sz w:val="24"/>
          <w:szCs w:val="24"/>
        </w:rPr>
        <w:t>Director, Policy &amp; Market Development</w:t>
      </w:r>
    </w:p>
    <w:p w:rsidR="007115FC" w:rsidRPr="007115FC" w:rsidRDefault="007115FC" w:rsidP="007115FC">
      <w:pPr>
        <w:ind w:left="5040"/>
        <w:rPr>
          <w:rFonts w:ascii="Times Roman" w:hAnsi="Times Roman"/>
          <w:sz w:val="24"/>
          <w:szCs w:val="24"/>
        </w:rPr>
      </w:pPr>
      <w:proofErr w:type="gramStart"/>
      <w:r w:rsidRPr="007115FC">
        <w:rPr>
          <w:rFonts w:ascii="Times Roman" w:hAnsi="Times Roman"/>
          <w:sz w:val="24"/>
          <w:szCs w:val="24"/>
        </w:rPr>
        <w:t>Renewable Energy Systems Americas Inc.</w:t>
      </w:r>
      <w:proofErr w:type="gramEnd"/>
    </w:p>
    <w:p w:rsidR="007115FC" w:rsidRPr="007115FC" w:rsidRDefault="007115FC" w:rsidP="007115FC">
      <w:pPr>
        <w:ind w:left="5040"/>
        <w:rPr>
          <w:rFonts w:ascii="Times Roman" w:hAnsi="Times Roman"/>
          <w:sz w:val="24"/>
          <w:szCs w:val="24"/>
        </w:rPr>
      </w:pPr>
      <w:r w:rsidRPr="007115FC">
        <w:rPr>
          <w:rFonts w:ascii="Times Roman" w:hAnsi="Times Roman"/>
          <w:sz w:val="24"/>
          <w:szCs w:val="24"/>
        </w:rPr>
        <w:t>11101 W. 120</w:t>
      </w:r>
      <w:r w:rsidRPr="007115FC">
        <w:rPr>
          <w:rFonts w:ascii="Times Roman" w:hAnsi="Times Roman"/>
          <w:sz w:val="24"/>
          <w:szCs w:val="24"/>
          <w:vertAlign w:val="superscript"/>
        </w:rPr>
        <w:t>th</w:t>
      </w:r>
      <w:r w:rsidRPr="007115FC">
        <w:rPr>
          <w:rFonts w:ascii="Times Roman" w:hAnsi="Times Roman"/>
          <w:sz w:val="24"/>
          <w:szCs w:val="24"/>
        </w:rPr>
        <w:t xml:space="preserve"> Ave., Suite 400</w:t>
      </w:r>
    </w:p>
    <w:p w:rsidR="007115FC" w:rsidRPr="007115FC" w:rsidRDefault="007115FC" w:rsidP="007115FC">
      <w:pPr>
        <w:ind w:left="5040"/>
        <w:rPr>
          <w:rFonts w:ascii="Times Roman" w:hAnsi="Times Roman"/>
          <w:sz w:val="24"/>
          <w:szCs w:val="24"/>
        </w:rPr>
      </w:pPr>
      <w:r w:rsidRPr="007115FC">
        <w:rPr>
          <w:rFonts w:ascii="Times Roman" w:hAnsi="Times Roman"/>
          <w:sz w:val="24"/>
          <w:szCs w:val="24"/>
        </w:rPr>
        <w:t>Broomfield, CO 80021</w:t>
      </w:r>
    </w:p>
    <w:p w:rsidR="007115FC" w:rsidRPr="007115FC" w:rsidRDefault="007115FC" w:rsidP="007115FC">
      <w:pPr>
        <w:ind w:left="5040"/>
        <w:rPr>
          <w:rFonts w:ascii="Times Roman" w:hAnsi="Times Roman"/>
          <w:sz w:val="24"/>
          <w:szCs w:val="24"/>
        </w:rPr>
      </w:pPr>
      <w:r w:rsidRPr="007115FC">
        <w:rPr>
          <w:rFonts w:ascii="Times Roman" w:hAnsi="Times Roman"/>
          <w:sz w:val="24"/>
          <w:szCs w:val="24"/>
        </w:rPr>
        <w:t>(303) 439-4200</w:t>
      </w:r>
    </w:p>
    <w:p w:rsidR="007115FC" w:rsidRPr="007115FC" w:rsidRDefault="00471960" w:rsidP="007115FC">
      <w:pPr>
        <w:ind w:left="5040"/>
        <w:rPr>
          <w:rFonts w:ascii="Times Roman" w:hAnsi="Times Roman"/>
          <w:sz w:val="24"/>
          <w:szCs w:val="24"/>
        </w:rPr>
      </w:pPr>
      <w:hyperlink r:id="rId9" w:history="1">
        <w:r w:rsidR="007115FC" w:rsidRPr="007115FC">
          <w:rPr>
            <w:rStyle w:val="Hyperlink"/>
            <w:rFonts w:ascii="Times Roman" w:hAnsi="Times Roman"/>
            <w:sz w:val="24"/>
            <w:szCs w:val="24"/>
          </w:rPr>
          <w:t>john.fernandes@res-americas.com</w:t>
        </w:r>
      </w:hyperlink>
    </w:p>
    <w:p w:rsidR="007115FC" w:rsidRDefault="007115FC" w:rsidP="006252FA">
      <w:pPr>
        <w:rPr>
          <w:rFonts w:ascii="Times Roman" w:hAnsi="Times Roman"/>
          <w:sz w:val="24"/>
          <w:szCs w:val="24"/>
        </w:rPr>
      </w:pPr>
    </w:p>
    <w:p w:rsidR="006252FA" w:rsidRDefault="006252FA" w:rsidP="001F6D67">
      <w:pPr>
        <w:rPr>
          <w:rFonts w:ascii="Times Roman" w:hAnsi="Times Roman"/>
          <w:sz w:val="24"/>
          <w:szCs w:val="24"/>
        </w:rPr>
      </w:pPr>
    </w:p>
    <w:p w:rsidR="001F6D67" w:rsidRPr="001F6D67" w:rsidRDefault="001F6D67" w:rsidP="001F6D67">
      <w:pPr>
        <w:rPr>
          <w:rFonts w:ascii="Times Roman" w:hAnsi="Times Roman"/>
          <w:sz w:val="24"/>
          <w:szCs w:val="24"/>
        </w:rPr>
      </w:pPr>
    </w:p>
    <w:p w:rsidR="001F6D67" w:rsidRPr="001F6D67" w:rsidRDefault="001F6D67" w:rsidP="001F6D67">
      <w:pPr>
        <w:rPr>
          <w:rFonts w:ascii="Times Roman" w:hAnsi="Times Roman"/>
          <w:sz w:val="24"/>
          <w:szCs w:val="24"/>
        </w:rPr>
      </w:pPr>
    </w:p>
    <w:p w:rsidR="001F6D67" w:rsidRDefault="001F6D67">
      <w:pPr>
        <w:rPr>
          <w:rFonts w:ascii="Times Roman" w:hAnsi="Times Roman"/>
          <w:sz w:val="24"/>
          <w:szCs w:val="24"/>
        </w:rPr>
      </w:pPr>
      <w:r>
        <w:rPr>
          <w:rFonts w:ascii="Times Roman" w:hAnsi="Times Roman"/>
          <w:sz w:val="24"/>
          <w:szCs w:val="24"/>
        </w:rPr>
        <w:br w:type="page"/>
      </w:r>
    </w:p>
    <w:p w:rsidR="002B0A57" w:rsidRDefault="002B0A57" w:rsidP="002B0A57">
      <w:pPr>
        <w:rPr>
          <w:rFonts w:ascii="Times Roman" w:hAnsi="Times Roman"/>
          <w:sz w:val="24"/>
          <w:szCs w:val="24"/>
        </w:rPr>
      </w:pPr>
      <w:proofErr w:type="gramStart"/>
      <w:r>
        <w:rPr>
          <w:rFonts w:ascii="Times Roman" w:hAnsi="Times Roman"/>
          <w:sz w:val="24"/>
          <w:szCs w:val="24"/>
        </w:rPr>
        <w:lastRenderedPageBreak/>
        <w:t>Renewable Energy Systems Americas Inc.</w:t>
      </w:r>
      <w:proofErr w:type="gramEnd"/>
      <w:r>
        <w:rPr>
          <w:rFonts w:ascii="Times Roman" w:hAnsi="Times Roman"/>
          <w:sz w:val="24"/>
          <w:szCs w:val="24"/>
        </w:rPr>
        <w:t xml:space="preserve"> </w:t>
      </w:r>
    </w:p>
    <w:p w:rsidR="002B0A57" w:rsidRDefault="002B0A57" w:rsidP="009A4637">
      <w:pPr>
        <w:jc w:val="center"/>
        <w:rPr>
          <w:rFonts w:ascii="Times Roman" w:hAnsi="Times Roman"/>
          <w:b/>
          <w:sz w:val="24"/>
          <w:szCs w:val="24"/>
        </w:rPr>
      </w:pPr>
    </w:p>
    <w:p w:rsidR="002B0A57" w:rsidRDefault="002B0A57" w:rsidP="009A4637">
      <w:pPr>
        <w:jc w:val="center"/>
        <w:rPr>
          <w:rFonts w:ascii="Times Roman" w:hAnsi="Times Roman"/>
          <w:b/>
          <w:sz w:val="24"/>
          <w:szCs w:val="24"/>
        </w:rPr>
      </w:pPr>
    </w:p>
    <w:p w:rsidR="007A74AD" w:rsidRDefault="009A4637" w:rsidP="009A4637">
      <w:pPr>
        <w:jc w:val="center"/>
        <w:rPr>
          <w:rFonts w:ascii="Times Roman" w:hAnsi="Times Roman"/>
          <w:b/>
          <w:sz w:val="24"/>
          <w:szCs w:val="24"/>
        </w:rPr>
      </w:pPr>
      <w:r w:rsidRPr="009A4637">
        <w:rPr>
          <w:rFonts w:ascii="Times Roman" w:hAnsi="Times Roman"/>
          <w:b/>
          <w:sz w:val="24"/>
          <w:szCs w:val="24"/>
        </w:rPr>
        <w:t xml:space="preserve">BEFORE THE </w:t>
      </w:r>
      <w:r w:rsidR="00012EB0">
        <w:rPr>
          <w:rFonts w:ascii="Times Roman" w:hAnsi="Times Roman"/>
          <w:b/>
          <w:sz w:val="24"/>
          <w:szCs w:val="24"/>
        </w:rPr>
        <w:t xml:space="preserve">STATE OF </w:t>
      </w:r>
      <w:r w:rsidR="007A74AD">
        <w:rPr>
          <w:rFonts w:ascii="Times Roman" w:hAnsi="Times Roman"/>
          <w:b/>
          <w:sz w:val="24"/>
          <w:szCs w:val="24"/>
        </w:rPr>
        <w:t>WASGHINTON</w:t>
      </w:r>
      <w:r w:rsidR="00012EB0">
        <w:rPr>
          <w:rFonts w:ascii="Times Roman" w:hAnsi="Times Roman"/>
          <w:b/>
          <w:sz w:val="24"/>
          <w:szCs w:val="24"/>
        </w:rPr>
        <w:t xml:space="preserve"> </w:t>
      </w:r>
    </w:p>
    <w:p w:rsidR="00937C28" w:rsidRDefault="00012EB0" w:rsidP="009A4637">
      <w:pPr>
        <w:jc w:val="center"/>
        <w:rPr>
          <w:rFonts w:ascii="Times Roman" w:hAnsi="Times Roman"/>
          <w:sz w:val="24"/>
          <w:szCs w:val="24"/>
        </w:rPr>
      </w:pPr>
      <w:r>
        <w:rPr>
          <w:rFonts w:ascii="Times Roman" w:hAnsi="Times Roman"/>
          <w:b/>
          <w:sz w:val="24"/>
          <w:szCs w:val="24"/>
        </w:rPr>
        <w:t xml:space="preserve">UTILITIES </w:t>
      </w:r>
      <w:r w:rsidR="007A74AD">
        <w:rPr>
          <w:rFonts w:ascii="Times Roman" w:hAnsi="Times Roman"/>
          <w:b/>
          <w:sz w:val="24"/>
          <w:szCs w:val="24"/>
        </w:rPr>
        <w:t xml:space="preserve">AND TRANSPORTATION </w:t>
      </w:r>
      <w:r>
        <w:rPr>
          <w:rFonts w:ascii="Times Roman" w:hAnsi="Times Roman"/>
          <w:b/>
          <w:sz w:val="24"/>
          <w:szCs w:val="24"/>
        </w:rPr>
        <w:t>COMMISSION</w:t>
      </w:r>
    </w:p>
    <w:p w:rsidR="009A4637" w:rsidRDefault="009A4637" w:rsidP="009A4637">
      <w:pPr>
        <w:rPr>
          <w:rFonts w:ascii="Times Roman" w:hAnsi="Times Roman"/>
          <w:sz w:val="24"/>
          <w:szCs w:val="24"/>
        </w:rPr>
      </w:pP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r>
    </w:p>
    <w:p w:rsidR="009A4637" w:rsidRDefault="00143AEF" w:rsidP="009A4637">
      <w:pPr>
        <w:rPr>
          <w:rFonts w:ascii="Times Roman" w:hAnsi="Times Roman"/>
          <w:sz w:val="24"/>
          <w:szCs w:val="24"/>
        </w:rPr>
      </w:pPr>
      <w:r w:rsidRPr="009A4637">
        <w:rPr>
          <w:rFonts w:ascii="Times Roman" w:hAnsi="Times Roman"/>
          <w:noProof/>
          <w:sz w:val="24"/>
          <w:szCs w:val="24"/>
        </w:rPr>
        <mc:AlternateContent>
          <mc:Choice Requires="wps">
            <w:drawing>
              <wp:anchor distT="0" distB="0" distL="114300" distR="114300" simplePos="0" relativeHeight="251659264" behindDoc="0" locked="0" layoutInCell="1" allowOverlap="1" wp14:anchorId="10DC3C4A" wp14:editId="6C018F3D">
                <wp:simplePos x="0" y="0"/>
                <wp:positionH relativeFrom="column">
                  <wp:posOffset>-200025</wp:posOffset>
                </wp:positionH>
                <wp:positionV relativeFrom="paragraph">
                  <wp:posOffset>149860</wp:posOffset>
                </wp:positionV>
                <wp:extent cx="27908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3985"/>
                        </a:xfrm>
                        <a:prstGeom prst="rect">
                          <a:avLst/>
                        </a:prstGeom>
                        <a:noFill/>
                        <a:ln w="9525">
                          <a:noFill/>
                          <a:miter lim="800000"/>
                          <a:headEnd/>
                          <a:tailEnd/>
                        </a:ln>
                      </wps:spPr>
                      <wps:txbx>
                        <w:txbxContent>
                          <w:p w:rsidR="009A4637" w:rsidRPr="009A4637" w:rsidRDefault="009A4637">
                            <w:pPr>
                              <w:rPr>
                                <w:rFonts w:ascii="Times Roman" w:hAnsi="Times Roman"/>
                                <w:sz w:val="24"/>
                                <w:szCs w:val="24"/>
                              </w:rPr>
                            </w:pPr>
                            <w:r w:rsidRPr="009A4637">
                              <w:rPr>
                                <w:rFonts w:ascii="Times Roman" w:hAnsi="Times Roman"/>
                                <w:sz w:val="24"/>
                                <w:szCs w:val="24"/>
                              </w:rPr>
                              <w:t xml:space="preserve">IN THE MATTER OF </w:t>
                            </w:r>
                            <w:r w:rsidR="007A74AD" w:rsidRPr="007A74AD">
                              <w:rPr>
                                <w:rFonts w:ascii="Times Roman" w:hAnsi="Times Roman"/>
                                <w:sz w:val="24"/>
                                <w:szCs w:val="24"/>
                              </w:rPr>
                              <w:t>M</w:t>
                            </w:r>
                            <w:r w:rsidR="007A74AD">
                              <w:rPr>
                                <w:rFonts w:ascii="Times Roman" w:hAnsi="Times Roman"/>
                                <w:sz w:val="24"/>
                                <w:szCs w:val="24"/>
                              </w:rPr>
                              <w:t>ODELING</w:t>
                            </w:r>
                            <w:r w:rsidR="007A74AD" w:rsidRPr="007A74AD">
                              <w:rPr>
                                <w:rFonts w:ascii="Times Roman" w:hAnsi="Times Roman"/>
                                <w:sz w:val="24"/>
                                <w:szCs w:val="24"/>
                              </w:rPr>
                              <w:t xml:space="preserve"> E</w:t>
                            </w:r>
                            <w:r w:rsidR="007A74AD">
                              <w:rPr>
                                <w:rFonts w:ascii="Times Roman" w:hAnsi="Times Roman"/>
                                <w:sz w:val="24"/>
                                <w:szCs w:val="24"/>
                              </w:rPr>
                              <w:t>NERGY</w:t>
                            </w:r>
                            <w:r w:rsidR="007A74AD" w:rsidRPr="007A74AD">
                              <w:rPr>
                                <w:rFonts w:ascii="Times Roman" w:hAnsi="Times Roman"/>
                                <w:sz w:val="24"/>
                                <w:szCs w:val="24"/>
                              </w:rPr>
                              <w:t xml:space="preserve"> S</w:t>
                            </w:r>
                            <w:r w:rsidR="007A74AD">
                              <w:rPr>
                                <w:rFonts w:ascii="Times Roman" w:hAnsi="Times Roman"/>
                                <w:sz w:val="24"/>
                                <w:szCs w:val="24"/>
                              </w:rPr>
                              <w:t>TORAGE</w:t>
                            </w:r>
                            <w:r w:rsidR="007A74AD" w:rsidRPr="007A74AD">
                              <w:rPr>
                                <w:rFonts w:ascii="Times Roman" w:hAnsi="Times Roman"/>
                                <w:sz w:val="24"/>
                                <w:szCs w:val="24"/>
                              </w:rPr>
                              <w:t xml:space="preserve"> </w:t>
                            </w:r>
                            <w:r w:rsidR="007A74AD">
                              <w:rPr>
                                <w:rFonts w:ascii="Times Roman" w:hAnsi="Times Roman"/>
                                <w:sz w:val="24"/>
                                <w:szCs w:val="24"/>
                              </w:rPr>
                              <w:t>IN</w:t>
                            </w:r>
                            <w:r w:rsidR="007A74AD" w:rsidRPr="007A74AD">
                              <w:rPr>
                                <w:rFonts w:ascii="Times Roman" w:hAnsi="Times Roman"/>
                                <w:sz w:val="24"/>
                                <w:szCs w:val="24"/>
                              </w:rPr>
                              <w:t xml:space="preserve"> I</w:t>
                            </w:r>
                            <w:r w:rsidR="007A74AD">
                              <w:rPr>
                                <w:rFonts w:ascii="Times Roman" w:hAnsi="Times Roman"/>
                                <w:sz w:val="24"/>
                                <w:szCs w:val="24"/>
                              </w:rPr>
                              <w:t>NTEGRATED RESOURCE PLANNING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5pt;margin-top:11.8pt;width:219.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" filled="f" stroked="f">
                <v:textbox style="mso-fit-shape-to-text:t">
                  <w:txbxContent>
                    <w:p w:rsidR="009A4637" w:rsidRPr="009A4637" w:rsidRDefault="009A4637">
                      <w:pPr>
                        <w:rPr>
                          <w:rFonts w:ascii="Times Roman" w:hAnsi="Times Roman"/>
                          <w:sz w:val="24"/>
                          <w:szCs w:val="24"/>
                        </w:rPr>
                      </w:pPr>
                      <w:r w:rsidRPr="009A4637">
                        <w:rPr>
                          <w:rFonts w:ascii="Times Roman" w:hAnsi="Times Roman"/>
                          <w:sz w:val="24"/>
                          <w:szCs w:val="24"/>
                        </w:rPr>
                        <w:t xml:space="preserve">IN THE MATTER OF </w:t>
                      </w:r>
                      <w:r w:rsidR="007A74AD" w:rsidRPr="007A74AD">
                        <w:rPr>
                          <w:rFonts w:ascii="Times Roman" w:hAnsi="Times Roman"/>
                          <w:sz w:val="24"/>
                          <w:szCs w:val="24"/>
                        </w:rPr>
                        <w:t>M</w:t>
                      </w:r>
                      <w:r w:rsidR="007A74AD">
                        <w:rPr>
                          <w:rFonts w:ascii="Times Roman" w:hAnsi="Times Roman"/>
                          <w:sz w:val="24"/>
                          <w:szCs w:val="24"/>
                        </w:rPr>
                        <w:t>ODELING</w:t>
                      </w:r>
                      <w:r w:rsidR="007A74AD" w:rsidRPr="007A74AD">
                        <w:rPr>
                          <w:rFonts w:ascii="Times Roman" w:hAnsi="Times Roman"/>
                          <w:sz w:val="24"/>
                          <w:szCs w:val="24"/>
                        </w:rPr>
                        <w:t xml:space="preserve"> E</w:t>
                      </w:r>
                      <w:r w:rsidR="007A74AD">
                        <w:rPr>
                          <w:rFonts w:ascii="Times Roman" w:hAnsi="Times Roman"/>
                          <w:sz w:val="24"/>
                          <w:szCs w:val="24"/>
                        </w:rPr>
                        <w:t>NERGY</w:t>
                      </w:r>
                      <w:r w:rsidR="007A74AD" w:rsidRPr="007A74AD">
                        <w:rPr>
                          <w:rFonts w:ascii="Times Roman" w:hAnsi="Times Roman"/>
                          <w:sz w:val="24"/>
                          <w:szCs w:val="24"/>
                        </w:rPr>
                        <w:t xml:space="preserve"> S</w:t>
                      </w:r>
                      <w:r w:rsidR="007A74AD">
                        <w:rPr>
                          <w:rFonts w:ascii="Times Roman" w:hAnsi="Times Roman"/>
                          <w:sz w:val="24"/>
                          <w:szCs w:val="24"/>
                        </w:rPr>
                        <w:t>TORAGE</w:t>
                      </w:r>
                      <w:r w:rsidR="007A74AD" w:rsidRPr="007A74AD">
                        <w:rPr>
                          <w:rFonts w:ascii="Times Roman" w:hAnsi="Times Roman"/>
                          <w:sz w:val="24"/>
                          <w:szCs w:val="24"/>
                        </w:rPr>
                        <w:t xml:space="preserve"> </w:t>
                      </w:r>
                      <w:r w:rsidR="007A74AD">
                        <w:rPr>
                          <w:rFonts w:ascii="Times Roman" w:hAnsi="Times Roman"/>
                          <w:sz w:val="24"/>
                          <w:szCs w:val="24"/>
                        </w:rPr>
                        <w:t>IN</w:t>
                      </w:r>
                      <w:r w:rsidR="007A74AD" w:rsidRPr="007A74AD">
                        <w:rPr>
                          <w:rFonts w:ascii="Times Roman" w:hAnsi="Times Roman"/>
                          <w:sz w:val="24"/>
                          <w:szCs w:val="24"/>
                        </w:rPr>
                        <w:t xml:space="preserve"> I</w:t>
                      </w:r>
                      <w:r w:rsidR="007A74AD">
                        <w:rPr>
                          <w:rFonts w:ascii="Times Roman" w:hAnsi="Times Roman"/>
                          <w:sz w:val="24"/>
                          <w:szCs w:val="24"/>
                        </w:rPr>
                        <w:t>NTEGRATED RESOURCE PLANNING</w:t>
                      </w:r>
                    </w:p>
                  </w:txbxContent>
                </v:textbox>
              </v:shape>
            </w:pict>
          </mc:Fallback>
        </mc:AlternateContent>
      </w:r>
      <w:r w:rsidR="009A4637" w:rsidRPr="009A4637">
        <w:rPr>
          <w:rFonts w:ascii="Times Roman" w:hAnsi="Times Roman"/>
          <w:noProof/>
          <w:sz w:val="24"/>
          <w:szCs w:val="24"/>
        </w:rPr>
        <mc:AlternateContent>
          <mc:Choice Requires="wps">
            <w:drawing>
              <wp:anchor distT="0" distB="0" distL="114300" distR="114300" simplePos="0" relativeHeight="251661312" behindDoc="0" locked="0" layoutInCell="1" allowOverlap="1" wp14:anchorId="072F3D55" wp14:editId="3A508F04">
                <wp:simplePos x="0" y="0"/>
                <wp:positionH relativeFrom="column">
                  <wp:align>center</wp:align>
                </wp:positionH>
                <wp:positionV relativeFrom="paragraph">
                  <wp:posOffset>0</wp:posOffset>
                </wp:positionV>
                <wp:extent cx="765175" cy="9759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552" cy="976184"/>
                        </a:xfrm>
                        <a:prstGeom prst="rect">
                          <a:avLst/>
                        </a:prstGeom>
                        <a:solidFill>
                          <a:srgbClr val="FFFFFF"/>
                        </a:solidFill>
                        <a:ln w="9525">
                          <a:noFill/>
                          <a:miter lim="800000"/>
                          <a:headEnd/>
                          <a:tailEnd/>
                        </a:ln>
                      </wps:spPr>
                      <wps:txbx>
                        <w:txbxContent>
                          <w:p w:rsidR="009A4637" w:rsidRDefault="009A4637" w:rsidP="009A4637">
                            <w:r>
                              <w:t>)</w:t>
                            </w:r>
                          </w:p>
                          <w:p w:rsidR="009A4637" w:rsidRDefault="009A4637" w:rsidP="009A4637">
                            <w:r>
                              <w:t>)</w:t>
                            </w:r>
                          </w:p>
                          <w:p w:rsidR="009A4637" w:rsidRDefault="009A4637" w:rsidP="009A4637">
                            <w:r>
                              <w:t>)</w:t>
                            </w:r>
                          </w:p>
                          <w:p w:rsidR="009A4637" w:rsidRDefault="009A4637" w:rsidP="009A4637">
                            <w:r>
                              <w:t>)</w:t>
                            </w:r>
                          </w:p>
                          <w:p w:rsidR="009A4637" w:rsidRDefault="009A4637" w:rsidP="009A4637">
                            <w:r>
                              <w:t>)</w:t>
                            </w:r>
                          </w:p>
                          <w:p w:rsidR="009A4637" w:rsidRDefault="009A4637" w:rsidP="009A4637">
                            <w:r>
                              <w:t>)</w:t>
                            </w:r>
                          </w:p>
                          <w:p w:rsidR="009A4637" w:rsidRDefault="009A4637" w:rsidP="009A4637"/>
                          <w:p w:rsidR="009A4637" w:rsidRDefault="009A4637" w:rsidP="009A46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60.25pt;height:76.8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" stroked="f">
                <v:textbox>
                  <w:txbxContent>
                    <w:p w:rsidR="009A4637" w:rsidRDefault="009A4637" w:rsidP="009A4637">
                      <w:r>
                        <w:t>)</w:t>
                      </w:r>
                    </w:p>
                    <w:p w:rsidR="009A4637" w:rsidRDefault="009A4637" w:rsidP="009A4637">
                      <w:r>
                        <w:t>)</w:t>
                      </w:r>
                    </w:p>
                    <w:p w:rsidR="009A4637" w:rsidRDefault="009A4637" w:rsidP="009A4637">
                      <w:r>
                        <w:t>)</w:t>
                      </w:r>
                    </w:p>
                    <w:p w:rsidR="009A4637" w:rsidRDefault="009A4637" w:rsidP="009A4637">
                      <w:r>
                        <w:t>)</w:t>
                      </w:r>
                    </w:p>
                    <w:p w:rsidR="009A4637" w:rsidRDefault="009A4637" w:rsidP="009A4637">
                      <w:r>
                        <w:t>)</w:t>
                      </w:r>
                    </w:p>
                    <w:p w:rsidR="009A4637" w:rsidRDefault="009A4637" w:rsidP="009A4637">
                      <w:r>
                        <w:t>)</w:t>
                      </w:r>
                    </w:p>
                    <w:p w:rsidR="009A4637" w:rsidRDefault="009A4637" w:rsidP="009A4637"/>
                    <w:p w:rsidR="009A4637" w:rsidRDefault="009A4637" w:rsidP="009A4637"/>
                  </w:txbxContent>
                </v:textbox>
              </v:shape>
            </w:pict>
          </mc:Fallback>
        </mc:AlternateContent>
      </w:r>
    </w:p>
    <w:p w:rsidR="009A4637" w:rsidRDefault="009A4637" w:rsidP="009A4637">
      <w:pPr>
        <w:rPr>
          <w:rFonts w:ascii="Times Roman" w:hAnsi="Times Roman"/>
          <w:sz w:val="24"/>
          <w:szCs w:val="24"/>
        </w:rPr>
      </w:pPr>
      <w:r w:rsidRPr="009A4637">
        <w:rPr>
          <w:rFonts w:ascii="Times Roman" w:hAnsi="Times Roman"/>
          <w:noProof/>
          <w:sz w:val="24"/>
          <w:szCs w:val="24"/>
        </w:rPr>
        <mc:AlternateContent>
          <mc:Choice Requires="wps">
            <w:drawing>
              <wp:anchor distT="0" distB="0" distL="114300" distR="114300" simplePos="0" relativeHeight="251663360" behindDoc="0" locked="0" layoutInCell="1" allowOverlap="1" wp14:anchorId="1F1A9442" wp14:editId="59B66D82">
                <wp:simplePos x="0" y="0"/>
                <wp:positionH relativeFrom="column">
                  <wp:posOffset>3599180</wp:posOffset>
                </wp:positionH>
                <wp:positionV relativeFrom="paragraph">
                  <wp:posOffset>142875</wp:posOffset>
                </wp:positionV>
                <wp:extent cx="237426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A4637" w:rsidRPr="009A4637" w:rsidRDefault="00012EB0">
                            <w:pPr>
                              <w:rPr>
                                <w:rFonts w:ascii="Times Roman" w:hAnsi="Times Roman"/>
                                <w:sz w:val="24"/>
                                <w:szCs w:val="24"/>
                              </w:rPr>
                            </w:pPr>
                            <w:r>
                              <w:rPr>
                                <w:rFonts w:ascii="Times Roman" w:hAnsi="Times Roman"/>
                                <w:sz w:val="24"/>
                                <w:szCs w:val="24"/>
                              </w:rPr>
                              <w:t>DOCKET</w:t>
                            </w:r>
                            <w:r w:rsidR="009A4637" w:rsidRPr="009A4637">
                              <w:rPr>
                                <w:rFonts w:ascii="Times Roman" w:hAnsi="Times Roman"/>
                                <w:sz w:val="24"/>
                                <w:szCs w:val="24"/>
                              </w:rPr>
                              <w:t xml:space="preserve"> NO. </w:t>
                            </w:r>
                            <w:r w:rsidR="007A74AD" w:rsidRPr="007A74AD">
                              <w:rPr>
                                <w:rFonts w:ascii="Times Roman" w:hAnsi="Times Roman"/>
                                <w:sz w:val="24"/>
                                <w:szCs w:val="24"/>
                              </w:rPr>
                              <w:t>UE-151069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83.4pt;margin-top:11.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Q7DwIAAPo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" filled="f" stroked="f">
                <v:textbox style="mso-fit-shape-to-text:t">
                  <w:txbxContent>
                    <w:p w:rsidR="009A4637" w:rsidRPr="009A4637" w:rsidRDefault="00012EB0">
                      <w:pPr>
                        <w:rPr>
                          <w:rFonts w:ascii="Times Roman" w:hAnsi="Times Roman"/>
                          <w:sz w:val="24"/>
                          <w:szCs w:val="24"/>
                        </w:rPr>
                      </w:pPr>
                      <w:r>
                        <w:rPr>
                          <w:rFonts w:ascii="Times Roman" w:hAnsi="Times Roman"/>
                          <w:sz w:val="24"/>
                          <w:szCs w:val="24"/>
                        </w:rPr>
                        <w:t>DOCKET</w:t>
                      </w:r>
                      <w:r w:rsidR="009A4637" w:rsidRPr="009A4637">
                        <w:rPr>
                          <w:rFonts w:ascii="Times Roman" w:hAnsi="Times Roman"/>
                          <w:sz w:val="24"/>
                          <w:szCs w:val="24"/>
                        </w:rPr>
                        <w:t xml:space="preserve"> NO. </w:t>
                      </w:r>
                      <w:r w:rsidR="007A74AD" w:rsidRPr="007A74AD">
                        <w:rPr>
                          <w:rFonts w:ascii="Times Roman" w:hAnsi="Times Roman"/>
                          <w:sz w:val="24"/>
                          <w:szCs w:val="24"/>
                        </w:rPr>
                        <w:t>UE-151069</w:t>
                      </w:r>
                    </w:p>
                  </w:txbxContent>
                </v:textbox>
              </v:shape>
            </w:pict>
          </mc:Fallback>
        </mc:AlternateContent>
      </w:r>
    </w:p>
    <w:p w:rsidR="009A4637" w:rsidRDefault="009A4637" w:rsidP="009A4637">
      <w:pPr>
        <w:rPr>
          <w:rFonts w:ascii="Times Roman" w:hAnsi="Times Roman"/>
          <w:sz w:val="24"/>
          <w:szCs w:val="24"/>
        </w:rPr>
      </w:pPr>
    </w:p>
    <w:p w:rsidR="009A4637" w:rsidRDefault="009A4637" w:rsidP="009A4637">
      <w:pPr>
        <w:rPr>
          <w:rFonts w:ascii="Times Roman" w:hAnsi="Times Roman"/>
          <w:sz w:val="24"/>
          <w:szCs w:val="24"/>
        </w:rPr>
      </w:pPr>
    </w:p>
    <w:p w:rsidR="009A4637" w:rsidRDefault="009A4637" w:rsidP="009A4637">
      <w:pPr>
        <w:rPr>
          <w:rFonts w:ascii="Times Roman" w:hAnsi="Times Roman"/>
          <w:sz w:val="24"/>
          <w:szCs w:val="24"/>
        </w:rPr>
      </w:pPr>
      <w:r>
        <w:rPr>
          <w:rFonts w:ascii="Times Roman" w:hAnsi="Times Roman"/>
          <w:sz w:val="24"/>
          <w:szCs w:val="24"/>
        </w:rPr>
        <w:tab/>
      </w:r>
    </w:p>
    <w:p w:rsidR="009A4637" w:rsidRDefault="009A4637" w:rsidP="009A4637">
      <w:pPr>
        <w:rPr>
          <w:rFonts w:ascii="Times Roman" w:hAnsi="Times Roman"/>
          <w:sz w:val="24"/>
          <w:szCs w:val="24"/>
        </w:rPr>
      </w:pPr>
    </w:p>
    <w:p w:rsidR="009A4637" w:rsidRDefault="009A4637" w:rsidP="009A4637">
      <w:pPr>
        <w:rPr>
          <w:rFonts w:ascii="Times Roman" w:hAnsi="Times Roman"/>
          <w:sz w:val="24"/>
          <w:szCs w:val="24"/>
        </w:rPr>
      </w:pPr>
      <w:r>
        <w:rPr>
          <w:rFonts w:ascii="Times Roman" w:hAnsi="Times Roman"/>
          <w:sz w:val="24"/>
          <w:szCs w:val="24"/>
          <w:u w:val="single"/>
        </w:rPr>
        <w:tab/>
      </w:r>
      <w:r>
        <w:rPr>
          <w:rFonts w:ascii="Times Roman" w:hAnsi="Times Roman"/>
          <w:sz w:val="24"/>
          <w:szCs w:val="24"/>
          <w:u w:val="single"/>
        </w:rPr>
        <w:tab/>
      </w:r>
      <w:r>
        <w:rPr>
          <w:rFonts w:ascii="Times Roman" w:hAnsi="Times Roman"/>
          <w:sz w:val="24"/>
          <w:szCs w:val="24"/>
          <w:u w:val="single"/>
        </w:rPr>
        <w:tab/>
      </w:r>
      <w:r>
        <w:rPr>
          <w:rFonts w:ascii="Times Roman" w:hAnsi="Times Roman"/>
          <w:sz w:val="24"/>
          <w:szCs w:val="24"/>
          <w:u w:val="single"/>
        </w:rPr>
        <w:tab/>
      </w:r>
      <w:r>
        <w:rPr>
          <w:rFonts w:ascii="Times Roman" w:hAnsi="Times Roman"/>
          <w:sz w:val="24"/>
          <w:szCs w:val="24"/>
          <w:u w:val="single"/>
        </w:rPr>
        <w:tab/>
      </w:r>
      <w:r>
        <w:rPr>
          <w:rFonts w:ascii="Times Roman" w:hAnsi="Times Roman"/>
          <w:sz w:val="24"/>
          <w:szCs w:val="24"/>
          <w:u w:val="single"/>
        </w:rPr>
        <w:tab/>
      </w:r>
      <w:r>
        <w:rPr>
          <w:rFonts w:ascii="Times Roman" w:hAnsi="Times Roman"/>
          <w:sz w:val="24"/>
          <w:szCs w:val="24"/>
          <w:u w:val="single"/>
        </w:rPr>
        <w:tab/>
      </w:r>
      <w:r>
        <w:rPr>
          <w:rFonts w:ascii="Times Roman" w:hAnsi="Times Roman"/>
          <w:sz w:val="24"/>
          <w:szCs w:val="24"/>
          <w:u w:val="single"/>
        </w:rPr>
        <w:tab/>
      </w:r>
      <w:r>
        <w:rPr>
          <w:rFonts w:ascii="Times Roman" w:hAnsi="Times Roman"/>
          <w:sz w:val="24"/>
          <w:szCs w:val="24"/>
          <w:u w:val="single"/>
        </w:rPr>
        <w:tab/>
      </w:r>
      <w:r>
        <w:rPr>
          <w:rFonts w:ascii="Times Roman" w:hAnsi="Times Roman"/>
          <w:sz w:val="24"/>
          <w:szCs w:val="24"/>
          <w:u w:val="single"/>
        </w:rPr>
        <w:tab/>
      </w:r>
      <w:r>
        <w:rPr>
          <w:rFonts w:ascii="Times Roman" w:hAnsi="Times Roman"/>
          <w:sz w:val="24"/>
          <w:szCs w:val="24"/>
          <w:u w:val="single"/>
        </w:rPr>
        <w:tab/>
      </w:r>
      <w:r>
        <w:rPr>
          <w:rFonts w:ascii="Times Roman" w:hAnsi="Times Roman"/>
          <w:sz w:val="24"/>
          <w:szCs w:val="24"/>
          <w:u w:val="single"/>
        </w:rPr>
        <w:tab/>
      </w:r>
      <w:r>
        <w:rPr>
          <w:rFonts w:ascii="Times Roman" w:hAnsi="Times Roman"/>
          <w:sz w:val="24"/>
          <w:szCs w:val="24"/>
          <w:u w:val="single"/>
        </w:rPr>
        <w:tab/>
      </w:r>
    </w:p>
    <w:p w:rsidR="009A4637" w:rsidRDefault="009A4637" w:rsidP="009A4637">
      <w:pPr>
        <w:rPr>
          <w:rFonts w:ascii="Times Roman" w:hAnsi="Times Roman"/>
          <w:sz w:val="24"/>
          <w:szCs w:val="24"/>
        </w:rPr>
      </w:pPr>
    </w:p>
    <w:p w:rsidR="00143AEF" w:rsidRDefault="00143AEF" w:rsidP="009A4637">
      <w:pPr>
        <w:jc w:val="center"/>
        <w:rPr>
          <w:rFonts w:ascii="Times Roman" w:hAnsi="Times Roman"/>
          <w:b/>
          <w:sz w:val="24"/>
          <w:szCs w:val="24"/>
        </w:rPr>
      </w:pPr>
    </w:p>
    <w:p w:rsidR="00143AEF" w:rsidRDefault="00143AEF" w:rsidP="009A4637">
      <w:pPr>
        <w:jc w:val="center"/>
        <w:rPr>
          <w:rFonts w:ascii="Times Roman" w:hAnsi="Times Roman"/>
          <w:b/>
          <w:sz w:val="24"/>
          <w:szCs w:val="24"/>
        </w:rPr>
      </w:pPr>
    </w:p>
    <w:p w:rsidR="009A4637" w:rsidRDefault="002B0A57" w:rsidP="009A4637">
      <w:pPr>
        <w:jc w:val="center"/>
        <w:rPr>
          <w:rFonts w:ascii="Times Roman" w:hAnsi="Times Roman"/>
          <w:b/>
          <w:sz w:val="24"/>
          <w:szCs w:val="24"/>
        </w:rPr>
      </w:pPr>
      <w:proofErr w:type="gramStart"/>
      <w:r>
        <w:rPr>
          <w:rFonts w:ascii="Times Roman" w:hAnsi="Times Roman"/>
          <w:b/>
          <w:sz w:val="24"/>
          <w:szCs w:val="24"/>
        </w:rPr>
        <w:t>COMMENTS OF</w:t>
      </w:r>
      <w:r w:rsidR="009A4637">
        <w:rPr>
          <w:rFonts w:ascii="Times Roman" w:hAnsi="Times Roman"/>
          <w:b/>
          <w:sz w:val="24"/>
          <w:szCs w:val="24"/>
        </w:rPr>
        <w:t xml:space="preserve"> RENEWABLE ENERGY SYSTEMS AMERICAS</w:t>
      </w:r>
      <w:r>
        <w:rPr>
          <w:rFonts w:ascii="Times Roman" w:hAnsi="Times Roman"/>
          <w:b/>
          <w:sz w:val="24"/>
          <w:szCs w:val="24"/>
        </w:rPr>
        <w:t xml:space="preserve"> INC.</w:t>
      </w:r>
      <w:proofErr w:type="gramEnd"/>
      <w:r w:rsidR="009A4637">
        <w:rPr>
          <w:rFonts w:ascii="Times Roman" w:hAnsi="Times Roman"/>
          <w:b/>
          <w:sz w:val="24"/>
          <w:szCs w:val="24"/>
        </w:rPr>
        <w:t xml:space="preserve"> </w:t>
      </w:r>
    </w:p>
    <w:p w:rsidR="00AC3702" w:rsidRDefault="00AC3702" w:rsidP="009A4637">
      <w:pPr>
        <w:jc w:val="center"/>
        <w:rPr>
          <w:rFonts w:ascii="Times Roman" w:hAnsi="Times Roman"/>
          <w:b/>
          <w:sz w:val="24"/>
          <w:szCs w:val="24"/>
        </w:rPr>
      </w:pPr>
    </w:p>
    <w:p w:rsidR="009A4637" w:rsidRDefault="009A4637" w:rsidP="009A4637">
      <w:pPr>
        <w:rPr>
          <w:rFonts w:ascii="Times Roman" w:hAnsi="Times Roman"/>
          <w:b/>
          <w:sz w:val="24"/>
          <w:szCs w:val="24"/>
        </w:rPr>
      </w:pPr>
    </w:p>
    <w:p w:rsidR="00CE6570" w:rsidRDefault="002B0A57" w:rsidP="002C397E">
      <w:pPr>
        <w:ind w:firstLine="720"/>
        <w:rPr>
          <w:rFonts w:ascii="Times Roman" w:hAnsi="Times Roman"/>
          <w:sz w:val="24"/>
          <w:szCs w:val="24"/>
        </w:rPr>
      </w:pPr>
      <w:r>
        <w:rPr>
          <w:rFonts w:ascii="Times Roman" w:hAnsi="Times Roman"/>
          <w:sz w:val="24"/>
          <w:szCs w:val="24"/>
        </w:rPr>
        <w:t xml:space="preserve">Pursuant to </w:t>
      </w:r>
      <w:r w:rsidR="00E651B8">
        <w:rPr>
          <w:rFonts w:ascii="Times Roman" w:hAnsi="Times Roman"/>
          <w:sz w:val="24"/>
          <w:szCs w:val="24"/>
        </w:rPr>
        <w:t>UTC</w:t>
      </w:r>
      <w:r w:rsidR="002A59BF" w:rsidRPr="002A59BF">
        <w:rPr>
          <w:rFonts w:ascii="Times Roman" w:hAnsi="Times Roman"/>
          <w:sz w:val="24"/>
          <w:szCs w:val="24"/>
        </w:rPr>
        <w:t xml:space="preserve"> Docket </w:t>
      </w:r>
      <w:r w:rsidR="00E651B8" w:rsidRPr="00E651B8">
        <w:rPr>
          <w:rFonts w:ascii="Times Roman" w:hAnsi="Times Roman"/>
          <w:sz w:val="24"/>
          <w:szCs w:val="24"/>
        </w:rPr>
        <w:t>UE-151069</w:t>
      </w:r>
      <w:r>
        <w:rPr>
          <w:rFonts w:ascii="Times Roman" w:hAnsi="Times Roman"/>
          <w:sz w:val="24"/>
          <w:szCs w:val="24"/>
        </w:rPr>
        <w:t xml:space="preserve">, </w:t>
      </w:r>
      <w:r w:rsidR="002C397E" w:rsidRPr="00A60E34">
        <w:rPr>
          <w:rFonts w:ascii="Times Roman" w:hAnsi="Times Roman"/>
          <w:sz w:val="24"/>
          <w:szCs w:val="24"/>
        </w:rPr>
        <w:t xml:space="preserve">RES Americas (“RES” or “Company”) submits the following comments </w:t>
      </w:r>
      <w:r w:rsidR="00655D03">
        <w:rPr>
          <w:rFonts w:ascii="Times Roman" w:hAnsi="Times Roman"/>
          <w:sz w:val="24"/>
          <w:szCs w:val="24"/>
        </w:rPr>
        <w:t xml:space="preserve">in response </w:t>
      </w:r>
      <w:r w:rsidR="002C397E" w:rsidRPr="00A60E34">
        <w:rPr>
          <w:rFonts w:ascii="Times Roman" w:hAnsi="Times Roman"/>
          <w:sz w:val="24"/>
          <w:szCs w:val="24"/>
        </w:rPr>
        <w:t xml:space="preserve">to </w:t>
      </w:r>
      <w:r w:rsidR="002A59BF">
        <w:rPr>
          <w:rFonts w:ascii="Times Roman" w:hAnsi="Times Roman"/>
          <w:sz w:val="24"/>
          <w:szCs w:val="24"/>
        </w:rPr>
        <w:t xml:space="preserve">the </w:t>
      </w:r>
      <w:r w:rsidR="00615DF8">
        <w:rPr>
          <w:rFonts w:ascii="Times Roman" w:hAnsi="Times Roman"/>
          <w:sz w:val="24"/>
          <w:szCs w:val="24"/>
        </w:rPr>
        <w:t xml:space="preserve">August </w:t>
      </w:r>
      <w:r w:rsidR="00E651B8">
        <w:rPr>
          <w:rFonts w:ascii="Times Roman" w:hAnsi="Times Roman"/>
          <w:sz w:val="24"/>
          <w:szCs w:val="24"/>
        </w:rPr>
        <w:t>7</w:t>
      </w:r>
      <w:r w:rsidR="00615DF8">
        <w:rPr>
          <w:rFonts w:ascii="Times Roman" w:hAnsi="Times Roman"/>
          <w:sz w:val="24"/>
          <w:szCs w:val="24"/>
        </w:rPr>
        <w:t xml:space="preserve">, 2015, </w:t>
      </w:r>
      <w:r w:rsidR="002A59BF">
        <w:rPr>
          <w:rFonts w:ascii="Times Roman" w:hAnsi="Times Roman"/>
          <w:sz w:val="24"/>
          <w:szCs w:val="24"/>
        </w:rPr>
        <w:t xml:space="preserve">Notice of </w:t>
      </w:r>
      <w:r w:rsidR="00E651B8">
        <w:rPr>
          <w:rFonts w:ascii="Times Roman" w:hAnsi="Times Roman"/>
          <w:sz w:val="24"/>
          <w:szCs w:val="24"/>
        </w:rPr>
        <w:t>Opportunity to File Written Comments</w:t>
      </w:r>
      <w:r w:rsidR="005D7FB9">
        <w:rPr>
          <w:rFonts w:ascii="Times Roman" w:hAnsi="Times Roman"/>
          <w:sz w:val="24"/>
          <w:szCs w:val="24"/>
        </w:rPr>
        <w:t xml:space="preserve"> (“Notice”)</w:t>
      </w:r>
      <w:r w:rsidR="002A59BF">
        <w:rPr>
          <w:rFonts w:ascii="Times Roman" w:hAnsi="Times Roman"/>
          <w:sz w:val="24"/>
          <w:szCs w:val="24"/>
        </w:rPr>
        <w:t xml:space="preserve"> </w:t>
      </w:r>
      <w:r w:rsidR="002C397E" w:rsidRPr="00A60E34">
        <w:rPr>
          <w:rFonts w:ascii="Times Roman" w:hAnsi="Times Roman"/>
          <w:sz w:val="24"/>
          <w:szCs w:val="24"/>
        </w:rPr>
        <w:t xml:space="preserve">of the </w:t>
      </w:r>
      <w:r w:rsidR="002A59BF" w:rsidRPr="002A59BF">
        <w:rPr>
          <w:rFonts w:ascii="Times Roman" w:hAnsi="Times Roman"/>
          <w:sz w:val="24"/>
          <w:szCs w:val="24"/>
        </w:rPr>
        <w:t xml:space="preserve">State of </w:t>
      </w:r>
      <w:r w:rsidR="007D2F21">
        <w:rPr>
          <w:rFonts w:ascii="Times Roman" w:hAnsi="Times Roman"/>
          <w:sz w:val="24"/>
          <w:szCs w:val="24"/>
        </w:rPr>
        <w:t>Washington</w:t>
      </w:r>
      <w:r w:rsidR="002A59BF" w:rsidRPr="002A59BF">
        <w:rPr>
          <w:rFonts w:ascii="Times Roman" w:hAnsi="Times Roman"/>
          <w:sz w:val="24"/>
          <w:szCs w:val="24"/>
        </w:rPr>
        <w:t xml:space="preserve"> Utilities</w:t>
      </w:r>
      <w:r w:rsidR="007D2F21">
        <w:rPr>
          <w:rFonts w:ascii="Times Roman" w:hAnsi="Times Roman"/>
          <w:sz w:val="24"/>
          <w:szCs w:val="24"/>
        </w:rPr>
        <w:t xml:space="preserve"> and Transportation</w:t>
      </w:r>
      <w:r w:rsidR="002A59BF" w:rsidRPr="002A59BF">
        <w:rPr>
          <w:rFonts w:ascii="Times Roman" w:hAnsi="Times Roman"/>
          <w:sz w:val="24"/>
          <w:szCs w:val="24"/>
        </w:rPr>
        <w:t xml:space="preserve"> Commission</w:t>
      </w:r>
      <w:r w:rsidR="002C397E">
        <w:rPr>
          <w:rFonts w:ascii="Times Roman" w:hAnsi="Times Roman"/>
          <w:sz w:val="24"/>
          <w:szCs w:val="24"/>
        </w:rPr>
        <w:t xml:space="preserve"> </w:t>
      </w:r>
      <w:r w:rsidR="00404C6C">
        <w:rPr>
          <w:rFonts w:ascii="Times Roman" w:hAnsi="Times Roman"/>
          <w:sz w:val="24"/>
          <w:szCs w:val="24"/>
        </w:rPr>
        <w:t>(“</w:t>
      </w:r>
      <w:r w:rsidR="007D2F21">
        <w:rPr>
          <w:rFonts w:ascii="Times Roman" w:hAnsi="Times Roman"/>
          <w:sz w:val="24"/>
          <w:szCs w:val="24"/>
        </w:rPr>
        <w:t>UTC</w:t>
      </w:r>
      <w:r w:rsidR="002C397E" w:rsidRPr="00A60E34">
        <w:rPr>
          <w:rFonts w:ascii="Times Roman" w:hAnsi="Times Roman"/>
          <w:sz w:val="24"/>
          <w:szCs w:val="24"/>
        </w:rPr>
        <w:t>” or “Commission”)</w:t>
      </w:r>
      <w:r w:rsidR="002C397E">
        <w:rPr>
          <w:rFonts w:ascii="Times Roman" w:hAnsi="Times Roman"/>
          <w:sz w:val="24"/>
          <w:szCs w:val="24"/>
        </w:rPr>
        <w:t xml:space="preserve">.  </w:t>
      </w:r>
    </w:p>
    <w:p w:rsidR="00CE6570" w:rsidRDefault="00CE6570" w:rsidP="002C397E">
      <w:pPr>
        <w:ind w:firstLine="720"/>
        <w:rPr>
          <w:rFonts w:ascii="Times Roman" w:hAnsi="Times Roman"/>
          <w:sz w:val="24"/>
          <w:szCs w:val="24"/>
        </w:rPr>
      </w:pPr>
    </w:p>
    <w:p w:rsidR="000E11EF" w:rsidRDefault="000E11EF" w:rsidP="002C397E">
      <w:pPr>
        <w:ind w:firstLine="720"/>
        <w:rPr>
          <w:rFonts w:ascii="Times Roman" w:hAnsi="Times Roman"/>
          <w:sz w:val="24"/>
          <w:szCs w:val="24"/>
        </w:rPr>
      </w:pPr>
    </w:p>
    <w:p w:rsidR="002C397E" w:rsidRPr="00A60E34" w:rsidRDefault="002C397E" w:rsidP="002C397E">
      <w:pPr>
        <w:rPr>
          <w:rFonts w:ascii="Times Roman" w:hAnsi="Times Roman"/>
          <w:sz w:val="24"/>
          <w:szCs w:val="24"/>
        </w:rPr>
      </w:pPr>
      <w:r w:rsidRPr="00A60E34">
        <w:rPr>
          <w:rFonts w:ascii="Times Roman" w:hAnsi="Times Roman"/>
          <w:b/>
          <w:sz w:val="24"/>
          <w:szCs w:val="24"/>
        </w:rPr>
        <w:t>RES Background</w:t>
      </w:r>
    </w:p>
    <w:p w:rsidR="002C397E" w:rsidRPr="00A60E34" w:rsidRDefault="002C397E" w:rsidP="002C397E">
      <w:pPr>
        <w:rPr>
          <w:rFonts w:ascii="Times Roman" w:hAnsi="Times Roman"/>
          <w:sz w:val="24"/>
          <w:szCs w:val="24"/>
        </w:rPr>
      </w:pPr>
    </w:p>
    <w:p w:rsidR="00C25FDB" w:rsidRDefault="002C397E" w:rsidP="002C397E">
      <w:pPr>
        <w:ind w:firstLine="720"/>
        <w:rPr>
          <w:rFonts w:ascii="Times Roman" w:hAnsi="Times Roman"/>
          <w:sz w:val="24"/>
          <w:szCs w:val="24"/>
        </w:rPr>
      </w:pPr>
      <w:r w:rsidRPr="00A60E34">
        <w:rPr>
          <w:rFonts w:ascii="Times Roman" w:hAnsi="Times Roman"/>
          <w:sz w:val="24"/>
          <w:szCs w:val="24"/>
        </w:rPr>
        <w:t>RES, with its U</w:t>
      </w:r>
      <w:r w:rsidR="007A1BF1">
        <w:rPr>
          <w:rFonts w:ascii="Times Roman" w:hAnsi="Times Roman"/>
          <w:sz w:val="24"/>
          <w:szCs w:val="24"/>
        </w:rPr>
        <w:t>.</w:t>
      </w:r>
      <w:r w:rsidRPr="00A60E34">
        <w:rPr>
          <w:rFonts w:ascii="Times Roman" w:hAnsi="Times Roman"/>
          <w:sz w:val="24"/>
          <w:szCs w:val="24"/>
        </w:rPr>
        <w:t>S</w:t>
      </w:r>
      <w:r w:rsidR="007A1BF1">
        <w:rPr>
          <w:rFonts w:ascii="Times Roman" w:hAnsi="Times Roman"/>
          <w:sz w:val="24"/>
          <w:szCs w:val="24"/>
        </w:rPr>
        <w:t>.</w:t>
      </w:r>
      <w:r w:rsidRPr="00A60E34">
        <w:rPr>
          <w:rFonts w:ascii="Times Roman" w:hAnsi="Times Roman"/>
          <w:sz w:val="24"/>
          <w:szCs w:val="24"/>
        </w:rPr>
        <w:t xml:space="preserve"> headquarters located in Broomfield, Colorado, is a commerc</w:t>
      </w:r>
      <w:r w:rsidR="007A1BF1">
        <w:rPr>
          <w:rFonts w:ascii="Times Roman" w:hAnsi="Times Roman"/>
          <w:sz w:val="24"/>
          <w:szCs w:val="24"/>
        </w:rPr>
        <w:t>ial development, engineering</w:t>
      </w:r>
      <w:r w:rsidR="00082D11">
        <w:rPr>
          <w:rFonts w:ascii="Times Roman" w:hAnsi="Times Roman"/>
          <w:sz w:val="24"/>
          <w:szCs w:val="24"/>
        </w:rPr>
        <w:t>,</w:t>
      </w:r>
      <w:r w:rsidR="007A1BF1">
        <w:rPr>
          <w:rFonts w:ascii="Times Roman" w:hAnsi="Times Roman"/>
          <w:sz w:val="24"/>
          <w:szCs w:val="24"/>
        </w:rPr>
        <w:t xml:space="preserve"> and </w:t>
      </w:r>
      <w:proofErr w:type="gramStart"/>
      <w:r w:rsidR="007A1BF1">
        <w:rPr>
          <w:rFonts w:ascii="Times Roman" w:hAnsi="Times Roman"/>
          <w:sz w:val="24"/>
          <w:szCs w:val="24"/>
        </w:rPr>
        <w:t>construction</w:t>
      </w:r>
      <w:r w:rsidRPr="00A60E34">
        <w:rPr>
          <w:rFonts w:ascii="Times Roman" w:hAnsi="Times Roman"/>
          <w:sz w:val="24"/>
          <w:szCs w:val="24"/>
        </w:rPr>
        <w:t xml:space="preserve"> company</w:t>
      </w:r>
      <w:proofErr w:type="gramEnd"/>
      <w:r w:rsidRPr="00A60E34">
        <w:rPr>
          <w:rFonts w:ascii="Times Roman" w:hAnsi="Times Roman"/>
          <w:sz w:val="24"/>
          <w:szCs w:val="24"/>
        </w:rPr>
        <w:t xml:space="preserve"> </w:t>
      </w:r>
      <w:r w:rsidR="00082D11">
        <w:rPr>
          <w:rFonts w:ascii="Times Roman" w:hAnsi="Times Roman"/>
          <w:sz w:val="24"/>
          <w:szCs w:val="24"/>
        </w:rPr>
        <w:t>focused on</w:t>
      </w:r>
      <w:r w:rsidRPr="00A60E34">
        <w:rPr>
          <w:rFonts w:ascii="Times Roman" w:hAnsi="Times Roman"/>
          <w:sz w:val="24"/>
          <w:szCs w:val="24"/>
        </w:rPr>
        <w:t xml:space="preserve"> grid-scale wind, solar, transmission, and energy storage facilities </w:t>
      </w:r>
      <w:r w:rsidR="00082D11">
        <w:rPr>
          <w:rFonts w:ascii="Times Roman" w:hAnsi="Times Roman"/>
          <w:sz w:val="24"/>
          <w:szCs w:val="24"/>
        </w:rPr>
        <w:t>as well as</w:t>
      </w:r>
      <w:r w:rsidR="00082D11" w:rsidRPr="00A60E34">
        <w:rPr>
          <w:rFonts w:ascii="Times Roman" w:hAnsi="Times Roman"/>
          <w:sz w:val="24"/>
          <w:szCs w:val="24"/>
        </w:rPr>
        <w:t xml:space="preserve"> </w:t>
      </w:r>
      <w:r w:rsidRPr="00A60E34">
        <w:rPr>
          <w:rFonts w:ascii="Times Roman" w:hAnsi="Times Roman"/>
          <w:sz w:val="24"/>
          <w:szCs w:val="24"/>
        </w:rPr>
        <w:t>a provider of community and customer-sited energy solutions.</w:t>
      </w:r>
      <w:r w:rsidR="00C25FDB">
        <w:rPr>
          <w:rFonts w:ascii="Times Roman" w:hAnsi="Times Roman"/>
          <w:sz w:val="24"/>
          <w:szCs w:val="24"/>
        </w:rPr>
        <w:t xml:space="preserve">  RES </w:t>
      </w:r>
      <w:r w:rsidR="00A36079">
        <w:rPr>
          <w:rFonts w:ascii="Times Roman" w:hAnsi="Times Roman"/>
          <w:sz w:val="24"/>
          <w:szCs w:val="24"/>
        </w:rPr>
        <w:t>Americas</w:t>
      </w:r>
      <w:r w:rsidR="00C25FDB">
        <w:rPr>
          <w:rFonts w:ascii="Times Roman" w:hAnsi="Times Roman"/>
          <w:sz w:val="24"/>
          <w:szCs w:val="24"/>
        </w:rPr>
        <w:t xml:space="preserve"> has </w:t>
      </w:r>
      <w:r w:rsidR="00BE2F32">
        <w:rPr>
          <w:rFonts w:ascii="Times Roman" w:hAnsi="Times Roman"/>
          <w:sz w:val="24"/>
          <w:szCs w:val="24"/>
        </w:rPr>
        <w:t xml:space="preserve">developed and/or </w:t>
      </w:r>
      <w:r w:rsidR="00C25FDB">
        <w:rPr>
          <w:rFonts w:ascii="Times Roman" w:hAnsi="Times Roman"/>
          <w:sz w:val="24"/>
          <w:szCs w:val="24"/>
        </w:rPr>
        <w:t xml:space="preserve">constructed </w:t>
      </w:r>
      <w:r w:rsidR="00A36079">
        <w:rPr>
          <w:rFonts w:ascii="Times Roman" w:hAnsi="Times Roman"/>
          <w:sz w:val="24"/>
          <w:szCs w:val="24"/>
        </w:rPr>
        <w:t>over 7</w:t>
      </w:r>
      <w:r w:rsidR="00C25FDB">
        <w:rPr>
          <w:rFonts w:ascii="Times Roman" w:hAnsi="Times Roman"/>
          <w:sz w:val="24"/>
          <w:szCs w:val="24"/>
        </w:rPr>
        <w:t>,</w:t>
      </w:r>
      <w:r w:rsidR="00A36079">
        <w:rPr>
          <w:rFonts w:ascii="Times Roman" w:hAnsi="Times Roman"/>
          <w:sz w:val="24"/>
          <w:szCs w:val="24"/>
        </w:rPr>
        <w:t>5</w:t>
      </w:r>
      <w:r w:rsidR="00C25FDB">
        <w:rPr>
          <w:rFonts w:ascii="Times Roman" w:hAnsi="Times Roman"/>
          <w:sz w:val="24"/>
          <w:szCs w:val="24"/>
        </w:rPr>
        <w:t xml:space="preserve">00MW of renewable energy projects </w:t>
      </w:r>
      <w:r w:rsidR="003131B5">
        <w:rPr>
          <w:rFonts w:ascii="Times Roman" w:hAnsi="Times Roman"/>
          <w:sz w:val="24"/>
          <w:szCs w:val="24"/>
        </w:rPr>
        <w:t xml:space="preserve">across North America and maintains </w:t>
      </w:r>
      <w:r w:rsidR="00F15166">
        <w:rPr>
          <w:rFonts w:ascii="Times Roman" w:hAnsi="Times Roman"/>
          <w:sz w:val="24"/>
          <w:szCs w:val="24"/>
        </w:rPr>
        <w:t>a</w:t>
      </w:r>
      <w:r w:rsidR="00D03D4D">
        <w:rPr>
          <w:rFonts w:ascii="Times Roman" w:hAnsi="Times Roman"/>
          <w:sz w:val="24"/>
          <w:szCs w:val="24"/>
        </w:rPr>
        <w:t>n energy</w:t>
      </w:r>
      <w:r w:rsidR="00F15166">
        <w:rPr>
          <w:rFonts w:ascii="Times Roman" w:hAnsi="Times Roman"/>
          <w:sz w:val="24"/>
          <w:szCs w:val="24"/>
        </w:rPr>
        <w:t xml:space="preserve"> storage portfolio of</w:t>
      </w:r>
      <w:r w:rsidR="00FF1A2F">
        <w:rPr>
          <w:rFonts w:ascii="Times Roman" w:hAnsi="Times Roman"/>
          <w:sz w:val="24"/>
          <w:szCs w:val="24"/>
        </w:rPr>
        <w:t xml:space="preserve"> nearly</w:t>
      </w:r>
      <w:r w:rsidR="00F15166">
        <w:rPr>
          <w:rFonts w:ascii="Times Roman" w:hAnsi="Times Roman"/>
          <w:sz w:val="24"/>
          <w:szCs w:val="24"/>
        </w:rPr>
        <w:t xml:space="preserve"> </w:t>
      </w:r>
      <w:r w:rsidR="00FF1A2F">
        <w:rPr>
          <w:rFonts w:ascii="Times Roman" w:hAnsi="Times Roman"/>
          <w:sz w:val="24"/>
          <w:szCs w:val="24"/>
        </w:rPr>
        <w:t>2</w:t>
      </w:r>
      <w:r w:rsidR="00F15166">
        <w:rPr>
          <w:rFonts w:ascii="Times Roman" w:hAnsi="Times Roman"/>
          <w:sz w:val="24"/>
          <w:szCs w:val="24"/>
        </w:rPr>
        <w:t>8MW of operational facilities</w:t>
      </w:r>
      <w:r w:rsidR="003D6686">
        <w:rPr>
          <w:rFonts w:ascii="Times Roman" w:hAnsi="Times Roman"/>
          <w:sz w:val="24"/>
          <w:szCs w:val="24"/>
        </w:rPr>
        <w:t xml:space="preserve"> and</w:t>
      </w:r>
      <w:r w:rsidR="00F15166">
        <w:rPr>
          <w:rFonts w:ascii="Times Roman" w:hAnsi="Times Roman"/>
          <w:sz w:val="24"/>
          <w:szCs w:val="24"/>
        </w:rPr>
        <w:t xml:space="preserve"> </w:t>
      </w:r>
      <w:r w:rsidR="00FF1A2F">
        <w:rPr>
          <w:rFonts w:ascii="Times Roman" w:hAnsi="Times Roman"/>
          <w:sz w:val="24"/>
          <w:szCs w:val="24"/>
        </w:rPr>
        <w:t>over</w:t>
      </w:r>
      <w:r w:rsidR="00F02CAF">
        <w:rPr>
          <w:rFonts w:ascii="Times Roman" w:hAnsi="Times Roman"/>
          <w:sz w:val="24"/>
          <w:szCs w:val="24"/>
        </w:rPr>
        <w:t xml:space="preserve"> </w:t>
      </w:r>
      <w:r w:rsidR="00FF1A2F">
        <w:rPr>
          <w:rFonts w:ascii="Times Roman" w:hAnsi="Times Roman"/>
          <w:sz w:val="24"/>
          <w:szCs w:val="24"/>
        </w:rPr>
        <w:t>5</w:t>
      </w:r>
      <w:r w:rsidR="00F02CAF">
        <w:rPr>
          <w:rFonts w:ascii="Times Roman" w:hAnsi="Times Roman"/>
          <w:sz w:val="24"/>
          <w:szCs w:val="24"/>
        </w:rPr>
        <w:t>0</w:t>
      </w:r>
      <w:r w:rsidR="003D6686">
        <w:rPr>
          <w:rFonts w:ascii="Times Roman" w:hAnsi="Times Roman"/>
          <w:sz w:val="24"/>
          <w:szCs w:val="24"/>
        </w:rPr>
        <w:t>MW of plants under construction</w:t>
      </w:r>
      <w:r w:rsidR="00F15166">
        <w:rPr>
          <w:rFonts w:ascii="Times Roman" w:hAnsi="Times Roman"/>
          <w:sz w:val="24"/>
          <w:szCs w:val="24"/>
        </w:rPr>
        <w:t>.</w:t>
      </w:r>
      <w:r w:rsidR="007B7A00">
        <w:rPr>
          <w:rFonts w:ascii="Times Roman" w:hAnsi="Times Roman"/>
          <w:sz w:val="24"/>
          <w:szCs w:val="24"/>
        </w:rPr>
        <w:t xml:space="preserve">  RES has installed over 1,500 MW of wind and over 50 miles of transmission in the State of Washington and has a storage project under construction with one of the State’s utilities.</w:t>
      </w:r>
    </w:p>
    <w:p w:rsidR="00F15166" w:rsidRDefault="00F15166" w:rsidP="00CE6570">
      <w:pPr>
        <w:jc w:val="center"/>
        <w:rPr>
          <w:rFonts w:ascii="Times Roman" w:hAnsi="Times Roman"/>
          <w:b/>
          <w:sz w:val="24"/>
          <w:szCs w:val="24"/>
          <w:u w:val="single"/>
        </w:rPr>
      </w:pPr>
    </w:p>
    <w:p w:rsidR="000E11EF" w:rsidRDefault="000E11EF" w:rsidP="00CE6570">
      <w:pPr>
        <w:jc w:val="center"/>
        <w:rPr>
          <w:rFonts w:ascii="Times Roman" w:hAnsi="Times Roman"/>
          <w:b/>
          <w:sz w:val="24"/>
          <w:szCs w:val="24"/>
          <w:u w:val="single"/>
        </w:rPr>
      </w:pPr>
    </w:p>
    <w:p w:rsidR="002C397E" w:rsidRPr="00CE6570" w:rsidRDefault="002C397E" w:rsidP="00CE6570">
      <w:pPr>
        <w:jc w:val="center"/>
        <w:rPr>
          <w:rFonts w:ascii="Times Roman" w:hAnsi="Times Roman"/>
          <w:b/>
          <w:sz w:val="24"/>
          <w:szCs w:val="24"/>
          <w:u w:val="single"/>
        </w:rPr>
      </w:pPr>
      <w:r w:rsidRPr="00CE6570">
        <w:rPr>
          <w:rFonts w:ascii="Times Roman" w:hAnsi="Times Roman"/>
          <w:b/>
          <w:sz w:val="24"/>
          <w:szCs w:val="24"/>
          <w:u w:val="single"/>
        </w:rPr>
        <w:t>Comments</w:t>
      </w:r>
      <w:r w:rsidR="0045578F">
        <w:rPr>
          <w:rFonts w:ascii="Times Roman" w:hAnsi="Times Roman"/>
          <w:b/>
          <w:sz w:val="24"/>
          <w:szCs w:val="24"/>
          <w:u w:val="single"/>
        </w:rPr>
        <w:t xml:space="preserve"> and Answers to Questions</w:t>
      </w:r>
    </w:p>
    <w:p w:rsidR="002C397E" w:rsidRPr="00A60E34" w:rsidRDefault="002C397E" w:rsidP="002C397E">
      <w:pPr>
        <w:rPr>
          <w:rFonts w:ascii="Times Roman" w:hAnsi="Times Roman"/>
          <w:sz w:val="24"/>
          <w:szCs w:val="24"/>
        </w:rPr>
      </w:pPr>
    </w:p>
    <w:p w:rsidR="00E651B8" w:rsidRDefault="00A36079" w:rsidP="002C397E">
      <w:pPr>
        <w:ind w:firstLine="720"/>
        <w:rPr>
          <w:rFonts w:ascii="Times Roman" w:hAnsi="Times Roman"/>
          <w:sz w:val="24"/>
          <w:szCs w:val="24"/>
        </w:rPr>
      </w:pPr>
      <w:r>
        <w:rPr>
          <w:rFonts w:ascii="Times Roman" w:hAnsi="Times Roman"/>
          <w:sz w:val="24"/>
          <w:szCs w:val="24"/>
        </w:rPr>
        <w:t xml:space="preserve">RES </w:t>
      </w:r>
      <w:r w:rsidR="00316D48">
        <w:rPr>
          <w:rFonts w:ascii="Times Roman" w:hAnsi="Times Roman"/>
          <w:sz w:val="24"/>
          <w:szCs w:val="24"/>
        </w:rPr>
        <w:t>would like to</w:t>
      </w:r>
      <w:r w:rsidR="00E651B8">
        <w:rPr>
          <w:rFonts w:ascii="Times Roman" w:hAnsi="Times Roman"/>
          <w:sz w:val="24"/>
          <w:szCs w:val="24"/>
        </w:rPr>
        <w:t xml:space="preserve"> recognize not only the important step the Commission has taken in this proceeding towards a modernized, efficient, and reliable grid but also the extensive investigation already conducted by Commission Staff on the potential applications, valuation, and key questions surrounding energy storage development and deployment.  RES had the privilege of participating in the storage Workshop held on August 25</w:t>
      </w:r>
      <w:r w:rsidR="00E651B8" w:rsidRPr="00E651B8">
        <w:rPr>
          <w:rFonts w:ascii="Times Roman" w:hAnsi="Times Roman"/>
          <w:sz w:val="24"/>
          <w:szCs w:val="24"/>
          <w:vertAlign w:val="superscript"/>
        </w:rPr>
        <w:t>th</w:t>
      </w:r>
      <w:r w:rsidR="00E651B8">
        <w:rPr>
          <w:rFonts w:ascii="Times Roman" w:hAnsi="Times Roman"/>
          <w:sz w:val="24"/>
          <w:szCs w:val="24"/>
        </w:rPr>
        <w:t xml:space="preserve"> and fully appreciated the </w:t>
      </w:r>
      <w:r w:rsidR="0032346F">
        <w:rPr>
          <w:rFonts w:ascii="Times Roman" w:hAnsi="Times Roman"/>
          <w:sz w:val="24"/>
          <w:szCs w:val="24"/>
        </w:rPr>
        <w:t>depth at which the UTC has opened this proceeding.</w:t>
      </w:r>
    </w:p>
    <w:p w:rsidR="00E651B8" w:rsidRDefault="00E651B8" w:rsidP="002C397E">
      <w:pPr>
        <w:ind w:firstLine="720"/>
        <w:rPr>
          <w:rFonts w:ascii="Times Roman" w:hAnsi="Times Roman"/>
          <w:sz w:val="24"/>
          <w:szCs w:val="24"/>
        </w:rPr>
      </w:pPr>
    </w:p>
    <w:p w:rsidR="002C7DCC" w:rsidRDefault="002C7DCC" w:rsidP="00837073">
      <w:pPr>
        <w:rPr>
          <w:rFonts w:ascii="Times Roman" w:hAnsi="Times Roman"/>
          <w:b/>
          <w:sz w:val="24"/>
          <w:szCs w:val="24"/>
        </w:rPr>
      </w:pPr>
    </w:p>
    <w:p w:rsidR="00A43D9E" w:rsidRPr="00837073" w:rsidRDefault="00837073" w:rsidP="00837073">
      <w:pPr>
        <w:rPr>
          <w:rFonts w:ascii="Times Roman" w:hAnsi="Times Roman"/>
          <w:b/>
          <w:sz w:val="24"/>
          <w:szCs w:val="24"/>
        </w:rPr>
      </w:pPr>
      <w:r w:rsidRPr="00837073">
        <w:rPr>
          <w:rFonts w:ascii="Times Roman" w:hAnsi="Times Roman"/>
          <w:b/>
          <w:sz w:val="24"/>
          <w:szCs w:val="24"/>
        </w:rPr>
        <w:t>Answers to Commission Questions</w:t>
      </w:r>
    </w:p>
    <w:p w:rsidR="00837073" w:rsidRDefault="00837073" w:rsidP="00837073">
      <w:pPr>
        <w:rPr>
          <w:rFonts w:ascii="Times Roman" w:hAnsi="Times Roman"/>
          <w:sz w:val="24"/>
          <w:szCs w:val="24"/>
        </w:rPr>
      </w:pPr>
    </w:p>
    <w:p w:rsidR="007F02CC" w:rsidRDefault="007F02CC" w:rsidP="002C397E">
      <w:pPr>
        <w:ind w:firstLine="720"/>
        <w:rPr>
          <w:rFonts w:ascii="Times Roman" w:hAnsi="Times Roman"/>
          <w:sz w:val="24"/>
          <w:szCs w:val="24"/>
        </w:rPr>
      </w:pPr>
      <w:r>
        <w:rPr>
          <w:rFonts w:ascii="Times Roman" w:hAnsi="Times Roman"/>
          <w:sz w:val="24"/>
          <w:szCs w:val="24"/>
        </w:rPr>
        <w:t>RES defer</w:t>
      </w:r>
      <w:r w:rsidR="00C44A96">
        <w:rPr>
          <w:rFonts w:ascii="Times Roman" w:hAnsi="Times Roman"/>
          <w:sz w:val="24"/>
          <w:szCs w:val="24"/>
        </w:rPr>
        <w:t>s</w:t>
      </w:r>
      <w:r>
        <w:rPr>
          <w:rFonts w:ascii="Times Roman" w:hAnsi="Times Roman"/>
          <w:sz w:val="24"/>
          <w:szCs w:val="24"/>
        </w:rPr>
        <w:t xml:space="preserve"> to the filings made by Renewable Northwest (“RNW”) and the Energy Storage Association (“ESA”) for detailed answers to the questions put forward by the Commission in the August 7</w:t>
      </w:r>
      <w:r w:rsidRPr="007F02CC">
        <w:rPr>
          <w:rFonts w:ascii="Times Roman" w:hAnsi="Times Roman"/>
          <w:sz w:val="24"/>
          <w:szCs w:val="24"/>
          <w:vertAlign w:val="superscript"/>
        </w:rPr>
        <w:t>th</w:t>
      </w:r>
      <w:r>
        <w:rPr>
          <w:rFonts w:ascii="Times Roman" w:hAnsi="Times Roman"/>
          <w:sz w:val="24"/>
          <w:szCs w:val="24"/>
        </w:rPr>
        <w:t xml:space="preserve"> Notice.  The Company would like to focus on a few key points from these two sets of comments and perhaps provide further insight from the third-party commercial perspective.  </w:t>
      </w:r>
    </w:p>
    <w:p w:rsidR="007F02CC" w:rsidRDefault="007F02CC" w:rsidP="002C397E">
      <w:pPr>
        <w:ind w:firstLine="720"/>
        <w:rPr>
          <w:rFonts w:ascii="Times Roman" w:hAnsi="Times Roman"/>
          <w:sz w:val="24"/>
          <w:szCs w:val="24"/>
        </w:rPr>
      </w:pPr>
    </w:p>
    <w:p w:rsidR="00A36079" w:rsidRDefault="00C44A96" w:rsidP="002C397E">
      <w:pPr>
        <w:ind w:firstLine="720"/>
        <w:rPr>
          <w:rFonts w:ascii="Times Roman" w:hAnsi="Times Roman"/>
          <w:sz w:val="24"/>
          <w:szCs w:val="24"/>
        </w:rPr>
      </w:pPr>
      <w:r>
        <w:rPr>
          <w:rFonts w:ascii="Times Roman" w:hAnsi="Times Roman"/>
          <w:sz w:val="24"/>
          <w:szCs w:val="24"/>
        </w:rPr>
        <w:t>In terms of “value propositions”</w:t>
      </w:r>
      <w:r w:rsidR="0097203E">
        <w:rPr>
          <w:rFonts w:ascii="Times Roman" w:hAnsi="Times Roman"/>
          <w:sz w:val="24"/>
          <w:szCs w:val="24"/>
        </w:rPr>
        <w:t xml:space="preserve">, </w:t>
      </w:r>
      <w:r w:rsidR="00465E1B">
        <w:rPr>
          <w:rFonts w:ascii="Times Roman" w:hAnsi="Times Roman"/>
          <w:sz w:val="24"/>
          <w:szCs w:val="24"/>
        </w:rPr>
        <w:t>the Commission has appropriately recognized the capability of storage to act as both supply and transmission and distribution (“T&amp;D”).  A</w:t>
      </w:r>
      <w:r w:rsidR="0097203E">
        <w:rPr>
          <w:rFonts w:ascii="Times Roman" w:hAnsi="Times Roman"/>
          <w:sz w:val="24"/>
          <w:szCs w:val="24"/>
        </w:rPr>
        <w:t>s indicated by RNW,</w:t>
      </w:r>
      <w:r w:rsidR="00465E1B">
        <w:rPr>
          <w:rFonts w:ascii="Times Roman" w:hAnsi="Times Roman"/>
          <w:sz w:val="24"/>
          <w:szCs w:val="24"/>
        </w:rPr>
        <w:t xml:space="preserve"> though,</w:t>
      </w:r>
      <w:r w:rsidR="0097203E">
        <w:rPr>
          <w:rFonts w:ascii="Times Roman" w:hAnsi="Times Roman"/>
          <w:sz w:val="24"/>
          <w:szCs w:val="24"/>
        </w:rPr>
        <w:t xml:space="preserve"> there is </w:t>
      </w:r>
      <w:proofErr w:type="gramStart"/>
      <w:r w:rsidR="0097203E">
        <w:rPr>
          <w:rFonts w:ascii="Times Roman" w:hAnsi="Times Roman"/>
          <w:sz w:val="24"/>
          <w:szCs w:val="24"/>
        </w:rPr>
        <w:t>a</w:t>
      </w:r>
      <w:r w:rsidR="00FB4107">
        <w:rPr>
          <w:rFonts w:ascii="Times Roman" w:hAnsi="Times Roman"/>
          <w:sz w:val="24"/>
          <w:szCs w:val="24"/>
        </w:rPr>
        <w:t xml:space="preserve"> </w:t>
      </w:r>
      <w:r w:rsidR="0097203E">
        <w:rPr>
          <w:rFonts w:ascii="Times Roman" w:hAnsi="Times Roman"/>
          <w:sz w:val="24"/>
          <w:szCs w:val="24"/>
        </w:rPr>
        <w:t>disconnect</w:t>
      </w:r>
      <w:proofErr w:type="gramEnd"/>
      <w:r w:rsidR="0097203E">
        <w:rPr>
          <w:rFonts w:ascii="Times Roman" w:hAnsi="Times Roman"/>
          <w:sz w:val="24"/>
          <w:szCs w:val="24"/>
        </w:rPr>
        <w:t xml:space="preserve"> between utility Integrated Resource Planning and </w:t>
      </w:r>
      <w:r w:rsidR="00FB4107">
        <w:rPr>
          <w:rFonts w:ascii="Times Roman" w:hAnsi="Times Roman"/>
          <w:sz w:val="24"/>
          <w:szCs w:val="24"/>
        </w:rPr>
        <w:t xml:space="preserve">utility </w:t>
      </w:r>
      <w:r w:rsidR="0097203E">
        <w:rPr>
          <w:rFonts w:ascii="Times Roman" w:hAnsi="Times Roman"/>
          <w:sz w:val="24"/>
          <w:szCs w:val="24"/>
        </w:rPr>
        <w:t xml:space="preserve">planning for </w:t>
      </w:r>
      <w:r w:rsidR="00465E1B">
        <w:rPr>
          <w:rFonts w:ascii="Times Roman" w:hAnsi="Times Roman"/>
          <w:sz w:val="24"/>
          <w:szCs w:val="24"/>
        </w:rPr>
        <w:t>T&amp;D</w:t>
      </w:r>
      <w:r w:rsidR="0097203E">
        <w:rPr>
          <w:rFonts w:ascii="Times Roman" w:hAnsi="Times Roman"/>
          <w:sz w:val="24"/>
          <w:szCs w:val="24"/>
        </w:rPr>
        <w:t xml:space="preserve"> infrastructure </w:t>
      </w:r>
      <w:r w:rsidR="00BA07CD">
        <w:rPr>
          <w:rFonts w:ascii="Times Roman" w:hAnsi="Times Roman"/>
          <w:sz w:val="24"/>
          <w:szCs w:val="24"/>
        </w:rPr>
        <w:t xml:space="preserve">expansions and upgrades.  The unique ability of storage to provide both supply and T&amp;D services to </w:t>
      </w:r>
      <w:r w:rsidR="00FB4107">
        <w:rPr>
          <w:rFonts w:ascii="Times Roman" w:hAnsi="Times Roman"/>
          <w:sz w:val="24"/>
          <w:szCs w:val="24"/>
        </w:rPr>
        <w:t>utilities</w:t>
      </w:r>
      <w:r w:rsidR="00BA07CD">
        <w:rPr>
          <w:rFonts w:ascii="Times Roman" w:hAnsi="Times Roman"/>
          <w:sz w:val="24"/>
          <w:szCs w:val="24"/>
        </w:rPr>
        <w:t xml:space="preserve"> requires that a single storage plant be studied under all potential applications in order to fully optimize the facility and maximize the value.</w:t>
      </w:r>
      <w:r w:rsidR="00465E1B">
        <w:rPr>
          <w:rFonts w:ascii="Times Roman" w:hAnsi="Times Roman"/>
          <w:sz w:val="24"/>
          <w:szCs w:val="24"/>
        </w:rPr>
        <w:t xml:space="preserve">  Both the study and approval process</w:t>
      </w:r>
      <w:r w:rsidR="002C7DCC">
        <w:rPr>
          <w:rFonts w:ascii="Times Roman" w:hAnsi="Times Roman"/>
          <w:sz w:val="24"/>
          <w:szCs w:val="24"/>
        </w:rPr>
        <w:t>es</w:t>
      </w:r>
      <w:r w:rsidR="00465E1B">
        <w:rPr>
          <w:rFonts w:ascii="Times Roman" w:hAnsi="Times Roman"/>
          <w:sz w:val="24"/>
          <w:szCs w:val="24"/>
        </w:rPr>
        <w:t xml:space="preserve"> for multi-function storage plants will be complex.</w:t>
      </w:r>
    </w:p>
    <w:p w:rsidR="004A2D18" w:rsidRDefault="004A2D18" w:rsidP="002C397E">
      <w:pPr>
        <w:ind w:firstLine="720"/>
        <w:rPr>
          <w:rFonts w:ascii="Times Roman" w:hAnsi="Times Roman"/>
          <w:sz w:val="24"/>
          <w:szCs w:val="24"/>
        </w:rPr>
      </w:pPr>
    </w:p>
    <w:p w:rsidR="00FF0BF8" w:rsidRPr="00FF0BF8" w:rsidRDefault="004A2D18" w:rsidP="00FF0BF8">
      <w:pPr>
        <w:ind w:firstLine="720"/>
        <w:rPr>
          <w:rFonts w:ascii="Times Roman" w:hAnsi="Times Roman"/>
          <w:sz w:val="24"/>
          <w:szCs w:val="24"/>
        </w:rPr>
      </w:pPr>
      <w:r>
        <w:rPr>
          <w:rFonts w:ascii="Times Roman" w:hAnsi="Times Roman"/>
          <w:sz w:val="24"/>
          <w:szCs w:val="24"/>
        </w:rPr>
        <w:t>As a supply resource, u</w:t>
      </w:r>
      <w:r w:rsidRPr="004A2D18">
        <w:rPr>
          <w:rFonts w:ascii="Times Roman" w:hAnsi="Times Roman"/>
          <w:sz w:val="24"/>
          <w:szCs w:val="24"/>
        </w:rPr>
        <w:t xml:space="preserve">tilities </w:t>
      </w:r>
      <w:r>
        <w:rPr>
          <w:rFonts w:ascii="Times Roman" w:hAnsi="Times Roman"/>
          <w:sz w:val="24"/>
          <w:szCs w:val="24"/>
        </w:rPr>
        <w:t>could</w:t>
      </w:r>
      <w:r w:rsidRPr="004A2D18">
        <w:rPr>
          <w:rFonts w:ascii="Times Roman" w:hAnsi="Times Roman"/>
          <w:sz w:val="24"/>
          <w:szCs w:val="24"/>
        </w:rPr>
        <w:t xml:space="preserve"> establish a capacity</w:t>
      </w:r>
      <w:r>
        <w:rPr>
          <w:rFonts w:ascii="Times Roman" w:hAnsi="Times Roman"/>
          <w:sz w:val="24"/>
          <w:szCs w:val="24"/>
        </w:rPr>
        <w:t>-type</w:t>
      </w:r>
      <w:r w:rsidRPr="004A2D18">
        <w:rPr>
          <w:rFonts w:ascii="Times Roman" w:hAnsi="Times Roman"/>
          <w:sz w:val="24"/>
          <w:szCs w:val="24"/>
        </w:rPr>
        <w:t xml:space="preserve"> credit for storage based on the duration of the discharge capability</w:t>
      </w:r>
      <w:r>
        <w:rPr>
          <w:rFonts w:ascii="Times Roman" w:hAnsi="Times Roman"/>
          <w:sz w:val="24"/>
          <w:szCs w:val="24"/>
        </w:rPr>
        <w:t xml:space="preserve"> of the storage resource</w:t>
      </w:r>
      <w:r w:rsidR="00011F40">
        <w:rPr>
          <w:rFonts w:ascii="Times Roman" w:hAnsi="Times Roman"/>
          <w:sz w:val="24"/>
          <w:szCs w:val="24"/>
        </w:rPr>
        <w:t>.  The</w:t>
      </w:r>
      <w:r w:rsidRPr="004A2D18">
        <w:rPr>
          <w:rFonts w:ascii="Times Roman" w:hAnsi="Times Roman"/>
          <w:sz w:val="24"/>
          <w:szCs w:val="24"/>
        </w:rPr>
        <w:t xml:space="preserve"> storage resource could </w:t>
      </w:r>
      <w:r w:rsidR="00011F40">
        <w:rPr>
          <w:rFonts w:ascii="Times Roman" w:hAnsi="Times Roman"/>
          <w:sz w:val="24"/>
          <w:szCs w:val="24"/>
        </w:rPr>
        <w:t xml:space="preserve">then </w:t>
      </w:r>
      <w:r w:rsidRPr="004A2D18">
        <w:rPr>
          <w:rFonts w:ascii="Times Roman" w:hAnsi="Times Roman"/>
          <w:sz w:val="24"/>
          <w:szCs w:val="24"/>
        </w:rPr>
        <w:t>be modeled in the traditional portfolio optimizations.</w:t>
      </w:r>
      <w:r>
        <w:rPr>
          <w:rFonts w:ascii="Times Roman" w:hAnsi="Times Roman"/>
          <w:sz w:val="24"/>
          <w:szCs w:val="24"/>
        </w:rPr>
        <w:t xml:space="preserve">  Per the RNW comments, storage is proving economical as a peaking resource in other markets, and the flexibility </w:t>
      </w:r>
      <w:r w:rsidR="00011F40">
        <w:rPr>
          <w:rFonts w:ascii="Times Roman" w:hAnsi="Times Roman"/>
          <w:sz w:val="24"/>
          <w:szCs w:val="24"/>
        </w:rPr>
        <w:t>realized</w:t>
      </w:r>
      <w:r>
        <w:rPr>
          <w:rFonts w:ascii="Times Roman" w:hAnsi="Times Roman"/>
          <w:sz w:val="24"/>
          <w:szCs w:val="24"/>
        </w:rPr>
        <w:t xml:space="preserve"> by modular deployment and cross-functional services should be considered in this supply valuation.</w:t>
      </w:r>
      <w:r w:rsidR="00FF0BF8">
        <w:rPr>
          <w:rFonts w:ascii="Times Roman" w:hAnsi="Times Roman"/>
          <w:sz w:val="24"/>
          <w:szCs w:val="24"/>
        </w:rPr>
        <w:t xml:space="preserve">  RES looks forward </w:t>
      </w:r>
      <w:r w:rsidR="00FF0BF8" w:rsidRPr="00FF0BF8">
        <w:rPr>
          <w:rFonts w:ascii="Times Roman" w:hAnsi="Times Roman"/>
          <w:sz w:val="24"/>
          <w:szCs w:val="24"/>
        </w:rPr>
        <w:t xml:space="preserve">to responses from </w:t>
      </w:r>
      <w:r w:rsidR="005C2FB0">
        <w:rPr>
          <w:rFonts w:ascii="Times Roman" w:hAnsi="Times Roman"/>
          <w:sz w:val="24"/>
          <w:szCs w:val="24"/>
        </w:rPr>
        <w:t>Washington</w:t>
      </w:r>
      <w:r w:rsidR="00FF0BF8" w:rsidRPr="00FF0BF8">
        <w:rPr>
          <w:rFonts w:ascii="Times Roman" w:hAnsi="Times Roman"/>
          <w:sz w:val="24"/>
          <w:szCs w:val="24"/>
        </w:rPr>
        <w:t xml:space="preserve"> utilities </w:t>
      </w:r>
      <w:r w:rsidR="00B1146B">
        <w:rPr>
          <w:rFonts w:ascii="Times Roman" w:hAnsi="Times Roman"/>
          <w:sz w:val="24"/>
          <w:szCs w:val="24"/>
        </w:rPr>
        <w:t>to</w:t>
      </w:r>
      <w:r w:rsidR="00FF0BF8" w:rsidRPr="00FF0BF8">
        <w:rPr>
          <w:rFonts w:ascii="Times Roman" w:hAnsi="Times Roman"/>
          <w:sz w:val="24"/>
          <w:szCs w:val="24"/>
        </w:rPr>
        <w:t xml:space="preserve"> the </w:t>
      </w:r>
      <w:r w:rsidR="00B1146B">
        <w:rPr>
          <w:rFonts w:ascii="Times Roman" w:hAnsi="Times Roman"/>
          <w:sz w:val="24"/>
          <w:szCs w:val="24"/>
        </w:rPr>
        <w:t xml:space="preserve">question regarding the </w:t>
      </w:r>
      <w:r w:rsidR="00FF0BF8" w:rsidRPr="00FF0BF8">
        <w:rPr>
          <w:rFonts w:ascii="Times Roman" w:hAnsi="Times Roman"/>
          <w:sz w:val="24"/>
          <w:szCs w:val="24"/>
        </w:rPr>
        <w:t xml:space="preserve">opportunity cost </w:t>
      </w:r>
      <w:r w:rsidR="00B1146B">
        <w:rPr>
          <w:rFonts w:ascii="Times Roman" w:hAnsi="Times Roman"/>
          <w:sz w:val="24"/>
          <w:szCs w:val="24"/>
        </w:rPr>
        <w:t>of providing ancillary services</w:t>
      </w:r>
      <w:r w:rsidR="00FF0BF8" w:rsidRPr="00FF0BF8">
        <w:rPr>
          <w:rFonts w:ascii="Times Roman" w:hAnsi="Times Roman"/>
          <w:sz w:val="24"/>
          <w:szCs w:val="24"/>
        </w:rPr>
        <w:t xml:space="preserve">.  </w:t>
      </w:r>
      <w:r w:rsidR="00B1146B">
        <w:rPr>
          <w:rFonts w:ascii="Times Roman" w:hAnsi="Times Roman"/>
          <w:sz w:val="24"/>
          <w:szCs w:val="24"/>
        </w:rPr>
        <w:t>The Company</w:t>
      </w:r>
      <w:r w:rsidR="00FF0BF8" w:rsidRPr="00FF0BF8">
        <w:rPr>
          <w:rFonts w:ascii="Times Roman" w:hAnsi="Times Roman"/>
          <w:sz w:val="24"/>
          <w:szCs w:val="24"/>
        </w:rPr>
        <w:t xml:space="preserve"> believe</w:t>
      </w:r>
      <w:r w:rsidR="00B1146B">
        <w:rPr>
          <w:rFonts w:ascii="Times Roman" w:hAnsi="Times Roman"/>
          <w:sz w:val="24"/>
          <w:szCs w:val="24"/>
        </w:rPr>
        <w:t>s</w:t>
      </w:r>
      <w:r w:rsidR="00FF0BF8" w:rsidRPr="00FF0BF8">
        <w:rPr>
          <w:rFonts w:ascii="Times Roman" w:hAnsi="Times Roman"/>
          <w:sz w:val="24"/>
          <w:szCs w:val="24"/>
        </w:rPr>
        <w:t xml:space="preserve"> that using storage to provide ancillary services could </w:t>
      </w:r>
      <w:r w:rsidR="00011F40">
        <w:rPr>
          <w:rFonts w:ascii="Times Roman" w:hAnsi="Times Roman"/>
          <w:sz w:val="24"/>
          <w:szCs w:val="24"/>
        </w:rPr>
        <w:t>allow</w:t>
      </w:r>
      <w:r w:rsidR="00FF0BF8" w:rsidRPr="00FF0BF8">
        <w:rPr>
          <w:rFonts w:ascii="Times Roman" w:hAnsi="Times Roman"/>
          <w:sz w:val="24"/>
          <w:szCs w:val="24"/>
        </w:rPr>
        <w:t xml:space="preserve"> </w:t>
      </w:r>
      <w:r w:rsidR="00011F40">
        <w:rPr>
          <w:rFonts w:ascii="Times Roman" w:hAnsi="Times Roman"/>
          <w:sz w:val="24"/>
          <w:szCs w:val="24"/>
        </w:rPr>
        <w:t xml:space="preserve">traditional </w:t>
      </w:r>
      <w:r w:rsidR="00FF0BF8" w:rsidRPr="00FF0BF8">
        <w:rPr>
          <w:rFonts w:ascii="Times Roman" w:hAnsi="Times Roman"/>
          <w:sz w:val="24"/>
          <w:szCs w:val="24"/>
        </w:rPr>
        <w:t xml:space="preserve">generation resources to </w:t>
      </w:r>
      <w:r w:rsidR="004A7D25">
        <w:rPr>
          <w:rFonts w:ascii="Times Roman" w:hAnsi="Times Roman"/>
          <w:sz w:val="24"/>
          <w:szCs w:val="24"/>
        </w:rPr>
        <w:t xml:space="preserve">more efficiently </w:t>
      </w:r>
      <w:r w:rsidR="00FF0BF8" w:rsidRPr="00FF0BF8">
        <w:rPr>
          <w:rFonts w:ascii="Times Roman" w:hAnsi="Times Roman"/>
          <w:sz w:val="24"/>
          <w:szCs w:val="24"/>
        </w:rPr>
        <w:t>provide firm capacity and would</w:t>
      </w:r>
      <w:r w:rsidR="00011F40">
        <w:rPr>
          <w:rFonts w:ascii="Times Roman" w:hAnsi="Times Roman"/>
          <w:sz w:val="24"/>
          <w:szCs w:val="24"/>
        </w:rPr>
        <w:t xml:space="preserve"> therefore</w:t>
      </w:r>
      <w:r w:rsidR="00FF0BF8" w:rsidRPr="00FF0BF8">
        <w:rPr>
          <w:rFonts w:ascii="Times Roman" w:hAnsi="Times Roman"/>
          <w:sz w:val="24"/>
          <w:szCs w:val="24"/>
        </w:rPr>
        <w:t xml:space="preserve"> allow for the more economical dispatch of the generation fleet.</w:t>
      </w:r>
    </w:p>
    <w:p w:rsidR="0032346F" w:rsidRDefault="0032346F" w:rsidP="002C397E">
      <w:pPr>
        <w:ind w:firstLine="720"/>
        <w:rPr>
          <w:rFonts w:ascii="Times Roman" w:hAnsi="Times Roman"/>
          <w:sz w:val="24"/>
          <w:szCs w:val="24"/>
        </w:rPr>
      </w:pPr>
    </w:p>
    <w:p w:rsidR="0032346F" w:rsidRDefault="0032346F" w:rsidP="0032346F">
      <w:pPr>
        <w:ind w:firstLine="720"/>
        <w:rPr>
          <w:rFonts w:ascii="Times Roman" w:hAnsi="Times Roman"/>
          <w:sz w:val="24"/>
          <w:szCs w:val="24"/>
        </w:rPr>
      </w:pPr>
      <w:r w:rsidRPr="0032346F">
        <w:rPr>
          <w:rFonts w:ascii="Times Roman" w:hAnsi="Times Roman"/>
          <w:sz w:val="24"/>
          <w:szCs w:val="24"/>
        </w:rPr>
        <w:t xml:space="preserve">Transmission utilities are required to maintain proper voltage stability and thermal thresholds during peak loading and contingency conditions.  As system stability is a function the network’s ability to provide adequate real and reactive power, the study process will include the modelling of existing and future generating assets along with the existing transmission system.  Weak points on the system that violate voltage stability or thermal overload thresholds will require system upgrades.  Transmission planning studies are generally conducted using network modelling software such as GE PSLF or Siemens PTI PSS/E.  </w:t>
      </w:r>
    </w:p>
    <w:p w:rsidR="0007668D" w:rsidRDefault="0007668D" w:rsidP="0032346F">
      <w:pPr>
        <w:ind w:firstLine="720"/>
        <w:rPr>
          <w:rFonts w:ascii="Times Roman" w:hAnsi="Times Roman"/>
          <w:sz w:val="24"/>
          <w:szCs w:val="24"/>
        </w:rPr>
      </w:pPr>
    </w:p>
    <w:p w:rsidR="0007668D" w:rsidRDefault="0007668D" w:rsidP="0007668D">
      <w:pPr>
        <w:ind w:firstLine="720"/>
        <w:rPr>
          <w:rFonts w:ascii="Times Roman" w:hAnsi="Times Roman"/>
          <w:sz w:val="24"/>
          <w:szCs w:val="24"/>
        </w:rPr>
      </w:pPr>
      <w:r w:rsidRPr="0007668D">
        <w:rPr>
          <w:rFonts w:ascii="Times Roman" w:hAnsi="Times Roman"/>
          <w:sz w:val="24"/>
          <w:szCs w:val="24"/>
        </w:rPr>
        <w:t xml:space="preserve">Distribution planning will include, but </w:t>
      </w:r>
      <w:r>
        <w:rPr>
          <w:rFonts w:ascii="Times Roman" w:hAnsi="Times Roman"/>
          <w:sz w:val="24"/>
          <w:szCs w:val="24"/>
        </w:rPr>
        <w:t xml:space="preserve">is </w:t>
      </w:r>
      <w:r w:rsidRPr="0007668D">
        <w:rPr>
          <w:rFonts w:ascii="Times Roman" w:hAnsi="Times Roman"/>
          <w:sz w:val="24"/>
          <w:szCs w:val="24"/>
        </w:rPr>
        <w:t xml:space="preserve">not limited to, reliability (SAIDI, SAIFI, </w:t>
      </w:r>
      <w:proofErr w:type="spellStart"/>
      <w:r w:rsidRPr="0007668D">
        <w:rPr>
          <w:rFonts w:ascii="Times Roman" w:hAnsi="Times Roman"/>
          <w:sz w:val="24"/>
          <w:szCs w:val="24"/>
        </w:rPr>
        <w:t>etc</w:t>
      </w:r>
      <w:proofErr w:type="spellEnd"/>
      <w:r w:rsidRPr="0007668D">
        <w:rPr>
          <w:rFonts w:ascii="Times Roman" w:hAnsi="Times Roman"/>
          <w:sz w:val="24"/>
          <w:szCs w:val="24"/>
        </w:rPr>
        <w:t>), power quality (volt/</w:t>
      </w:r>
      <w:proofErr w:type="spellStart"/>
      <w:r w:rsidRPr="0007668D">
        <w:rPr>
          <w:rFonts w:ascii="Times Roman" w:hAnsi="Times Roman"/>
          <w:sz w:val="24"/>
          <w:szCs w:val="24"/>
        </w:rPr>
        <w:t>var</w:t>
      </w:r>
      <w:proofErr w:type="spellEnd"/>
      <w:r w:rsidRPr="0007668D">
        <w:rPr>
          <w:rFonts w:ascii="Times Roman" w:hAnsi="Times Roman"/>
          <w:sz w:val="24"/>
          <w:szCs w:val="24"/>
        </w:rPr>
        <w:t>, voltage flicker), protection, and automatio</w:t>
      </w:r>
      <w:r>
        <w:rPr>
          <w:rFonts w:ascii="Times Roman" w:hAnsi="Times Roman"/>
          <w:sz w:val="24"/>
          <w:szCs w:val="24"/>
        </w:rPr>
        <w:t>n.  There are multiple software packages</w:t>
      </w:r>
      <w:r w:rsidRPr="0007668D">
        <w:rPr>
          <w:rFonts w:ascii="Times Roman" w:hAnsi="Times Roman"/>
          <w:sz w:val="24"/>
          <w:szCs w:val="24"/>
        </w:rPr>
        <w:t xml:space="preserve"> presently being utilized by distribution utilities for modelling and system studies.</w:t>
      </w:r>
      <w:r>
        <w:rPr>
          <w:rFonts w:ascii="Times Roman" w:hAnsi="Times Roman"/>
          <w:sz w:val="24"/>
          <w:szCs w:val="24"/>
        </w:rPr>
        <w:t xml:space="preserve">  It is important to note that the utilities typically have sole access to the </w:t>
      </w:r>
      <w:r w:rsidR="00AD7007">
        <w:rPr>
          <w:rFonts w:ascii="Times Roman" w:hAnsi="Times Roman"/>
          <w:sz w:val="24"/>
          <w:szCs w:val="24"/>
        </w:rPr>
        <w:t xml:space="preserve">distribution </w:t>
      </w:r>
      <w:r>
        <w:rPr>
          <w:rFonts w:ascii="Times Roman" w:hAnsi="Times Roman"/>
          <w:sz w:val="24"/>
          <w:szCs w:val="24"/>
        </w:rPr>
        <w:t>system-level data required to execute these studies and value a potential deferral.</w:t>
      </w:r>
      <w:r w:rsidR="001B5A89">
        <w:rPr>
          <w:rFonts w:ascii="Times Roman" w:hAnsi="Times Roman"/>
          <w:sz w:val="24"/>
          <w:szCs w:val="24"/>
        </w:rPr>
        <w:t xml:space="preserve">  Without coordination from utilities, it can be difficult for commercial entities to fully participate in this specific storage market niche.</w:t>
      </w:r>
    </w:p>
    <w:p w:rsidR="00D72BCF" w:rsidRDefault="00D72BCF" w:rsidP="0007668D">
      <w:pPr>
        <w:ind w:firstLine="720"/>
        <w:rPr>
          <w:rFonts w:ascii="Times Roman" w:hAnsi="Times Roman"/>
          <w:sz w:val="24"/>
          <w:szCs w:val="24"/>
        </w:rPr>
      </w:pPr>
    </w:p>
    <w:p w:rsidR="00837073" w:rsidRDefault="00837073" w:rsidP="0007668D">
      <w:pPr>
        <w:ind w:firstLine="720"/>
        <w:rPr>
          <w:rFonts w:ascii="Times Roman" w:hAnsi="Times Roman"/>
          <w:sz w:val="24"/>
          <w:szCs w:val="24"/>
        </w:rPr>
      </w:pPr>
      <w:r>
        <w:rPr>
          <w:rFonts w:ascii="Times Roman" w:hAnsi="Times Roman"/>
          <w:sz w:val="24"/>
          <w:szCs w:val="24"/>
        </w:rPr>
        <w:t xml:space="preserve">For ancillary services, </w:t>
      </w:r>
      <w:r w:rsidR="00C44477">
        <w:rPr>
          <w:rFonts w:ascii="Times Roman" w:hAnsi="Times Roman"/>
          <w:sz w:val="24"/>
          <w:szCs w:val="24"/>
        </w:rPr>
        <w:t xml:space="preserve">it may not be effective to use historical pricing data from organized markets.  </w:t>
      </w:r>
      <w:r>
        <w:rPr>
          <w:rFonts w:ascii="Times Roman" w:hAnsi="Times Roman"/>
          <w:sz w:val="24"/>
          <w:szCs w:val="24"/>
        </w:rPr>
        <w:t xml:space="preserve">RES again supports the comments of RNW and would like to </w:t>
      </w:r>
      <w:r w:rsidR="00F83C25">
        <w:rPr>
          <w:rFonts w:ascii="Times Roman" w:hAnsi="Times Roman"/>
          <w:sz w:val="24"/>
          <w:szCs w:val="24"/>
        </w:rPr>
        <w:t>endorse</w:t>
      </w:r>
      <w:r>
        <w:rPr>
          <w:rFonts w:ascii="Times Roman" w:hAnsi="Times Roman"/>
          <w:sz w:val="24"/>
          <w:szCs w:val="24"/>
        </w:rPr>
        <w:t xml:space="preserve"> the </w:t>
      </w:r>
      <w:r>
        <w:rPr>
          <w:rFonts w:ascii="Times Roman" w:hAnsi="Times Roman"/>
          <w:sz w:val="24"/>
          <w:szCs w:val="24"/>
        </w:rPr>
        <w:lastRenderedPageBreak/>
        <w:t>concept of “Avoided Ancillary Service Costs”</w:t>
      </w:r>
      <w:r w:rsidR="00C44477">
        <w:rPr>
          <w:rFonts w:ascii="Times Roman" w:hAnsi="Times Roman"/>
          <w:sz w:val="24"/>
          <w:szCs w:val="24"/>
        </w:rPr>
        <w:t xml:space="preserve"> based on regional or utility-specific calculations</w:t>
      </w:r>
      <w:r>
        <w:rPr>
          <w:rFonts w:ascii="Times Roman" w:hAnsi="Times Roman"/>
          <w:sz w:val="24"/>
          <w:szCs w:val="24"/>
        </w:rPr>
        <w:t xml:space="preserve">.  Whether rates are specific to the utility or allocated from the Bonneville Power Administration, balancing services can represent a direct cost to both ratepayers and project developers.  </w:t>
      </w:r>
      <w:r w:rsidR="003036A5">
        <w:rPr>
          <w:rFonts w:ascii="Times Roman" w:hAnsi="Times Roman"/>
          <w:sz w:val="24"/>
          <w:szCs w:val="24"/>
        </w:rPr>
        <w:t xml:space="preserve">As referenced by Commission Staff, </w:t>
      </w:r>
      <w:r w:rsidR="009B59E2">
        <w:rPr>
          <w:rFonts w:ascii="Times Roman" w:hAnsi="Times Roman"/>
          <w:sz w:val="24"/>
          <w:szCs w:val="24"/>
        </w:rPr>
        <w:t>p</w:t>
      </w:r>
      <w:r>
        <w:rPr>
          <w:rFonts w:ascii="Times Roman" w:hAnsi="Times Roman"/>
          <w:sz w:val="24"/>
          <w:szCs w:val="24"/>
        </w:rPr>
        <w:t>er Federal Order</w:t>
      </w:r>
      <w:r w:rsidR="00AD7007">
        <w:rPr>
          <w:rStyle w:val="FootnoteReference"/>
          <w:rFonts w:ascii="Times Roman" w:hAnsi="Times Roman"/>
          <w:sz w:val="24"/>
          <w:szCs w:val="24"/>
        </w:rPr>
        <w:footnoteReference w:id="1"/>
      </w:r>
      <w:r w:rsidR="008C7BEC">
        <w:rPr>
          <w:rFonts w:ascii="Times Roman" w:hAnsi="Times Roman"/>
          <w:sz w:val="24"/>
          <w:szCs w:val="24"/>
        </w:rPr>
        <w:t>,</w:t>
      </w:r>
      <w:r>
        <w:rPr>
          <w:rFonts w:ascii="Times Roman" w:hAnsi="Times Roman"/>
          <w:sz w:val="24"/>
          <w:szCs w:val="24"/>
        </w:rPr>
        <w:t xml:space="preserve"> energy storage is already eligible to provide some of these services, and the technical capabilities of the platform may allow storage a much deeper reach into system balancing.  The Commission should ensure that storage is not precluded from providing such services, that the speed and accuracy of storage is considered for balancing and ancillary services, and that utilities are fully capable of deploying storage for these purposes should the economics prove favorable.</w:t>
      </w:r>
    </w:p>
    <w:p w:rsidR="00837073" w:rsidRDefault="00837073" w:rsidP="0007668D">
      <w:pPr>
        <w:ind w:firstLine="720"/>
        <w:rPr>
          <w:rFonts w:ascii="Times Roman" w:hAnsi="Times Roman"/>
          <w:sz w:val="24"/>
          <w:szCs w:val="24"/>
        </w:rPr>
      </w:pPr>
    </w:p>
    <w:p w:rsidR="00837073" w:rsidRDefault="00837073" w:rsidP="0007668D">
      <w:pPr>
        <w:ind w:firstLine="720"/>
        <w:rPr>
          <w:rFonts w:ascii="Times Roman" w:hAnsi="Times Roman"/>
          <w:sz w:val="24"/>
          <w:szCs w:val="24"/>
        </w:rPr>
      </w:pPr>
      <w:r>
        <w:rPr>
          <w:rFonts w:ascii="Times Roman" w:hAnsi="Times Roman"/>
          <w:sz w:val="24"/>
          <w:szCs w:val="24"/>
        </w:rPr>
        <w:t xml:space="preserve">RES does not look to burden utilities with the obligation to acquire new modeling packages or standardize all of these processes across utility peers in </w:t>
      </w:r>
      <w:r w:rsidR="00E35F84">
        <w:rPr>
          <w:rFonts w:ascii="Times Roman" w:hAnsi="Times Roman"/>
          <w:sz w:val="24"/>
          <w:szCs w:val="24"/>
        </w:rPr>
        <w:t>any geographic constraint</w:t>
      </w:r>
      <w:r>
        <w:rPr>
          <w:rFonts w:ascii="Times Roman" w:hAnsi="Times Roman"/>
          <w:sz w:val="24"/>
          <w:szCs w:val="24"/>
        </w:rPr>
        <w:t>.  However, some level of consistency and increased transparency</w:t>
      </w:r>
      <w:r w:rsidR="00085426">
        <w:rPr>
          <w:rFonts w:ascii="Times Roman" w:hAnsi="Times Roman"/>
          <w:sz w:val="24"/>
          <w:szCs w:val="24"/>
        </w:rPr>
        <w:t xml:space="preserve"> in all of the metrics and processes involved in the deployment of storage would result in a more informed market in general.  One potential resource to assist in this process would be the </w:t>
      </w:r>
      <w:r w:rsidR="00085426" w:rsidRPr="00D72BCF">
        <w:rPr>
          <w:rFonts w:ascii="Times Roman" w:hAnsi="Times Roman"/>
          <w:sz w:val="24"/>
          <w:szCs w:val="24"/>
        </w:rPr>
        <w:t>Interruption Cost Estimate</w:t>
      </w:r>
      <w:r w:rsidR="00085426">
        <w:rPr>
          <w:rFonts w:ascii="Times Roman" w:hAnsi="Times Roman"/>
          <w:sz w:val="24"/>
          <w:szCs w:val="24"/>
        </w:rPr>
        <w:t xml:space="preserve"> Calculator</w:t>
      </w:r>
      <w:r w:rsidR="00085426">
        <w:rPr>
          <w:rStyle w:val="FootnoteReference"/>
          <w:rFonts w:ascii="Times Roman" w:hAnsi="Times Roman"/>
          <w:sz w:val="24"/>
          <w:szCs w:val="24"/>
        </w:rPr>
        <w:footnoteReference w:id="2"/>
      </w:r>
      <w:r w:rsidR="00085426">
        <w:rPr>
          <w:rFonts w:ascii="Times Roman" w:hAnsi="Times Roman"/>
          <w:sz w:val="24"/>
          <w:szCs w:val="24"/>
        </w:rPr>
        <w:t xml:space="preserve"> by the US Department of Energy.  The Calculator is </w:t>
      </w:r>
      <w:r w:rsidR="00085426" w:rsidRPr="00D72BCF">
        <w:rPr>
          <w:rFonts w:ascii="Times Roman" w:hAnsi="Times Roman"/>
          <w:sz w:val="24"/>
          <w:szCs w:val="24"/>
        </w:rPr>
        <w:t xml:space="preserve">based on </w:t>
      </w:r>
      <w:r w:rsidR="00085426">
        <w:rPr>
          <w:rFonts w:ascii="Times Roman" w:hAnsi="Times Roman"/>
          <w:sz w:val="24"/>
          <w:szCs w:val="24"/>
        </w:rPr>
        <w:t>the</w:t>
      </w:r>
      <w:r w:rsidR="00085426" w:rsidRPr="00D72BCF">
        <w:rPr>
          <w:rFonts w:ascii="Times Roman" w:hAnsi="Times Roman"/>
          <w:sz w:val="24"/>
          <w:szCs w:val="24"/>
        </w:rPr>
        <w:t xml:space="preserve"> report</w:t>
      </w:r>
      <w:r w:rsidR="00085426">
        <w:rPr>
          <w:rFonts w:ascii="Times Roman" w:hAnsi="Times Roman"/>
          <w:sz w:val="24"/>
          <w:szCs w:val="24"/>
        </w:rPr>
        <w:t>,</w:t>
      </w:r>
      <w:r w:rsidR="00085426" w:rsidRPr="00D72BCF">
        <w:rPr>
          <w:rFonts w:ascii="Times Roman" w:hAnsi="Times Roman"/>
          <w:sz w:val="24"/>
          <w:szCs w:val="24"/>
        </w:rPr>
        <w:t xml:space="preserve"> </w:t>
      </w:r>
      <w:r w:rsidR="00085426" w:rsidRPr="00085426">
        <w:rPr>
          <w:rFonts w:ascii="Times Roman" w:hAnsi="Times Roman"/>
          <w:i/>
          <w:sz w:val="24"/>
          <w:szCs w:val="24"/>
        </w:rPr>
        <w:t>Updated Value of Service Reliability Estimates for Electric Utility Customers in the United States</w:t>
      </w:r>
      <w:r w:rsidR="00085426" w:rsidRPr="00D72BCF">
        <w:rPr>
          <w:rFonts w:ascii="Times Roman" w:hAnsi="Times Roman"/>
          <w:sz w:val="24"/>
          <w:szCs w:val="24"/>
        </w:rPr>
        <w:t xml:space="preserve"> by the Lawrence Berkeley National Laboratory.</w:t>
      </w:r>
      <w:r w:rsidR="00085426">
        <w:rPr>
          <w:rStyle w:val="FootnoteReference"/>
          <w:rFonts w:ascii="Times Roman" w:hAnsi="Times Roman"/>
          <w:sz w:val="24"/>
          <w:szCs w:val="24"/>
        </w:rPr>
        <w:footnoteReference w:id="3"/>
      </w:r>
    </w:p>
    <w:p w:rsidR="00837073" w:rsidRDefault="00837073" w:rsidP="0007668D">
      <w:pPr>
        <w:ind w:firstLine="720"/>
        <w:rPr>
          <w:rFonts w:ascii="Times Roman" w:hAnsi="Times Roman"/>
          <w:sz w:val="24"/>
          <w:szCs w:val="24"/>
        </w:rPr>
      </w:pPr>
    </w:p>
    <w:p w:rsidR="00A43D9E" w:rsidRDefault="00A43D9E" w:rsidP="00837073">
      <w:pPr>
        <w:rPr>
          <w:rFonts w:ascii="Times Roman" w:hAnsi="Times Roman"/>
          <w:sz w:val="24"/>
          <w:szCs w:val="24"/>
        </w:rPr>
      </w:pPr>
    </w:p>
    <w:p w:rsidR="00837073" w:rsidRPr="00837073" w:rsidRDefault="00837073" w:rsidP="00837073">
      <w:pPr>
        <w:rPr>
          <w:rFonts w:ascii="Times Roman" w:hAnsi="Times Roman"/>
          <w:b/>
          <w:sz w:val="24"/>
          <w:szCs w:val="24"/>
        </w:rPr>
      </w:pPr>
      <w:r w:rsidRPr="00837073">
        <w:rPr>
          <w:rFonts w:ascii="Times Roman" w:hAnsi="Times Roman"/>
          <w:b/>
          <w:sz w:val="24"/>
          <w:szCs w:val="24"/>
        </w:rPr>
        <w:t xml:space="preserve">Additional Issues </w:t>
      </w:r>
    </w:p>
    <w:p w:rsidR="00837073" w:rsidRDefault="00837073" w:rsidP="00837073">
      <w:pPr>
        <w:rPr>
          <w:rFonts w:ascii="Times Roman" w:hAnsi="Times Roman"/>
          <w:sz w:val="24"/>
          <w:szCs w:val="24"/>
        </w:rPr>
      </w:pPr>
    </w:p>
    <w:p w:rsidR="00A36079" w:rsidRDefault="00781D6E" w:rsidP="002C397E">
      <w:pPr>
        <w:ind w:firstLine="720"/>
        <w:rPr>
          <w:rFonts w:ascii="Times Roman" w:hAnsi="Times Roman"/>
          <w:sz w:val="24"/>
          <w:szCs w:val="24"/>
        </w:rPr>
      </w:pPr>
      <w:r>
        <w:rPr>
          <w:rFonts w:ascii="Times Roman" w:hAnsi="Times Roman"/>
          <w:sz w:val="24"/>
          <w:szCs w:val="24"/>
        </w:rPr>
        <w:t>RES would like to provide some thoughts on additional considerations that could be made by the Commission in this proceeding</w:t>
      </w:r>
      <w:r w:rsidR="00D1178A">
        <w:rPr>
          <w:rFonts w:ascii="Times Roman" w:hAnsi="Times Roman"/>
          <w:sz w:val="24"/>
          <w:szCs w:val="24"/>
        </w:rPr>
        <w:t>:</w:t>
      </w:r>
    </w:p>
    <w:p w:rsidR="00781D6E" w:rsidRDefault="00781D6E" w:rsidP="002C397E">
      <w:pPr>
        <w:ind w:firstLine="720"/>
        <w:rPr>
          <w:rFonts w:ascii="Times Roman" w:hAnsi="Times Roman"/>
          <w:sz w:val="24"/>
          <w:szCs w:val="24"/>
        </w:rPr>
      </w:pPr>
    </w:p>
    <w:p w:rsidR="00781D6E" w:rsidRDefault="00781D6E" w:rsidP="002C397E">
      <w:pPr>
        <w:ind w:firstLine="720"/>
        <w:rPr>
          <w:rFonts w:ascii="Times Roman" w:hAnsi="Times Roman"/>
          <w:sz w:val="24"/>
          <w:szCs w:val="24"/>
        </w:rPr>
      </w:pPr>
      <w:r>
        <w:rPr>
          <w:rFonts w:ascii="Times Roman" w:hAnsi="Times Roman"/>
          <w:sz w:val="24"/>
          <w:szCs w:val="24"/>
        </w:rPr>
        <w:t>There has been discussion in this proceeding regarding the potential “soft” benefits of energy storage: incremental and flexible deployment</w:t>
      </w:r>
      <w:r w:rsidR="00CE56CD">
        <w:rPr>
          <w:rFonts w:ascii="Times Roman" w:hAnsi="Times Roman"/>
          <w:sz w:val="24"/>
          <w:szCs w:val="24"/>
        </w:rPr>
        <w:t>,</w:t>
      </w:r>
      <w:r>
        <w:rPr>
          <w:rFonts w:ascii="Times Roman" w:hAnsi="Times Roman"/>
          <w:sz w:val="24"/>
          <w:szCs w:val="24"/>
        </w:rPr>
        <w:t xml:space="preserve"> non-incremental increase in water use and emissions</w:t>
      </w:r>
      <w:r w:rsidR="00CE56CD">
        <w:rPr>
          <w:rFonts w:ascii="Times Roman" w:hAnsi="Times Roman"/>
          <w:sz w:val="24"/>
          <w:szCs w:val="24"/>
        </w:rPr>
        <w:t>, or</w:t>
      </w:r>
      <w:r>
        <w:rPr>
          <w:rFonts w:ascii="Times Roman" w:hAnsi="Times Roman"/>
          <w:sz w:val="24"/>
          <w:szCs w:val="24"/>
        </w:rPr>
        <w:t xml:space="preserve"> further development</w:t>
      </w:r>
      <w:r w:rsidR="00CE56CD">
        <w:rPr>
          <w:rFonts w:ascii="Times Roman" w:hAnsi="Times Roman"/>
          <w:sz w:val="24"/>
          <w:szCs w:val="24"/>
        </w:rPr>
        <w:t xml:space="preserve"> or reduced curtailment</w:t>
      </w:r>
      <w:r>
        <w:rPr>
          <w:rFonts w:ascii="Times Roman" w:hAnsi="Times Roman"/>
          <w:sz w:val="24"/>
          <w:szCs w:val="24"/>
        </w:rPr>
        <w:t xml:space="preserve"> of renewable resources.  The Commission should give consideration to not only the quantification of these values but also how the quantified values are associat</w:t>
      </w:r>
      <w:r w:rsidR="00975312">
        <w:rPr>
          <w:rFonts w:ascii="Times Roman" w:hAnsi="Times Roman"/>
          <w:sz w:val="24"/>
          <w:szCs w:val="24"/>
        </w:rPr>
        <w:t>ed</w:t>
      </w:r>
      <w:r>
        <w:rPr>
          <w:rFonts w:ascii="Times Roman" w:hAnsi="Times Roman"/>
          <w:sz w:val="24"/>
          <w:szCs w:val="24"/>
        </w:rPr>
        <w:t xml:space="preserve"> to a specific storage plant </w:t>
      </w:r>
      <w:r w:rsidR="00975312">
        <w:rPr>
          <w:rFonts w:ascii="Times Roman" w:hAnsi="Times Roman"/>
          <w:sz w:val="24"/>
          <w:szCs w:val="24"/>
        </w:rPr>
        <w:t xml:space="preserve">and reflected in the rate-recovery of </w:t>
      </w:r>
      <w:r w:rsidR="007927E8">
        <w:rPr>
          <w:rFonts w:ascii="Times Roman" w:hAnsi="Times Roman"/>
          <w:sz w:val="24"/>
          <w:szCs w:val="24"/>
        </w:rPr>
        <w:t>storage</w:t>
      </w:r>
      <w:r w:rsidR="00975312">
        <w:rPr>
          <w:rFonts w:ascii="Times Roman" w:hAnsi="Times Roman"/>
          <w:sz w:val="24"/>
          <w:szCs w:val="24"/>
        </w:rPr>
        <w:t xml:space="preserve"> assets</w:t>
      </w:r>
      <w:r>
        <w:rPr>
          <w:rFonts w:ascii="Times Roman" w:hAnsi="Times Roman"/>
          <w:sz w:val="24"/>
          <w:szCs w:val="24"/>
        </w:rPr>
        <w:t>.</w:t>
      </w:r>
    </w:p>
    <w:p w:rsidR="00781D6E" w:rsidRDefault="00781D6E" w:rsidP="002C397E">
      <w:pPr>
        <w:ind w:firstLine="720"/>
        <w:rPr>
          <w:rFonts w:ascii="Times Roman" w:hAnsi="Times Roman"/>
          <w:sz w:val="24"/>
          <w:szCs w:val="24"/>
        </w:rPr>
      </w:pPr>
    </w:p>
    <w:p w:rsidR="00781D6E" w:rsidRDefault="00687D8F" w:rsidP="002C397E">
      <w:pPr>
        <w:ind w:firstLine="720"/>
        <w:rPr>
          <w:rFonts w:ascii="Times Roman" w:hAnsi="Times Roman"/>
          <w:sz w:val="24"/>
          <w:szCs w:val="24"/>
        </w:rPr>
      </w:pPr>
      <w:r>
        <w:rPr>
          <w:rFonts w:ascii="Times Roman" w:hAnsi="Times Roman"/>
          <w:sz w:val="24"/>
          <w:szCs w:val="24"/>
        </w:rPr>
        <w:t xml:space="preserve">Commercial developers have extensive experience in successfully deploying storage resources under various technical applications and market structures.  Third-parties have executed the modeling and valuation of storage while accepting </w:t>
      </w:r>
      <w:r w:rsidR="001079FD">
        <w:rPr>
          <w:rFonts w:ascii="Times Roman" w:hAnsi="Times Roman"/>
          <w:sz w:val="24"/>
          <w:szCs w:val="24"/>
        </w:rPr>
        <w:t>exposure to</w:t>
      </w:r>
      <w:r>
        <w:rPr>
          <w:rFonts w:ascii="Times Roman" w:hAnsi="Times Roman"/>
          <w:sz w:val="24"/>
          <w:szCs w:val="24"/>
        </w:rPr>
        <w:t xml:space="preserve"> commercial</w:t>
      </w:r>
      <w:r w:rsidR="005D1301">
        <w:rPr>
          <w:rFonts w:ascii="Times Roman" w:hAnsi="Times Roman"/>
          <w:sz w:val="24"/>
          <w:szCs w:val="24"/>
        </w:rPr>
        <w:t xml:space="preserve"> and operational</w:t>
      </w:r>
      <w:r>
        <w:rPr>
          <w:rFonts w:ascii="Times Roman" w:hAnsi="Times Roman"/>
          <w:sz w:val="24"/>
          <w:szCs w:val="24"/>
        </w:rPr>
        <w:t xml:space="preserve"> risk not necessarily realized by </w:t>
      </w:r>
      <w:r w:rsidR="005D1301">
        <w:rPr>
          <w:rFonts w:ascii="Times Roman" w:hAnsi="Times Roman"/>
          <w:sz w:val="24"/>
          <w:szCs w:val="24"/>
        </w:rPr>
        <w:t>regulated entities</w:t>
      </w:r>
      <w:r>
        <w:rPr>
          <w:rFonts w:ascii="Times Roman" w:hAnsi="Times Roman"/>
          <w:sz w:val="24"/>
          <w:szCs w:val="24"/>
        </w:rPr>
        <w:t>.</w:t>
      </w:r>
      <w:r w:rsidR="00F51F3E">
        <w:rPr>
          <w:rFonts w:ascii="Times Roman" w:hAnsi="Times Roman"/>
          <w:sz w:val="24"/>
          <w:szCs w:val="24"/>
        </w:rPr>
        <w:t xml:space="preserve">  Commercial market participants also have access to the most accurate and up-to-date pricing in the market.</w:t>
      </w:r>
      <w:r>
        <w:rPr>
          <w:rFonts w:ascii="Times Roman" w:hAnsi="Times Roman"/>
          <w:sz w:val="24"/>
          <w:szCs w:val="24"/>
        </w:rPr>
        <w:t xml:space="preserve">  </w:t>
      </w:r>
      <w:r w:rsidR="005D1301">
        <w:rPr>
          <w:rFonts w:ascii="Times Roman" w:hAnsi="Times Roman"/>
          <w:sz w:val="24"/>
          <w:szCs w:val="24"/>
        </w:rPr>
        <w:t>RES fully embraces the utilities’ central role in the evaluation and deployment of storage resources in Washington.  However, t</w:t>
      </w:r>
      <w:r>
        <w:rPr>
          <w:rFonts w:ascii="Times Roman" w:hAnsi="Times Roman"/>
          <w:sz w:val="24"/>
          <w:szCs w:val="24"/>
        </w:rPr>
        <w:t xml:space="preserve">he Commission should ensure that third-parties are active participants in this proceeding, working directly with utilities in modeling and project development.  </w:t>
      </w:r>
    </w:p>
    <w:p w:rsidR="00687D8F" w:rsidRDefault="00687D8F" w:rsidP="002C397E">
      <w:pPr>
        <w:ind w:firstLine="720"/>
        <w:rPr>
          <w:rFonts w:ascii="Times Roman" w:hAnsi="Times Roman"/>
          <w:sz w:val="24"/>
          <w:szCs w:val="24"/>
        </w:rPr>
      </w:pPr>
    </w:p>
    <w:p w:rsidR="00687D8F" w:rsidRDefault="00687D8F" w:rsidP="002C397E">
      <w:pPr>
        <w:ind w:firstLine="720"/>
        <w:rPr>
          <w:rFonts w:ascii="Times Roman" w:hAnsi="Times Roman"/>
          <w:sz w:val="24"/>
          <w:szCs w:val="24"/>
        </w:rPr>
      </w:pPr>
      <w:r>
        <w:rPr>
          <w:rFonts w:ascii="Times Roman" w:hAnsi="Times Roman"/>
          <w:sz w:val="24"/>
          <w:szCs w:val="24"/>
        </w:rPr>
        <w:lastRenderedPageBreak/>
        <w:t xml:space="preserve">Third-parties and voluntary market participants also have substantial investment </w:t>
      </w:r>
      <w:r w:rsidR="001079FD">
        <w:rPr>
          <w:rFonts w:ascii="Times Roman" w:hAnsi="Times Roman"/>
          <w:sz w:val="24"/>
          <w:szCs w:val="24"/>
        </w:rPr>
        <w:t xml:space="preserve">interests and </w:t>
      </w:r>
      <w:r>
        <w:rPr>
          <w:rFonts w:ascii="Times Roman" w:hAnsi="Times Roman"/>
          <w:sz w:val="24"/>
          <w:szCs w:val="24"/>
        </w:rPr>
        <w:t xml:space="preserve">dollars to bring to storage deployment in Washington.  The State should be open to various ownership, operational, and financing structures in order to maximize investment and </w:t>
      </w:r>
      <w:r w:rsidR="00F51F3E">
        <w:rPr>
          <w:rFonts w:ascii="Times Roman" w:hAnsi="Times Roman"/>
          <w:sz w:val="24"/>
          <w:szCs w:val="24"/>
        </w:rPr>
        <w:t>spread</w:t>
      </w:r>
      <w:r>
        <w:rPr>
          <w:rFonts w:ascii="Times Roman" w:hAnsi="Times Roman"/>
          <w:sz w:val="24"/>
          <w:szCs w:val="24"/>
        </w:rPr>
        <w:t xml:space="preserve"> risk across stakeholders.</w:t>
      </w:r>
      <w:r w:rsidR="002737EC">
        <w:rPr>
          <w:rFonts w:ascii="Times Roman" w:hAnsi="Times Roman"/>
          <w:sz w:val="24"/>
          <w:szCs w:val="24"/>
        </w:rPr>
        <w:t xml:space="preserve">  These relationships will not be separate from but inclusive of utilities, as well.</w:t>
      </w:r>
    </w:p>
    <w:p w:rsidR="00F51F3E" w:rsidRDefault="00F51F3E" w:rsidP="002C397E">
      <w:pPr>
        <w:ind w:firstLine="720"/>
        <w:rPr>
          <w:rFonts w:ascii="Times Roman" w:hAnsi="Times Roman"/>
          <w:sz w:val="24"/>
          <w:szCs w:val="24"/>
        </w:rPr>
      </w:pPr>
    </w:p>
    <w:p w:rsidR="00E9208B" w:rsidRDefault="00E9208B" w:rsidP="00E9208B">
      <w:pPr>
        <w:ind w:firstLine="720"/>
        <w:rPr>
          <w:rFonts w:ascii="Times Roman" w:hAnsi="Times Roman"/>
          <w:sz w:val="24"/>
          <w:szCs w:val="24"/>
        </w:rPr>
      </w:pPr>
    </w:p>
    <w:p w:rsidR="002C397E" w:rsidRPr="00E9208B" w:rsidRDefault="002C397E" w:rsidP="00E9208B">
      <w:pPr>
        <w:ind w:firstLine="720"/>
        <w:rPr>
          <w:rFonts w:ascii="Times Roman" w:hAnsi="Times Roman"/>
          <w:bCs/>
          <w:sz w:val="24"/>
          <w:szCs w:val="24"/>
        </w:rPr>
      </w:pPr>
      <w:r w:rsidRPr="00E9208B">
        <w:rPr>
          <w:rFonts w:ascii="Times Roman" w:hAnsi="Times Roman"/>
          <w:sz w:val="24"/>
          <w:szCs w:val="24"/>
        </w:rPr>
        <w:t xml:space="preserve">RES thanks the </w:t>
      </w:r>
      <w:r w:rsidR="00D032C8">
        <w:rPr>
          <w:rFonts w:ascii="Times Roman" w:hAnsi="Times Roman"/>
          <w:sz w:val="24"/>
          <w:szCs w:val="24"/>
        </w:rPr>
        <w:t>Washington</w:t>
      </w:r>
      <w:r w:rsidR="00404C6C">
        <w:rPr>
          <w:rFonts w:ascii="Times Roman" w:hAnsi="Times Roman"/>
          <w:sz w:val="24"/>
          <w:szCs w:val="24"/>
        </w:rPr>
        <w:t xml:space="preserve"> </w:t>
      </w:r>
      <w:r w:rsidRPr="00E9208B">
        <w:rPr>
          <w:rFonts w:ascii="Times Roman" w:hAnsi="Times Roman"/>
          <w:sz w:val="24"/>
          <w:szCs w:val="24"/>
        </w:rPr>
        <w:t>Commission for this opportunity to provide comments and loo</w:t>
      </w:r>
      <w:r w:rsidR="00C61A5D" w:rsidRPr="00E9208B">
        <w:rPr>
          <w:rFonts w:ascii="Times Roman" w:hAnsi="Times Roman"/>
          <w:sz w:val="24"/>
          <w:szCs w:val="24"/>
        </w:rPr>
        <w:t>ks forward to further participation in this proceeding</w:t>
      </w:r>
      <w:r w:rsidRPr="00E9208B">
        <w:rPr>
          <w:rFonts w:ascii="Times Roman" w:hAnsi="Times Roman"/>
          <w:sz w:val="24"/>
          <w:szCs w:val="24"/>
        </w:rPr>
        <w:t>.</w:t>
      </w:r>
    </w:p>
    <w:p w:rsidR="002C397E" w:rsidRPr="00A60E34" w:rsidRDefault="002C397E" w:rsidP="002C397E">
      <w:pPr>
        <w:rPr>
          <w:rFonts w:ascii="Times Roman" w:hAnsi="Times Roman"/>
          <w:sz w:val="24"/>
          <w:szCs w:val="24"/>
        </w:rPr>
      </w:pPr>
    </w:p>
    <w:p w:rsidR="00DD7A34" w:rsidRDefault="00DD7A34" w:rsidP="000E11EF">
      <w:pPr>
        <w:rPr>
          <w:rFonts w:ascii="Times Roman" w:hAnsi="Times Roman"/>
          <w:sz w:val="24"/>
          <w:szCs w:val="24"/>
        </w:rPr>
      </w:pPr>
      <w:proofErr w:type="gramStart"/>
      <w:r>
        <w:rPr>
          <w:rFonts w:ascii="Times Roman" w:hAnsi="Times Roman"/>
          <w:sz w:val="24"/>
          <w:szCs w:val="24"/>
        </w:rPr>
        <w:t xml:space="preserve">Dated this </w:t>
      </w:r>
      <w:r w:rsidR="00D032C8">
        <w:rPr>
          <w:rFonts w:ascii="Times Roman" w:hAnsi="Times Roman"/>
          <w:sz w:val="24"/>
          <w:szCs w:val="24"/>
        </w:rPr>
        <w:t>2</w:t>
      </w:r>
      <w:r w:rsidR="00400ED4">
        <w:rPr>
          <w:rFonts w:ascii="Times Roman" w:hAnsi="Times Roman"/>
          <w:sz w:val="24"/>
          <w:szCs w:val="24"/>
        </w:rPr>
        <w:t>5</w:t>
      </w:r>
      <w:r w:rsidR="00400ED4" w:rsidRPr="00615DF8">
        <w:rPr>
          <w:rFonts w:ascii="Times Roman" w:hAnsi="Times Roman"/>
          <w:sz w:val="24"/>
          <w:szCs w:val="24"/>
          <w:vertAlign w:val="superscript"/>
        </w:rPr>
        <w:t>th</w:t>
      </w:r>
      <w:r w:rsidR="00400ED4">
        <w:rPr>
          <w:rFonts w:ascii="Times Roman" w:hAnsi="Times Roman"/>
          <w:sz w:val="24"/>
          <w:szCs w:val="24"/>
        </w:rPr>
        <w:t xml:space="preserve"> day of September 2015</w:t>
      </w:r>
      <w:r>
        <w:rPr>
          <w:rFonts w:ascii="Times Roman" w:hAnsi="Times Roman"/>
          <w:sz w:val="24"/>
          <w:szCs w:val="24"/>
        </w:rPr>
        <w:t>.</w:t>
      </w:r>
      <w:proofErr w:type="gramEnd"/>
    </w:p>
    <w:p w:rsidR="001A69F1" w:rsidRDefault="001A69F1" w:rsidP="000E11EF">
      <w:pPr>
        <w:rPr>
          <w:rFonts w:ascii="Times Roman" w:hAnsi="Times Roman"/>
          <w:sz w:val="24"/>
          <w:szCs w:val="24"/>
        </w:rPr>
      </w:pPr>
    </w:p>
    <w:p w:rsidR="00DD7A34" w:rsidRDefault="00DD7A34" w:rsidP="00DD7A34">
      <w:pPr>
        <w:spacing w:line="480" w:lineRule="auto"/>
        <w:ind w:left="4320" w:firstLine="720"/>
        <w:rPr>
          <w:rFonts w:ascii="Times Roman" w:hAnsi="Times Roman"/>
          <w:sz w:val="24"/>
          <w:szCs w:val="24"/>
        </w:rPr>
      </w:pPr>
      <w:r>
        <w:rPr>
          <w:rFonts w:ascii="Times Roman" w:hAnsi="Times Roman"/>
          <w:sz w:val="24"/>
          <w:szCs w:val="24"/>
        </w:rPr>
        <w:t>Respectfully submitted,</w:t>
      </w:r>
    </w:p>
    <w:p w:rsidR="00DD7A34" w:rsidRPr="00682BB5" w:rsidRDefault="00DD7A34" w:rsidP="00DD7A34">
      <w:pPr>
        <w:spacing w:line="480" w:lineRule="auto"/>
        <w:rPr>
          <w:rFonts w:ascii="Times Roman" w:hAnsi="Times Roman"/>
          <w:i/>
          <w:sz w:val="24"/>
          <w:szCs w:val="24"/>
        </w:rPr>
      </w:pP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r>
      <w:r w:rsidR="00682BB5">
        <w:rPr>
          <w:rFonts w:ascii="Times Roman" w:hAnsi="Times Roman"/>
          <w:i/>
          <w:sz w:val="24"/>
          <w:szCs w:val="24"/>
        </w:rPr>
        <w:t>John Fernandes</w:t>
      </w:r>
    </w:p>
    <w:p w:rsidR="00DD7A34" w:rsidRDefault="002C397E" w:rsidP="00DD7A34">
      <w:pPr>
        <w:ind w:left="4320" w:firstLine="720"/>
        <w:rPr>
          <w:rFonts w:ascii="Times Roman" w:hAnsi="Times Roman"/>
          <w:sz w:val="24"/>
          <w:szCs w:val="24"/>
        </w:rPr>
      </w:pPr>
      <w:r>
        <w:rPr>
          <w:rFonts w:ascii="Times Roman" w:hAnsi="Times Roman"/>
          <w:sz w:val="24"/>
          <w:szCs w:val="24"/>
        </w:rPr>
        <w:t>John Fernandes</w:t>
      </w:r>
    </w:p>
    <w:p w:rsidR="002C397E" w:rsidRDefault="00F15166" w:rsidP="00DD7A34">
      <w:pPr>
        <w:ind w:left="4320" w:firstLine="720"/>
        <w:rPr>
          <w:rFonts w:ascii="Times Roman" w:hAnsi="Times Roman"/>
          <w:sz w:val="24"/>
          <w:szCs w:val="24"/>
        </w:rPr>
      </w:pPr>
      <w:r>
        <w:rPr>
          <w:rFonts w:ascii="Times Roman" w:hAnsi="Times Roman"/>
          <w:sz w:val="24"/>
          <w:szCs w:val="24"/>
        </w:rPr>
        <w:t>Director, Policy &amp; Market Development</w:t>
      </w:r>
    </w:p>
    <w:p w:rsidR="00DD7A34" w:rsidRDefault="00DD7A34" w:rsidP="00DD7A34">
      <w:pPr>
        <w:ind w:left="4320" w:firstLine="720"/>
        <w:rPr>
          <w:rFonts w:ascii="Times Roman" w:hAnsi="Times Roman"/>
          <w:sz w:val="24"/>
          <w:szCs w:val="24"/>
        </w:rPr>
      </w:pPr>
      <w:proofErr w:type="gramStart"/>
      <w:r>
        <w:rPr>
          <w:rFonts w:ascii="Times Roman" w:hAnsi="Times Roman"/>
          <w:sz w:val="24"/>
          <w:szCs w:val="24"/>
        </w:rPr>
        <w:t>Renewable Energy Systems Americas</w:t>
      </w:r>
      <w:r w:rsidR="00AC3702">
        <w:rPr>
          <w:rFonts w:ascii="Times Roman" w:hAnsi="Times Roman"/>
          <w:sz w:val="24"/>
          <w:szCs w:val="24"/>
        </w:rPr>
        <w:t xml:space="preserve"> Inc.</w:t>
      </w:r>
      <w:proofErr w:type="gramEnd"/>
    </w:p>
    <w:p w:rsidR="00DD7A34" w:rsidRDefault="00DD7A34" w:rsidP="00DD7A34">
      <w:pPr>
        <w:ind w:left="4320" w:firstLine="720"/>
        <w:rPr>
          <w:rFonts w:ascii="Times Roman" w:hAnsi="Times Roman"/>
          <w:sz w:val="24"/>
          <w:szCs w:val="24"/>
        </w:rPr>
      </w:pPr>
      <w:r>
        <w:rPr>
          <w:rFonts w:ascii="Times Roman" w:hAnsi="Times Roman"/>
          <w:sz w:val="24"/>
          <w:szCs w:val="24"/>
        </w:rPr>
        <w:t>11101 W. 120</w:t>
      </w:r>
      <w:r w:rsidRPr="00DD7A34">
        <w:rPr>
          <w:rFonts w:ascii="Times Roman" w:hAnsi="Times Roman"/>
          <w:sz w:val="24"/>
          <w:szCs w:val="24"/>
          <w:vertAlign w:val="superscript"/>
        </w:rPr>
        <w:t>th</w:t>
      </w:r>
      <w:r>
        <w:rPr>
          <w:rFonts w:ascii="Times Roman" w:hAnsi="Times Roman"/>
          <w:sz w:val="24"/>
          <w:szCs w:val="24"/>
        </w:rPr>
        <w:t xml:space="preserve"> Ave., Suite 400</w:t>
      </w:r>
    </w:p>
    <w:p w:rsidR="00DD7A34" w:rsidRDefault="00DD7A34" w:rsidP="00DD7A34">
      <w:pPr>
        <w:ind w:left="4320" w:firstLine="720"/>
        <w:rPr>
          <w:rFonts w:ascii="Times Roman" w:hAnsi="Times Roman"/>
          <w:sz w:val="24"/>
          <w:szCs w:val="24"/>
        </w:rPr>
      </w:pPr>
      <w:r>
        <w:rPr>
          <w:rFonts w:ascii="Times Roman" w:hAnsi="Times Roman"/>
          <w:sz w:val="24"/>
          <w:szCs w:val="24"/>
        </w:rPr>
        <w:t>Broomfield, CO 80021</w:t>
      </w:r>
    </w:p>
    <w:p w:rsidR="00DD7A34" w:rsidRDefault="00DD7A34" w:rsidP="00DD7A34">
      <w:pPr>
        <w:ind w:left="4320" w:firstLine="720"/>
        <w:rPr>
          <w:rFonts w:ascii="Times Roman" w:hAnsi="Times Roman"/>
          <w:sz w:val="24"/>
          <w:szCs w:val="24"/>
        </w:rPr>
      </w:pPr>
      <w:r>
        <w:rPr>
          <w:rFonts w:ascii="Times Roman" w:hAnsi="Times Roman"/>
          <w:sz w:val="24"/>
          <w:szCs w:val="24"/>
        </w:rPr>
        <w:t>(303) 439-4200</w:t>
      </w:r>
    </w:p>
    <w:p w:rsidR="00DD7A34" w:rsidRPr="000E11EF" w:rsidRDefault="00471960" w:rsidP="000E11EF">
      <w:pPr>
        <w:ind w:left="5040"/>
        <w:rPr>
          <w:rFonts w:ascii="Times Roman" w:hAnsi="Times Roman"/>
          <w:sz w:val="24"/>
          <w:szCs w:val="24"/>
        </w:rPr>
      </w:pPr>
      <w:hyperlink r:id="rId10" w:history="1">
        <w:r w:rsidR="002C397E" w:rsidRPr="00731B12">
          <w:rPr>
            <w:rStyle w:val="Hyperlink"/>
            <w:rFonts w:ascii="Times Roman" w:hAnsi="Times Roman"/>
            <w:sz w:val="24"/>
            <w:szCs w:val="24"/>
          </w:rPr>
          <w:t>john.fernandes@res-americas.com</w:t>
        </w:r>
      </w:hyperlink>
    </w:p>
    <w:sectPr w:rsidR="00DD7A34" w:rsidRPr="000E11EF" w:rsidSect="00800F01">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960" w:rsidRDefault="00471960" w:rsidP="002C397E">
      <w:r>
        <w:separator/>
      </w:r>
    </w:p>
  </w:endnote>
  <w:endnote w:type="continuationSeparator" w:id="0">
    <w:p w:rsidR="00471960" w:rsidRDefault="00471960" w:rsidP="002C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34596"/>
      <w:docPartObj>
        <w:docPartGallery w:val="Page Numbers (Bottom of Page)"/>
        <w:docPartUnique/>
      </w:docPartObj>
    </w:sdtPr>
    <w:sdtEndPr>
      <w:rPr>
        <w:noProof/>
      </w:rPr>
    </w:sdtEndPr>
    <w:sdtContent>
      <w:p w:rsidR="002C397E" w:rsidRDefault="002C397E">
        <w:pPr>
          <w:pStyle w:val="Footer"/>
          <w:jc w:val="center"/>
        </w:pPr>
        <w:r>
          <w:fldChar w:fldCharType="begin"/>
        </w:r>
        <w:r>
          <w:instrText xml:space="preserve"> PAGE   \* MERGEFORMAT </w:instrText>
        </w:r>
        <w:r>
          <w:fldChar w:fldCharType="separate"/>
        </w:r>
        <w:r w:rsidR="001A69F1">
          <w:rPr>
            <w:noProof/>
          </w:rPr>
          <w:t>1</w:t>
        </w:r>
        <w:r>
          <w:rPr>
            <w:noProof/>
          </w:rPr>
          <w:fldChar w:fldCharType="end"/>
        </w:r>
      </w:p>
    </w:sdtContent>
  </w:sdt>
  <w:p w:rsidR="002C397E" w:rsidRDefault="002C3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960" w:rsidRDefault="00471960" w:rsidP="002C397E">
      <w:r>
        <w:separator/>
      </w:r>
    </w:p>
  </w:footnote>
  <w:footnote w:type="continuationSeparator" w:id="0">
    <w:p w:rsidR="00471960" w:rsidRDefault="00471960" w:rsidP="002C397E">
      <w:r>
        <w:continuationSeparator/>
      </w:r>
    </w:p>
  </w:footnote>
  <w:footnote w:id="1">
    <w:p w:rsidR="00AD7007" w:rsidRDefault="00AD7007">
      <w:pPr>
        <w:pStyle w:val="FootnoteText"/>
      </w:pPr>
      <w:r>
        <w:rPr>
          <w:rStyle w:val="FootnoteReference"/>
        </w:rPr>
        <w:footnoteRef/>
      </w:r>
      <w:r>
        <w:t xml:space="preserve"> </w:t>
      </w:r>
      <w:proofErr w:type="gramStart"/>
      <w:r w:rsidRPr="00AD7007">
        <w:t>18 CFR Parts 35, 101 and 141</w:t>
      </w:r>
      <w:r>
        <w:t xml:space="preserve">, </w:t>
      </w:r>
      <w:r w:rsidRPr="00AD7007">
        <w:t>Docket Nos.</w:t>
      </w:r>
      <w:proofErr w:type="gramEnd"/>
      <w:r w:rsidRPr="00AD7007">
        <w:t xml:space="preserve"> RM11-24-000 and AD10-13-000; Order No. 784</w:t>
      </w:r>
      <w:r>
        <w:t xml:space="preserve">: </w:t>
      </w:r>
      <w:r w:rsidRPr="00AD7007">
        <w:rPr>
          <w:i/>
        </w:rPr>
        <w:t>Third-Party</w:t>
      </w:r>
      <w:r>
        <w:rPr>
          <w:i/>
        </w:rPr>
        <w:t xml:space="preserve"> Provision of Ancillary Services -</w:t>
      </w:r>
      <w:r w:rsidRPr="00AD7007">
        <w:rPr>
          <w:i/>
        </w:rPr>
        <w:t xml:space="preserve"> Accounting and Financial Reporting for New Electric Storage Technologies</w:t>
      </w:r>
      <w:r>
        <w:t>; Issued July 18, 2013</w:t>
      </w:r>
    </w:p>
  </w:footnote>
  <w:footnote w:id="2">
    <w:p w:rsidR="00085426" w:rsidRDefault="00085426">
      <w:pPr>
        <w:pStyle w:val="FootnoteText"/>
      </w:pPr>
      <w:r>
        <w:rPr>
          <w:rStyle w:val="FootnoteReference"/>
        </w:rPr>
        <w:footnoteRef/>
      </w:r>
      <w:r>
        <w:t xml:space="preserve"> </w:t>
      </w:r>
      <w:hyperlink r:id="rId1" w:history="1">
        <w:r w:rsidRPr="00D72BCF">
          <w:rPr>
            <w:rStyle w:val="Hyperlink"/>
            <w:rFonts w:ascii="Times Roman" w:hAnsi="Times Roman"/>
            <w:sz w:val="24"/>
            <w:szCs w:val="24"/>
          </w:rPr>
          <w:t>http://www.icecalculator.com/</w:t>
        </w:r>
      </w:hyperlink>
    </w:p>
  </w:footnote>
  <w:footnote w:id="3">
    <w:p w:rsidR="00085426" w:rsidRDefault="00085426">
      <w:pPr>
        <w:pStyle w:val="FootnoteText"/>
      </w:pPr>
      <w:r>
        <w:rPr>
          <w:rStyle w:val="FootnoteReference"/>
        </w:rPr>
        <w:footnoteRef/>
      </w:r>
      <w:r>
        <w:t xml:space="preserve"> </w:t>
      </w:r>
      <w:hyperlink r:id="rId2" w:history="1">
        <w:r w:rsidRPr="00B266F3">
          <w:rPr>
            <w:rStyle w:val="Hyperlink"/>
          </w:rPr>
          <w:t>https://emp.lbl.gov/sites/all/files/value-of-service-reliability-final.pdf.pdf</w:t>
        </w:r>
      </w:hyperlink>
      <w:r>
        <w:t xml:space="preserv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57BB2"/>
    <w:multiLevelType w:val="hybridMultilevel"/>
    <w:tmpl w:val="6C98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B15047"/>
    <w:multiLevelType w:val="hybridMultilevel"/>
    <w:tmpl w:val="EB3CF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8C854EF"/>
    <w:multiLevelType w:val="hybridMultilevel"/>
    <w:tmpl w:val="29A4E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C8415FE"/>
    <w:multiLevelType w:val="hybridMultilevel"/>
    <w:tmpl w:val="E2E02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78429A2"/>
    <w:multiLevelType w:val="hybridMultilevel"/>
    <w:tmpl w:val="EB34B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BCA48D7"/>
    <w:multiLevelType w:val="hybridMultilevel"/>
    <w:tmpl w:val="50ECC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D9"/>
    <w:rsid w:val="0000057B"/>
    <w:rsid w:val="00011F40"/>
    <w:rsid w:val="00012EB0"/>
    <w:rsid w:val="00053FB7"/>
    <w:rsid w:val="00072082"/>
    <w:rsid w:val="0007668D"/>
    <w:rsid w:val="00082D11"/>
    <w:rsid w:val="00085426"/>
    <w:rsid w:val="000904B3"/>
    <w:rsid w:val="0009095B"/>
    <w:rsid w:val="000A5D4F"/>
    <w:rsid w:val="000B7119"/>
    <w:rsid w:val="000D2FF3"/>
    <w:rsid w:val="000E11EF"/>
    <w:rsid w:val="000E1399"/>
    <w:rsid w:val="000E2C43"/>
    <w:rsid w:val="001079FD"/>
    <w:rsid w:val="00135892"/>
    <w:rsid w:val="00143AEF"/>
    <w:rsid w:val="00173F67"/>
    <w:rsid w:val="001A69F1"/>
    <w:rsid w:val="001B5A89"/>
    <w:rsid w:val="001E7E52"/>
    <w:rsid w:val="001F6D67"/>
    <w:rsid w:val="001F7EB3"/>
    <w:rsid w:val="00265DA5"/>
    <w:rsid w:val="002703ED"/>
    <w:rsid w:val="002737EC"/>
    <w:rsid w:val="002A59BF"/>
    <w:rsid w:val="002A7203"/>
    <w:rsid w:val="002B0A57"/>
    <w:rsid w:val="002C130D"/>
    <w:rsid w:val="002C397E"/>
    <w:rsid w:val="002C7DCC"/>
    <w:rsid w:val="002F62E6"/>
    <w:rsid w:val="003023B3"/>
    <w:rsid w:val="003036A5"/>
    <w:rsid w:val="003131B5"/>
    <w:rsid w:val="0031669A"/>
    <w:rsid w:val="00316D48"/>
    <w:rsid w:val="0032346F"/>
    <w:rsid w:val="00341152"/>
    <w:rsid w:val="0037173D"/>
    <w:rsid w:val="003758C2"/>
    <w:rsid w:val="00382870"/>
    <w:rsid w:val="003C5FE7"/>
    <w:rsid w:val="003D6686"/>
    <w:rsid w:val="00400ED4"/>
    <w:rsid w:val="00404C6C"/>
    <w:rsid w:val="00412B46"/>
    <w:rsid w:val="00427D06"/>
    <w:rsid w:val="00431C4A"/>
    <w:rsid w:val="00436F52"/>
    <w:rsid w:val="0045578F"/>
    <w:rsid w:val="00465E1B"/>
    <w:rsid w:val="00471960"/>
    <w:rsid w:val="0047416A"/>
    <w:rsid w:val="00482169"/>
    <w:rsid w:val="004835F0"/>
    <w:rsid w:val="00484970"/>
    <w:rsid w:val="004850D3"/>
    <w:rsid w:val="004973D2"/>
    <w:rsid w:val="004A0D33"/>
    <w:rsid w:val="004A2D18"/>
    <w:rsid w:val="004A7D25"/>
    <w:rsid w:val="004D11D0"/>
    <w:rsid w:val="004D3C5A"/>
    <w:rsid w:val="00502705"/>
    <w:rsid w:val="0054236E"/>
    <w:rsid w:val="005844E9"/>
    <w:rsid w:val="005918A2"/>
    <w:rsid w:val="005A62DB"/>
    <w:rsid w:val="005C2FB0"/>
    <w:rsid w:val="005D1301"/>
    <w:rsid w:val="005D7FB9"/>
    <w:rsid w:val="0060287F"/>
    <w:rsid w:val="00615DF8"/>
    <w:rsid w:val="00620387"/>
    <w:rsid w:val="006252FA"/>
    <w:rsid w:val="006455AB"/>
    <w:rsid w:val="00653D71"/>
    <w:rsid w:val="00655471"/>
    <w:rsid w:val="00655D03"/>
    <w:rsid w:val="00662508"/>
    <w:rsid w:val="00682BB5"/>
    <w:rsid w:val="00687D8F"/>
    <w:rsid w:val="00692288"/>
    <w:rsid w:val="006954CC"/>
    <w:rsid w:val="00696A39"/>
    <w:rsid w:val="006E0EA7"/>
    <w:rsid w:val="006F09C9"/>
    <w:rsid w:val="006F1652"/>
    <w:rsid w:val="007115FC"/>
    <w:rsid w:val="00715264"/>
    <w:rsid w:val="007513AE"/>
    <w:rsid w:val="00755E9D"/>
    <w:rsid w:val="007700B3"/>
    <w:rsid w:val="00781D6E"/>
    <w:rsid w:val="007927E8"/>
    <w:rsid w:val="0079781E"/>
    <w:rsid w:val="007A1BF1"/>
    <w:rsid w:val="007A74AD"/>
    <w:rsid w:val="007B7A00"/>
    <w:rsid w:val="007C0138"/>
    <w:rsid w:val="007D2F21"/>
    <w:rsid w:val="007E2C20"/>
    <w:rsid w:val="007F02CC"/>
    <w:rsid w:val="0080024E"/>
    <w:rsid w:val="00800F01"/>
    <w:rsid w:val="008041FC"/>
    <w:rsid w:val="0081753E"/>
    <w:rsid w:val="00826404"/>
    <w:rsid w:val="00837073"/>
    <w:rsid w:val="00851643"/>
    <w:rsid w:val="008851AF"/>
    <w:rsid w:val="00890BDF"/>
    <w:rsid w:val="008C38BE"/>
    <w:rsid w:val="008C72A3"/>
    <w:rsid w:val="008C7BEC"/>
    <w:rsid w:val="008F20DA"/>
    <w:rsid w:val="00923C74"/>
    <w:rsid w:val="00927136"/>
    <w:rsid w:val="00937C28"/>
    <w:rsid w:val="0097203E"/>
    <w:rsid w:val="00975312"/>
    <w:rsid w:val="0098187C"/>
    <w:rsid w:val="00983773"/>
    <w:rsid w:val="009946E4"/>
    <w:rsid w:val="0099635B"/>
    <w:rsid w:val="009A4637"/>
    <w:rsid w:val="009B59E2"/>
    <w:rsid w:val="009B5DDD"/>
    <w:rsid w:val="009C3B47"/>
    <w:rsid w:val="009E0788"/>
    <w:rsid w:val="00A14B2C"/>
    <w:rsid w:val="00A36079"/>
    <w:rsid w:val="00A40BF1"/>
    <w:rsid w:val="00A43D9E"/>
    <w:rsid w:val="00A57B21"/>
    <w:rsid w:val="00A76EB6"/>
    <w:rsid w:val="00A910BF"/>
    <w:rsid w:val="00AB0C85"/>
    <w:rsid w:val="00AB5644"/>
    <w:rsid w:val="00AC3702"/>
    <w:rsid w:val="00AD7007"/>
    <w:rsid w:val="00AF4C39"/>
    <w:rsid w:val="00AF4CBD"/>
    <w:rsid w:val="00B02B93"/>
    <w:rsid w:val="00B1146B"/>
    <w:rsid w:val="00B12694"/>
    <w:rsid w:val="00B370D9"/>
    <w:rsid w:val="00B61E60"/>
    <w:rsid w:val="00B6306C"/>
    <w:rsid w:val="00B63EF4"/>
    <w:rsid w:val="00B748C3"/>
    <w:rsid w:val="00B802DD"/>
    <w:rsid w:val="00BA07CD"/>
    <w:rsid w:val="00BA4D09"/>
    <w:rsid w:val="00BB4173"/>
    <w:rsid w:val="00BD3C7F"/>
    <w:rsid w:val="00BE2F32"/>
    <w:rsid w:val="00C1005C"/>
    <w:rsid w:val="00C20BD8"/>
    <w:rsid w:val="00C25FDB"/>
    <w:rsid w:val="00C349AC"/>
    <w:rsid w:val="00C44477"/>
    <w:rsid w:val="00C44A96"/>
    <w:rsid w:val="00C4597F"/>
    <w:rsid w:val="00C61A5D"/>
    <w:rsid w:val="00C96B31"/>
    <w:rsid w:val="00CA0B0B"/>
    <w:rsid w:val="00CE56CD"/>
    <w:rsid w:val="00CE6570"/>
    <w:rsid w:val="00CF4F2C"/>
    <w:rsid w:val="00D032C8"/>
    <w:rsid w:val="00D03D4D"/>
    <w:rsid w:val="00D1178A"/>
    <w:rsid w:val="00D231ED"/>
    <w:rsid w:val="00D4058D"/>
    <w:rsid w:val="00D52A77"/>
    <w:rsid w:val="00D72BCF"/>
    <w:rsid w:val="00DD2BD2"/>
    <w:rsid w:val="00DD7A34"/>
    <w:rsid w:val="00E35F84"/>
    <w:rsid w:val="00E43794"/>
    <w:rsid w:val="00E44B96"/>
    <w:rsid w:val="00E651B8"/>
    <w:rsid w:val="00E85AFF"/>
    <w:rsid w:val="00E9208B"/>
    <w:rsid w:val="00EA7D4E"/>
    <w:rsid w:val="00EC3C06"/>
    <w:rsid w:val="00F02CAF"/>
    <w:rsid w:val="00F15166"/>
    <w:rsid w:val="00F51F3E"/>
    <w:rsid w:val="00F66D3C"/>
    <w:rsid w:val="00F83C25"/>
    <w:rsid w:val="00F92585"/>
    <w:rsid w:val="00FB4107"/>
    <w:rsid w:val="00FD1077"/>
    <w:rsid w:val="00FE52E2"/>
    <w:rsid w:val="00FF0BF8"/>
    <w:rsid w:val="00FF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637"/>
    <w:rPr>
      <w:rFonts w:ascii="Tahoma" w:hAnsi="Tahoma" w:cs="Tahoma"/>
      <w:sz w:val="16"/>
      <w:szCs w:val="16"/>
    </w:rPr>
  </w:style>
  <w:style w:type="character" w:customStyle="1" w:styleId="BalloonTextChar">
    <w:name w:val="Balloon Text Char"/>
    <w:basedOn w:val="DefaultParagraphFont"/>
    <w:link w:val="BalloonText"/>
    <w:uiPriority w:val="99"/>
    <w:semiHidden/>
    <w:rsid w:val="009A4637"/>
    <w:rPr>
      <w:rFonts w:ascii="Tahoma" w:hAnsi="Tahoma" w:cs="Tahoma"/>
      <w:sz w:val="16"/>
      <w:szCs w:val="16"/>
    </w:rPr>
  </w:style>
  <w:style w:type="character" w:styleId="Hyperlink">
    <w:name w:val="Hyperlink"/>
    <w:basedOn w:val="DefaultParagraphFont"/>
    <w:uiPriority w:val="99"/>
    <w:unhideWhenUsed/>
    <w:rsid w:val="00DD7A34"/>
    <w:rPr>
      <w:color w:val="0000FF" w:themeColor="hyperlink"/>
      <w:u w:val="single"/>
    </w:rPr>
  </w:style>
  <w:style w:type="paragraph" w:styleId="ListParagraph">
    <w:name w:val="List Paragraph"/>
    <w:basedOn w:val="Normal"/>
    <w:uiPriority w:val="34"/>
    <w:qFormat/>
    <w:rsid w:val="002C397E"/>
    <w:pPr>
      <w:ind w:left="720"/>
      <w:contextualSpacing/>
    </w:pPr>
  </w:style>
  <w:style w:type="paragraph" w:styleId="FootnoteText">
    <w:name w:val="footnote text"/>
    <w:basedOn w:val="Normal"/>
    <w:link w:val="FootnoteTextChar"/>
    <w:uiPriority w:val="99"/>
    <w:semiHidden/>
    <w:unhideWhenUsed/>
    <w:rsid w:val="002C397E"/>
    <w:rPr>
      <w:sz w:val="20"/>
      <w:szCs w:val="20"/>
    </w:rPr>
  </w:style>
  <w:style w:type="character" w:customStyle="1" w:styleId="FootnoteTextChar">
    <w:name w:val="Footnote Text Char"/>
    <w:basedOn w:val="DefaultParagraphFont"/>
    <w:link w:val="FootnoteText"/>
    <w:uiPriority w:val="99"/>
    <w:semiHidden/>
    <w:rsid w:val="002C397E"/>
    <w:rPr>
      <w:sz w:val="20"/>
      <w:szCs w:val="20"/>
    </w:rPr>
  </w:style>
  <w:style w:type="character" w:styleId="FootnoteReference">
    <w:name w:val="footnote reference"/>
    <w:basedOn w:val="DefaultParagraphFont"/>
    <w:uiPriority w:val="99"/>
    <w:semiHidden/>
    <w:unhideWhenUsed/>
    <w:rsid w:val="002C397E"/>
    <w:rPr>
      <w:vertAlign w:val="superscript"/>
    </w:rPr>
  </w:style>
  <w:style w:type="paragraph" w:styleId="Header">
    <w:name w:val="header"/>
    <w:basedOn w:val="Normal"/>
    <w:link w:val="HeaderChar"/>
    <w:uiPriority w:val="99"/>
    <w:unhideWhenUsed/>
    <w:rsid w:val="002C397E"/>
    <w:pPr>
      <w:tabs>
        <w:tab w:val="center" w:pos="4680"/>
        <w:tab w:val="right" w:pos="9360"/>
      </w:tabs>
    </w:pPr>
  </w:style>
  <w:style w:type="character" w:customStyle="1" w:styleId="HeaderChar">
    <w:name w:val="Header Char"/>
    <w:basedOn w:val="DefaultParagraphFont"/>
    <w:link w:val="Header"/>
    <w:uiPriority w:val="99"/>
    <w:rsid w:val="002C397E"/>
  </w:style>
  <w:style w:type="paragraph" w:styleId="Footer">
    <w:name w:val="footer"/>
    <w:basedOn w:val="Normal"/>
    <w:link w:val="FooterChar"/>
    <w:uiPriority w:val="99"/>
    <w:unhideWhenUsed/>
    <w:rsid w:val="002C397E"/>
    <w:pPr>
      <w:tabs>
        <w:tab w:val="center" w:pos="4680"/>
        <w:tab w:val="right" w:pos="9360"/>
      </w:tabs>
    </w:pPr>
  </w:style>
  <w:style w:type="character" w:customStyle="1" w:styleId="FooterChar">
    <w:name w:val="Footer Char"/>
    <w:basedOn w:val="DefaultParagraphFont"/>
    <w:link w:val="Footer"/>
    <w:uiPriority w:val="99"/>
    <w:rsid w:val="002C3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637"/>
    <w:rPr>
      <w:rFonts w:ascii="Tahoma" w:hAnsi="Tahoma" w:cs="Tahoma"/>
      <w:sz w:val="16"/>
      <w:szCs w:val="16"/>
    </w:rPr>
  </w:style>
  <w:style w:type="character" w:customStyle="1" w:styleId="BalloonTextChar">
    <w:name w:val="Balloon Text Char"/>
    <w:basedOn w:val="DefaultParagraphFont"/>
    <w:link w:val="BalloonText"/>
    <w:uiPriority w:val="99"/>
    <w:semiHidden/>
    <w:rsid w:val="009A4637"/>
    <w:rPr>
      <w:rFonts w:ascii="Tahoma" w:hAnsi="Tahoma" w:cs="Tahoma"/>
      <w:sz w:val="16"/>
      <w:szCs w:val="16"/>
    </w:rPr>
  </w:style>
  <w:style w:type="character" w:styleId="Hyperlink">
    <w:name w:val="Hyperlink"/>
    <w:basedOn w:val="DefaultParagraphFont"/>
    <w:uiPriority w:val="99"/>
    <w:unhideWhenUsed/>
    <w:rsid w:val="00DD7A34"/>
    <w:rPr>
      <w:color w:val="0000FF" w:themeColor="hyperlink"/>
      <w:u w:val="single"/>
    </w:rPr>
  </w:style>
  <w:style w:type="paragraph" w:styleId="ListParagraph">
    <w:name w:val="List Paragraph"/>
    <w:basedOn w:val="Normal"/>
    <w:uiPriority w:val="34"/>
    <w:qFormat/>
    <w:rsid w:val="002C397E"/>
    <w:pPr>
      <w:ind w:left="720"/>
      <w:contextualSpacing/>
    </w:pPr>
  </w:style>
  <w:style w:type="paragraph" w:styleId="FootnoteText">
    <w:name w:val="footnote text"/>
    <w:basedOn w:val="Normal"/>
    <w:link w:val="FootnoteTextChar"/>
    <w:uiPriority w:val="99"/>
    <w:semiHidden/>
    <w:unhideWhenUsed/>
    <w:rsid w:val="002C397E"/>
    <w:rPr>
      <w:sz w:val="20"/>
      <w:szCs w:val="20"/>
    </w:rPr>
  </w:style>
  <w:style w:type="character" w:customStyle="1" w:styleId="FootnoteTextChar">
    <w:name w:val="Footnote Text Char"/>
    <w:basedOn w:val="DefaultParagraphFont"/>
    <w:link w:val="FootnoteText"/>
    <w:uiPriority w:val="99"/>
    <w:semiHidden/>
    <w:rsid w:val="002C397E"/>
    <w:rPr>
      <w:sz w:val="20"/>
      <w:szCs w:val="20"/>
    </w:rPr>
  </w:style>
  <w:style w:type="character" w:styleId="FootnoteReference">
    <w:name w:val="footnote reference"/>
    <w:basedOn w:val="DefaultParagraphFont"/>
    <w:uiPriority w:val="99"/>
    <w:semiHidden/>
    <w:unhideWhenUsed/>
    <w:rsid w:val="002C397E"/>
    <w:rPr>
      <w:vertAlign w:val="superscript"/>
    </w:rPr>
  </w:style>
  <w:style w:type="paragraph" w:styleId="Header">
    <w:name w:val="header"/>
    <w:basedOn w:val="Normal"/>
    <w:link w:val="HeaderChar"/>
    <w:uiPriority w:val="99"/>
    <w:unhideWhenUsed/>
    <w:rsid w:val="002C397E"/>
    <w:pPr>
      <w:tabs>
        <w:tab w:val="center" w:pos="4680"/>
        <w:tab w:val="right" w:pos="9360"/>
      </w:tabs>
    </w:pPr>
  </w:style>
  <w:style w:type="character" w:customStyle="1" w:styleId="HeaderChar">
    <w:name w:val="Header Char"/>
    <w:basedOn w:val="DefaultParagraphFont"/>
    <w:link w:val="Header"/>
    <w:uiPriority w:val="99"/>
    <w:rsid w:val="002C397E"/>
  </w:style>
  <w:style w:type="paragraph" w:styleId="Footer">
    <w:name w:val="footer"/>
    <w:basedOn w:val="Normal"/>
    <w:link w:val="FooterChar"/>
    <w:uiPriority w:val="99"/>
    <w:unhideWhenUsed/>
    <w:rsid w:val="002C397E"/>
    <w:pPr>
      <w:tabs>
        <w:tab w:val="center" w:pos="4680"/>
        <w:tab w:val="right" w:pos="9360"/>
      </w:tabs>
    </w:pPr>
  </w:style>
  <w:style w:type="character" w:customStyle="1" w:styleId="FooterChar">
    <w:name w:val="Footer Char"/>
    <w:basedOn w:val="DefaultParagraphFont"/>
    <w:link w:val="Footer"/>
    <w:uiPriority w:val="99"/>
    <w:rsid w:val="002C3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68559">
      <w:bodyDiv w:val="1"/>
      <w:marLeft w:val="0"/>
      <w:marRight w:val="0"/>
      <w:marTop w:val="0"/>
      <w:marBottom w:val="0"/>
      <w:divBdr>
        <w:top w:val="none" w:sz="0" w:space="0" w:color="auto"/>
        <w:left w:val="none" w:sz="0" w:space="0" w:color="auto"/>
        <w:bottom w:val="none" w:sz="0" w:space="0" w:color="auto"/>
        <w:right w:val="none" w:sz="0" w:space="0" w:color="auto"/>
      </w:divBdr>
    </w:div>
    <w:div w:id="19352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john.fernandes@res-americas.com" TargetMode="External"/><Relationship Id="rId4" Type="http://schemas.microsoft.com/office/2007/relationships/stylesWithEffects" Target="stylesWithEffects.xml"/><Relationship Id="rId9" Type="http://schemas.openxmlformats.org/officeDocument/2006/relationships/hyperlink" Target="mailto:john.fernandes@res-americas.com"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emp.lbl.gov/sites/all/files/value-of-service-reliability-final.pdf.pdf" TargetMode="External"/><Relationship Id="rId1" Type="http://schemas.openxmlformats.org/officeDocument/2006/relationships/hyperlink" Target="http://www.icecalcul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F265E5B3AF5A498F041FB34EEA8E7E" ma:contentTypeVersion="119" ma:contentTypeDescription="" ma:contentTypeScope="" ma:versionID="edca5ab1cda14bc272c7078bec0967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2015-05-18T07:00:00+00:00</OpenedDate>
    <Date1 xmlns="dc463f71-b30c-4ab2-9473-d307f9d35888">2015-09-25T07:00:00+00:00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151069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FD0BF7A-6F4F-49F4-BA65-956805EB9619}"/>
</file>

<file path=customXml/itemProps2.xml><?xml version="1.0" encoding="utf-8"?>
<ds:datastoreItem xmlns:ds="http://schemas.openxmlformats.org/officeDocument/2006/customXml" ds:itemID="{68577D8B-947F-4D38-987A-4BE9199F6286}"/>
</file>

<file path=customXml/itemProps3.xml><?xml version="1.0" encoding="utf-8"?>
<ds:datastoreItem xmlns:ds="http://schemas.openxmlformats.org/officeDocument/2006/customXml" ds:itemID="{47E764A9-9F84-4E51-B275-E8634433E6F6}"/>
</file>

<file path=customXml/itemProps4.xml><?xml version="1.0" encoding="utf-8"?>
<ds:datastoreItem xmlns:ds="http://schemas.openxmlformats.org/officeDocument/2006/customXml" ds:itemID="{A5723D5F-52EC-45FF-A123-FC9BF1977169}"/>
</file>

<file path=customXml/itemProps5.xml><?xml version="1.0" encoding="utf-8"?>
<ds:datastoreItem xmlns:ds="http://schemas.openxmlformats.org/officeDocument/2006/customXml" ds:itemID="{5DFC490F-1665-4AE1-BCC4-A650FC700145}"/>
</file>

<file path=docProps/app.xml><?xml version="1.0" encoding="utf-8"?>
<Properties xmlns="http://schemas.openxmlformats.org/officeDocument/2006/extended-properties" xmlns:vt="http://schemas.openxmlformats.org/officeDocument/2006/docPropsVTypes">
  <Template>Normal</Template>
  <TotalTime>233</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RES - Americas</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Kass</dc:creator>
  <cp:lastModifiedBy>John Fernandes</cp:lastModifiedBy>
  <cp:revision>49</cp:revision>
  <cp:lastPrinted>2015-08-31T19:02:00Z</cp:lastPrinted>
  <dcterms:created xsi:type="dcterms:W3CDTF">2015-09-25T01:42:00Z</dcterms:created>
  <dcterms:modified xsi:type="dcterms:W3CDTF">2015-09-25T22:05:00Z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0x0101006E56B4D1795A2E4DB2F0B01679ED314A0025F265E5B3AF5A498F041FB34EEA8E7E</vt:lpwstr>
  </property>
  <property fmtid="{D5CDD505-2E9C-101B-9397-08002B2CF9AE}" pid="3" name="_docset_NoMedatataSyncRequired">
    <vt:lpwstr>False</vt:lpwstr>
  </property>
</Properties>
</file>