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C2F4" w14:textId="77777777" w:rsidR="00952B77" w:rsidRDefault="00952B77" w:rsidP="00952B7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C64DC38" wp14:editId="24612F2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7F257" w14:textId="77777777" w:rsidR="00952B77" w:rsidRDefault="00952B77" w:rsidP="00952B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CC8DC6E" w14:textId="77777777" w:rsidR="00952B77" w:rsidRDefault="00952B77" w:rsidP="00952B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0BD4638" w14:textId="77777777" w:rsidR="00952B77" w:rsidRDefault="00952B77" w:rsidP="00952B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83BBFAA" w14:textId="77777777" w:rsidR="00952B77" w:rsidRDefault="00952B77" w:rsidP="00952B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734B733" w14:textId="77777777" w:rsidR="00952B77" w:rsidRDefault="00952B77" w:rsidP="00952B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BEF464A" w14:textId="4FC3E70C" w:rsidR="000F3D2E" w:rsidRPr="00DA4A8B" w:rsidRDefault="00820AD9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November 2</w:t>
      </w:r>
      <w:r w:rsidR="00AD2643" w:rsidRPr="00DA4A8B">
        <w:rPr>
          <w:rFonts w:ascii="Times New Roman" w:hAnsi="Times New Roman" w:cs="Times New Roman"/>
          <w:sz w:val="24"/>
          <w:szCs w:val="24"/>
        </w:rPr>
        <w:t>4</w:t>
      </w:r>
      <w:r w:rsidR="000F3D2E" w:rsidRPr="00DA4A8B">
        <w:rPr>
          <w:rFonts w:ascii="Times New Roman" w:hAnsi="Times New Roman" w:cs="Times New Roman"/>
          <w:sz w:val="24"/>
          <w:szCs w:val="24"/>
        </w:rPr>
        <w:t>, 201</w:t>
      </w:r>
      <w:r w:rsidR="00D150EA" w:rsidRPr="00DA4A8B">
        <w:rPr>
          <w:rFonts w:ascii="Times New Roman" w:hAnsi="Times New Roman" w:cs="Times New Roman"/>
          <w:sz w:val="24"/>
          <w:szCs w:val="24"/>
        </w:rPr>
        <w:t>5</w:t>
      </w:r>
    </w:p>
    <w:p w14:paraId="4A49D2F7" w14:textId="77777777" w:rsidR="00A755A7" w:rsidRPr="00DA4A8B" w:rsidRDefault="00A755A7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D2F2301" w14:textId="77777777" w:rsidR="00374896" w:rsidRPr="00DA4A8B" w:rsidRDefault="007A1362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A8B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F358C1" w:rsidRPr="00DA4A8B">
        <w:rPr>
          <w:rFonts w:ascii="Times New Roman" w:hAnsi="Times New Roman" w:cs="Times New Roman"/>
          <w:b/>
          <w:sz w:val="24"/>
          <w:szCs w:val="24"/>
        </w:rPr>
        <w:t>OPPORT</w:t>
      </w:r>
      <w:bookmarkStart w:id="0" w:name="_GoBack"/>
      <w:bookmarkEnd w:id="0"/>
      <w:r w:rsidR="00F358C1" w:rsidRPr="00DA4A8B">
        <w:rPr>
          <w:rFonts w:ascii="Times New Roman" w:hAnsi="Times New Roman" w:cs="Times New Roman"/>
          <w:b/>
          <w:sz w:val="24"/>
          <w:szCs w:val="24"/>
        </w:rPr>
        <w:t xml:space="preserve">UNITY TO </w:t>
      </w:r>
      <w:r w:rsidR="00C356C4" w:rsidRPr="00DA4A8B">
        <w:rPr>
          <w:rFonts w:ascii="Times New Roman" w:hAnsi="Times New Roman" w:cs="Times New Roman"/>
          <w:b/>
          <w:sz w:val="24"/>
          <w:szCs w:val="24"/>
        </w:rPr>
        <w:t xml:space="preserve">FILE </w:t>
      </w:r>
      <w:r w:rsidR="002A37A0" w:rsidRPr="00DA4A8B">
        <w:rPr>
          <w:rFonts w:ascii="Times New Roman" w:hAnsi="Times New Roman" w:cs="Times New Roman"/>
          <w:b/>
          <w:sz w:val="24"/>
          <w:szCs w:val="24"/>
        </w:rPr>
        <w:t>WRITTEN COMMENTS</w:t>
      </w:r>
    </w:p>
    <w:p w14:paraId="645E8599" w14:textId="0050827D" w:rsidR="00E06FD6" w:rsidRPr="00DA4A8B" w:rsidRDefault="00E06FD6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A8B">
        <w:rPr>
          <w:rFonts w:ascii="Times New Roman" w:hAnsi="Times New Roman" w:cs="Times New Roman"/>
          <w:b/>
          <w:sz w:val="24"/>
          <w:szCs w:val="24"/>
        </w:rPr>
        <w:t>(</w:t>
      </w:r>
      <w:r w:rsidR="00B60C65" w:rsidRPr="00DA4A8B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CC782A" w:rsidRPr="00DA4A8B">
        <w:rPr>
          <w:rFonts w:ascii="Times New Roman" w:hAnsi="Times New Roman" w:cs="Times New Roman"/>
          <w:b/>
          <w:sz w:val="24"/>
          <w:szCs w:val="24"/>
        </w:rPr>
        <w:t xml:space="preserve">5:00 p.m., </w:t>
      </w:r>
      <w:r w:rsidR="00AD2643" w:rsidRPr="00DA4A8B">
        <w:rPr>
          <w:rFonts w:ascii="Times New Roman" w:hAnsi="Times New Roman" w:cs="Times New Roman"/>
          <w:b/>
          <w:sz w:val="24"/>
          <w:szCs w:val="24"/>
        </w:rPr>
        <w:t>January 6, 2016</w:t>
      </w:r>
      <w:r w:rsidRPr="00DA4A8B">
        <w:rPr>
          <w:rFonts w:ascii="Times New Roman" w:hAnsi="Times New Roman" w:cs="Times New Roman"/>
          <w:b/>
          <w:sz w:val="24"/>
          <w:szCs w:val="24"/>
        </w:rPr>
        <w:t>)</w:t>
      </w:r>
    </w:p>
    <w:p w14:paraId="19382D2E" w14:textId="77777777" w:rsidR="00900E50" w:rsidRPr="00DA4A8B" w:rsidRDefault="00900E50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3EC6B1" w14:textId="77777777" w:rsidR="00AD2643" w:rsidRPr="00DA4A8B" w:rsidRDefault="007A1362" w:rsidP="00884093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RE:</w:t>
      </w:r>
      <w:r w:rsidRPr="00DA4A8B">
        <w:rPr>
          <w:rFonts w:ascii="Times New Roman" w:hAnsi="Times New Roman" w:cs="Times New Roman"/>
          <w:sz w:val="24"/>
          <w:szCs w:val="24"/>
        </w:rPr>
        <w:tab/>
      </w:r>
      <w:r w:rsidR="003912FC" w:rsidRPr="00DA4A8B">
        <w:rPr>
          <w:rFonts w:ascii="Times New Roman" w:hAnsi="Times New Roman" w:cs="Times New Roman"/>
          <w:sz w:val="24"/>
          <w:szCs w:val="24"/>
        </w:rPr>
        <w:t xml:space="preserve">Rulemaking to Consider </w:t>
      </w:r>
      <w:r w:rsidR="00F87E13" w:rsidRPr="00DA4A8B">
        <w:rPr>
          <w:rFonts w:ascii="Times New Roman" w:hAnsi="Times New Roman" w:cs="Times New Roman"/>
          <w:sz w:val="24"/>
          <w:szCs w:val="24"/>
        </w:rPr>
        <w:t>Proposed</w:t>
      </w:r>
      <w:r w:rsidR="00110226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6159BB" w:rsidRPr="00DA4A8B">
        <w:rPr>
          <w:rFonts w:ascii="Times New Roman" w:hAnsi="Times New Roman" w:cs="Times New Roman"/>
          <w:sz w:val="24"/>
          <w:szCs w:val="24"/>
        </w:rPr>
        <w:t>Pilot P</w:t>
      </w:r>
      <w:r w:rsidR="00110226" w:rsidRPr="00DA4A8B">
        <w:rPr>
          <w:rFonts w:ascii="Times New Roman" w:hAnsi="Times New Roman" w:cs="Times New Roman"/>
          <w:sz w:val="24"/>
          <w:szCs w:val="24"/>
        </w:rPr>
        <w:t xml:space="preserve">rogram </w:t>
      </w:r>
      <w:r w:rsidR="00F87E13" w:rsidRPr="00DA4A8B">
        <w:rPr>
          <w:rFonts w:ascii="Times New Roman" w:hAnsi="Times New Roman" w:cs="Times New Roman"/>
          <w:sz w:val="24"/>
          <w:szCs w:val="24"/>
        </w:rPr>
        <w:t>That Introduces</w:t>
      </w:r>
      <w:r w:rsidR="006159BB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3269F9" w:rsidRPr="00DA4A8B">
        <w:rPr>
          <w:rFonts w:ascii="Times New Roman" w:hAnsi="Times New Roman" w:cs="Times New Roman"/>
          <w:sz w:val="24"/>
          <w:szCs w:val="24"/>
        </w:rPr>
        <w:t>Three</w:t>
      </w:r>
      <w:r w:rsidR="00510D75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6159BB" w:rsidRPr="00DA4A8B">
        <w:rPr>
          <w:rFonts w:ascii="Times New Roman" w:hAnsi="Times New Roman" w:cs="Times New Roman"/>
          <w:sz w:val="24"/>
          <w:szCs w:val="24"/>
        </w:rPr>
        <w:t>Alternative Forms of Ratemaking</w:t>
      </w:r>
      <w:r w:rsidR="00F87E13" w:rsidRPr="00DA4A8B">
        <w:rPr>
          <w:rFonts w:ascii="Times New Roman" w:hAnsi="Times New Roman" w:cs="Times New Roman"/>
          <w:sz w:val="24"/>
          <w:szCs w:val="24"/>
        </w:rPr>
        <w:t xml:space="preserve"> for Regulated Water Companies</w:t>
      </w:r>
    </w:p>
    <w:p w14:paraId="1B29F516" w14:textId="665947FE" w:rsidR="0083408B" w:rsidRPr="00DA4A8B" w:rsidRDefault="003912FC" w:rsidP="00AD2643">
      <w:pPr>
        <w:pStyle w:val="NoSpacing"/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Docket UW-143295</w:t>
      </w:r>
    </w:p>
    <w:p w14:paraId="33AC0963" w14:textId="77777777" w:rsidR="0083408B" w:rsidRPr="00DA4A8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F0DDE0" w14:textId="77777777" w:rsidR="00D71BE8" w:rsidRPr="00DA4A8B" w:rsidRDefault="007A1362" w:rsidP="005F1566">
      <w:pPr>
        <w:pStyle w:val="NoSpacing"/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TO ALL INTERESTED PERSONS:</w:t>
      </w:r>
      <w:r w:rsidR="00DC0694" w:rsidRPr="00DA4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99208" w14:textId="41CBC2D0" w:rsidR="00171FA3" w:rsidRPr="00DA4A8B" w:rsidRDefault="00E70E2D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On</w:t>
      </w:r>
      <w:r w:rsidR="000E29FF" w:rsidRPr="00DA4A8B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DA4A8B">
        <w:rPr>
          <w:rFonts w:ascii="Times New Roman" w:hAnsi="Times New Roman" w:cs="Times New Roman"/>
          <w:sz w:val="24"/>
          <w:szCs w:val="24"/>
        </w:rPr>
        <w:t xml:space="preserve"> 17</w:t>
      </w:r>
      <w:r w:rsidR="000E29FF" w:rsidRPr="00DA4A8B">
        <w:rPr>
          <w:rFonts w:ascii="Times New Roman" w:hAnsi="Times New Roman" w:cs="Times New Roman"/>
          <w:sz w:val="24"/>
          <w:szCs w:val="24"/>
        </w:rPr>
        <w:t>, 2014</w:t>
      </w:r>
      <w:r w:rsidR="009A4228" w:rsidRPr="00DA4A8B">
        <w:rPr>
          <w:rFonts w:ascii="Times New Roman" w:hAnsi="Times New Roman" w:cs="Times New Roman"/>
          <w:sz w:val="24"/>
          <w:szCs w:val="24"/>
        </w:rPr>
        <w:t>,</w:t>
      </w:r>
      <w:r w:rsidR="000E29FF" w:rsidRPr="00DA4A8B">
        <w:rPr>
          <w:rFonts w:ascii="Times New Roman" w:hAnsi="Times New Roman" w:cs="Times New Roman"/>
          <w:sz w:val="24"/>
          <w:szCs w:val="24"/>
        </w:rPr>
        <w:t xml:space="preserve"> the </w:t>
      </w:r>
      <w:r w:rsidRPr="00DA4A8B">
        <w:rPr>
          <w:rFonts w:ascii="Times New Roman" w:hAnsi="Times New Roman" w:cs="Times New Roman"/>
          <w:sz w:val="24"/>
          <w:szCs w:val="24"/>
        </w:rPr>
        <w:t>Washington Utilities and Transportation Commission (</w:t>
      </w:r>
      <w:r w:rsidR="000E29FF" w:rsidRPr="00DA4A8B">
        <w:rPr>
          <w:rFonts w:ascii="Times New Roman" w:hAnsi="Times New Roman" w:cs="Times New Roman"/>
          <w:sz w:val="24"/>
          <w:szCs w:val="24"/>
        </w:rPr>
        <w:t>Commission</w:t>
      </w:r>
      <w:r w:rsidRPr="00DA4A8B">
        <w:rPr>
          <w:rFonts w:ascii="Times New Roman" w:hAnsi="Times New Roman" w:cs="Times New Roman"/>
          <w:sz w:val="24"/>
          <w:szCs w:val="24"/>
        </w:rPr>
        <w:t>)</w:t>
      </w:r>
      <w:r w:rsidR="000E29FF" w:rsidRPr="00DA4A8B">
        <w:rPr>
          <w:rFonts w:ascii="Times New Roman" w:hAnsi="Times New Roman" w:cs="Times New Roman"/>
          <w:sz w:val="24"/>
          <w:szCs w:val="24"/>
        </w:rPr>
        <w:t xml:space="preserve"> filed a Preproposal Statement of Inquiry (CR 101), to consider rules within WAC 480-110 to</w:t>
      </w:r>
      <w:r w:rsidR="00125655" w:rsidRPr="00DA4A8B">
        <w:rPr>
          <w:rFonts w:ascii="Times New Roman" w:hAnsi="Times New Roman" w:cs="Times New Roman"/>
          <w:sz w:val="24"/>
          <w:szCs w:val="24"/>
        </w:rPr>
        <w:t>,</w:t>
      </w:r>
      <w:r w:rsidR="000E29FF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125655" w:rsidRPr="00DA4A8B">
        <w:rPr>
          <w:rFonts w:ascii="Times New Roman" w:hAnsi="Times New Roman" w:cs="Times New Roman"/>
          <w:sz w:val="24"/>
          <w:szCs w:val="24"/>
        </w:rPr>
        <w:t xml:space="preserve">among other things, </w:t>
      </w:r>
      <w:r w:rsidR="000E29FF" w:rsidRPr="00DA4A8B">
        <w:rPr>
          <w:rFonts w:ascii="Times New Roman" w:hAnsi="Times New Roman" w:cs="Times New Roman"/>
          <w:sz w:val="24"/>
          <w:szCs w:val="24"/>
        </w:rPr>
        <w:t>improve the financial and managerial capacity of regulated water companies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 and</w:t>
      </w:r>
      <w:r w:rsidR="000E29FF" w:rsidRPr="00DA4A8B">
        <w:rPr>
          <w:rFonts w:ascii="Times New Roman" w:hAnsi="Times New Roman" w:cs="Times New Roman"/>
          <w:sz w:val="24"/>
          <w:szCs w:val="24"/>
        </w:rPr>
        <w:t xml:space="preserve"> provide incentives for companies to make appropriate investments. To</w:t>
      </w:r>
      <w:r w:rsidR="00C10E6B" w:rsidRPr="00DA4A8B">
        <w:rPr>
          <w:rFonts w:ascii="Times New Roman" w:hAnsi="Times New Roman" w:cs="Times New Roman"/>
          <w:sz w:val="24"/>
          <w:szCs w:val="24"/>
        </w:rPr>
        <w:t xml:space="preserve"> that end, t</w:t>
      </w:r>
      <w:r w:rsidR="00093D41" w:rsidRPr="00DA4A8B">
        <w:rPr>
          <w:rFonts w:ascii="Times New Roman" w:hAnsi="Times New Roman" w:cs="Times New Roman"/>
          <w:sz w:val="24"/>
          <w:szCs w:val="24"/>
        </w:rPr>
        <w:t xml:space="preserve">he Commission 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is </w:t>
      </w:r>
      <w:r w:rsidR="006769AD" w:rsidRPr="00DA4A8B">
        <w:rPr>
          <w:rFonts w:ascii="Times New Roman" w:hAnsi="Times New Roman" w:cs="Times New Roman"/>
          <w:sz w:val="24"/>
          <w:szCs w:val="24"/>
        </w:rPr>
        <w:t>assessing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 whether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 current</w:t>
      </w:r>
      <w:r w:rsidR="00093D41" w:rsidRPr="00DA4A8B">
        <w:rPr>
          <w:rFonts w:ascii="Times New Roman" w:hAnsi="Times New Roman" w:cs="Times New Roman"/>
          <w:sz w:val="24"/>
          <w:szCs w:val="24"/>
        </w:rPr>
        <w:t xml:space="preserve"> standard ratemaking method</w:t>
      </w:r>
      <w:r w:rsidR="00484911" w:rsidRPr="00DA4A8B">
        <w:rPr>
          <w:rFonts w:ascii="Times New Roman" w:hAnsi="Times New Roman" w:cs="Times New Roman"/>
          <w:sz w:val="24"/>
          <w:szCs w:val="24"/>
        </w:rPr>
        <w:t>s</w:t>
      </w:r>
      <w:r w:rsidR="00093D41" w:rsidRPr="00DA4A8B">
        <w:rPr>
          <w:rFonts w:ascii="Times New Roman" w:hAnsi="Times New Roman" w:cs="Times New Roman"/>
          <w:sz w:val="24"/>
          <w:szCs w:val="24"/>
        </w:rPr>
        <w:t xml:space="preserve"> for regulating </w:t>
      </w:r>
      <w:r w:rsidR="00171FA3" w:rsidRPr="00DA4A8B">
        <w:rPr>
          <w:rFonts w:ascii="Times New Roman" w:hAnsi="Times New Roman" w:cs="Times New Roman"/>
          <w:sz w:val="24"/>
          <w:szCs w:val="24"/>
        </w:rPr>
        <w:t xml:space="preserve">the </w:t>
      </w:r>
      <w:r w:rsidR="00093D41" w:rsidRPr="00DA4A8B">
        <w:rPr>
          <w:rFonts w:ascii="Times New Roman" w:hAnsi="Times New Roman" w:cs="Times New Roman"/>
          <w:sz w:val="24"/>
          <w:szCs w:val="24"/>
        </w:rPr>
        <w:t>rates of water companies</w:t>
      </w:r>
      <w:r w:rsidR="00484911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are producing results consistent with 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the </w:t>
      </w:r>
      <w:r w:rsidR="00B07714" w:rsidRPr="00DA4A8B">
        <w:rPr>
          <w:rFonts w:ascii="Times New Roman" w:hAnsi="Times New Roman" w:cs="Times New Roman"/>
          <w:sz w:val="24"/>
          <w:szCs w:val="24"/>
        </w:rPr>
        <w:t xml:space="preserve">focus of the 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rulemaking and the </w:t>
      </w:r>
      <w:r w:rsidRPr="00DA4A8B">
        <w:rPr>
          <w:rFonts w:ascii="Times New Roman" w:hAnsi="Times New Roman" w:cs="Times New Roman"/>
          <w:sz w:val="24"/>
          <w:szCs w:val="24"/>
        </w:rPr>
        <w:t>C</w:t>
      </w:r>
      <w:r w:rsidR="00934923" w:rsidRPr="00DA4A8B">
        <w:rPr>
          <w:rFonts w:ascii="Times New Roman" w:hAnsi="Times New Roman" w:cs="Times New Roman"/>
          <w:sz w:val="24"/>
          <w:szCs w:val="24"/>
        </w:rPr>
        <w:t>ommission’s mission to promote</w:t>
      </w:r>
      <w:r w:rsidR="00934923" w:rsidRPr="00DA4A8B" w:rsidDel="00934923">
        <w:rPr>
          <w:rFonts w:ascii="Times New Roman" w:hAnsi="Times New Roman" w:cs="Times New Roman"/>
          <w:sz w:val="24"/>
          <w:szCs w:val="24"/>
        </w:rPr>
        <w:t xml:space="preserve"> </w:t>
      </w:r>
      <w:r w:rsidR="00484911" w:rsidRPr="00DA4A8B">
        <w:rPr>
          <w:rFonts w:ascii="Times New Roman" w:hAnsi="Times New Roman" w:cs="Times New Roman"/>
          <w:sz w:val="24"/>
          <w:szCs w:val="24"/>
        </w:rPr>
        <w:t>financial</w:t>
      </w:r>
      <w:r w:rsidR="00AA688D" w:rsidRPr="00DA4A8B">
        <w:rPr>
          <w:rFonts w:ascii="Times New Roman" w:hAnsi="Times New Roman" w:cs="Times New Roman"/>
          <w:sz w:val="24"/>
          <w:szCs w:val="24"/>
        </w:rPr>
        <w:t>ly</w:t>
      </w:r>
      <w:r w:rsidR="00484911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AA688D" w:rsidRPr="00DA4A8B">
        <w:rPr>
          <w:rFonts w:ascii="Times New Roman" w:hAnsi="Times New Roman" w:cs="Times New Roman"/>
          <w:sz w:val="24"/>
          <w:szCs w:val="24"/>
        </w:rPr>
        <w:t xml:space="preserve">viable </w:t>
      </w:r>
      <w:r w:rsidR="00484911" w:rsidRPr="00DA4A8B">
        <w:rPr>
          <w:rFonts w:ascii="Times New Roman" w:hAnsi="Times New Roman" w:cs="Times New Roman"/>
          <w:sz w:val="24"/>
          <w:szCs w:val="24"/>
        </w:rPr>
        <w:t>companies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B07714" w:rsidRPr="00DA4A8B">
        <w:rPr>
          <w:rFonts w:ascii="Times New Roman" w:hAnsi="Times New Roman" w:cs="Times New Roman"/>
          <w:sz w:val="24"/>
          <w:szCs w:val="24"/>
        </w:rPr>
        <w:t>that are able to</w:t>
      </w:r>
      <w:r w:rsidR="00DA3B69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support </w:t>
      </w:r>
      <w:r w:rsidR="00B07714" w:rsidRPr="00DA4A8B">
        <w:rPr>
          <w:rFonts w:ascii="Times New Roman" w:hAnsi="Times New Roman" w:cs="Times New Roman"/>
          <w:sz w:val="24"/>
          <w:szCs w:val="24"/>
        </w:rPr>
        <w:t xml:space="preserve">the </w:t>
      </w:r>
      <w:r w:rsidR="00934923" w:rsidRPr="00DA4A8B">
        <w:rPr>
          <w:rFonts w:ascii="Times New Roman" w:hAnsi="Times New Roman" w:cs="Times New Roman"/>
          <w:sz w:val="24"/>
          <w:szCs w:val="24"/>
        </w:rPr>
        <w:t>growth of the</w:t>
      </w:r>
      <w:r w:rsidR="00DA3B69" w:rsidRPr="00DA4A8B">
        <w:rPr>
          <w:rFonts w:ascii="Times New Roman" w:hAnsi="Times New Roman" w:cs="Times New Roman"/>
          <w:sz w:val="24"/>
          <w:szCs w:val="24"/>
        </w:rPr>
        <w:t>ir</w:t>
      </w:r>
      <w:r w:rsidR="00934923" w:rsidRPr="00DA4A8B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C21A04" w:rsidRPr="00DA4A8B">
        <w:rPr>
          <w:rFonts w:ascii="Times New Roman" w:hAnsi="Times New Roman" w:cs="Times New Roman"/>
          <w:sz w:val="24"/>
          <w:szCs w:val="24"/>
        </w:rPr>
        <w:t xml:space="preserve"> and provide safe and reliable service</w:t>
      </w:r>
      <w:r w:rsidRPr="00DA4A8B">
        <w:rPr>
          <w:rFonts w:ascii="Times New Roman" w:hAnsi="Times New Roman" w:cs="Times New Roman"/>
          <w:sz w:val="24"/>
          <w:szCs w:val="24"/>
        </w:rPr>
        <w:t>.</w:t>
      </w:r>
      <w:r w:rsidR="00C21A04" w:rsidRPr="00DA4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C72AD" w14:textId="77777777" w:rsidR="003912FC" w:rsidRPr="00DA4A8B" w:rsidRDefault="003912FC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464992B" w14:textId="72D8AABB" w:rsidR="001B362A" w:rsidRPr="00DA4A8B" w:rsidRDefault="00AA688D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823BC9" w:rsidRPr="00DA4A8B">
        <w:rPr>
          <w:rFonts w:ascii="Times New Roman" w:hAnsi="Times New Roman" w:cs="Times New Roman"/>
          <w:sz w:val="24"/>
          <w:szCs w:val="24"/>
        </w:rPr>
        <w:t>is considering</w:t>
      </w:r>
      <w:r w:rsidR="00125655" w:rsidRPr="00DA4A8B">
        <w:rPr>
          <w:rFonts w:ascii="Times New Roman" w:hAnsi="Times New Roman" w:cs="Times New Roman"/>
          <w:sz w:val="24"/>
          <w:szCs w:val="24"/>
        </w:rPr>
        <w:t>: (1)</w:t>
      </w:r>
      <w:r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125655" w:rsidRPr="00DA4A8B">
        <w:rPr>
          <w:rFonts w:ascii="Times New Roman" w:hAnsi="Times New Roman" w:cs="Times New Roman"/>
          <w:sz w:val="24"/>
          <w:szCs w:val="24"/>
        </w:rPr>
        <w:t>A</w:t>
      </w:r>
      <w:r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884093" w:rsidRPr="00DA4A8B">
        <w:rPr>
          <w:rFonts w:ascii="Times New Roman" w:hAnsi="Times New Roman" w:cs="Times New Roman"/>
          <w:sz w:val="24"/>
          <w:szCs w:val="24"/>
        </w:rPr>
        <w:t>two-</w:t>
      </w:r>
      <w:r w:rsidR="00050B6C" w:rsidRPr="00DA4A8B">
        <w:rPr>
          <w:rFonts w:ascii="Times New Roman" w:hAnsi="Times New Roman" w:cs="Times New Roman"/>
          <w:sz w:val="24"/>
          <w:szCs w:val="24"/>
        </w:rPr>
        <w:t xml:space="preserve">year </w:t>
      </w:r>
      <w:r w:rsidRPr="00DA4A8B">
        <w:rPr>
          <w:rFonts w:ascii="Times New Roman" w:hAnsi="Times New Roman" w:cs="Times New Roman"/>
          <w:sz w:val="24"/>
          <w:szCs w:val="24"/>
        </w:rPr>
        <w:t>pilot program that would</w:t>
      </w:r>
      <w:r w:rsidR="00823BC9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allow the </w:t>
      </w:r>
      <w:r w:rsidR="00823BC9" w:rsidRPr="00DA4A8B">
        <w:rPr>
          <w:rFonts w:ascii="Times New Roman" w:hAnsi="Times New Roman" w:cs="Times New Roman"/>
          <w:sz w:val="24"/>
          <w:szCs w:val="24"/>
        </w:rPr>
        <w:t xml:space="preserve">use 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of </w:t>
      </w:r>
      <w:r w:rsidRPr="00DA4A8B">
        <w:rPr>
          <w:rFonts w:ascii="Times New Roman" w:hAnsi="Times New Roman" w:cs="Times New Roman"/>
          <w:sz w:val="24"/>
          <w:szCs w:val="24"/>
        </w:rPr>
        <w:t>a</w:t>
      </w:r>
      <w:r w:rsidR="00A87E6C" w:rsidRPr="00DA4A8B">
        <w:rPr>
          <w:rFonts w:ascii="Times New Roman" w:hAnsi="Times New Roman" w:cs="Times New Roman"/>
          <w:sz w:val="24"/>
          <w:szCs w:val="24"/>
        </w:rPr>
        <w:t xml:space="preserve">lternative methods </w:t>
      </w:r>
      <w:r w:rsidR="009A4228" w:rsidRPr="00DA4A8B">
        <w:rPr>
          <w:rFonts w:ascii="Times New Roman" w:hAnsi="Times New Roman" w:cs="Times New Roman"/>
          <w:sz w:val="24"/>
          <w:szCs w:val="24"/>
        </w:rPr>
        <w:t>for</w:t>
      </w:r>
      <w:r w:rsidRPr="00DA4A8B">
        <w:rPr>
          <w:rFonts w:ascii="Times New Roman" w:hAnsi="Times New Roman" w:cs="Times New Roman"/>
          <w:sz w:val="24"/>
          <w:szCs w:val="24"/>
        </w:rPr>
        <w:t xml:space="preserve"> establish</w:t>
      </w:r>
      <w:r w:rsidR="00A87E6C" w:rsidRPr="00DA4A8B">
        <w:rPr>
          <w:rFonts w:ascii="Times New Roman" w:hAnsi="Times New Roman" w:cs="Times New Roman"/>
          <w:sz w:val="24"/>
          <w:szCs w:val="24"/>
        </w:rPr>
        <w:t>ing</w:t>
      </w:r>
      <w:r w:rsidRPr="00DA4A8B">
        <w:rPr>
          <w:rFonts w:ascii="Times New Roman" w:hAnsi="Times New Roman" w:cs="Times New Roman"/>
          <w:sz w:val="24"/>
          <w:szCs w:val="24"/>
        </w:rPr>
        <w:t xml:space="preserve"> rates</w:t>
      </w:r>
      <w:r w:rsidR="00125655" w:rsidRPr="00DA4A8B">
        <w:rPr>
          <w:rFonts w:ascii="Times New Roman" w:hAnsi="Times New Roman" w:cs="Times New Roman"/>
          <w:sz w:val="24"/>
          <w:szCs w:val="24"/>
        </w:rPr>
        <w:t>; (2)</w:t>
      </w:r>
      <w:r w:rsidR="009A4228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125655" w:rsidRPr="00DA4A8B">
        <w:rPr>
          <w:rFonts w:ascii="Times New Roman" w:hAnsi="Times New Roman" w:cs="Times New Roman"/>
          <w:sz w:val="24"/>
          <w:szCs w:val="24"/>
        </w:rPr>
        <w:t>A</w:t>
      </w:r>
      <w:r w:rsidRPr="00DA4A8B">
        <w:rPr>
          <w:rFonts w:ascii="Times New Roman" w:hAnsi="Times New Roman" w:cs="Times New Roman"/>
          <w:sz w:val="24"/>
          <w:szCs w:val="24"/>
        </w:rPr>
        <w:t xml:space="preserve"> form of financing </w:t>
      </w:r>
      <w:r w:rsidR="00823BC9" w:rsidRPr="00DA4A8B">
        <w:rPr>
          <w:rFonts w:ascii="Times New Roman" w:hAnsi="Times New Roman" w:cs="Times New Roman"/>
          <w:sz w:val="24"/>
          <w:szCs w:val="24"/>
        </w:rPr>
        <w:t>that</w:t>
      </w:r>
      <w:r w:rsidR="00171FA3" w:rsidRPr="00DA4A8B">
        <w:rPr>
          <w:rFonts w:ascii="Times New Roman" w:hAnsi="Times New Roman" w:cs="Times New Roman"/>
          <w:sz w:val="24"/>
          <w:szCs w:val="24"/>
        </w:rPr>
        <w:t>, over a period of years, converts</w:t>
      </w:r>
      <w:r w:rsidR="00823BC9" w:rsidRPr="00DA4A8B">
        <w:rPr>
          <w:rFonts w:ascii="Times New Roman" w:hAnsi="Times New Roman" w:cs="Times New Roman"/>
          <w:sz w:val="24"/>
          <w:szCs w:val="24"/>
        </w:rPr>
        <w:t xml:space="preserve"> non-investor contributions </w:t>
      </w:r>
      <w:r w:rsidR="00171FA3" w:rsidRPr="00DA4A8B">
        <w:rPr>
          <w:rFonts w:ascii="Times New Roman" w:hAnsi="Times New Roman" w:cs="Times New Roman"/>
          <w:sz w:val="24"/>
          <w:szCs w:val="24"/>
        </w:rPr>
        <w:t>(</w:t>
      </w:r>
      <w:r w:rsidR="00CC1CBC" w:rsidRPr="00DA4A8B">
        <w:rPr>
          <w:rFonts w:ascii="Times New Roman" w:hAnsi="Times New Roman" w:cs="Times New Roman"/>
          <w:sz w:val="24"/>
          <w:szCs w:val="24"/>
        </w:rPr>
        <w:t xml:space="preserve">i.e., </w:t>
      </w:r>
      <w:r w:rsidR="00171FA3" w:rsidRPr="00DA4A8B">
        <w:rPr>
          <w:rFonts w:ascii="Times New Roman" w:hAnsi="Times New Roman" w:cs="Times New Roman"/>
          <w:sz w:val="24"/>
          <w:szCs w:val="24"/>
        </w:rPr>
        <w:t xml:space="preserve">contributions in aid of construction) into </w:t>
      </w:r>
      <w:r w:rsidR="00A87E6C" w:rsidRPr="00DA4A8B">
        <w:rPr>
          <w:rFonts w:ascii="Times New Roman" w:hAnsi="Times New Roman" w:cs="Times New Roman"/>
          <w:sz w:val="24"/>
          <w:szCs w:val="24"/>
        </w:rPr>
        <w:t>owner</w:t>
      </w:r>
      <w:r w:rsidR="00171FA3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Pr="00DA4A8B">
        <w:rPr>
          <w:rFonts w:ascii="Times New Roman" w:hAnsi="Times New Roman" w:cs="Times New Roman"/>
          <w:sz w:val="24"/>
          <w:szCs w:val="24"/>
        </w:rPr>
        <w:t>equity</w:t>
      </w:r>
      <w:r w:rsidR="00171FA3" w:rsidRPr="00DA4A8B">
        <w:rPr>
          <w:rFonts w:ascii="Times New Roman" w:hAnsi="Times New Roman" w:cs="Times New Roman"/>
          <w:sz w:val="24"/>
          <w:szCs w:val="24"/>
        </w:rPr>
        <w:t>.</w:t>
      </w:r>
      <w:r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6769AD" w:rsidRPr="00DA4A8B">
        <w:rPr>
          <w:rFonts w:ascii="Times New Roman" w:hAnsi="Times New Roman" w:cs="Times New Roman"/>
          <w:sz w:val="24"/>
          <w:szCs w:val="24"/>
        </w:rPr>
        <w:t>After the two</w:t>
      </w:r>
      <w:r w:rsidR="004F4C74" w:rsidRPr="00DA4A8B">
        <w:rPr>
          <w:rFonts w:ascii="Times New Roman" w:hAnsi="Times New Roman" w:cs="Times New Roman"/>
          <w:sz w:val="24"/>
          <w:szCs w:val="24"/>
        </w:rPr>
        <w:t>-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year period, the </w:t>
      </w:r>
      <w:r w:rsidR="00B07714" w:rsidRPr="00DA4A8B">
        <w:rPr>
          <w:rFonts w:ascii="Times New Roman" w:hAnsi="Times New Roman" w:cs="Times New Roman"/>
          <w:sz w:val="24"/>
          <w:szCs w:val="24"/>
        </w:rPr>
        <w:t xml:space="preserve">Commission will review the </w:t>
      </w:r>
      <w:r w:rsidR="00125655" w:rsidRPr="00DA4A8B">
        <w:rPr>
          <w:rFonts w:ascii="Times New Roman" w:hAnsi="Times New Roman" w:cs="Times New Roman"/>
          <w:sz w:val="24"/>
          <w:szCs w:val="24"/>
        </w:rPr>
        <w:t xml:space="preserve">results of the pilot </w:t>
      </w:r>
      <w:r w:rsidR="006769AD" w:rsidRPr="00DA4A8B">
        <w:rPr>
          <w:rFonts w:ascii="Times New Roman" w:hAnsi="Times New Roman" w:cs="Times New Roman"/>
          <w:sz w:val="24"/>
          <w:szCs w:val="24"/>
        </w:rPr>
        <w:t xml:space="preserve">and </w:t>
      </w:r>
      <w:r w:rsidR="00B07714" w:rsidRPr="00DA4A8B">
        <w:rPr>
          <w:rFonts w:ascii="Times New Roman" w:hAnsi="Times New Roman" w:cs="Times New Roman"/>
          <w:sz w:val="24"/>
          <w:szCs w:val="24"/>
        </w:rPr>
        <w:t>determine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whether to continue </w:t>
      </w:r>
      <w:r w:rsidR="009A4228" w:rsidRPr="00DA4A8B">
        <w:rPr>
          <w:rFonts w:ascii="Times New Roman" w:hAnsi="Times New Roman" w:cs="Times New Roman"/>
          <w:sz w:val="24"/>
          <w:szCs w:val="24"/>
        </w:rPr>
        <w:t xml:space="preserve">using the </w:t>
      </w:r>
      <w:r w:rsidR="00B07714" w:rsidRPr="00DA4A8B">
        <w:rPr>
          <w:rFonts w:ascii="Times New Roman" w:hAnsi="Times New Roman" w:cs="Times New Roman"/>
          <w:sz w:val="24"/>
          <w:szCs w:val="24"/>
        </w:rPr>
        <w:t xml:space="preserve">pilot </w:t>
      </w:r>
      <w:r w:rsidR="009A4228" w:rsidRPr="00DA4A8B">
        <w:rPr>
          <w:rFonts w:ascii="Times New Roman" w:hAnsi="Times New Roman" w:cs="Times New Roman"/>
          <w:sz w:val="24"/>
          <w:szCs w:val="24"/>
        </w:rPr>
        <w:t>methods and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develop rules or cease </w:t>
      </w:r>
      <w:r w:rsidR="009A4228" w:rsidRPr="00DA4A8B">
        <w:rPr>
          <w:rFonts w:ascii="Times New Roman" w:hAnsi="Times New Roman" w:cs="Times New Roman"/>
          <w:sz w:val="24"/>
          <w:szCs w:val="24"/>
        </w:rPr>
        <w:t>the use of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the alternative methods.</w:t>
      </w:r>
      <w:r w:rsidR="004F4C74" w:rsidRPr="00DA4A8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823CD" w14:textId="77777777" w:rsidR="003912FC" w:rsidRPr="00DA4A8B" w:rsidRDefault="003912FC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4484613" w14:textId="39D66B6A" w:rsidR="001F7850" w:rsidRPr="00DA4A8B" w:rsidRDefault="00C22DAD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A4A8B">
        <w:rPr>
          <w:rFonts w:ascii="Times New Roman" w:hAnsi="Times New Roman" w:cs="Times New Roman"/>
          <w:sz w:val="24"/>
          <w:szCs w:val="24"/>
        </w:rPr>
        <w:t>Under the pilot program a</w:t>
      </w:r>
      <w:r w:rsidR="00884093" w:rsidRPr="00DA4A8B">
        <w:rPr>
          <w:rFonts w:ascii="Times New Roman" w:hAnsi="Times New Roman" w:cs="Times New Roman"/>
          <w:sz w:val="24"/>
          <w:szCs w:val="24"/>
        </w:rPr>
        <w:t>s proposed, the</w:t>
      </w:r>
      <w:r w:rsidR="001F7850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B07714" w:rsidRPr="00DA4A8B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would </w:t>
      </w:r>
      <w:r w:rsidR="001F7850" w:rsidRPr="00DA4A8B">
        <w:rPr>
          <w:rFonts w:ascii="Times New Roman" w:hAnsi="Times New Roman" w:cs="Times New Roman"/>
          <w:sz w:val="24"/>
          <w:szCs w:val="24"/>
        </w:rPr>
        <w:t>use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 three</w:t>
      </w:r>
      <w:r w:rsidR="001F7850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D02039" w:rsidRPr="00DA4A8B">
        <w:rPr>
          <w:rFonts w:ascii="Times New Roman" w:hAnsi="Times New Roman" w:cs="Times New Roman"/>
          <w:sz w:val="24"/>
          <w:szCs w:val="24"/>
        </w:rPr>
        <w:t>innovative</w:t>
      </w:r>
      <w:r w:rsidR="001F7850" w:rsidRPr="00DA4A8B">
        <w:rPr>
          <w:rFonts w:ascii="Times New Roman" w:hAnsi="Times New Roman" w:cs="Times New Roman"/>
          <w:sz w:val="24"/>
          <w:szCs w:val="24"/>
        </w:rPr>
        <w:t xml:space="preserve"> ratemaking approaches</w:t>
      </w:r>
      <w:r w:rsidR="008348B8" w:rsidRPr="00DA4A8B">
        <w:rPr>
          <w:rFonts w:ascii="Times New Roman" w:hAnsi="Times New Roman" w:cs="Times New Roman"/>
          <w:sz w:val="24"/>
          <w:szCs w:val="24"/>
        </w:rPr>
        <w:t>,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 each 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approach </w:t>
      </w:r>
      <w:r w:rsidR="00A87E6C" w:rsidRPr="00DA4A8B">
        <w:rPr>
          <w:rFonts w:ascii="Times New Roman" w:hAnsi="Times New Roman" w:cs="Times New Roman"/>
          <w:sz w:val="24"/>
          <w:szCs w:val="24"/>
        </w:rPr>
        <w:t>provid</w:t>
      </w:r>
      <w:r w:rsidR="00E71A90" w:rsidRPr="00DA4A8B">
        <w:rPr>
          <w:rFonts w:ascii="Times New Roman" w:hAnsi="Times New Roman" w:cs="Times New Roman"/>
          <w:sz w:val="24"/>
          <w:szCs w:val="24"/>
        </w:rPr>
        <w:t>ing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new </w:t>
      </w:r>
      <w:r w:rsidR="00D02039" w:rsidRPr="00DA4A8B">
        <w:rPr>
          <w:rFonts w:ascii="Times New Roman" w:hAnsi="Times New Roman" w:cs="Times New Roman"/>
          <w:sz w:val="24"/>
          <w:szCs w:val="24"/>
        </w:rPr>
        <w:t>economic incentives</w:t>
      </w:r>
      <w:r w:rsidR="00484911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A87E6C" w:rsidRPr="00DA4A8B">
        <w:rPr>
          <w:rFonts w:ascii="Times New Roman" w:hAnsi="Times New Roman" w:cs="Times New Roman"/>
          <w:sz w:val="24"/>
          <w:szCs w:val="24"/>
        </w:rPr>
        <w:t>for</w:t>
      </w:r>
      <w:r w:rsidR="00484911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="001F7850" w:rsidRPr="00DA4A8B">
        <w:rPr>
          <w:rFonts w:ascii="Times New Roman" w:hAnsi="Times New Roman" w:cs="Times New Roman"/>
          <w:sz w:val="24"/>
          <w:szCs w:val="24"/>
        </w:rPr>
        <w:t>increas</w:t>
      </w:r>
      <w:r w:rsidR="001B362A" w:rsidRPr="00DA4A8B">
        <w:rPr>
          <w:rFonts w:ascii="Times New Roman" w:hAnsi="Times New Roman" w:cs="Times New Roman"/>
          <w:sz w:val="24"/>
          <w:szCs w:val="24"/>
        </w:rPr>
        <w:t>ed</w:t>
      </w:r>
      <w:r w:rsidR="001F7850" w:rsidRPr="00DA4A8B">
        <w:rPr>
          <w:rFonts w:ascii="Times New Roman" w:hAnsi="Times New Roman" w:cs="Times New Roman"/>
          <w:sz w:val="24"/>
          <w:szCs w:val="24"/>
        </w:rPr>
        <w:t xml:space="preserve"> owner investment and greater owner participation in the management and operations</w:t>
      </w:r>
      <w:r w:rsidR="00A87E6C" w:rsidRPr="00DA4A8B">
        <w:rPr>
          <w:rFonts w:ascii="Times New Roman" w:hAnsi="Times New Roman" w:cs="Times New Roman"/>
          <w:sz w:val="24"/>
          <w:szCs w:val="24"/>
        </w:rPr>
        <w:t xml:space="preserve"> of the company</w:t>
      </w:r>
      <w:r w:rsidR="0041080E" w:rsidRPr="00DA4A8B">
        <w:rPr>
          <w:rFonts w:ascii="Times New Roman" w:hAnsi="Times New Roman" w:cs="Times New Roman"/>
          <w:sz w:val="24"/>
          <w:szCs w:val="24"/>
        </w:rPr>
        <w:t>.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 Along with increased managerial participation, it is expected that </w:t>
      </w:r>
      <w:r w:rsidR="003B5EA5" w:rsidRPr="00DA4A8B">
        <w:rPr>
          <w:rFonts w:ascii="Times New Roman" w:hAnsi="Times New Roman" w:cs="Times New Roman"/>
          <w:sz w:val="24"/>
          <w:szCs w:val="24"/>
        </w:rPr>
        <w:t xml:space="preserve">the financial viability of the state’s regulated water companies will </w:t>
      </w:r>
      <w:r w:rsidR="00FF2070" w:rsidRPr="00DA4A8B">
        <w:rPr>
          <w:rFonts w:ascii="Times New Roman" w:hAnsi="Times New Roman" w:cs="Times New Roman"/>
          <w:sz w:val="24"/>
          <w:szCs w:val="24"/>
        </w:rPr>
        <w:t>improve</w:t>
      </w:r>
      <w:r w:rsidR="003B5EA5" w:rsidRPr="00DA4A8B">
        <w:rPr>
          <w:rFonts w:ascii="Times New Roman" w:hAnsi="Times New Roman" w:cs="Times New Roman"/>
          <w:sz w:val="24"/>
          <w:szCs w:val="24"/>
        </w:rPr>
        <w:t xml:space="preserve"> over the pilot period.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 </w:t>
      </w:r>
      <w:r w:rsidRPr="00DA4A8B">
        <w:rPr>
          <w:rFonts w:ascii="Times New Roman" w:hAnsi="Times New Roman" w:cs="Times New Roman"/>
          <w:sz w:val="24"/>
          <w:szCs w:val="24"/>
        </w:rPr>
        <w:t xml:space="preserve">During </w:t>
      </w:r>
      <w:r w:rsidRPr="00DA4A8B">
        <w:rPr>
          <w:rFonts w:ascii="Times New Roman" w:hAnsi="Times New Roman" w:cs="Times New Roman"/>
          <w:sz w:val="24"/>
          <w:szCs w:val="24"/>
        </w:rPr>
        <w:lastRenderedPageBreak/>
        <w:t>the pilot period, companies and t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he 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DA4A8B">
        <w:rPr>
          <w:rFonts w:ascii="Times New Roman" w:hAnsi="Times New Roman" w:cs="Times New Roman"/>
          <w:sz w:val="24"/>
          <w:szCs w:val="24"/>
        </w:rPr>
        <w:t xml:space="preserve">would </w:t>
      </w:r>
      <w:r w:rsidR="008348B8" w:rsidRPr="00DA4A8B">
        <w:rPr>
          <w:rFonts w:ascii="Times New Roman" w:hAnsi="Times New Roman" w:cs="Times New Roman"/>
          <w:sz w:val="24"/>
          <w:szCs w:val="24"/>
        </w:rPr>
        <w:t xml:space="preserve">be able to use any of the </w:t>
      </w:r>
      <w:r w:rsidR="0041080E" w:rsidRPr="00DA4A8B">
        <w:rPr>
          <w:rFonts w:ascii="Times New Roman" w:hAnsi="Times New Roman" w:cs="Times New Roman"/>
          <w:sz w:val="24"/>
          <w:szCs w:val="24"/>
        </w:rPr>
        <w:t xml:space="preserve">three alternative methods to set rates in place of, in addition to, or together with, standard rate making approaches. </w:t>
      </w:r>
    </w:p>
    <w:p w14:paraId="48C237DA" w14:textId="77777777" w:rsidR="003912FC" w:rsidRPr="009C612D" w:rsidRDefault="003912FC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5099DF6" w14:textId="1F7EDBED" w:rsidR="00093D41" w:rsidRPr="009C612D" w:rsidRDefault="0041080E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C612D">
        <w:rPr>
          <w:rFonts w:ascii="Times New Roman" w:hAnsi="Times New Roman" w:cs="Times New Roman"/>
          <w:sz w:val="24"/>
          <w:szCs w:val="24"/>
        </w:rPr>
        <w:t xml:space="preserve">The Commission is seeking input </w:t>
      </w:r>
      <w:r w:rsidR="0033708D" w:rsidRPr="009C612D">
        <w:rPr>
          <w:rFonts w:ascii="Times New Roman" w:hAnsi="Times New Roman" w:cs="Times New Roman"/>
          <w:sz w:val="24"/>
          <w:szCs w:val="24"/>
        </w:rPr>
        <w:t xml:space="preserve">from interested </w:t>
      </w:r>
      <w:r w:rsidR="00E70E2D" w:rsidRPr="009C612D">
        <w:rPr>
          <w:rFonts w:ascii="Times New Roman" w:hAnsi="Times New Roman" w:cs="Times New Roman"/>
          <w:sz w:val="24"/>
          <w:szCs w:val="24"/>
        </w:rPr>
        <w:t>persons</w:t>
      </w:r>
      <w:r w:rsidR="0033708D" w:rsidRPr="009C612D">
        <w:rPr>
          <w:rFonts w:ascii="Times New Roman" w:hAnsi="Times New Roman" w:cs="Times New Roman"/>
          <w:sz w:val="24"/>
          <w:szCs w:val="24"/>
        </w:rPr>
        <w:t xml:space="preserve"> </w:t>
      </w:r>
      <w:r w:rsidRPr="009C612D">
        <w:rPr>
          <w:rFonts w:ascii="Times New Roman" w:hAnsi="Times New Roman" w:cs="Times New Roman"/>
          <w:sz w:val="24"/>
          <w:szCs w:val="24"/>
        </w:rPr>
        <w:t xml:space="preserve">regarding </w:t>
      </w:r>
      <w:r w:rsidR="0033708D" w:rsidRPr="009C612D">
        <w:rPr>
          <w:rFonts w:ascii="Times New Roman" w:hAnsi="Times New Roman" w:cs="Times New Roman"/>
          <w:sz w:val="24"/>
          <w:szCs w:val="24"/>
        </w:rPr>
        <w:t>the following</w:t>
      </w:r>
      <w:r w:rsidRPr="009C612D">
        <w:rPr>
          <w:rFonts w:ascii="Times New Roman" w:hAnsi="Times New Roman" w:cs="Times New Roman"/>
          <w:sz w:val="24"/>
          <w:szCs w:val="24"/>
        </w:rPr>
        <w:t xml:space="preserve"> three rate setting methods </w:t>
      </w:r>
      <w:r w:rsidR="0053372E" w:rsidRPr="009C612D">
        <w:rPr>
          <w:rFonts w:ascii="Times New Roman" w:hAnsi="Times New Roman" w:cs="Times New Roman"/>
          <w:sz w:val="24"/>
          <w:szCs w:val="24"/>
        </w:rPr>
        <w:t>along with</w:t>
      </w:r>
      <w:r w:rsidRPr="009C612D">
        <w:rPr>
          <w:rFonts w:ascii="Times New Roman" w:hAnsi="Times New Roman" w:cs="Times New Roman"/>
          <w:sz w:val="24"/>
          <w:szCs w:val="24"/>
        </w:rPr>
        <w:t xml:space="preserve"> </w:t>
      </w:r>
      <w:r w:rsidR="00791702" w:rsidRPr="009C612D">
        <w:rPr>
          <w:rFonts w:ascii="Times New Roman" w:hAnsi="Times New Roman" w:cs="Times New Roman"/>
          <w:sz w:val="24"/>
          <w:szCs w:val="24"/>
        </w:rPr>
        <w:t>comments on the</w:t>
      </w:r>
      <w:r w:rsidRPr="009C612D">
        <w:rPr>
          <w:rFonts w:ascii="Times New Roman" w:hAnsi="Times New Roman" w:cs="Times New Roman"/>
          <w:sz w:val="24"/>
          <w:szCs w:val="24"/>
        </w:rPr>
        <w:t xml:space="preserve"> proposed use of </w:t>
      </w:r>
      <w:r w:rsidRPr="009C612D">
        <w:rPr>
          <w:rFonts w:ascii="Times New Roman" w:hAnsi="Times New Roman" w:cs="Times New Roman"/>
          <w:i/>
          <w:sz w:val="24"/>
          <w:szCs w:val="24"/>
        </w:rPr>
        <w:t>advances for construction</w:t>
      </w:r>
      <w:r w:rsidRPr="009C612D">
        <w:rPr>
          <w:rFonts w:ascii="Times New Roman" w:hAnsi="Times New Roman" w:cs="Times New Roman"/>
          <w:sz w:val="24"/>
          <w:szCs w:val="24"/>
        </w:rPr>
        <w:t xml:space="preserve"> to </w:t>
      </w:r>
      <w:r w:rsidR="00791702" w:rsidRPr="009C612D">
        <w:rPr>
          <w:rFonts w:ascii="Times New Roman" w:hAnsi="Times New Roman" w:cs="Times New Roman"/>
          <w:sz w:val="24"/>
          <w:szCs w:val="24"/>
        </w:rPr>
        <w:t>finance grow</w:t>
      </w:r>
      <w:r w:rsidR="00A36745" w:rsidRPr="009C612D">
        <w:rPr>
          <w:rFonts w:ascii="Times New Roman" w:hAnsi="Times New Roman" w:cs="Times New Roman"/>
          <w:sz w:val="24"/>
          <w:szCs w:val="24"/>
        </w:rPr>
        <w:t>th.</w:t>
      </w:r>
      <w:r w:rsidRPr="009C612D">
        <w:rPr>
          <w:rFonts w:ascii="Times New Roman" w:hAnsi="Times New Roman" w:cs="Times New Roman"/>
          <w:sz w:val="24"/>
          <w:szCs w:val="24"/>
        </w:rPr>
        <w:t xml:space="preserve"> T</w:t>
      </w:r>
      <w:r w:rsidR="00093D41" w:rsidRPr="009C612D">
        <w:rPr>
          <w:rFonts w:ascii="Times New Roman" w:hAnsi="Times New Roman" w:cs="Times New Roman"/>
          <w:sz w:val="24"/>
          <w:szCs w:val="24"/>
        </w:rPr>
        <w:t xml:space="preserve">he Commission requests that </w:t>
      </w:r>
      <w:r w:rsidR="00E70E2D" w:rsidRPr="009C612D">
        <w:rPr>
          <w:rFonts w:ascii="Times New Roman" w:hAnsi="Times New Roman" w:cs="Times New Roman"/>
          <w:sz w:val="24"/>
          <w:szCs w:val="24"/>
        </w:rPr>
        <w:t>interested persons</w:t>
      </w:r>
      <w:r w:rsidR="00093D41" w:rsidRPr="009C612D">
        <w:rPr>
          <w:rFonts w:ascii="Times New Roman" w:hAnsi="Times New Roman" w:cs="Times New Roman"/>
          <w:sz w:val="24"/>
          <w:szCs w:val="24"/>
        </w:rPr>
        <w:t xml:space="preserve"> submit written comments</w:t>
      </w:r>
      <w:r w:rsidRPr="009C612D">
        <w:rPr>
          <w:rFonts w:ascii="Times New Roman" w:hAnsi="Times New Roman" w:cs="Times New Roman"/>
          <w:sz w:val="24"/>
          <w:szCs w:val="24"/>
        </w:rPr>
        <w:t xml:space="preserve"> </w:t>
      </w:r>
      <w:r w:rsidR="00093D41" w:rsidRPr="009C612D">
        <w:rPr>
          <w:rFonts w:ascii="Times New Roman" w:hAnsi="Times New Roman" w:cs="Times New Roman"/>
          <w:sz w:val="24"/>
          <w:szCs w:val="24"/>
        </w:rPr>
        <w:t xml:space="preserve">by </w:t>
      </w:r>
      <w:r w:rsidR="00AD2643">
        <w:rPr>
          <w:rFonts w:ascii="Times New Roman" w:hAnsi="Times New Roman" w:cs="Times New Roman"/>
          <w:sz w:val="24"/>
          <w:szCs w:val="24"/>
        </w:rPr>
        <w:t>January 6, 2016</w:t>
      </w:r>
      <w:r w:rsidR="00093D41" w:rsidRPr="009C612D">
        <w:rPr>
          <w:rFonts w:ascii="Times New Roman" w:hAnsi="Times New Roman" w:cs="Times New Roman"/>
          <w:sz w:val="24"/>
          <w:szCs w:val="24"/>
        </w:rPr>
        <w:t>.</w:t>
      </w:r>
      <w:r w:rsidR="00DE1B18" w:rsidRPr="009C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A68E" w14:textId="77777777" w:rsidR="005F1566" w:rsidRDefault="005F1566" w:rsidP="009C612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BB5DBD8" w14:textId="69D5F1E9" w:rsidR="00110226" w:rsidRDefault="00E921B7" w:rsidP="009C612D">
      <w:pPr>
        <w:pStyle w:val="NoSpacing"/>
        <w:numPr>
          <w:ilvl w:val="0"/>
          <w:numId w:val="32"/>
        </w:numPr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9BB">
        <w:rPr>
          <w:rFonts w:ascii="Times New Roman" w:hAnsi="Times New Roman" w:cs="Times New Roman"/>
          <w:b/>
          <w:sz w:val="24"/>
          <w:szCs w:val="24"/>
        </w:rPr>
        <w:t xml:space="preserve">Marginal Investment Approach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10226" w:rsidRPr="006159BB">
        <w:rPr>
          <w:rFonts w:ascii="Times New Roman" w:hAnsi="Times New Roman" w:cs="Times New Roman"/>
          <w:b/>
          <w:sz w:val="24"/>
          <w:szCs w:val="24"/>
        </w:rPr>
        <w:t>Restructured Investment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10226" w:rsidRPr="006159BB">
        <w:rPr>
          <w:rFonts w:ascii="Times New Roman" w:hAnsi="Times New Roman" w:cs="Times New Roman"/>
          <w:b/>
          <w:sz w:val="24"/>
          <w:szCs w:val="24"/>
        </w:rPr>
        <w:t>.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0A19D4">
        <w:rPr>
          <w:rFonts w:ascii="Times New Roman" w:hAnsi="Times New Roman" w:cs="Times New Roman"/>
          <w:sz w:val="24"/>
          <w:szCs w:val="24"/>
        </w:rPr>
        <w:br/>
      </w:r>
      <w:r w:rsidR="00D51873">
        <w:rPr>
          <w:rFonts w:ascii="Times New Roman" w:hAnsi="Times New Roman" w:cs="Times New Roman"/>
          <w:sz w:val="24"/>
          <w:szCs w:val="24"/>
        </w:rPr>
        <w:t>The r</w:t>
      </w:r>
      <w:r w:rsidR="00DD6DC4">
        <w:rPr>
          <w:rFonts w:ascii="Times New Roman" w:hAnsi="Times New Roman" w:cs="Times New Roman"/>
          <w:sz w:val="24"/>
          <w:szCs w:val="24"/>
        </w:rPr>
        <w:t xml:space="preserve">egulatory-basis financial statements </w:t>
      </w:r>
      <w:r w:rsidR="000A19D4">
        <w:rPr>
          <w:rFonts w:ascii="Times New Roman" w:hAnsi="Times New Roman" w:cs="Times New Roman"/>
          <w:sz w:val="24"/>
          <w:szCs w:val="24"/>
        </w:rPr>
        <w:t>of some of the state’s investor</w:t>
      </w:r>
      <w:r w:rsidR="00C22DAD">
        <w:rPr>
          <w:rFonts w:ascii="Times New Roman" w:hAnsi="Times New Roman" w:cs="Times New Roman"/>
          <w:sz w:val="24"/>
          <w:szCs w:val="24"/>
        </w:rPr>
        <w:t>-</w:t>
      </w:r>
      <w:r w:rsidR="000A19D4">
        <w:rPr>
          <w:rFonts w:ascii="Times New Roman" w:hAnsi="Times New Roman" w:cs="Times New Roman"/>
          <w:sz w:val="24"/>
          <w:szCs w:val="24"/>
        </w:rPr>
        <w:t xml:space="preserve">owned water companies </w:t>
      </w:r>
      <w:r w:rsidR="00DD6DC4">
        <w:rPr>
          <w:rFonts w:ascii="Times New Roman" w:hAnsi="Times New Roman" w:cs="Times New Roman"/>
          <w:sz w:val="24"/>
          <w:szCs w:val="24"/>
        </w:rPr>
        <w:t>reflect negative investment</w:t>
      </w:r>
      <w:r w:rsidR="000A19D4">
        <w:rPr>
          <w:rFonts w:ascii="Times New Roman" w:hAnsi="Times New Roman" w:cs="Times New Roman"/>
          <w:sz w:val="24"/>
          <w:szCs w:val="24"/>
        </w:rPr>
        <w:t xml:space="preserve">. </w:t>
      </w:r>
      <w:r w:rsidR="00A36745">
        <w:rPr>
          <w:rFonts w:ascii="Times New Roman" w:hAnsi="Times New Roman" w:cs="Times New Roman"/>
          <w:sz w:val="24"/>
          <w:szCs w:val="24"/>
        </w:rPr>
        <w:t>Commonly</w:t>
      </w:r>
      <w:r w:rsidR="00D51873">
        <w:rPr>
          <w:rFonts w:ascii="Times New Roman" w:hAnsi="Times New Roman" w:cs="Times New Roman"/>
          <w:sz w:val="24"/>
          <w:szCs w:val="24"/>
        </w:rPr>
        <w:t xml:space="preserve"> these</w:t>
      </w:r>
      <w:r w:rsidR="000A19D4">
        <w:rPr>
          <w:rFonts w:ascii="Times New Roman" w:hAnsi="Times New Roman" w:cs="Times New Roman"/>
          <w:sz w:val="24"/>
          <w:szCs w:val="24"/>
        </w:rPr>
        <w:t xml:space="preserve"> negative positions have been developed though years of operating losses</w:t>
      </w:r>
      <w:r w:rsidR="00486FAB">
        <w:rPr>
          <w:rFonts w:ascii="Times New Roman" w:hAnsi="Times New Roman" w:cs="Times New Roman"/>
          <w:sz w:val="24"/>
          <w:szCs w:val="24"/>
        </w:rPr>
        <w:t xml:space="preserve">, </w:t>
      </w:r>
      <w:r w:rsidR="00A36745">
        <w:rPr>
          <w:rFonts w:ascii="Times New Roman" w:hAnsi="Times New Roman" w:cs="Times New Roman"/>
          <w:sz w:val="24"/>
          <w:szCs w:val="24"/>
        </w:rPr>
        <w:t>th</w:t>
      </w:r>
      <w:r w:rsidR="00C22DAD">
        <w:rPr>
          <w:rFonts w:ascii="Times New Roman" w:hAnsi="Times New Roman" w:cs="Times New Roman"/>
          <w:sz w:val="24"/>
          <w:szCs w:val="24"/>
        </w:rPr>
        <w:t>r</w:t>
      </w:r>
      <w:r w:rsidR="00A36745">
        <w:rPr>
          <w:rFonts w:ascii="Times New Roman" w:hAnsi="Times New Roman" w:cs="Times New Roman"/>
          <w:sz w:val="24"/>
          <w:szCs w:val="24"/>
        </w:rPr>
        <w:t xml:space="preserve">ough </w:t>
      </w:r>
      <w:r w:rsidR="00486FAB">
        <w:rPr>
          <w:rFonts w:ascii="Times New Roman" w:hAnsi="Times New Roman" w:cs="Times New Roman"/>
          <w:sz w:val="24"/>
          <w:szCs w:val="24"/>
        </w:rPr>
        <w:t xml:space="preserve">lack of </w:t>
      </w:r>
      <w:r w:rsidR="00A36745">
        <w:rPr>
          <w:rFonts w:ascii="Times New Roman" w:hAnsi="Times New Roman" w:cs="Times New Roman"/>
          <w:sz w:val="24"/>
          <w:szCs w:val="24"/>
        </w:rPr>
        <w:t xml:space="preserve">proper </w:t>
      </w:r>
      <w:r w:rsidR="00486FAB">
        <w:rPr>
          <w:rFonts w:ascii="Times New Roman" w:hAnsi="Times New Roman" w:cs="Times New Roman"/>
          <w:sz w:val="24"/>
          <w:szCs w:val="24"/>
        </w:rPr>
        <w:t>accounting</w:t>
      </w:r>
      <w:r w:rsidR="000A19D4">
        <w:rPr>
          <w:rFonts w:ascii="Times New Roman" w:hAnsi="Times New Roman" w:cs="Times New Roman"/>
          <w:sz w:val="24"/>
          <w:szCs w:val="24"/>
        </w:rPr>
        <w:t xml:space="preserve"> or simply</w:t>
      </w:r>
      <w:r w:rsidR="000A19D4" w:rsidRPr="00110226">
        <w:rPr>
          <w:rFonts w:ascii="Times New Roman" w:hAnsi="Times New Roman" w:cs="Times New Roman"/>
          <w:sz w:val="24"/>
          <w:szCs w:val="24"/>
        </w:rPr>
        <w:t xml:space="preserve"> inherited</w:t>
      </w:r>
      <w:r w:rsidR="00D51873">
        <w:rPr>
          <w:rFonts w:ascii="Times New Roman" w:hAnsi="Times New Roman" w:cs="Times New Roman"/>
          <w:sz w:val="24"/>
          <w:szCs w:val="24"/>
        </w:rPr>
        <w:t xml:space="preserve"> from prior owners</w:t>
      </w:r>
      <w:r w:rsidR="000A19D4">
        <w:rPr>
          <w:rFonts w:ascii="Times New Roman" w:hAnsi="Times New Roman" w:cs="Times New Roman"/>
          <w:sz w:val="24"/>
          <w:szCs w:val="24"/>
        </w:rPr>
        <w:t>.</w:t>
      </w:r>
      <w:r w:rsidR="00DD6DC4">
        <w:rPr>
          <w:rFonts w:ascii="Times New Roman" w:hAnsi="Times New Roman" w:cs="Times New Roman"/>
          <w:sz w:val="24"/>
          <w:szCs w:val="24"/>
        </w:rPr>
        <w:t xml:space="preserve"> </w:t>
      </w:r>
      <w:r w:rsidR="00D51873">
        <w:rPr>
          <w:rFonts w:ascii="Times New Roman" w:hAnsi="Times New Roman" w:cs="Times New Roman"/>
          <w:sz w:val="24"/>
          <w:szCs w:val="24"/>
        </w:rPr>
        <w:t>Current o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wners of </w:t>
      </w:r>
      <w:r w:rsidR="000A19D4">
        <w:rPr>
          <w:rFonts w:ascii="Times New Roman" w:hAnsi="Times New Roman" w:cs="Times New Roman"/>
          <w:sz w:val="24"/>
          <w:szCs w:val="24"/>
        </w:rPr>
        <w:t xml:space="preserve">these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water </w:t>
      </w:r>
      <w:r w:rsidR="000A19D4">
        <w:rPr>
          <w:rFonts w:ascii="Times New Roman" w:hAnsi="Times New Roman" w:cs="Times New Roman"/>
          <w:sz w:val="24"/>
          <w:szCs w:val="24"/>
        </w:rPr>
        <w:t>systems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C22DAD">
        <w:rPr>
          <w:rFonts w:ascii="Times New Roman" w:hAnsi="Times New Roman" w:cs="Times New Roman"/>
          <w:sz w:val="24"/>
          <w:szCs w:val="24"/>
        </w:rPr>
        <w:t xml:space="preserve">generally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have </w:t>
      </w:r>
      <w:r w:rsidR="000A19D4">
        <w:rPr>
          <w:rFonts w:ascii="Times New Roman" w:hAnsi="Times New Roman" w:cs="Times New Roman"/>
          <w:sz w:val="24"/>
          <w:szCs w:val="24"/>
        </w:rPr>
        <w:t xml:space="preserve">little or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no incentive to invest </w:t>
      </w:r>
      <w:r w:rsidR="000A19D4">
        <w:rPr>
          <w:rFonts w:ascii="Times New Roman" w:hAnsi="Times New Roman" w:cs="Times New Roman"/>
          <w:sz w:val="24"/>
          <w:szCs w:val="24"/>
        </w:rPr>
        <w:t xml:space="preserve">in the company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since any investment would be immediately swallowed up by its negative </w:t>
      </w:r>
      <w:r w:rsidR="000A19D4">
        <w:rPr>
          <w:rFonts w:ascii="Times New Roman" w:hAnsi="Times New Roman" w:cs="Times New Roman"/>
          <w:sz w:val="24"/>
          <w:szCs w:val="24"/>
        </w:rPr>
        <w:t xml:space="preserve">financial </w:t>
      </w:r>
      <w:r w:rsidR="00110226" w:rsidRPr="00110226">
        <w:rPr>
          <w:rFonts w:ascii="Times New Roman" w:hAnsi="Times New Roman" w:cs="Times New Roman"/>
          <w:sz w:val="24"/>
          <w:szCs w:val="24"/>
        </w:rPr>
        <w:t>position</w:t>
      </w:r>
      <w:r w:rsidR="00C22DAD">
        <w:rPr>
          <w:rFonts w:ascii="Times New Roman" w:hAnsi="Times New Roman" w:cs="Times New Roman"/>
          <w:sz w:val="24"/>
          <w:szCs w:val="24"/>
        </w:rPr>
        <w:t>,</w:t>
      </w:r>
      <w:r w:rsidR="00A36745">
        <w:rPr>
          <w:rFonts w:ascii="Times New Roman" w:hAnsi="Times New Roman" w:cs="Times New Roman"/>
          <w:sz w:val="24"/>
          <w:szCs w:val="24"/>
        </w:rPr>
        <w:t xml:space="preserve"> leaving them in no better financial position than before the investment</w:t>
      </w:r>
      <w:r w:rsidR="00DD6DC4" w:rsidRPr="00110226">
        <w:rPr>
          <w:rFonts w:ascii="Times New Roman" w:hAnsi="Times New Roman" w:cs="Times New Roman"/>
          <w:sz w:val="24"/>
          <w:szCs w:val="24"/>
        </w:rPr>
        <w:t>.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20F35" w14:textId="77777777" w:rsidR="003912FC" w:rsidRDefault="003912FC" w:rsidP="003912F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9C6D973" w14:textId="79F22E7C" w:rsidR="00110226" w:rsidRDefault="000A19D4" w:rsidP="009C612D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45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542C92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4E0B03">
        <w:rPr>
          <w:rFonts w:ascii="Times New Roman" w:hAnsi="Times New Roman" w:cs="Times New Roman"/>
          <w:sz w:val="24"/>
          <w:szCs w:val="24"/>
        </w:rPr>
        <w:t>allowing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owners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C22DAD">
        <w:rPr>
          <w:rFonts w:ascii="Times New Roman" w:hAnsi="Times New Roman" w:cs="Times New Roman"/>
          <w:sz w:val="24"/>
          <w:szCs w:val="24"/>
        </w:rPr>
        <w:t>water</w:t>
      </w:r>
      <w:r w:rsidRPr="00110226">
        <w:rPr>
          <w:rFonts w:ascii="Times New Roman" w:hAnsi="Times New Roman" w:cs="Times New Roman"/>
          <w:sz w:val="24"/>
          <w:szCs w:val="24"/>
        </w:rPr>
        <w:t xml:space="preserve"> compan</w:t>
      </w:r>
      <w:r w:rsidR="00C22DAD">
        <w:rPr>
          <w:rFonts w:ascii="Times New Roman" w:hAnsi="Times New Roman" w:cs="Times New Roman"/>
          <w:sz w:val="24"/>
          <w:szCs w:val="24"/>
        </w:rPr>
        <w:t>ies with negative investment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to earn a return on</w:t>
      </w:r>
      <w:r w:rsidR="00955D7E">
        <w:rPr>
          <w:rFonts w:ascii="Times New Roman" w:hAnsi="Times New Roman" w:cs="Times New Roman"/>
          <w:sz w:val="24"/>
          <w:szCs w:val="24"/>
        </w:rPr>
        <w:t xml:space="preserve"> any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new water plant investments</w:t>
      </w:r>
      <w:r w:rsidR="00A36745">
        <w:rPr>
          <w:rFonts w:ascii="Times New Roman" w:hAnsi="Times New Roman" w:cs="Times New Roman"/>
          <w:sz w:val="24"/>
          <w:szCs w:val="24"/>
        </w:rPr>
        <w:t xml:space="preserve"> going forward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. </w:t>
      </w:r>
      <w:r w:rsidR="004E0B03">
        <w:rPr>
          <w:rFonts w:ascii="Times New Roman" w:hAnsi="Times New Roman" w:cs="Times New Roman"/>
          <w:sz w:val="24"/>
          <w:szCs w:val="24"/>
        </w:rPr>
        <w:t>T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4529E7">
        <w:rPr>
          <w:rFonts w:ascii="Times New Roman" w:hAnsi="Times New Roman" w:cs="Times New Roman"/>
          <w:sz w:val="24"/>
          <w:szCs w:val="24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would </w:t>
      </w:r>
      <w:r w:rsidR="003716CB">
        <w:rPr>
          <w:rFonts w:ascii="Times New Roman" w:hAnsi="Times New Roman" w:cs="Times New Roman"/>
          <w:sz w:val="24"/>
          <w:szCs w:val="24"/>
        </w:rPr>
        <w:t xml:space="preserve">in effect </w:t>
      </w:r>
      <w:r w:rsidR="009434F9" w:rsidRPr="00110226">
        <w:rPr>
          <w:rFonts w:ascii="Times New Roman" w:hAnsi="Times New Roman" w:cs="Times New Roman"/>
          <w:sz w:val="24"/>
          <w:szCs w:val="24"/>
        </w:rPr>
        <w:t>segregate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new investments from the</w:t>
      </w:r>
      <w:r w:rsidR="004E0B03">
        <w:rPr>
          <w:rFonts w:ascii="Times New Roman" w:hAnsi="Times New Roman" w:cs="Times New Roman"/>
          <w:sz w:val="24"/>
          <w:szCs w:val="24"/>
        </w:rPr>
        <w:t xml:space="preserve"> </w:t>
      </w:r>
      <w:r w:rsidR="009434F9">
        <w:rPr>
          <w:rFonts w:ascii="Times New Roman" w:hAnsi="Times New Roman" w:cs="Times New Roman"/>
          <w:sz w:val="24"/>
          <w:szCs w:val="24"/>
        </w:rPr>
        <w:t>historical operating</w:t>
      </w:r>
      <w:r w:rsidR="004E0B03">
        <w:rPr>
          <w:rFonts w:ascii="Times New Roman" w:hAnsi="Times New Roman" w:cs="Times New Roman"/>
          <w:sz w:val="24"/>
          <w:szCs w:val="24"/>
        </w:rPr>
        <w:t xml:space="preserve"> results </w:t>
      </w:r>
      <w:r w:rsidR="00110226" w:rsidRPr="00110226">
        <w:rPr>
          <w:rFonts w:ascii="Times New Roman" w:hAnsi="Times New Roman" w:cs="Times New Roman"/>
          <w:sz w:val="24"/>
          <w:szCs w:val="24"/>
        </w:rPr>
        <w:t>creat</w:t>
      </w:r>
      <w:r w:rsidR="004E0B03">
        <w:rPr>
          <w:rFonts w:ascii="Times New Roman" w:hAnsi="Times New Roman" w:cs="Times New Roman"/>
          <w:sz w:val="24"/>
          <w:szCs w:val="24"/>
        </w:rPr>
        <w:t>ing</w:t>
      </w:r>
      <w:r w:rsidR="009434F9">
        <w:rPr>
          <w:rFonts w:ascii="Times New Roman" w:hAnsi="Times New Roman" w:cs="Times New Roman"/>
          <w:sz w:val="24"/>
          <w:szCs w:val="24"/>
        </w:rPr>
        <w:t xml:space="preserve"> a fresh start and </w:t>
      </w:r>
      <w:r w:rsidR="00110226" w:rsidRPr="00110226">
        <w:rPr>
          <w:rFonts w:ascii="Times New Roman" w:hAnsi="Times New Roman" w:cs="Times New Roman"/>
          <w:sz w:val="24"/>
          <w:szCs w:val="24"/>
        </w:rPr>
        <w:t>a</w:t>
      </w:r>
      <w:r w:rsidR="004E0B03">
        <w:rPr>
          <w:rFonts w:ascii="Times New Roman" w:hAnsi="Times New Roman" w:cs="Times New Roman"/>
          <w:sz w:val="24"/>
          <w:szCs w:val="24"/>
        </w:rPr>
        <w:t xml:space="preserve"> strong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inducement to invest</w:t>
      </w:r>
      <w:r w:rsidR="0038315B">
        <w:rPr>
          <w:rFonts w:ascii="Times New Roman" w:hAnsi="Times New Roman" w:cs="Times New Roman"/>
          <w:sz w:val="24"/>
          <w:szCs w:val="24"/>
        </w:rPr>
        <w:t>.</w:t>
      </w:r>
    </w:p>
    <w:p w14:paraId="6C90EC0A" w14:textId="77777777" w:rsidR="0038315B" w:rsidRDefault="0038315B" w:rsidP="009C612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A3E0E4C" w14:textId="1C5A6553" w:rsidR="003716CB" w:rsidRDefault="0038315B" w:rsidP="006444DA">
      <w:pPr>
        <w:pStyle w:val="NoSpacing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="004C421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C1E9E" w14:textId="73CDD752" w:rsidR="0038315B" w:rsidRDefault="002679E8" w:rsidP="001A2FC5">
      <w:pPr>
        <w:pStyle w:val="NoSpacing"/>
        <w:numPr>
          <w:ilvl w:val="0"/>
          <w:numId w:val="34"/>
        </w:num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concerns, constraints or challenges should the </w:t>
      </w:r>
      <w:r w:rsidR="00E70E2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consider when considering the use of the </w:t>
      </w:r>
      <w:r w:rsidR="0038315B" w:rsidRPr="0038315B">
        <w:rPr>
          <w:rFonts w:ascii="Times New Roman" w:hAnsi="Times New Roman" w:cs="Times New Roman"/>
          <w:sz w:val="24"/>
          <w:szCs w:val="24"/>
        </w:rPr>
        <w:t>Marginal Investment Approach</w:t>
      </w:r>
      <w:r>
        <w:rPr>
          <w:rFonts w:ascii="Times New Roman" w:hAnsi="Times New Roman" w:cs="Times New Roman"/>
          <w:sz w:val="24"/>
          <w:szCs w:val="24"/>
        </w:rPr>
        <w:t xml:space="preserve"> for setting rates</w:t>
      </w:r>
      <w:r w:rsidR="0038315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2C3F4D0" w14:textId="053556AA" w:rsidR="003716CB" w:rsidRPr="0038315B" w:rsidRDefault="00FF2070" w:rsidP="003912FC">
      <w:pPr>
        <w:pStyle w:val="NoSpacing"/>
        <w:numPr>
          <w:ilvl w:val="0"/>
          <w:numId w:val="34"/>
        </w:numPr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070">
        <w:rPr>
          <w:rFonts w:ascii="Times New Roman" w:hAnsi="Times New Roman" w:cs="Times New Roman"/>
          <w:sz w:val="24"/>
          <w:szCs w:val="24"/>
        </w:rPr>
        <w:t>Would such an approach be unfair to rate payers or result in unjust windfall to the company</w:t>
      </w:r>
      <w:r w:rsidR="004C421D">
        <w:rPr>
          <w:rFonts w:ascii="Times New Roman" w:hAnsi="Times New Roman" w:cs="Times New Roman"/>
          <w:sz w:val="24"/>
          <w:szCs w:val="24"/>
        </w:rPr>
        <w:t>?</w:t>
      </w:r>
    </w:p>
    <w:p w14:paraId="61EF44ED" w14:textId="77777777" w:rsidR="0038315B" w:rsidRDefault="0038315B" w:rsidP="001102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C75E486" w14:textId="3FFBD0E8" w:rsidR="003912FC" w:rsidRDefault="00110226" w:rsidP="00633009">
      <w:pPr>
        <w:pStyle w:val="NoSpacing"/>
        <w:numPr>
          <w:ilvl w:val="0"/>
          <w:numId w:val="32"/>
        </w:numPr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b/>
          <w:sz w:val="24"/>
          <w:szCs w:val="24"/>
        </w:rPr>
        <w:t>Operating Ratio Rate Setting</w:t>
      </w:r>
      <w:r w:rsidRPr="00E92948">
        <w:rPr>
          <w:rFonts w:ascii="Times New Roman" w:hAnsi="Times New Roman" w:cs="Times New Roman"/>
          <w:sz w:val="24"/>
          <w:szCs w:val="24"/>
        </w:rPr>
        <w:t>.</w:t>
      </w:r>
      <w:r w:rsidR="006444DA" w:rsidRPr="00E92948">
        <w:rPr>
          <w:rFonts w:ascii="Times New Roman" w:hAnsi="Times New Roman" w:cs="Times New Roman"/>
          <w:sz w:val="24"/>
          <w:szCs w:val="24"/>
        </w:rPr>
        <w:br/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The Commission is considering </w:t>
      </w:r>
      <w:r w:rsidR="00EE3C57">
        <w:rPr>
          <w:rFonts w:ascii="Times New Roman" w:hAnsi="Times New Roman" w:cs="Times New Roman"/>
          <w:sz w:val="24"/>
          <w:szCs w:val="24"/>
        </w:rPr>
        <w:t>using</w:t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 operating ratio</w:t>
      </w:r>
      <w:r w:rsidR="00EE3C57">
        <w:rPr>
          <w:rFonts w:ascii="Times New Roman" w:hAnsi="Times New Roman" w:cs="Times New Roman"/>
          <w:sz w:val="24"/>
          <w:szCs w:val="24"/>
        </w:rPr>
        <w:t>,</w:t>
      </w:r>
      <w:r w:rsidR="00EE3C57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EE3C57">
        <w:rPr>
          <w:rFonts w:ascii="Times New Roman" w:hAnsi="Times New Roman" w:cs="Times New Roman"/>
          <w:sz w:val="24"/>
          <w:szCs w:val="24"/>
        </w:rPr>
        <w:t xml:space="preserve">a recognized measure of </w:t>
      </w:r>
      <w:r w:rsidR="00EE3C57" w:rsidRPr="00413275">
        <w:rPr>
          <w:rFonts w:ascii="Times New Roman" w:hAnsi="Times New Roman" w:cs="Times New Roman"/>
          <w:sz w:val="24"/>
          <w:szCs w:val="24"/>
        </w:rPr>
        <w:t>profitability</w:t>
      </w:r>
      <w:r w:rsidR="00EE3C57">
        <w:rPr>
          <w:rFonts w:ascii="Times New Roman" w:hAnsi="Times New Roman" w:cs="Times New Roman"/>
          <w:sz w:val="24"/>
          <w:szCs w:val="24"/>
        </w:rPr>
        <w:t>,</w:t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 for setting </w:t>
      </w:r>
      <w:r w:rsidR="00EE3C57">
        <w:rPr>
          <w:rFonts w:ascii="Times New Roman" w:hAnsi="Times New Roman" w:cs="Times New Roman"/>
          <w:sz w:val="24"/>
          <w:szCs w:val="24"/>
        </w:rPr>
        <w:t>revenue requirements</w:t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 for </w:t>
      </w:r>
      <w:r w:rsidR="00C22DAD" w:rsidRPr="00E92948">
        <w:rPr>
          <w:rFonts w:ascii="Times New Roman" w:hAnsi="Times New Roman" w:cs="Times New Roman"/>
          <w:sz w:val="24"/>
          <w:szCs w:val="24"/>
        </w:rPr>
        <w:t>w</w:t>
      </w:r>
      <w:r w:rsidRPr="00E92948">
        <w:rPr>
          <w:rFonts w:ascii="Times New Roman" w:hAnsi="Times New Roman" w:cs="Times New Roman"/>
          <w:sz w:val="24"/>
          <w:szCs w:val="24"/>
        </w:rPr>
        <w:t>ater compan</w:t>
      </w:r>
      <w:r w:rsidR="00C22DAD" w:rsidRPr="00E92948">
        <w:rPr>
          <w:rFonts w:ascii="Times New Roman" w:hAnsi="Times New Roman" w:cs="Times New Roman"/>
          <w:sz w:val="24"/>
          <w:szCs w:val="24"/>
        </w:rPr>
        <w:t>ies</w:t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 that</w:t>
      </w:r>
      <w:r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1968B6" w:rsidRPr="00E92948">
        <w:rPr>
          <w:rFonts w:ascii="Times New Roman" w:hAnsi="Times New Roman" w:cs="Times New Roman"/>
          <w:sz w:val="24"/>
          <w:szCs w:val="24"/>
        </w:rPr>
        <w:t>lack</w:t>
      </w:r>
      <w:r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C22DAD" w:rsidRPr="00E92948">
        <w:rPr>
          <w:rFonts w:ascii="Times New Roman" w:hAnsi="Times New Roman" w:cs="Times New Roman"/>
          <w:sz w:val="24"/>
          <w:szCs w:val="24"/>
        </w:rPr>
        <w:t xml:space="preserve">sufficient </w:t>
      </w:r>
      <w:r w:rsidRPr="00E92948">
        <w:rPr>
          <w:rFonts w:ascii="Times New Roman" w:hAnsi="Times New Roman" w:cs="Times New Roman"/>
          <w:sz w:val="24"/>
          <w:szCs w:val="24"/>
        </w:rPr>
        <w:t xml:space="preserve">rate base </w:t>
      </w:r>
      <w:r w:rsidR="00C22DAD" w:rsidRPr="00E92948">
        <w:rPr>
          <w:rFonts w:ascii="Times New Roman" w:hAnsi="Times New Roman" w:cs="Times New Roman"/>
          <w:sz w:val="24"/>
          <w:szCs w:val="24"/>
        </w:rPr>
        <w:t>and</w:t>
      </w:r>
      <w:r w:rsidRPr="00E92948">
        <w:rPr>
          <w:rFonts w:ascii="Times New Roman" w:hAnsi="Times New Roman" w:cs="Times New Roman"/>
          <w:sz w:val="24"/>
          <w:szCs w:val="24"/>
        </w:rPr>
        <w:t xml:space="preserve"> funds for additional investment. </w:t>
      </w:r>
      <w:r w:rsidR="00EE3C57">
        <w:rPr>
          <w:rFonts w:ascii="Times New Roman" w:hAnsi="Times New Roman" w:cs="Times New Roman"/>
          <w:sz w:val="24"/>
          <w:szCs w:val="24"/>
        </w:rPr>
        <w:t xml:space="preserve">Although </w:t>
      </w:r>
      <w:r w:rsidR="00E92948" w:rsidRPr="00E92948">
        <w:rPr>
          <w:rFonts w:ascii="Times New Roman" w:hAnsi="Times New Roman" w:cs="Times New Roman"/>
          <w:sz w:val="24"/>
          <w:szCs w:val="24"/>
        </w:rPr>
        <w:t>these</w:t>
      </w:r>
      <w:r w:rsidR="001968B6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sz w:val="24"/>
          <w:szCs w:val="24"/>
        </w:rPr>
        <w:t xml:space="preserve">companies </w:t>
      </w:r>
      <w:r w:rsidR="00EE3C57">
        <w:rPr>
          <w:rFonts w:ascii="Times New Roman" w:hAnsi="Times New Roman" w:cs="Times New Roman"/>
          <w:sz w:val="24"/>
          <w:szCs w:val="24"/>
        </w:rPr>
        <w:t xml:space="preserve">commonly </w:t>
      </w:r>
      <w:r w:rsidRPr="00E92948">
        <w:rPr>
          <w:rFonts w:ascii="Times New Roman" w:hAnsi="Times New Roman" w:cs="Times New Roman"/>
          <w:sz w:val="24"/>
          <w:szCs w:val="24"/>
        </w:rPr>
        <w:t xml:space="preserve">serve </w:t>
      </w:r>
      <w:r w:rsidR="00C22DAD" w:rsidRPr="00E92948">
        <w:rPr>
          <w:rFonts w:ascii="Times New Roman" w:hAnsi="Times New Roman" w:cs="Times New Roman"/>
          <w:sz w:val="24"/>
          <w:szCs w:val="24"/>
        </w:rPr>
        <w:t xml:space="preserve">communities with little or </w:t>
      </w:r>
      <w:r w:rsidR="00E52591" w:rsidRPr="00E92948">
        <w:rPr>
          <w:rFonts w:ascii="Times New Roman" w:hAnsi="Times New Roman" w:cs="Times New Roman"/>
          <w:sz w:val="24"/>
          <w:szCs w:val="24"/>
        </w:rPr>
        <w:t>no</w:t>
      </w:r>
      <w:r w:rsidR="00C22DAD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E52591" w:rsidRPr="00E92948">
        <w:rPr>
          <w:rFonts w:ascii="Times New Roman" w:hAnsi="Times New Roman" w:cs="Times New Roman"/>
          <w:sz w:val="24"/>
          <w:szCs w:val="24"/>
        </w:rPr>
        <w:t>growth</w:t>
      </w:r>
      <w:r w:rsidR="00EE3C57">
        <w:rPr>
          <w:rFonts w:ascii="Times New Roman" w:hAnsi="Times New Roman" w:cs="Times New Roman"/>
          <w:sz w:val="24"/>
          <w:szCs w:val="24"/>
        </w:rPr>
        <w:t>,</w:t>
      </w:r>
      <w:r w:rsidR="00EA05F0">
        <w:rPr>
          <w:rFonts w:ascii="Times New Roman" w:hAnsi="Times New Roman" w:cs="Times New Roman"/>
          <w:sz w:val="24"/>
          <w:szCs w:val="24"/>
        </w:rPr>
        <w:t xml:space="preserve"> </w:t>
      </w:r>
      <w:r w:rsidR="00EE3C57">
        <w:rPr>
          <w:rFonts w:ascii="Times New Roman" w:hAnsi="Times New Roman" w:cs="Times New Roman"/>
          <w:sz w:val="24"/>
          <w:szCs w:val="24"/>
        </w:rPr>
        <w:t xml:space="preserve">the operating ratio approach could potentially provide cash flow to provide funds for unexpected repairs, plant replacement and possibly capital for community growth opportunities. </w:t>
      </w:r>
      <w:r w:rsidR="00EA05F0">
        <w:rPr>
          <w:rFonts w:ascii="Times New Roman" w:hAnsi="Times New Roman" w:cs="Times New Roman"/>
          <w:sz w:val="24"/>
          <w:szCs w:val="24"/>
        </w:rPr>
        <w:t xml:space="preserve">Allowed revenue would be computed using an industry-based relationship between revenue and expenses. </w:t>
      </w:r>
      <w:r w:rsidR="00E92948">
        <w:rPr>
          <w:rFonts w:ascii="Times New Roman" w:hAnsi="Times New Roman" w:cs="Times New Roman"/>
          <w:sz w:val="24"/>
          <w:szCs w:val="24"/>
        </w:rPr>
        <w:br/>
      </w:r>
    </w:p>
    <w:p w14:paraId="250E65CC" w14:textId="63D16254" w:rsidR="00DA4A8B" w:rsidRDefault="00DA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641096" w14:textId="77777777" w:rsidR="009E5EF5" w:rsidRPr="00E92948" w:rsidRDefault="009E5EF5" w:rsidP="009E5EF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ED9BD3" w14:textId="77777777" w:rsidR="00E36259" w:rsidRDefault="00E36259" w:rsidP="006444DA">
      <w:pPr>
        <w:pStyle w:val="NoSpacing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FC64B" w14:textId="790A3CD1" w:rsidR="00E36259" w:rsidRDefault="00D619AC" w:rsidP="001A2FC5">
      <w:pPr>
        <w:pStyle w:val="NoSpacing"/>
        <w:numPr>
          <w:ilvl w:val="0"/>
          <w:numId w:val="35"/>
        </w:num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concerns, constraints or challenges should the </w:t>
      </w:r>
      <w:r w:rsidR="00E70E2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 consider w</w:t>
      </w:r>
      <w:r w:rsidR="00E36259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>looking at</w:t>
      </w:r>
      <w:r w:rsidR="00E36259">
        <w:rPr>
          <w:rFonts w:ascii="Times New Roman" w:hAnsi="Times New Roman" w:cs="Times New Roman"/>
          <w:sz w:val="24"/>
          <w:szCs w:val="24"/>
        </w:rPr>
        <w:t xml:space="preserve"> the use of operating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AD">
        <w:rPr>
          <w:rFonts w:ascii="Times New Roman" w:hAnsi="Times New Roman" w:cs="Times New Roman"/>
          <w:sz w:val="24"/>
          <w:szCs w:val="24"/>
        </w:rPr>
        <w:t xml:space="preserve">to set rates for </w:t>
      </w:r>
      <w:r>
        <w:rPr>
          <w:rFonts w:ascii="Times New Roman" w:hAnsi="Times New Roman" w:cs="Times New Roman"/>
          <w:sz w:val="24"/>
          <w:szCs w:val="24"/>
        </w:rPr>
        <w:t>water compan</w:t>
      </w:r>
      <w:r w:rsidR="00C22DAD">
        <w:rPr>
          <w:rFonts w:ascii="Times New Roman" w:hAnsi="Times New Roman" w:cs="Times New Roman"/>
          <w:sz w:val="24"/>
          <w:szCs w:val="24"/>
        </w:rPr>
        <w:t>ies</w:t>
      </w:r>
      <w:r w:rsidR="00E3625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AE70085" w14:textId="62A57ADF" w:rsidR="00E36259" w:rsidRDefault="00FF2070" w:rsidP="006444DA">
      <w:pPr>
        <w:pStyle w:val="NoSpacing"/>
        <w:numPr>
          <w:ilvl w:val="0"/>
          <w:numId w:val="3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FF2070">
        <w:rPr>
          <w:rFonts w:ascii="Times New Roman" w:hAnsi="Times New Roman" w:cs="Times New Roman"/>
          <w:sz w:val="24"/>
          <w:szCs w:val="24"/>
        </w:rPr>
        <w:t>Would such an approach be unfair to rate payers or result in unjust windfall to the company</w:t>
      </w:r>
      <w:r w:rsidR="00E36259">
        <w:rPr>
          <w:rFonts w:ascii="Times New Roman" w:hAnsi="Times New Roman" w:cs="Times New Roman"/>
          <w:sz w:val="24"/>
          <w:szCs w:val="24"/>
        </w:rPr>
        <w:t>?</w:t>
      </w:r>
    </w:p>
    <w:p w14:paraId="1CAC648B" w14:textId="77777777" w:rsidR="005F1566" w:rsidRPr="0038315B" w:rsidRDefault="005F1566" w:rsidP="005F156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76EE00" w14:textId="0281927D" w:rsidR="00110226" w:rsidRDefault="00110226" w:rsidP="003912FC">
      <w:pPr>
        <w:pStyle w:val="NoSpacing"/>
        <w:numPr>
          <w:ilvl w:val="0"/>
          <w:numId w:val="32"/>
        </w:numPr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D4A">
        <w:rPr>
          <w:rFonts w:ascii="Times New Roman" w:hAnsi="Times New Roman" w:cs="Times New Roman"/>
          <w:b/>
          <w:sz w:val="24"/>
          <w:szCs w:val="24"/>
        </w:rPr>
        <w:t>Inflation Adjustment Filing.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6444DA">
        <w:rPr>
          <w:rFonts w:ascii="Times New Roman" w:hAnsi="Times New Roman" w:cs="Times New Roman"/>
          <w:sz w:val="24"/>
          <w:szCs w:val="24"/>
        </w:rPr>
        <w:br/>
      </w:r>
      <w:r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C22DAD">
        <w:rPr>
          <w:rFonts w:ascii="Times New Roman" w:hAnsi="Times New Roman" w:cs="Times New Roman"/>
          <w:sz w:val="24"/>
          <w:szCs w:val="24"/>
        </w:rPr>
        <w:t>’s process for</w:t>
      </w:r>
      <w:r w:rsidR="004529E7">
        <w:rPr>
          <w:rFonts w:ascii="Times New Roman" w:hAnsi="Times New Roman" w:cs="Times New Roman"/>
          <w:sz w:val="24"/>
          <w:szCs w:val="24"/>
        </w:rPr>
        <w:t xml:space="preserve"> </w:t>
      </w:r>
      <w:r w:rsidR="00C22DAD">
        <w:rPr>
          <w:rFonts w:ascii="Times New Roman" w:hAnsi="Times New Roman" w:cs="Times New Roman"/>
          <w:sz w:val="24"/>
          <w:szCs w:val="24"/>
        </w:rPr>
        <w:t xml:space="preserve">setting </w:t>
      </w:r>
      <w:r w:rsidRPr="00110226">
        <w:rPr>
          <w:rFonts w:ascii="Times New Roman" w:hAnsi="Times New Roman" w:cs="Times New Roman"/>
          <w:sz w:val="24"/>
          <w:szCs w:val="24"/>
        </w:rPr>
        <w:t xml:space="preserve">rates </w:t>
      </w:r>
      <w:r w:rsidR="00D619AC">
        <w:rPr>
          <w:rFonts w:ascii="Times New Roman" w:hAnsi="Times New Roman" w:cs="Times New Roman"/>
          <w:sz w:val="24"/>
          <w:szCs w:val="24"/>
        </w:rPr>
        <w:t xml:space="preserve">can </w:t>
      </w:r>
      <w:r w:rsidRPr="00110226">
        <w:rPr>
          <w:rFonts w:ascii="Times New Roman" w:hAnsi="Times New Roman" w:cs="Times New Roman"/>
          <w:sz w:val="24"/>
          <w:szCs w:val="24"/>
        </w:rPr>
        <w:t xml:space="preserve">create challenges for </w:t>
      </w:r>
      <w:r w:rsidR="00D619AC">
        <w:rPr>
          <w:rFonts w:ascii="Times New Roman" w:hAnsi="Times New Roman" w:cs="Times New Roman"/>
          <w:sz w:val="24"/>
          <w:szCs w:val="24"/>
        </w:rPr>
        <w:t xml:space="preserve">many </w:t>
      </w:r>
      <w:r w:rsidRPr="00110226">
        <w:rPr>
          <w:rFonts w:ascii="Times New Roman" w:hAnsi="Times New Roman" w:cs="Times New Roman"/>
          <w:sz w:val="24"/>
          <w:szCs w:val="24"/>
        </w:rPr>
        <w:t>water companies. The cost and complexity of pursuing a general rate case</w:t>
      </w:r>
      <w:r w:rsidR="00D619AC">
        <w:rPr>
          <w:rFonts w:ascii="Times New Roman" w:hAnsi="Times New Roman" w:cs="Times New Roman"/>
          <w:sz w:val="24"/>
          <w:szCs w:val="24"/>
        </w:rPr>
        <w:t xml:space="preserve"> </w:t>
      </w:r>
      <w:r w:rsidR="00C22DAD">
        <w:rPr>
          <w:rFonts w:ascii="Times New Roman" w:hAnsi="Times New Roman" w:cs="Times New Roman"/>
          <w:sz w:val="24"/>
          <w:szCs w:val="24"/>
        </w:rPr>
        <w:t>are</w:t>
      </w:r>
      <w:r w:rsidR="00F73392">
        <w:rPr>
          <w:rFonts w:ascii="Times New Roman" w:hAnsi="Times New Roman" w:cs="Times New Roman"/>
          <w:sz w:val="24"/>
          <w:szCs w:val="24"/>
        </w:rPr>
        <w:t xml:space="preserve"> </w:t>
      </w:r>
      <w:r w:rsidR="00CA7888" w:rsidRPr="00110226">
        <w:rPr>
          <w:rFonts w:ascii="Times New Roman" w:hAnsi="Times New Roman" w:cs="Times New Roman"/>
          <w:sz w:val="24"/>
          <w:szCs w:val="24"/>
        </w:rPr>
        <w:t>reason</w:t>
      </w:r>
      <w:r w:rsidR="00C22DAD">
        <w:rPr>
          <w:rFonts w:ascii="Times New Roman" w:hAnsi="Times New Roman" w:cs="Times New Roman"/>
          <w:sz w:val="24"/>
          <w:szCs w:val="24"/>
        </w:rPr>
        <w:t>s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CA7888">
        <w:rPr>
          <w:rFonts w:ascii="Times New Roman" w:hAnsi="Times New Roman" w:cs="Times New Roman"/>
          <w:sz w:val="24"/>
          <w:szCs w:val="24"/>
        </w:rPr>
        <w:t xml:space="preserve">for </w:t>
      </w:r>
      <w:r w:rsidRPr="00110226">
        <w:rPr>
          <w:rFonts w:ascii="Times New Roman" w:hAnsi="Times New Roman" w:cs="Times New Roman"/>
          <w:sz w:val="24"/>
          <w:szCs w:val="24"/>
        </w:rPr>
        <w:t xml:space="preserve">companies to defer or avoid </w:t>
      </w:r>
      <w:r w:rsidR="00C22DAD">
        <w:rPr>
          <w:rFonts w:ascii="Times New Roman" w:hAnsi="Times New Roman" w:cs="Times New Roman"/>
          <w:sz w:val="24"/>
          <w:szCs w:val="24"/>
        </w:rPr>
        <w:t xml:space="preserve">requesting </w:t>
      </w:r>
      <w:r w:rsidRPr="00110226">
        <w:rPr>
          <w:rFonts w:ascii="Times New Roman" w:hAnsi="Times New Roman" w:cs="Times New Roman"/>
          <w:sz w:val="24"/>
          <w:szCs w:val="24"/>
        </w:rPr>
        <w:t>necessary rate increases.</w:t>
      </w:r>
      <w:r w:rsidRPr="007C0450">
        <w:rPr>
          <w:rStyle w:val="FootnoteReference"/>
          <w:sz w:val="20"/>
          <w:szCs w:val="20"/>
        </w:rPr>
        <w:footnoteReference w:id="2"/>
      </w:r>
      <w:r w:rsidR="00D619AC">
        <w:rPr>
          <w:rFonts w:ascii="Times New Roman" w:hAnsi="Times New Roman" w:cs="Times New Roman"/>
          <w:sz w:val="24"/>
          <w:szCs w:val="24"/>
        </w:rPr>
        <w:t xml:space="preserve"> </w:t>
      </w:r>
      <w:r w:rsidR="00D619AC" w:rsidRPr="00110226">
        <w:rPr>
          <w:rFonts w:ascii="Times New Roman" w:hAnsi="Times New Roman" w:cs="Times New Roman"/>
          <w:sz w:val="24"/>
          <w:szCs w:val="24"/>
        </w:rPr>
        <w:t>To make matters worse,</w:t>
      </w:r>
      <w:r w:rsidR="00D619AC">
        <w:rPr>
          <w:rFonts w:ascii="Times New Roman" w:hAnsi="Times New Roman" w:cs="Times New Roman"/>
          <w:sz w:val="24"/>
          <w:szCs w:val="24"/>
        </w:rPr>
        <w:t xml:space="preserve"> in periods of inflation,</w:t>
      </w:r>
      <w:r w:rsidR="00CA7888">
        <w:rPr>
          <w:rFonts w:ascii="Times New Roman" w:hAnsi="Times New Roman" w:cs="Times New Roman"/>
          <w:sz w:val="24"/>
          <w:szCs w:val="24"/>
        </w:rPr>
        <w:t xml:space="preserve"> </w:t>
      </w:r>
      <w:r w:rsidR="00D619AC" w:rsidRPr="00110226">
        <w:rPr>
          <w:rFonts w:ascii="Times New Roman" w:hAnsi="Times New Roman" w:cs="Times New Roman"/>
          <w:sz w:val="24"/>
          <w:szCs w:val="24"/>
        </w:rPr>
        <w:t>small wa</w:t>
      </w:r>
      <w:r w:rsidR="00CA7888">
        <w:rPr>
          <w:rFonts w:ascii="Times New Roman" w:hAnsi="Times New Roman" w:cs="Times New Roman"/>
          <w:sz w:val="24"/>
          <w:szCs w:val="24"/>
        </w:rPr>
        <w:t>ter companies are</w:t>
      </w:r>
      <w:r w:rsidR="00D619AC" w:rsidRPr="00110226">
        <w:rPr>
          <w:rFonts w:ascii="Times New Roman" w:hAnsi="Times New Roman" w:cs="Times New Roman"/>
          <w:sz w:val="24"/>
          <w:szCs w:val="24"/>
        </w:rPr>
        <w:t xml:space="preserve"> more susceptible to the im</w:t>
      </w:r>
      <w:r w:rsidR="00CA7888">
        <w:rPr>
          <w:rFonts w:ascii="Times New Roman" w:hAnsi="Times New Roman" w:cs="Times New Roman"/>
          <w:sz w:val="24"/>
          <w:szCs w:val="24"/>
        </w:rPr>
        <w:t xml:space="preserve">pact of </w:t>
      </w:r>
      <w:r w:rsidR="007C4503">
        <w:rPr>
          <w:rFonts w:ascii="Times New Roman" w:hAnsi="Times New Roman" w:cs="Times New Roman"/>
          <w:sz w:val="24"/>
          <w:szCs w:val="24"/>
        </w:rPr>
        <w:t xml:space="preserve">increased expenses </w:t>
      </w:r>
      <w:r w:rsidR="00CA7888">
        <w:rPr>
          <w:rFonts w:ascii="Times New Roman" w:hAnsi="Times New Roman" w:cs="Times New Roman"/>
          <w:sz w:val="24"/>
          <w:szCs w:val="24"/>
        </w:rPr>
        <w:t>because of</w:t>
      </w:r>
      <w:r w:rsidR="00D619AC" w:rsidRPr="00110226">
        <w:rPr>
          <w:rFonts w:ascii="Times New Roman" w:hAnsi="Times New Roman" w:cs="Times New Roman"/>
          <w:sz w:val="24"/>
          <w:szCs w:val="24"/>
        </w:rPr>
        <w:t xml:space="preserve"> small investment base</w:t>
      </w:r>
      <w:r w:rsidR="00CA7888">
        <w:rPr>
          <w:rFonts w:ascii="Times New Roman" w:hAnsi="Times New Roman" w:cs="Times New Roman"/>
          <w:sz w:val="24"/>
          <w:szCs w:val="24"/>
        </w:rPr>
        <w:t>s</w:t>
      </w:r>
      <w:r w:rsidR="00D619AC" w:rsidRPr="001102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6D4CCE" w14:textId="77777777" w:rsidR="003912FC" w:rsidRDefault="003912FC" w:rsidP="003912F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FB4E34E" w14:textId="726A1F73" w:rsidR="009C0582" w:rsidRDefault="009C0582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Commission is</w:t>
      </w:r>
      <w:r w:rsidRPr="00110226">
        <w:rPr>
          <w:rFonts w:ascii="Times New Roman" w:hAnsi="Times New Roman" w:cs="Times New Roman"/>
          <w:sz w:val="24"/>
          <w:szCs w:val="24"/>
        </w:rPr>
        <w:t xml:space="preserve"> consider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10226">
        <w:rPr>
          <w:rFonts w:ascii="Times New Roman" w:hAnsi="Times New Roman" w:cs="Times New Roman"/>
          <w:sz w:val="24"/>
          <w:szCs w:val="24"/>
        </w:rPr>
        <w:t xml:space="preserve"> allowing companies to adjust</w:t>
      </w:r>
      <w:r w:rsidR="00C21A04">
        <w:rPr>
          <w:rFonts w:ascii="Times New Roman" w:hAnsi="Times New Roman" w:cs="Times New Roman"/>
          <w:sz w:val="24"/>
          <w:szCs w:val="24"/>
        </w:rPr>
        <w:t xml:space="preserve"> rates</w:t>
      </w:r>
      <w:r w:rsidRPr="00110226">
        <w:rPr>
          <w:rFonts w:ascii="Times New Roman" w:hAnsi="Times New Roman" w:cs="Times New Roman"/>
          <w:sz w:val="24"/>
          <w:szCs w:val="24"/>
        </w:rPr>
        <w:t xml:space="preserve"> for </w:t>
      </w:r>
      <w:r w:rsidR="007F26D0">
        <w:rPr>
          <w:rFonts w:ascii="Times New Roman" w:hAnsi="Times New Roman" w:cs="Times New Roman"/>
          <w:sz w:val="24"/>
          <w:szCs w:val="24"/>
        </w:rPr>
        <w:t xml:space="preserve">the </w:t>
      </w:r>
      <w:r w:rsidRPr="00110226">
        <w:rPr>
          <w:rFonts w:ascii="Times New Roman" w:hAnsi="Times New Roman" w:cs="Times New Roman"/>
          <w:sz w:val="24"/>
          <w:szCs w:val="24"/>
        </w:rPr>
        <w:t>effects of inflation</w:t>
      </w:r>
      <w:r w:rsidR="007F26D0">
        <w:rPr>
          <w:rFonts w:ascii="Times New Roman" w:hAnsi="Times New Roman" w:cs="Times New Roman"/>
          <w:sz w:val="24"/>
          <w:szCs w:val="24"/>
        </w:rPr>
        <w:t xml:space="preserve"> on earnings</w:t>
      </w:r>
      <w:r w:rsidRPr="00110226">
        <w:rPr>
          <w:rFonts w:ascii="Times New Roman" w:hAnsi="Times New Roman" w:cs="Times New Roman"/>
          <w:sz w:val="24"/>
          <w:szCs w:val="24"/>
        </w:rPr>
        <w:t xml:space="preserve"> using a short-form filing. Short-form filings </w:t>
      </w:r>
      <w:r w:rsidR="00E108EB">
        <w:rPr>
          <w:rFonts w:ascii="Times New Roman" w:hAnsi="Times New Roman" w:cs="Times New Roman"/>
          <w:sz w:val="24"/>
          <w:szCs w:val="24"/>
        </w:rPr>
        <w:t xml:space="preserve">not only </w:t>
      </w:r>
      <w:r w:rsidRPr="00110226">
        <w:rPr>
          <w:rFonts w:ascii="Times New Roman" w:hAnsi="Times New Roman" w:cs="Times New Roman"/>
          <w:sz w:val="24"/>
          <w:szCs w:val="24"/>
        </w:rPr>
        <w:t>would mitigate the impact of inflation-driven increases in costs on operating income but also eliminate the cost of recurring rate cases</w:t>
      </w:r>
      <w:r w:rsidR="00042F3F">
        <w:rPr>
          <w:rFonts w:ascii="Times New Roman" w:hAnsi="Times New Roman" w:cs="Times New Roman"/>
          <w:sz w:val="24"/>
          <w:szCs w:val="24"/>
        </w:rPr>
        <w:t xml:space="preserve"> </w:t>
      </w:r>
      <w:r w:rsidR="00E108EB">
        <w:rPr>
          <w:rFonts w:ascii="Times New Roman" w:hAnsi="Times New Roman" w:cs="Times New Roman"/>
          <w:sz w:val="24"/>
          <w:szCs w:val="24"/>
        </w:rPr>
        <w:t xml:space="preserve">that </w:t>
      </w:r>
      <w:r w:rsidR="00042F3F">
        <w:rPr>
          <w:rFonts w:ascii="Times New Roman" w:hAnsi="Times New Roman" w:cs="Times New Roman"/>
          <w:sz w:val="24"/>
          <w:szCs w:val="24"/>
        </w:rPr>
        <w:t>would be</w:t>
      </w:r>
      <w:r w:rsidR="007F26D0">
        <w:rPr>
          <w:rFonts w:ascii="Times New Roman" w:hAnsi="Times New Roman" w:cs="Times New Roman"/>
          <w:sz w:val="24"/>
          <w:szCs w:val="24"/>
        </w:rPr>
        <w:t xml:space="preserve"> passed on to ratepayers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85A71" w14:textId="77777777" w:rsidR="003912FC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3D7A4A" w14:textId="6C457BFB" w:rsidR="00110226" w:rsidRDefault="00042F3F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envisioned, t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he inflation adjustment mechanism </w:t>
      </w:r>
      <w:r w:rsidR="002F1E91">
        <w:rPr>
          <w:rFonts w:ascii="Times New Roman" w:hAnsi="Times New Roman" w:cs="Times New Roman"/>
          <w:sz w:val="24"/>
          <w:szCs w:val="24"/>
        </w:rPr>
        <w:t>would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provide a</w:t>
      </w:r>
      <w:r w:rsidR="009C0582">
        <w:rPr>
          <w:rFonts w:ascii="Times New Roman" w:hAnsi="Times New Roman" w:cs="Times New Roman"/>
          <w:sz w:val="24"/>
          <w:szCs w:val="24"/>
        </w:rPr>
        <w:t xml:space="preserve"> fast-track rate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adjustment for </w:t>
      </w:r>
      <w:r w:rsidR="002F1E91">
        <w:rPr>
          <w:rFonts w:ascii="Times New Roman" w:hAnsi="Times New Roman" w:cs="Times New Roman"/>
          <w:sz w:val="24"/>
          <w:szCs w:val="24"/>
        </w:rPr>
        <w:t>the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three</w:t>
      </w:r>
      <w:r w:rsidR="00E108EB">
        <w:rPr>
          <w:rFonts w:ascii="Times New Roman" w:hAnsi="Times New Roman" w:cs="Times New Roman"/>
          <w:sz w:val="24"/>
          <w:szCs w:val="24"/>
        </w:rPr>
        <w:t>-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year period following a general rate case. The mechanism would be based on historical </w:t>
      </w:r>
      <w:r w:rsidR="002F1E91">
        <w:rPr>
          <w:rFonts w:ascii="Times New Roman" w:hAnsi="Times New Roman" w:cs="Times New Roman"/>
          <w:sz w:val="24"/>
          <w:szCs w:val="24"/>
        </w:rPr>
        <w:t xml:space="preserve">regional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inflation levels. Once a company’s general rate case is completed, the company </w:t>
      </w:r>
      <w:r w:rsidR="002F1E91">
        <w:rPr>
          <w:rFonts w:ascii="Times New Roman" w:hAnsi="Times New Roman" w:cs="Times New Roman"/>
          <w:sz w:val="24"/>
          <w:szCs w:val="24"/>
        </w:rPr>
        <w:t>could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file an </w:t>
      </w:r>
      <w:r w:rsidR="0043321C">
        <w:rPr>
          <w:rFonts w:ascii="Times New Roman" w:hAnsi="Times New Roman" w:cs="Times New Roman"/>
          <w:sz w:val="24"/>
          <w:szCs w:val="24"/>
        </w:rPr>
        <w:t xml:space="preserve">annual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inflation adjustment tariff </w:t>
      </w:r>
      <w:r w:rsidR="009C0582">
        <w:rPr>
          <w:rFonts w:ascii="Times New Roman" w:hAnsi="Times New Roman" w:cs="Times New Roman"/>
          <w:sz w:val="24"/>
          <w:szCs w:val="24"/>
        </w:rPr>
        <w:t xml:space="preserve">that requires </w:t>
      </w:r>
      <w:r w:rsidR="002F1E91">
        <w:rPr>
          <w:rFonts w:ascii="Times New Roman" w:hAnsi="Times New Roman" w:cs="Times New Roman"/>
          <w:sz w:val="24"/>
          <w:szCs w:val="24"/>
        </w:rPr>
        <w:t xml:space="preserve">only </w:t>
      </w:r>
      <w:r w:rsidR="009C0582">
        <w:rPr>
          <w:rFonts w:ascii="Times New Roman" w:hAnsi="Times New Roman" w:cs="Times New Roman"/>
          <w:sz w:val="24"/>
          <w:szCs w:val="24"/>
        </w:rPr>
        <w:t>limited information</w:t>
      </w:r>
      <w:r>
        <w:rPr>
          <w:rFonts w:ascii="Times New Roman" w:hAnsi="Times New Roman" w:cs="Times New Roman"/>
          <w:sz w:val="24"/>
          <w:szCs w:val="24"/>
        </w:rPr>
        <w:t>;</w:t>
      </w:r>
      <w:r w:rsidR="009C0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C0582">
        <w:rPr>
          <w:rFonts w:ascii="Times New Roman" w:hAnsi="Times New Roman" w:cs="Times New Roman"/>
          <w:sz w:val="24"/>
          <w:szCs w:val="24"/>
        </w:rPr>
        <w:t xml:space="preserve"> so called “short-form.” </w:t>
      </w:r>
      <w:r w:rsidR="00D56674">
        <w:rPr>
          <w:rFonts w:ascii="Times New Roman" w:hAnsi="Times New Roman" w:cs="Times New Roman"/>
          <w:sz w:val="24"/>
          <w:szCs w:val="24"/>
        </w:rPr>
        <w:t>The</w:t>
      </w:r>
      <w:r w:rsidR="00050B6C">
        <w:rPr>
          <w:rFonts w:ascii="Times New Roman" w:hAnsi="Times New Roman" w:cs="Times New Roman"/>
          <w:sz w:val="24"/>
          <w:szCs w:val="24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adjustment to a company’s </w:t>
      </w:r>
      <w:r w:rsidR="002F1E91">
        <w:rPr>
          <w:rFonts w:ascii="Times New Roman" w:hAnsi="Times New Roman" w:cs="Times New Roman"/>
          <w:sz w:val="24"/>
          <w:szCs w:val="24"/>
        </w:rPr>
        <w:t>rates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D56674">
        <w:rPr>
          <w:rFonts w:ascii="Times New Roman" w:hAnsi="Times New Roman" w:cs="Times New Roman"/>
          <w:sz w:val="24"/>
          <w:szCs w:val="24"/>
        </w:rPr>
        <w:t xml:space="preserve">would reflect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the impact of inflation </w:t>
      </w:r>
      <w:r w:rsidR="00050B6C">
        <w:rPr>
          <w:rFonts w:ascii="Times New Roman" w:hAnsi="Times New Roman" w:cs="Times New Roman"/>
          <w:sz w:val="24"/>
          <w:szCs w:val="24"/>
        </w:rPr>
        <w:t xml:space="preserve">on </w:t>
      </w:r>
      <w:r w:rsidR="00C55015">
        <w:rPr>
          <w:rFonts w:ascii="Times New Roman" w:hAnsi="Times New Roman" w:cs="Times New Roman"/>
          <w:sz w:val="24"/>
          <w:szCs w:val="24"/>
        </w:rPr>
        <w:t xml:space="preserve">expenses previously reviewed in </w:t>
      </w:r>
      <w:r w:rsidR="002F1E91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>prior</w:t>
      </w:r>
      <w:r w:rsidR="00C55015">
        <w:rPr>
          <w:rFonts w:ascii="Times New Roman" w:hAnsi="Times New Roman" w:cs="Times New Roman"/>
          <w:sz w:val="24"/>
          <w:szCs w:val="24"/>
        </w:rPr>
        <w:t xml:space="preserve"> </w:t>
      </w:r>
      <w:r w:rsidR="00050B6C">
        <w:rPr>
          <w:rFonts w:ascii="Times New Roman" w:hAnsi="Times New Roman" w:cs="Times New Roman"/>
          <w:sz w:val="24"/>
          <w:szCs w:val="24"/>
        </w:rPr>
        <w:t>rate case,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excluding depreciation and amortization expense.</w:t>
      </w:r>
      <w:r w:rsidR="00110226" w:rsidRPr="00561A1A">
        <w:rPr>
          <w:rStyle w:val="FootnoteReference"/>
          <w:sz w:val="20"/>
          <w:szCs w:val="20"/>
        </w:rPr>
        <w:footnoteReference w:id="3"/>
      </w:r>
      <w:r w:rsidR="00110226" w:rsidRPr="00561A1A">
        <w:rPr>
          <w:rStyle w:val="FootnoteReference"/>
          <w:sz w:val="20"/>
          <w:szCs w:val="20"/>
        </w:rPr>
        <w:t xml:space="preserve"> </w:t>
      </w:r>
      <w:r w:rsidR="00D56674">
        <w:rPr>
          <w:sz w:val="20"/>
          <w:szCs w:val="20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After </w:t>
      </w:r>
      <w:r w:rsidR="00D56674">
        <w:rPr>
          <w:rFonts w:ascii="Times New Roman" w:hAnsi="Times New Roman" w:cs="Times New Roman"/>
          <w:sz w:val="24"/>
          <w:szCs w:val="24"/>
        </w:rPr>
        <w:t>the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three-year period</w:t>
      </w:r>
      <w:r w:rsidR="00050B6C">
        <w:rPr>
          <w:rFonts w:ascii="Times New Roman" w:hAnsi="Times New Roman" w:cs="Times New Roman"/>
          <w:sz w:val="24"/>
          <w:szCs w:val="24"/>
        </w:rPr>
        <w:t xml:space="preserve"> following the effective date of its most recent rate case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, the </w:t>
      </w:r>
      <w:r w:rsidR="00050B6C">
        <w:rPr>
          <w:rFonts w:ascii="Times New Roman" w:hAnsi="Times New Roman" w:cs="Times New Roman"/>
          <w:sz w:val="24"/>
          <w:szCs w:val="24"/>
        </w:rPr>
        <w:t xml:space="preserve">option to use the </w:t>
      </w:r>
      <w:r w:rsidR="00110226" w:rsidRPr="00110226">
        <w:rPr>
          <w:rFonts w:ascii="Times New Roman" w:hAnsi="Times New Roman" w:cs="Times New Roman"/>
          <w:sz w:val="24"/>
          <w:szCs w:val="24"/>
        </w:rPr>
        <w:t>inflation adjustment mechanism would expire</w:t>
      </w:r>
      <w:r w:rsidR="00050B6C">
        <w:rPr>
          <w:rFonts w:ascii="Times New Roman" w:hAnsi="Times New Roman" w:cs="Times New Roman"/>
          <w:sz w:val="24"/>
          <w:szCs w:val="24"/>
        </w:rPr>
        <w:t xml:space="preserve">. </w:t>
      </w:r>
      <w:r w:rsidR="00D56674">
        <w:rPr>
          <w:rFonts w:ascii="Times New Roman" w:hAnsi="Times New Roman" w:cs="Times New Roman"/>
          <w:sz w:val="24"/>
          <w:szCs w:val="24"/>
        </w:rPr>
        <w:t>A</w:t>
      </w:r>
      <w:r w:rsidR="00110226" w:rsidRPr="00110226">
        <w:rPr>
          <w:rFonts w:ascii="Times New Roman" w:hAnsi="Times New Roman" w:cs="Times New Roman"/>
          <w:sz w:val="24"/>
          <w:szCs w:val="24"/>
        </w:rPr>
        <w:t>ny further increases in rates</w:t>
      </w:r>
      <w:r w:rsidR="00D56674" w:rsidRPr="00D56674">
        <w:rPr>
          <w:rFonts w:ascii="Times New Roman" w:hAnsi="Times New Roman" w:cs="Times New Roman"/>
          <w:sz w:val="24"/>
          <w:szCs w:val="24"/>
        </w:rPr>
        <w:t xml:space="preserve"> </w:t>
      </w:r>
      <w:r w:rsidR="00D56674">
        <w:rPr>
          <w:rFonts w:ascii="Times New Roman" w:hAnsi="Times New Roman" w:cs="Times New Roman"/>
          <w:sz w:val="24"/>
          <w:szCs w:val="24"/>
        </w:rPr>
        <w:t>would</w:t>
      </w:r>
      <w:r w:rsidR="00D56674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7859BC">
        <w:rPr>
          <w:rFonts w:ascii="Times New Roman" w:hAnsi="Times New Roman" w:cs="Times New Roman"/>
          <w:sz w:val="24"/>
          <w:szCs w:val="24"/>
        </w:rPr>
        <w:t xml:space="preserve">first </w:t>
      </w:r>
      <w:r w:rsidR="00D56674" w:rsidRPr="00110226">
        <w:rPr>
          <w:rFonts w:ascii="Times New Roman" w:hAnsi="Times New Roman" w:cs="Times New Roman"/>
          <w:sz w:val="24"/>
          <w:szCs w:val="24"/>
        </w:rPr>
        <w:t>requir</w:t>
      </w:r>
      <w:r w:rsidR="00D56674">
        <w:rPr>
          <w:rFonts w:ascii="Times New Roman" w:hAnsi="Times New Roman" w:cs="Times New Roman"/>
          <w:sz w:val="24"/>
          <w:szCs w:val="24"/>
        </w:rPr>
        <w:t>e</w:t>
      </w:r>
      <w:r w:rsidR="00D56674" w:rsidRPr="00110226">
        <w:rPr>
          <w:rFonts w:ascii="Times New Roman" w:hAnsi="Times New Roman" w:cs="Times New Roman"/>
          <w:sz w:val="24"/>
          <w:szCs w:val="24"/>
        </w:rPr>
        <w:t xml:space="preserve"> the company to return to the </w:t>
      </w:r>
      <w:r w:rsidR="00D56674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D56674" w:rsidRPr="00110226">
        <w:rPr>
          <w:rFonts w:ascii="Times New Roman" w:hAnsi="Times New Roman" w:cs="Times New Roman"/>
          <w:sz w:val="24"/>
          <w:szCs w:val="24"/>
        </w:rPr>
        <w:t xml:space="preserve">with a </w:t>
      </w:r>
      <w:r w:rsidR="00D56674">
        <w:rPr>
          <w:rFonts w:ascii="Times New Roman" w:hAnsi="Times New Roman" w:cs="Times New Roman"/>
          <w:sz w:val="24"/>
          <w:szCs w:val="24"/>
        </w:rPr>
        <w:t xml:space="preserve">full </w:t>
      </w:r>
      <w:r w:rsidR="00D56674" w:rsidRPr="00110226">
        <w:rPr>
          <w:rFonts w:ascii="Times New Roman" w:hAnsi="Times New Roman" w:cs="Times New Roman"/>
          <w:sz w:val="24"/>
          <w:szCs w:val="24"/>
        </w:rPr>
        <w:t>general rate case</w:t>
      </w:r>
      <w:r w:rsidR="00D5667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6322988F" w14:textId="7DDD1D49" w:rsidR="009E5EF5" w:rsidRDefault="009E5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B96EB6" w14:textId="77777777" w:rsidR="003912FC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8999FB" w14:textId="77777777" w:rsidR="00D81FD9" w:rsidRDefault="00D81FD9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A46077" w14:textId="77777777" w:rsidR="00373F76" w:rsidRDefault="00373F76" w:rsidP="006444DA">
      <w:pPr>
        <w:pStyle w:val="NoSpacing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57568" w14:textId="02C1E851" w:rsidR="00373F76" w:rsidRDefault="00373F76" w:rsidP="001A2FC5">
      <w:pPr>
        <w:pStyle w:val="NoSpacing"/>
        <w:numPr>
          <w:ilvl w:val="0"/>
          <w:numId w:val="36"/>
        </w:num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concerns, constraints or challenges should the </w:t>
      </w:r>
      <w:r w:rsidR="00851D0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consider when looking at the use of an inflation adjustment </w:t>
      </w:r>
      <w:r w:rsidR="006444DA">
        <w:rPr>
          <w:rFonts w:ascii="Times New Roman" w:hAnsi="Times New Roman" w:cs="Times New Roman"/>
          <w:sz w:val="24"/>
          <w:szCs w:val="24"/>
        </w:rPr>
        <w:t>filing?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F382" w14:textId="4819162E" w:rsidR="00373F76" w:rsidRDefault="00FF2070" w:rsidP="003912FC">
      <w:pPr>
        <w:pStyle w:val="NoSpacing"/>
        <w:numPr>
          <w:ilvl w:val="0"/>
          <w:numId w:val="36"/>
        </w:numPr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such an approach be unfair to rate payers or result in unjust windfall to the company</w:t>
      </w:r>
      <w:r w:rsidR="00373F76">
        <w:rPr>
          <w:rFonts w:ascii="Times New Roman" w:hAnsi="Times New Roman" w:cs="Times New Roman"/>
          <w:sz w:val="24"/>
          <w:szCs w:val="24"/>
        </w:rPr>
        <w:t>?</w:t>
      </w:r>
    </w:p>
    <w:p w14:paraId="78EA3D60" w14:textId="1E014858" w:rsidR="00FF2070" w:rsidRPr="0038315B" w:rsidRDefault="00FF2070" w:rsidP="003912FC">
      <w:pPr>
        <w:pStyle w:val="NoSpacing"/>
        <w:numPr>
          <w:ilvl w:val="0"/>
          <w:numId w:val="36"/>
        </w:numPr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three year filing window for the proposed inflation adjustment the correct length of time</w:t>
      </w:r>
      <w:r w:rsidR="002B0CD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C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there reason to make </w:t>
      </w:r>
      <w:r w:rsidR="00501174">
        <w:rPr>
          <w:rFonts w:ascii="Times New Roman" w:hAnsi="Times New Roman" w:cs="Times New Roman"/>
          <w:sz w:val="24"/>
          <w:szCs w:val="24"/>
        </w:rPr>
        <w:t xml:space="preserve">the </w:t>
      </w:r>
      <w:r w:rsidR="002B0CD0">
        <w:rPr>
          <w:rFonts w:ascii="Times New Roman" w:hAnsi="Times New Roman" w:cs="Times New Roman"/>
          <w:sz w:val="24"/>
          <w:szCs w:val="24"/>
        </w:rPr>
        <w:t xml:space="preserve">filing </w:t>
      </w:r>
      <w:r w:rsidR="00501174">
        <w:rPr>
          <w:rFonts w:ascii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hAnsi="Times New Roman" w:cs="Times New Roman"/>
          <w:sz w:val="24"/>
          <w:szCs w:val="24"/>
        </w:rPr>
        <w:t xml:space="preserve">longer or shorter? </w:t>
      </w:r>
    </w:p>
    <w:p w14:paraId="59717171" w14:textId="77777777" w:rsidR="007C0450" w:rsidRPr="0038315B" w:rsidRDefault="007C0450" w:rsidP="007C0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9D2E4" w14:textId="40B23A1B" w:rsidR="00110226" w:rsidRDefault="00110226" w:rsidP="003912FC">
      <w:pPr>
        <w:pStyle w:val="NoSpacing"/>
        <w:numPr>
          <w:ilvl w:val="0"/>
          <w:numId w:val="32"/>
        </w:numPr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44DA">
        <w:rPr>
          <w:rFonts w:ascii="Times New Roman" w:hAnsi="Times New Roman" w:cs="Times New Roman"/>
          <w:b/>
          <w:sz w:val="24"/>
          <w:szCs w:val="24"/>
        </w:rPr>
        <w:t>Contributions</w:t>
      </w:r>
      <w:r w:rsidRPr="007F6D72">
        <w:rPr>
          <w:rFonts w:ascii="Times New Roman" w:hAnsi="Times New Roman" w:cs="Times New Roman"/>
          <w:b/>
          <w:sz w:val="24"/>
          <w:szCs w:val="24"/>
        </w:rPr>
        <w:t xml:space="preserve"> in Aid of Construction</w:t>
      </w:r>
      <w:r w:rsidR="006444DA" w:rsidRPr="006444DA">
        <w:rPr>
          <w:rFonts w:ascii="Times New Roman" w:hAnsi="Times New Roman" w:cs="Times New Roman"/>
          <w:sz w:val="24"/>
          <w:szCs w:val="24"/>
        </w:rPr>
        <w:t xml:space="preserve"> </w:t>
      </w:r>
      <w:r w:rsidR="000B1D1A">
        <w:rPr>
          <w:rFonts w:ascii="Times New Roman" w:hAnsi="Times New Roman" w:cs="Times New Roman"/>
          <w:sz w:val="24"/>
          <w:szCs w:val="24"/>
        </w:rPr>
        <w:t>(</w:t>
      </w:r>
      <w:r w:rsidR="008B03DE">
        <w:rPr>
          <w:rFonts w:ascii="Times New Roman" w:hAnsi="Times New Roman" w:cs="Times New Roman"/>
          <w:b/>
          <w:sz w:val="24"/>
          <w:szCs w:val="24"/>
        </w:rPr>
        <w:t>Advances</w:t>
      </w:r>
      <w:r w:rsidR="000B1D1A">
        <w:rPr>
          <w:rFonts w:ascii="Times New Roman" w:hAnsi="Times New Roman" w:cs="Times New Roman"/>
          <w:b/>
          <w:sz w:val="24"/>
          <w:szCs w:val="24"/>
        </w:rPr>
        <w:t xml:space="preserve"> for Construction)</w:t>
      </w:r>
      <w:r w:rsidRPr="007F6D72">
        <w:rPr>
          <w:rFonts w:ascii="Times New Roman" w:hAnsi="Times New Roman" w:cs="Times New Roman"/>
          <w:b/>
          <w:sz w:val="24"/>
          <w:szCs w:val="24"/>
        </w:rPr>
        <w:t>.</w:t>
      </w:r>
      <w:r w:rsidR="006444DA">
        <w:rPr>
          <w:rFonts w:ascii="Times New Roman" w:hAnsi="Times New Roman" w:cs="Times New Roman"/>
          <w:b/>
          <w:sz w:val="24"/>
          <w:szCs w:val="24"/>
        </w:rPr>
        <w:br/>
      </w:r>
      <w:r w:rsidR="000B1D1A">
        <w:rPr>
          <w:rFonts w:ascii="Times New Roman" w:hAnsi="Times New Roman" w:cs="Times New Roman"/>
          <w:sz w:val="24"/>
          <w:szCs w:val="24"/>
        </w:rPr>
        <w:t>D</w:t>
      </w:r>
      <w:r w:rsidRPr="00110226">
        <w:rPr>
          <w:rFonts w:ascii="Times New Roman" w:hAnsi="Times New Roman" w:cs="Times New Roman"/>
          <w:sz w:val="24"/>
          <w:szCs w:val="24"/>
        </w:rPr>
        <w:t xml:space="preserve">evelopers routinely contribute funds or facilities to water </w:t>
      </w:r>
      <w:r w:rsidR="0043321C">
        <w:rPr>
          <w:rFonts w:ascii="Times New Roman" w:hAnsi="Times New Roman" w:cs="Times New Roman"/>
          <w:sz w:val="24"/>
          <w:szCs w:val="24"/>
        </w:rPr>
        <w:t>companies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F81F9F">
        <w:rPr>
          <w:rFonts w:ascii="Times New Roman" w:hAnsi="Times New Roman" w:cs="Times New Roman"/>
          <w:sz w:val="24"/>
          <w:szCs w:val="24"/>
        </w:rPr>
        <w:t xml:space="preserve">as a prerequisite </w:t>
      </w:r>
      <w:r w:rsidR="00CB7AF1">
        <w:rPr>
          <w:rFonts w:ascii="Times New Roman" w:hAnsi="Times New Roman" w:cs="Times New Roman"/>
          <w:sz w:val="24"/>
          <w:szCs w:val="24"/>
        </w:rPr>
        <w:t>to</w:t>
      </w:r>
      <w:r w:rsidR="00F81F9F">
        <w:rPr>
          <w:rFonts w:ascii="Times New Roman" w:hAnsi="Times New Roman" w:cs="Times New Roman"/>
          <w:sz w:val="24"/>
          <w:szCs w:val="24"/>
        </w:rPr>
        <w:t xml:space="preserve"> receiving</w:t>
      </w:r>
      <w:r w:rsidRPr="00110226">
        <w:rPr>
          <w:rFonts w:ascii="Times New Roman" w:hAnsi="Times New Roman" w:cs="Times New Roman"/>
          <w:sz w:val="24"/>
          <w:szCs w:val="24"/>
        </w:rPr>
        <w:t xml:space="preserve"> water service. The contribution of water </w:t>
      </w:r>
      <w:r w:rsidR="000B1D1A">
        <w:rPr>
          <w:rFonts w:ascii="Times New Roman" w:hAnsi="Times New Roman" w:cs="Times New Roman"/>
          <w:sz w:val="24"/>
          <w:szCs w:val="24"/>
        </w:rPr>
        <w:t>facilities</w:t>
      </w:r>
      <w:r w:rsidRPr="00110226">
        <w:rPr>
          <w:rFonts w:ascii="Times New Roman" w:hAnsi="Times New Roman" w:cs="Times New Roman"/>
          <w:sz w:val="24"/>
          <w:szCs w:val="24"/>
        </w:rPr>
        <w:t xml:space="preserve"> provides </w:t>
      </w:r>
      <w:r w:rsidR="000B1D1A">
        <w:rPr>
          <w:rFonts w:ascii="Times New Roman" w:hAnsi="Times New Roman" w:cs="Times New Roman"/>
          <w:sz w:val="24"/>
          <w:szCs w:val="24"/>
        </w:rPr>
        <w:t xml:space="preserve">a water company </w:t>
      </w:r>
      <w:r w:rsidRPr="00110226">
        <w:rPr>
          <w:rFonts w:ascii="Times New Roman" w:hAnsi="Times New Roman" w:cs="Times New Roman"/>
          <w:sz w:val="24"/>
          <w:szCs w:val="24"/>
        </w:rPr>
        <w:t>zero-cost financing known as Contributions in Aid of Construction (CIAC)</w:t>
      </w:r>
      <w:r w:rsidR="00F81F9F">
        <w:rPr>
          <w:rFonts w:ascii="Times New Roman" w:hAnsi="Times New Roman" w:cs="Times New Roman"/>
          <w:sz w:val="24"/>
          <w:szCs w:val="24"/>
        </w:rPr>
        <w:t xml:space="preserve"> </w:t>
      </w:r>
      <w:r w:rsidR="00B47005">
        <w:rPr>
          <w:rFonts w:ascii="Times New Roman" w:hAnsi="Times New Roman" w:cs="Times New Roman"/>
          <w:sz w:val="24"/>
          <w:szCs w:val="24"/>
        </w:rPr>
        <w:t>and allows</w:t>
      </w:r>
      <w:r w:rsidR="00F81F9F">
        <w:rPr>
          <w:rFonts w:ascii="Times New Roman" w:hAnsi="Times New Roman" w:cs="Times New Roman"/>
          <w:sz w:val="24"/>
          <w:szCs w:val="24"/>
        </w:rPr>
        <w:t xml:space="preserve"> any business risk</w:t>
      </w:r>
      <w:r w:rsidR="00B47005">
        <w:rPr>
          <w:rFonts w:ascii="Times New Roman" w:hAnsi="Times New Roman" w:cs="Times New Roman"/>
          <w:sz w:val="24"/>
          <w:szCs w:val="24"/>
        </w:rPr>
        <w:t xml:space="preserve"> to</w:t>
      </w:r>
      <w:r w:rsidR="00F81F9F">
        <w:rPr>
          <w:rFonts w:ascii="Times New Roman" w:hAnsi="Times New Roman" w:cs="Times New Roman"/>
          <w:sz w:val="24"/>
          <w:szCs w:val="24"/>
        </w:rPr>
        <w:t xml:space="preserve"> remain with the contributor</w:t>
      </w:r>
      <w:r w:rsidRPr="00110226">
        <w:rPr>
          <w:rFonts w:ascii="Times New Roman" w:hAnsi="Times New Roman" w:cs="Times New Roman"/>
          <w:sz w:val="24"/>
          <w:szCs w:val="24"/>
        </w:rPr>
        <w:t xml:space="preserve">. </w:t>
      </w:r>
      <w:r w:rsidR="00C55015">
        <w:rPr>
          <w:rFonts w:ascii="Times New Roman" w:hAnsi="Times New Roman" w:cs="Times New Roman"/>
          <w:sz w:val="24"/>
          <w:szCs w:val="24"/>
        </w:rPr>
        <w:t xml:space="preserve">Assets funded by </w:t>
      </w:r>
      <w:r w:rsidR="001E3EA0">
        <w:rPr>
          <w:rFonts w:ascii="Times New Roman" w:hAnsi="Times New Roman" w:cs="Times New Roman"/>
          <w:sz w:val="24"/>
          <w:szCs w:val="24"/>
        </w:rPr>
        <w:t>c</w:t>
      </w:r>
      <w:r w:rsidR="000B1D1A" w:rsidRPr="00110226">
        <w:rPr>
          <w:rFonts w:ascii="Times New Roman" w:hAnsi="Times New Roman" w:cs="Times New Roman"/>
          <w:sz w:val="24"/>
          <w:szCs w:val="24"/>
        </w:rPr>
        <w:t>ontributions are excluded from a company’s rate base for rate setting purposes</w:t>
      </w:r>
      <w:r w:rsidR="000B1D1A">
        <w:rPr>
          <w:rFonts w:ascii="Times New Roman" w:hAnsi="Times New Roman" w:cs="Times New Roman"/>
          <w:sz w:val="24"/>
          <w:szCs w:val="24"/>
        </w:rPr>
        <w:t xml:space="preserve"> si</w:t>
      </w:r>
      <w:r w:rsidRPr="00110226">
        <w:rPr>
          <w:rFonts w:ascii="Times New Roman" w:hAnsi="Times New Roman" w:cs="Times New Roman"/>
          <w:sz w:val="24"/>
          <w:szCs w:val="24"/>
        </w:rPr>
        <w:t xml:space="preserve">nce the funds are </w:t>
      </w:r>
      <w:r w:rsidR="000B1D1A">
        <w:rPr>
          <w:rFonts w:ascii="Times New Roman" w:hAnsi="Times New Roman" w:cs="Times New Roman"/>
          <w:sz w:val="24"/>
          <w:szCs w:val="24"/>
        </w:rPr>
        <w:t>not i</w:t>
      </w:r>
      <w:r w:rsidRPr="00110226">
        <w:rPr>
          <w:rFonts w:ascii="Times New Roman" w:hAnsi="Times New Roman" w:cs="Times New Roman"/>
          <w:sz w:val="24"/>
          <w:szCs w:val="24"/>
        </w:rPr>
        <w:t>nvestor</w:t>
      </w:r>
      <w:r w:rsidR="000B1D1A">
        <w:rPr>
          <w:rFonts w:ascii="Times New Roman" w:hAnsi="Times New Roman" w:cs="Times New Roman"/>
          <w:sz w:val="24"/>
          <w:szCs w:val="24"/>
        </w:rPr>
        <w:t xml:space="preserve"> supplied.</w:t>
      </w:r>
      <w:r w:rsidR="00CB7AF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7B179942" w14:textId="77777777" w:rsidR="003912FC" w:rsidRDefault="003912FC" w:rsidP="003912F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B22456A" w14:textId="106BE345" w:rsidR="00110226" w:rsidRDefault="000B1D1A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t is not </w:t>
      </w:r>
      <w:r w:rsidR="00141483">
        <w:rPr>
          <w:rFonts w:ascii="Times New Roman" w:hAnsi="Times New Roman" w:cs="Times New Roman"/>
          <w:sz w:val="24"/>
          <w:szCs w:val="24"/>
        </w:rPr>
        <w:t>unusual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483">
        <w:rPr>
          <w:rFonts w:ascii="Times New Roman" w:hAnsi="Times New Roman" w:cs="Times New Roman"/>
          <w:sz w:val="24"/>
          <w:szCs w:val="24"/>
        </w:rPr>
        <w:t>for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water companies to rely on CIAC to finance system improvements and upgrades. However, </w:t>
      </w:r>
      <w:r w:rsidR="00D70639">
        <w:rPr>
          <w:rFonts w:ascii="Times New Roman" w:hAnsi="Times New Roman" w:cs="Times New Roman"/>
          <w:sz w:val="24"/>
          <w:szCs w:val="24"/>
        </w:rPr>
        <w:t>two issues arise with this form of financing</w:t>
      </w:r>
      <w:r w:rsidR="003C2F3F">
        <w:rPr>
          <w:rFonts w:ascii="Times New Roman" w:hAnsi="Times New Roman" w:cs="Times New Roman"/>
          <w:sz w:val="24"/>
          <w:szCs w:val="24"/>
        </w:rPr>
        <w:t>:</w:t>
      </w:r>
      <w:r w:rsidR="00D70639">
        <w:rPr>
          <w:rFonts w:ascii="Times New Roman" w:hAnsi="Times New Roman" w:cs="Times New Roman"/>
          <w:sz w:val="24"/>
          <w:szCs w:val="24"/>
        </w:rPr>
        <w:t xml:space="preserve"> (1) </w:t>
      </w:r>
      <w:r w:rsidR="003C2F3F">
        <w:rPr>
          <w:rFonts w:ascii="Times New Roman" w:hAnsi="Times New Roman" w:cs="Times New Roman"/>
          <w:sz w:val="24"/>
          <w:szCs w:val="24"/>
        </w:rPr>
        <w:t>T</w:t>
      </w:r>
      <w:r w:rsidR="00141483">
        <w:rPr>
          <w:rFonts w:ascii="Times New Roman" w:hAnsi="Times New Roman" w:cs="Times New Roman"/>
          <w:sz w:val="24"/>
          <w:szCs w:val="24"/>
        </w:rPr>
        <w:t>here is no depreciation or return on investment available</w:t>
      </w:r>
      <w:r w:rsidR="00141483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when those systems </w:t>
      </w:r>
      <w:r w:rsidR="0043321C">
        <w:rPr>
          <w:rFonts w:ascii="Times New Roman" w:hAnsi="Times New Roman" w:cs="Times New Roman"/>
          <w:sz w:val="24"/>
          <w:szCs w:val="24"/>
        </w:rPr>
        <w:t xml:space="preserve">later need capital </w:t>
      </w:r>
      <w:r w:rsidR="00141483">
        <w:rPr>
          <w:rFonts w:ascii="Times New Roman" w:hAnsi="Times New Roman" w:cs="Times New Roman"/>
          <w:sz w:val="24"/>
          <w:szCs w:val="24"/>
        </w:rPr>
        <w:t xml:space="preserve">for replacement or </w:t>
      </w:r>
      <w:r w:rsidR="0043321C">
        <w:rPr>
          <w:rFonts w:ascii="Times New Roman" w:hAnsi="Times New Roman" w:cs="Times New Roman"/>
          <w:sz w:val="24"/>
          <w:szCs w:val="24"/>
        </w:rPr>
        <w:t>improvements</w:t>
      </w:r>
      <w:r w:rsidR="003C2F3F">
        <w:rPr>
          <w:rFonts w:ascii="Times New Roman" w:hAnsi="Times New Roman" w:cs="Times New Roman"/>
          <w:sz w:val="24"/>
          <w:szCs w:val="24"/>
        </w:rPr>
        <w:t>;</w:t>
      </w:r>
      <w:r w:rsidR="006A6D03">
        <w:rPr>
          <w:rFonts w:ascii="Times New Roman" w:hAnsi="Times New Roman" w:cs="Times New Roman"/>
          <w:sz w:val="24"/>
          <w:szCs w:val="24"/>
        </w:rPr>
        <w:t xml:space="preserve"> </w:t>
      </w:r>
      <w:r w:rsidR="00D70639">
        <w:rPr>
          <w:rFonts w:ascii="Times New Roman" w:hAnsi="Times New Roman" w:cs="Times New Roman"/>
          <w:sz w:val="24"/>
          <w:szCs w:val="24"/>
        </w:rPr>
        <w:t xml:space="preserve">(2) </w:t>
      </w:r>
      <w:r w:rsidR="00AB666B" w:rsidRPr="00110226">
        <w:rPr>
          <w:rFonts w:ascii="Times New Roman" w:hAnsi="Times New Roman" w:cs="Times New Roman"/>
          <w:sz w:val="24"/>
          <w:szCs w:val="24"/>
        </w:rPr>
        <w:t>Municipalities</w:t>
      </w:r>
      <w:r w:rsidR="00D70639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D70639">
        <w:rPr>
          <w:rFonts w:ascii="Times New Roman" w:hAnsi="Times New Roman" w:cs="Times New Roman"/>
          <w:sz w:val="24"/>
          <w:szCs w:val="24"/>
        </w:rPr>
        <w:t>or districts that purchase water companies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use valuations </w:t>
      </w:r>
      <w:r w:rsidR="001E3EA0">
        <w:rPr>
          <w:rFonts w:ascii="Times New Roman" w:hAnsi="Times New Roman" w:cs="Times New Roman"/>
          <w:sz w:val="24"/>
          <w:szCs w:val="24"/>
        </w:rPr>
        <w:t>that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D70639">
        <w:rPr>
          <w:rFonts w:ascii="Times New Roman" w:hAnsi="Times New Roman" w:cs="Times New Roman"/>
          <w:sz w:val="24"/>
          <w:szCs w:val="24"/>
        </w:rPr>
        <w:t xml:space="preserve">fix the value </w:t>
      </w:r>
      <w:r w:rsidR="003C2F3F">
        <w:rPr>
          <w:rFonts w:ascii="Times New Roman" w:hAnsi="Times New Roman" w:cs="Times New Roman"/>
          <w:sz w:val="24"/>
          <w:szCs w:val="24"/>
        </w:rPr>
        <w:t xml:space="preserve">of the plant financed by CIAC </w:t>
      </w:r>
      <w:r w:rsidR="00D70639">
        <w:rPr>
          <w:rFonts w:ascii="Times New Roman" w:hAnsi="Times New Roman" w:cs="Times New Roman"/>
          <w:sz w:val="24"/>
          <w:szCs w:val="24"/>
        </w:rPr>
        <w:t xml:space="preserve">at fair market value regardless </w:t>
      </w:r>
      <w:r w:rsidR="00AB666B">
        <w:rPr>
          <w:rFonts w:ascii="Times New Roman" w:hAnsi="Times New Roman" w:cs="Times New Roman"/>
          <w:sz w:val="24"/>
          <w:szCs w:val="24"/>
        </w:rPr>
        <w:t>whether</w:t>
      </w:r>
      <w:r w:rsidR="00D70639">
        <w:rPr>
          <w:rFonts w:ascii="Times New Roman" w:hAnsi="Times New Roman" w:cs="Times New Roman"/>
          <w:sz w:val="24"/>
          <w:szCs w:val="24"/>
        </w:rPr>
        <w:t xml:space="preserve"> the owner paid </w:t>
      </w:r>
      <w:r w:rsidR="00431882">
        <w:rPr>
          <w:rFonts w:ascii="Times New Roman" w:hAnsi="Times New Roman" w:cs="Times New Roman"/>
          <w:sz w:val="24"/>
          <w:szCs w:val="24"/>
        </w:rPr>
        <w:t xml:space="preserve">for </w:t>
      </w:r>
      <w:r w:rsidR="00D70639">
        <w:rPr>
          <w:rFonts w:ascii="Times New Roman" w:hAnsi="Times New Roman" w:cs="Times New Roman"/>
          <w:sz w:val="24"/>
          <w:szCs w:val="24"/>
        </w:rPr>
        <w:t>or was given the assets</w:t>
      </w:r>
      <w:r w:rsidR="00AB666B">
        <w:rPr>
          <w:rFonts w:ascii="Times New Roman" w:hAnsi="Times New Roman" w:cs="Times New Roman"/>
          <w:sz w:val="24"/>
          <w:szCs w:val="24"/>
        </w:rPr>
        <w:t xml:space="preserve">, </w:t>
      </w:r>
      <w:r w:rsidR="00B47005">
        <w:rPr>
          <w:rFonts w:ascii="Times New Roman" w:hAnsi="Times New Roman" w:cs="Times New Roman"/>
          <w:sz w:val="24"/>
          <w:szCs w:val="24"/>
        </w:rPr>
        <w:t xml:space="preserve">commonly </w:t>
      </w:r>
      <w:r w:rsidR="00AB666B">
        <w:rPr>
          <w:rFonts w:ascii="Times New Roman" w:hAnsi="Times New Roman" w:cs="Times New Roman"/>
          <w:sz w:val="24"/>
          <w:szCs w:val="24"/>
        </w:rPr>
        <w:t>resulting in</w:t>
      </w:r>
      <w:r w:rsidR="00D70639">
        <w:rPr>
          <w:rFonts w:ascii="Times New Roman" w:hAnsi="Times New Roman" w:cs="Times New Roman"/>
          <w:sz w:val="24"/>
          <w:szCs w:val="24"/>
        </w:rPr>
        <w:t xml:space="preserve"> </w:t>
      </w:r>
      <w:r w:rsidR="00110226" w:rsidRPr="00110226">
        <w:rPr>
          <w:rFonts w:ascii="Times New Roman" w:hAnsi="Times New Roman" w:cs="Times New Roman"/>
          <w:sz w:val="24"/>
          <w:szCs w:val="24"/>
        </w:rPr>
        <w:t>owners receiv</w:t>
      </w:r>
      <w:r w:rsidR="00AB666B">
        <w:rPr>
          <w:rFonts w:ascii="Times New Roman" w:hAnsi="Times New Roman" w:cs="Times New Roman"/>
          <w:sz w:val="24"/>
          <w:szCs w:val="24"/>
        </w:rPr>
        <w:t>ing</w:t>
      </w:r>
      <w:r w:rsidR="00110226" w:rsidRPr="00110226">
        <w:rPr>
          <w:rFonts w:ascii="Times New Roman" w:hAnsi="Times New Roman" w:cs="Times New Roman"/>
          <w:sz w:val="24"/>
          <w:szCs w:val="24"/>
        </w:rPr>
        <w:t xml:space="preserve"> an unearned monetary windfall</w:t>
      </w:r>
      <w:r w:rsidR="00B47005">
        <w:rPr>
          <w:rFonts w:ascii="Times New Roman" w:hAnsi="Times New Roman" w:cs="Times New Roman"/>
          <w:sz w:val="24"/>
          <w:szCs w:val="24"/>
        </w:rPr>
        <w:t>.</w:t>
      </w:r>
    </w:p>
    <w:p w14:paraId="535F64F3" w14:textId="77777777" w:rsidR="003912FC" w:rsidRPr="00110226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677171" w14:textId="648FAF13" w:rsidR="00670301" w:rsidRDefault="00110226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To lessen the negative consequences of CIAC financing, the </w:t>
      </w:r>
      <w:r w:rsidR="00A8666D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110226">
        <w:rPr>
          <w:rFonts w:ascii="Times New Roman" w:hAnsi="Times New Roman" w:cs="Times New Roman"/>
          <w:sz w:val="24"/>
          <w:szCs w:val="24"/>
        </w:rPr>
        <w:t>may consider a rule permitting</w:t>
      </w:r>
      <w:r w:rsidR="00670301">
        <w:rPr>
          <w:rFonts w:ascii="Times New Roman" w:hAnsi="Times New Roman" w:cs="Times New Roman"/>
          <w:sz w:val="24"/>
          <w:szCs w:val="24"/>
        </w:rPr>
        <w:t>,</w:t>
      </w:r>
      <w:r w:rsidRPr="00110226">
        <w:rPr>
          <w:rFonts w:ascii="Times New Roman" w:hAnsi="Times New Roman" w:cs="Times New Roman"/>
          <w:sz w:val="24"/>
          <w:szCs w:val="24"/>
        </w:rPr>
        <w:t xml:space="preserve"> or even compelling</w:t>
      </w:r>
      <w:r w:rsidR="00670301">
        <w:rPr>
          <w:rFonts w:ascii="Times New Roman" w:hAnsi="Times New Roman" w:cs="Times New Roman"/>
          <w:sz w:val="24"/>
          <w:szCs w:val="24"/>
        </w:rPr>
        <w:t>,</w:t>
      </w:r>
      <w:r w:rsidRPr="00110226">
        <w:rPr>
          <w:rFonts w:ascii="Times New Roman" w:hAnsi="Times New Roman" w:cs="Times New Roman"/>
          <w:sz w:val="24"/>
          <w:szCs w:val="24"/>
        </w:rPr>
        <w:t xml:space="preserve"> the use of Advances for Construction (Advances).</w:t>
      </w:r>
      <w:r w:rsidR="004E769A" w:rsidRPr="004E769A">
        <w:rPr>
          <w:rFonts w:ascii="Times New Roman" w:hAnsi="Times New Roman" w:cs="Times New Roman"/>
          <w:sz w:val="24"/>
          <w:szCs w:val="24"/>
        </w:rPr>
        <w:t xml:space="preserve"> </w:t>
      </w:r>
      <w:r w:rsidR="004E769A">
        <w:rPr>
          <w:rFonts w:ascii="Times New Roman" w:hAnsi="Times New Roman" w:cs="Times New Roman"/>
          <w:sz w:val="24"/>
          <w:szCs w:val="24"/>
        </w:rPr>
        <w:t xml:space="preserve">This form of financing </w:t>
      </w:r>
      <w:r w:rsidR="00670301">
        <w:rPr>
          <w:rFonts w:ascii="Times New Roman" w:hAnsi="Times New Roman" w:cs="Times New Roman"/>
          <w:sz w:val="24"/>
          <w:szCs w:val="24"/>
        </w:rPr>
        <w:t xml:space="preserve">allows </w:t>
      </w:r>
      <w:r w:rsidR="004E769A">
        <w:rPr>
          <w:rFonts w:ascii="Times New Roman" w:hAnsi="Times New Roman" w:cs="Times New Roman"/>
          <w:sz w:val="24"/>
          <w:szCs w:val="24"/>
        </w:rPr>
        <w:t xml:space="preserve">a water company to achieve </w:t>
      </w:r>
      <w:r w:rsidR="00B442DE">
        <w:rPr>
          <w:rFonts w:ascii="Times New Roman" w:hAnsi="Times New Roman" w:cs="Times New Roman"/>
          <w:sz w:val="24"/>
          <w:szCs w:val="24"/>
        </w:rPr>
        <w:t>over a period of years, an increased</w:t>
      </w:r>
      <w:r w:rsidR="00670301">
        <w:rPr>
          <w:rFonts w:ascii="Times New Roman" w:hAnsi="Times New Roman" w:cs="Times New Roman"/>
          <w:sz w:val="24"/>
          <w:szCs w:val="24"/>
        </w:rPr>
        <w:t xml:space="preserve"> level of </w:t>
      </w:r>
      <w:r w:rsidR="004E769A">
        <w:rPr>
          <w:rFonts w:ascii="Times New Roman" w:hAnsi="Times New Roman" w:cs="Times New Roman"/>
          <w:sz w:val="24"/>
          <w:szCs w:val="24"/>
        </w:rPr>
        <w:t xml:space="preserve">equity </w:t>
      </w:r>
      <w:r w:rsidR="006A6D03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4E769A">
        <w:rPr>
          <w:rFonts w:ascii="Times New Roman" w:hAnsi="Times New Roman" w:cs="Times New Roman"/>
          <w:sz w:val="24"/>
          <w:szCs w:val="24"/>
        </w:rPr>
        <w:t>in its water company.</w:t>
      </w:r>
    </w:p>
    <w:p w14:paraId="0DB08E61" w14:textId="77777777" w:rsidR="003912FC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18913E" w14:textId="77777777" w:rsidR="00D81FD9" w:rsidRDefault="00110226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Similar to CIAC, </w:t>
      </w:r>
      <w:r w:rsidR="00431882">
        <w:rPr>
          <w:rFonts w:ascii="Times New Roman" w:hAnsi="Times New Roman" w:cs="Times New Roman"/>
          <w:sz w:val="24"/>
          <w:szCs w:val="24"/>
        </w:rPr>
        <w:t>a</w:t>
      </w:r>
      <w:r w:rsidRPr="00110226">
        <w:rPr>
          <w:rFonts w:ascii="Times New Roman" w:hAnsi="Times New Roman" w:cs="Times New Roman"/>
          <w:sz w:val="24"/>
          <w:szCs w:val="24"/>
        </w:rPr>
        <w:t xml:space="preserve">dvances </w:t>
      </w:r>
      <w:r w:rsidR="00670301">
        <w:rPr>
          <w:rFonts w:ascii="Times New Roman" w:hAnsi="Times New Roman" w:cs="Times New Roman"/>
          <w:sz w:val="24"/>
          <w:szCs w:val="24"/>
        </w:rPr>
        <w:t xml:space="preserve">are given to the water company </w:t>
      </w:r>
      <w:r w:rsidR="00B7515E">
        <w:rPr>
          <w:rFonts w:ascii="Times New Roman" w:hAnsi="Times New Roman" w:cs="Times New Roman"/>
          <w:sz w:val="24"/>
          <w:szCs w:val="24"/>
        </w:rPr>
        <w:t xml:space="preserve">by developers </w:t>
      </w:r>
      <w:r w:rsidR="00670301">
        <w:rPr>
          <w:rFonts w:ascii="Times New Roman" w:hAnsi="Times New Roman" w:cs="Times New Roman"/>
          <w:sz w:val="24"/>
          <w:szCs w:val="24"/>
        </w:rPr>
        <w:t xml:space="preserve">and </w:t>
      </w:r>
      <w:r w:rsidR="00BF1896">
        <w:rPr>
          <w:rFonts w:ascii="Times New Roman" w:hAnsi="Times New Roman" w:cs="Times New Roman"/>
          <w:sz w:val="24"/>
          <w:szCs w:val="24"/>
        </w:rPr>
        <w:t xml:space="preserve">are </w:t>
      </w:r>
      <w:r w:rsidRPr="00110226">
        <w:rPr>
          <w:rFonts w:ascii="Times New Roman" w:hAnsi="Times New Roman" w:cs="Times New Roman"/>
          <w:sz w:val="24"/>
          <w:szCs w:val="24"/>
        </w:rPr>
        <w:t xml:space="preserve">in the form of water facilities or </w:t>
      </w:r>
      <w:r w:rsidR="00670301">
        <w:rPr>
          <w:rFonts w:ascii="Times New Roman" w:hAnsi="Times New Roman" w:cs="Times New Roman"/>
          <w:sz w:val="24"/>
          <w:szCs w:val="24"/>
        </w:rPr>
        <w:t xml:space="preserve">funding </w:t>
      </w:r>
      <w:r w:rsidR="00BF1896">
        <w:rPr>
          <w:rFonts w:ascii="Times New Roman" w:hAnsi="Times New Roman" w:cs="Times New Roman"/>
          <w:sz w:val="24"/>
          <w:szCs w:val="24"/>
        </w:rPr>
        <w:t xml:space="preserve">provided </w:t>
      </w:r>
      <w:r w:rsidR="00670301">
        <w:rPr>
          <w:rFonts w:ascii="Times New Roman" w:hAnsi="Times New Roman" w:cs="Times New Roman"/>
          <w:sz w:val="24"/>
          <w:szCs w:val="24"/>
        </w:rPr>
        <w:t>to</w:t>
      </w:r>
      <w:r w:rsidRPr="00110226">
        <w:rPr>
          <w:rFonts w:ascii="Times New Roman" w:hAnsi="Times New Roman" w:cs="Times New Roman"/>
          <w:sz w:val="24"/>
          <w:szCs w:val="24"/>
        </w:rPr>
        <w:t xml:space="preserve"> expand water service or future installation of new water facilities. </w:t>
      </w:r>
      <w:r w:rsidR="00B442DE">
        <w:rPr>
          <w:rFonts w:ascii="Times New Roman" w:hAnsi="Times New Roman" w:cs="Times New Roman"/>
          <w:sz w:val="24"/>
          <w:szCs w:val="24"/>
        </w:rPr>
        <w:t>A</w:t>
      </w:r>
      <w:r w:rsidRPr="00110226">
        <w:rPr>
          <w:rFonts w:ascii="Times New Roman" w:hAnsi="Times New Roman" w:cs="Times New Roman"/>
          <w:sz w:val="24"/>
          <w:szCs w:val="24"/>
        </w:rPr>
        <w:t xml:space="preserve">s with CIAC, </w:t>
      </w:r>
      <w:r w:rsidR="00B7515E">
        <w:rPr>
          <w:rFonts w:ascii="Times New Roman" w:hAnsi="Times New Roman" w:cs="Times New Roman"/>
          <w:sz w:val="24"/>
          <w:szCs w:val="24"/>
        </w:rPr>
        <w:t xml:space="preserve">assets funded by </w:t>
      </w:r>
      <w:r w:rsidR="00431882">
        <w:rPr>
          <w:rFonts w:ascii="Times New Roman" w:hAnsi="Times New Roman" w:cs="Times New Roman"/>
          <w:sz w:val="24"/>
          <w:szCs w:val="24"/>
        </w:rPr>
        <w:t>a</w:t>
      </w:r>
      <w:r w:rsidRPr="00110226">
        <w:rPr>
          <w:rFonts w:ascii="Times New Roman" w:hAnsi="Times New Roman" w:cs="Times New Roman"/>
          <w:sz w:val="24"/>
          <w:szCs w:val="24"/>
        </w:rPr>
        <w:t>dvances are excluded from rate base for rate setting purposes</w:t>
      </w:r>
      <w:r w:rsidR="00B442DE">
        <w:rPr>
          <w:rFonts w:ascii="Times New Roman" w:hAnsi="Times New Roman" w:cs="Times New Roman"/>
          <w:sz w:val="24"/>
          <w:szCs w:val="24"/>
        </w:rPr>
        <w:t>,</w:t>
      </w:r>
      <w:r w:rsidR="00B7515E">
        <w:rPr>
          <w:rFonts w:ascii="Times New Roman" w:hAnsi="Times New Roman" w:cs="Times New Roman"/>
          <w:sz w:val="24"/>
          <w:szCs w:val="24"/>
        </w:rPr>
        <w:t xml:space="preserve"> </w:t>
      </w:r>
      <w:r w:rsidR="00B442DE">
        <w:rPr>
          <w:rFonts w:ascii="Times New Roman" w:hAnsi="Times New Roman" w:cs="Times New Roman"/>
          <w:sz w:val="24"/>
          <w:szCs w:val="24"/>
        </w:rPr>
        <w:t>h</w:t>
      </w:r>
      <w:r w:rsidR="00B7515E">
        <w:rPr>
          <w:rFonts w:ascii="Times New Roman" w:hAnsi="Times New Roman" w:cs="Times New Roman"/>
          <w:sz w:val="24"/>
          <w:szCs w:val="24"/>
        </w:rPr>
        <w:t>owever</w:t>
      </w:r>
      <w:r w:rsidR="005F1566">
        <w:rPr>
          <w:rFonts w:ascii="Times New Roman" w:hAnsi="Times New Roman" w:cs="Times New Roman"/>
          <w:sz w:val="24"/>
          <w:szCs w:val="24"/>
        </w:rPr>
        <w:t xml:space="preserve"> unlike CIAC</w:t>
      </w:r>
      <w:r w:rsidR="00670301">
        <w:rPr>
          <w:rFonts w:ascii="Times New Roman" w:hAnsi="Times New Roman" w:cs="Times New Roman"/>
          <w:sz w:val="24"/>
          <w:szCs w:val="24"/>
        </w:rPr>
        <w:t>, the company repays a portion</w:t>
      </w:r>
      <w:r w:rsidR="00BF1896">
        <w:rPr>
          <w:rFonts w:ascii="Times New Roman" w:hAnsi="Times New Roman" w:cs="Times New Roman"/>
          <w:sz w:val="24"/>
          <w:szCs w:val="24"/>
        </w:rPr>
        <w:t xml:space="preserve"> of the</w:t>
      </w:r>
    </w:p>
    <w:p w14:paraId="58CDE11C" w14:textId="77777777" w:rsidR="00D81FD9" w:rsidRDefault="00D81FD9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41D60C" w14:textId="77777777" w:rsidR="00D81FD9" w:rsidRDefault="00D81FD9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53EBAA" w14:textId="5F04DE38" w:rsidR="00670301" w:rsidRDefault="00431882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F1896">
        <w:rPr>
          <w:rFonts w:ascii="Times New Roman" w:hAnsi="Times New Roman" w:cs="Times New Roman"/>
          <w:sz w:val="24"/>
          <w:szCs w:val="24"/>
        </w:rPr>
        <w:t>dvance</w:t>
      </w:r>
      <w:proofErr w:type="gramEnd"/>
      <w:r w:rsidR="006703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442DE">
        <w:rPr>
          <w:rFonts w:ascii="Times New Roman" w:hAnsi="Times New Roman" w:cs="Times New Roman"/>
          <w:sz w:val="24"/>
          <w:szCs w:val="24"/>
        </w:rPr>
        <w:t>once paid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42DE">
        <w:rPr>
          <w:rFonts w:ascii="Times New Roman" w:hAnsi="Times New Roman" w:cs="Times New Roman"/>
          <w:sz w:val="24"/>
          <w:szCs w:val="24"/>
        </w:rPr>
        <w:t xml:space="preserve"> </w:t>
      </w:r>
      <w:r w:rsidR="00670301">
        <w:rPr>
          <w:rFonts w:ascii="Times New Roman" w:hAnsi="Times New Roman" w:cs="Times New Roman"/>
          <w:sz w:val="24"/>
          <w:szCs w:val="24"/>
        </w:rPr>
        <w:t xml:space="preserve">that portion is </w:t>
      </w:r>
      <w:r w:rsidR="00BF1896">
        <w:rPr>
          <w:rFonts w:ascii="Times New Roman" w:hAnsi="Times New Roman" w:cs="Times New Roman"/>
          <w:sz w:val="24"/>
          <w:szCs w:val="24"/>
        </w:rPr>
        <w:t xml:space="preserve">no longer excluded </w:t>
      </w:r>
      <w:r>
        <w:rPr>
          <w:rFonts w:ascii="Times New Roman" w:hAnsi="Times New Roman" w:cs="Times New Roman"/>
          <w:sz w:val="24"/>
          <w:szCs w:val="24"/>
        </w:rPr>
        <w:t xml:space="preserve">from rate base </w:t>
      </w:r>
      <w:r w:rsidR="00BF1896">
        <w:rPr>
          <w:rFonts w:ascii="Times New Roman" w:hAnsi="Times New Roman" w:cs="Times New Roman"/>
          <w:sz w:val="24"/>
          <w:szCs w:val="24"/>
        </w:rPr>
        <w:t>and effectively acts as an addition</w:t>
      </w:r>
      <w:r w:rsidR="00670301">
        <w:rPr>
          <w:rFonts w:ascii="Times New Roman" w:hAnsi="Times New Roman" w:cs="Times New Roman"/>
          <w:sz w:val="24"/>
          <w:szCs w:val="24"/>
        </w:rPr>
        <w:t xml:space="preserve"> to rate base</w:t>
      </w:r>
      <w:r w:rsidR="00110226" w:rsidRPr="00110226">
        <w:rPr>
          <w:rFonts w:ascii="Times New Roman" w:hAnsi="Times New Roman" w:cs="Times New Roman"/>
          <w:sz w:val="24"/>
          <w:szCs w:val="24"/>
        </w:rPr>
        <w:t>.</w:t>
      </w:r>
      <w:r w:rsidR="00110226" w:rsidRPr="003912FC">
        <w:rPr>
          <w:rStyle w:val="FootnoteReference"/>
          <w:rFonts w:ascii="Times New Roman" w:hAnsi="Times New Roman" w:cs="Times New Roman"/>
          <w:sz w:val="20"/>
          <w:szCs w:val="20"/>
        </w:rPr>
        <w:footnoteReference w:id="6"/>
      </w:r>
      <w:r w:rsidR="00110226" w:rsidRPr="00391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962" w14:textId="77777777" w:rsidR="003912FC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CDC0AF" w14:textId="1107C9E2" w:rsidR="00110226" w:rsidRDefault="00110226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Advances are used in many states and are recognized in the NARUC uni</w:t>
      </w:r>
      <w:r w:rsidR="00037C52">
        <w:rPr>
          <w:rFonts w:ascii="Times New Roman" w:hAnsi="Times New Roman" w:cs="Times New Roman"/>
          <w:sz w:val="24"/>
          <w:szCs w:val="24"/>
        </w:rPr>
        <w:t>form system of accounts. A</w:t>
      </w:r>
      <w:r w:rsidRPr="00110226">
        <w:rPr>
          <w:rFonts w:ascii="Times New Roman" w:hAnsi="Times New Roman" w:cs="Times New Roman"/>
          <w:sz w:val="24"/>
          <w:szCs w:val="24"/>
        </w:rPr>
        <w:t xml:space="preserve">nnual </w:t>
      </w:r>
      <w:r w:rsidR="006A6D03">
        <w:rPr>
          <w:rFonts w:ascii="Times New Roman" w:hAnsi="Times New Roman" w:cs="Times New Roman"/>
          <w:sz w:val="24"/>
          <w:szCs w:val="24"/>
        </w:rPr>
        <w:t>repayments</w:t>
      </w:r>
      <w:r w:rsidRPr="00110226">
        <w:rPr>
          <w:rFonts w:ascii="Times New Roman" w:hAnsi="Times New Roman" w:cs="Times New Roman"/>
          <w:sz w:val="24"/>
          <w:szCs w:val="24"/>
        </w:rPr>
        <w:t xml:space="preserve"> to developers</w:t>
      </w:r>
      <w:r w:rsidR="00CC1CBC">
        <w:rPr>
          <w:rFonts w:ascii="Times New Roman" w:hAnsi="Times New Roman" w:cs="Times New Roman"/>
          <w:sz w:val="24"/>
          <w:szCs w:val="24"/>
        </w:rPr>
        <w:t xml:space="preserve"> are</w:t>
      </w:r>
      <w:r w:rsidRPr="00110226">
        <w:rPr>
          <w:rFonts w:ascii="Times New Roman" w:hAnsi="Times New Roman" w:cs="Times New Roman"/>
          <w:sz w:val="24"/>
          <w:szCs w:val="24"/>
        </w:rPr>
        <w:t xml:space="preserve"> based on the revenue received by the company from the customers associated with the </w:t>
      </w:r>
      <w:r w:rsidR="00431882">
        <w:rPr>
          <w:rFonts w:ascii="Times New Roman" w:hAnsi="Times New Roman" w:cs="Times New Roman"/>
          <w:sz w:val="24"/>
          <w:szCs w:val="24"/>
        </w:rPr>
        <w:t>a</w:t>
      </w:r>
      <w:r w:rsidRPr="00110226">
        <w:rPr>
          <w:rFonts w:ascii="Times New Roman" w:hAnsi="Times New Roman" w:cs="Times New Roman"/>
          <w:sz w:val="24"/>
          <w:szCs w:val="24"/>
        </w:rPr>
        <w:t>dvances.</w:t>
      </w:r>
      <w:r w:rsidRPr="00561A1A">
        <w:rPr>
          <w:rStyle w:val="FootnoteReference"/>
          <w:sz w:val="20"/>
          <w:szCs w:val="20"/>
        </w:rPr>
        <w:footnoteReference w:id="7"/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037C52">
        <w:rPr>
          <w:rFonts w:ascii="Times New Roman" w:hAnsi="Times New Roman" w:cs="Times New Roman"/>
          <w:sz w:val="24"/>
          <w:szCs w:val="24"/>
        </w:rPr>
        <w:t xml:space="preserve">Therefore, if a development is unsuccessful, no or limited </w:t>
      </w:r>
      <w:r w:rsidR="006A6D03">
        <w:rPr>
          <w:rFonts w:ascii="Times New Roman" w:hAnsi="Times New Roman" w:cs="Times New Roman"/>
          <w:sz w:val="24"/>
          <w:szCs w:val="24"/>
        </w:rPr>
        <w:t>repayments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037C52">
        <w:rPr>
          <w:rFonts w:ascii="Times New Roman" w:hAnsi="Times New Roman" w:cs="Times New Roman"/>
          <w:sz w:val="24"/>
          <w:szCs w:val="24"/>
        </w:rPr>
        <w:t>are provided by the company</w:t>
      </w:r>
      <w:r w:rsidR="00120466">
        <w:rPr>
          <w:rFonts w:ascii="Times New Roman" w:hAnsi="Times New Roman" w:cs="Times New Roman"/>
          <w:sz w:val="24"/>
          <w:szCs w:val="24"/>
        </w:rPr>
        <w:t>, if it is a successful development, then more payments</w:t>
      </w:r>
      <w:r w:rsidR="00037C52">
        <w:rPr>
          <w:rFonts w:ascii="Times New Roman" w:hAnsi="Times New Roman" w:cs="Times New Roman"/>
          <w:sz w:val="24"/>
          <w:szCs w:val="24"/>
        </w:rPr>
        <w:t xml:space="preserve"> </w:t>
      </w:r>
      <w:r w:rsidR="00120466">
        <w:rPr>
          <w:rFonts w:ascii="Times New Roman" w:hAnsi="Times New Roman" w:cs="Times New Roman"/>
          <w:sz w:val="24"/>
          <w:szCs w:val="24"/>
        </w:rPr>
        <w:t xml:space="preserve">are provided </w:t>
      </w:r>
      <w:r w:rsidRPr="00110226">
        <w:rPr>
          <w:rFonts w:ascii="Times New Roman" w:hAnsi="Times New Roman" w:cs="Times New Roman"/>
          <w:sz w:val="24"/>
          <w:szCs w:val="24"/>
        </w:rPr>
        <w:t>lessen</w:t>
      </w:r>
      <w:r w:rsidR="00120466">
        <w:rPr>
          <w:rFonts w:ascii="Times New Roman" w:hAnsi="Times New Roman" w:cs="Times New Roman"/>
          <w:sz w:val="24"/>
          <w:szCs w:val="24"/>
        </w:rPr>
        <w:t>ing</w:t>
      </w:r>
      <w:r w:rsidRPr="00110226">
        <w:rPr>
          <w:rFonts w:ascii="Times New Roman" w:hAnsi="Times New Roman" w:cs="Times New Roman"/>
          <w:sz w:val="24"/>
          <w:szCs w:val="24"/>
        </w:rPr>
        <w:t xml:space="preserve"> the negative consequences of CIAC</w:t>
      </w:r>
      <w:r w:rsidR="00670301">
        <w:rPr>
          <w:rFonts w:ascii="Times New Roman" w:hAnsi="Times New Roman" w:cs="Times New Roman"/>
          <w:sz w:val="24"/>
          <w:szCs w:val="24"/>
        </w:rPr>
        <w:t>.</w:t>
      </w:r>
      <w:r w:rsidRPr="0011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6AF18" w14:textId="77777777" w:rsidR="003912FC" w:rsidRDefault="003912FC" w:rsidP="003912FC">
      <w:pPr>
        <w:pStyle w:val="NoSpacing"/>
        <w:spacing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5B742" w14:textId="77777777" w:rsidR="00670301" w:rsidRDefault="00670301" w:rsidP="00670301">
      <w:pPr>
        <w:pStyle w:val="NoSpacing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831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3405" w14:textId="2AC6ED72" w:rsidR="00670301" w:rsidRDefault="00670301" w:rsidP="001A2FC5">
      <w:pPr>
        <w:pStyle w:val="NoSpacing"/>
        <w:numPr>
          <w:ilvl w:val="0"/>
          <w:numId w:val="36"/>
        </w:numPr>
        <w:spacing w:after="12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concerns, constraints or challenges should the </w:t>
      </w:r>
      <w:r w:rsidR="00851D0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consider when looking at the use of </w:t>
      </w:r>
      <w:r w:rsidR="004318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dvances for </w:t>
      </w:r>
      <w:r w:rsidR="004318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onstruction? </w:t>
      </w:r>
    </w:p>
    <w:p w14:paraId="6D9C83DF" w14:textId="6A91DD78" w:rsidR="00670301" w:rsidRDefault="00FF2070" w:rsidP="003912FC">
      <w:pPr>
        <w:pStyle w:val="NoSpacing"/>
        <w:numPr>
          <w:ilvl w:val="0"/>
          <w:numId w:val="36"/>
        </w:numPr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such an approach be unfair to rate payers or result in unjust windfall to the company</w:t>
      </w:r>
      <w:r w:rsidR="00670301">
        <w:rPr>
          <w:rFonts w:ascii="Times New Roman" w:hAnsi="Times New Roman" w:cs="Times New Roman"/>
          <w:sz w:val="24"/>
          <w:szCs w:val="24"/>
        </w:rPr>
        <w:t>?</w:t>
      </w:r>
    </w:p>
    <w:p w14:paraId="0975778E" w14:textId="00BA9E11" w:rsidR="00120466" w:rsidRPr="0038315B" w:rsidRDefault="00120466" w:rsidP="00120466">
      <w:pPr>
        <w:pStyle w:val="NoSpacing"/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14:paraId="3B0174CA" w14:textId="77777777" w:rsidR="000F3D64" w:rsidRPr="009C612D" w:rsidRDefault="0087395B" w:rsidP="003912FC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C612D"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r w:rsidR="00B3704F" w:rsidRPr="009C612D">
        <w:rPr>
          <w:rFonts w:ascii="Times New Roman" w:hAnsi="Times New Roman" w:cs="Times New Roman"/>
          <w:b/>
          <w:sz w:val="24"/>
          <w:szCs w:val="24"/>
        </w:rPr>
        <w:t xml:space="preserve">COMMENTS AND </w:t>
      </w:r>
      <w:r w:rsidRPr="009C612D">
        <w:rPr>
          <w:rFonts w:ascii="Times New Roman" w:hAnsi="Times New Roman" w:cs="Times New Roman"/>
          <w:b/>
          <w:sz w:val="24"/>
          <w:szCs w:val="24"/>
        </w:rPr>
        <w:t>RESPONSES</w:t>
      </w:r>
    </w:p>
    <w:p w14:paraId="41EA3D4D" w14:textId="7D41ECAE" w:rsidR="000F3D64" w:rsidRDefault="00F61A06" w:rsidP="003912F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561A1A">
        <w:rPr>
          <w:rFonts w:ascii="Times New Roman" w:hAnsi="Times New Roman" w:cs="Times New Roman"/>
          <w:sz w:val="24"/>
          <w:szCs w:val="24"/>
        </w:rPr>
        <w:t xml:space="preserve"> </w:t>
      </w:r>
      <w:r w:rsidR="00B3704F" w:rsidRPr="00110226">
        <w:rPr>
          <w:rFonts w:ascii="Times New Roman" w:hAnsi="Times New Roman" w:cs="Times New Roman"/>
          <w:sz w:val="24"/>
          <w:szCs w:val="24"/>
        </w:rPr>
        <w:t>requests</w:t>
      </w:r>
      <w:r w:rsidRPr="00110226">
        <w:rPr>
          <w:rFonts w:ascii="Times New Roman" w:hAnsi="Times New Roman" w:cs="Times New Roman"/>
          <w:sz w:val="24"/>
          <w:szCs w:val="24"/>
        </w:rPr>
        <w:t xml:space="preserve"> written</w:t>
      </w:r>
      <w:r w:rsidR="002A37A0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CC782A" w:rsidRPr="00110226">
        <w:rPr>
          <w:rFonts w:ascii="Times New Roman" w:hAnsi="Times New Roman" w:cs="Times New Roman"/>
          <w:sz w:val="24"/>
          <w:szCs w:val="24"/>
        </w:rPr>
        <w:t>comments and information in response to this notice</w:t>
      </w:r>
      <w:r w:rsidR="0029765E" w:rsidRPr="00110226">
        <w:rPr>
          <w:rFonts w:ascii="Times New Roman" w:hAnsi="Times New Roman" w:cs="Times New Roman"/>
          <w:sz w:val="24"/>
          <w:szCs w:val="24"/>
        </w:rPr>
        <w:t xml:space="preserve">. </w:t>
      </w:r>
      <w:r w:rsidRPr="00110226">
        <w:rPr>
          <w:rFonts w:ascii="Times New Roman" w:hAnsi="Times New Roman" w:cs="Times New Roman"/>
          <w:sz w:val="24"/>
          <w:szCs w:val="24"/>
        </w:rPr>
        <w:t xml:space="preserve">Written comments 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must be filed with 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561A1A">
        <w:rPr>
          <w:rFonts w:ascii="Times New Roman" w:hAnsi="Times New Roman" w:cs="Times New Roman"/>
          <w:sz w:val="24"/>
          <w:szCs w:val="24"/>
        </w:rPr>
        <w:t xml:space="preserve"> 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AD2643">
        <w:rPr>
          <w:rFonts w:ascii="Times New Roman" w:hAnsi="Times New Roman" w:cs="Times New Roman"/>
          <w:sz w:val="24"/>
          <w:szCs w:val="24"/>
        </w:rPr>
        <w:t>January 6, 2016</w:t>
      </w:r>
      <w:r w:rsidR="0052121C" w:rsidRPr="00110226">
        <w:rPr>
          <w:rFonts w:ascii="Times New Roman" w:hAnsi="Times New Roman" w:cs="Times New Roman"/>
          <w:sz w:val="24"/>
          <w:szCs w:val="24"/>
        </w:rPr>
        <w:t>.</w:t>
      </w:r>
      <w:r w:rsidR="005B026C" w:rsidRPr="00110226">
        <w:rPr>
          <w:rFonts w:ascii="Times New Roman" w:hAnsi="Times New Roman" w:cs="Times New Roman"/>
          <w:sz w:val="24"/>
          <w:szCs w:val="24"/>
        </w:rPr>
        <w:t xml:space="preserve"> 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561A1A">
        <w:rPr>
          <w:rFonts w:ascii="Times New Roman" w:hAnsi="Times New Roman" w:cs="Times New Roman"/>
          <w:sz w:val="24"/>
          <w:szCs w:val="24"/>
        </w:rPr>
        <w:t xml:space="preserve"> 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requests that </w:t>
      </w:r>
      <w:r w:rsidR="0087395B"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 w:rsidR="001E3031">
        <w:rPr>
          <w:rFonts w:ascii="Times New Roman" w:hAnsi="Times New Roman" w:cs="Times New Roman"/>
          <w:sz w:val="24"/>
          <w:szCs w:val="24"/>
        </w:rPr>
        <w:t>comments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 be provided in electronic format to enhance public access, reduce</w:t>
      </w:r>
      <w:r w:rsidR="0087395B" w:rsidRPr="00110226">
        <w:rPr>
          <w:rFonts w:ascii="Times New Roman" w:hAnsi="Times New Roman" w:cs="Times New Roman"/>
          <w:sz w:val="24"/>
          <w:szCs w:val="24"/>
        </w:rPr>
        <w:t xml:space="preserve"> the need for paper copies, and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 facilitate quotations from the </w:t>
      </w:r>
      <w:r w:rsidR="0005483F" w:rsidRPr="00110226">
        <w:rPr>
          <w:rFonts w:ascii="Times New Roman" w:hAnsi="Times New Roman" w:cs="Times New Roman"/>
          <w:sz w:val="24"/>
          <w:szCs w:val="24"/>
        </w:rPr>
        <w:t>submissions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. You may submit </w:t>
      </w:r>
      <w:r w:rsidR="00B3704F" w:rsidRPr="00110226">
        <w:rPr>
          <w:rFonts w:ascii="Times New Roman" w:hAnsi="Times New Roman" w:cs="Times New Roman"/>
          <w:sz w:val="24"/>
          <w:szCs w:val="24"/>
        </w:rPr>
        <w:t>comments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 via the Commission’s Web portal at </w:t>
      </w:r>
      <w:hyperlink r:id="rId9" w:history="1">
        <w:r w:rsidR="000F3D64" w:rsidRPr="009C612D">
          <w:rPr>
            <w:rFonts w:ascii="Times New Roman" w:hAnsi="Times New Roman" w:cs="Times New Roman"/>
            <w:sz w:val="24"/>
            <w:szCs w:val="24"/>
          </w:rPr>
          <w:t>www.utc.wa.gov/e-filing</w:t>
        </w:r>
      </w:hyperlink>
      <w:r w:rsidR="000F3D64" w:rsidRPr="00851D0C">
        <w:rPr>
          <w:rFonts w:ascii="Times New Roman" w:hAnsi="Times New Roman" w:cs="Times New Roman"/>
          <w:sz w:val="24"/>
          <w:szCs w:val="24"/>
        </w:rPr>
        <w:t xml:space="preserve"> </w:t>
      </w:r>
      <w:r w:rsidR="000F3D64" w:rsidRPr="00110226">
        <w:rPr>
          <w:rFonts w:ascii="Times New Roman" w:hAnsi="Times New Roman" w:cs="Times New Roman"/>
          <w:sz w:val="24"/>
          <w:szCs w:val="24"/>
        </w:rPr>
        <w:t xml:space="preserve">or by electronic mail to the Commission's Records Center at </w:t>
      </w:r>
      <w:hyperlink r:id="rId10" w:history="1">
        <w:r w:rsidR="000F3D64" w:rsidRPr="009C612D">
          <w:rPr>
            <w:rFonts w:ascii="Times New Roman" w:hAnsi="Times New Roman" w:cs="Times New Roman"/>
            <w:sz w:val="24"/>
            <w:szCs w:val="24"/>
          </w:rPr>
          <w:t>records@utc.wa.gov</w:t>
        </w:r>
      </w:hyperlink>
      <w:r w:rsidR="000F3D64" w:rsidRPr="00851D0C">
        <w:rPr>
          <w:rFonts w:ascii="Times New Roman" w:hAnsi="Times New Roman" w:cs="Times New Roman"/>
          <w:sz w:val="24"/>
          <w:szCs w:val="24"/>
        </w:rPr>
        <w:t xml:space="preserve">. </w:t>
      </w:r>
      <w:r w:rsidR="0005483F" w:rsidRPr="00110226">
        <w:rPr>
          <w:rFonts w:ascii="Times New Roman" w:hAnsi="Times New Roman" w:cs="Times New Roman"/>
          <w:sz w:val="24"/>
          <w:szCs w:val="24"/>
        </w:rPr>
        <w:t xml:space="preserve">You must </w:t>
      </w:r>
      <w:r w:rsidR="000F3D64" w:rsidRPr="00110226">
        <w:rPr>
          <w:rFonts w:ascii="Times New Roman" w:hAnsi="Times New Roman" w:cs="Times New Roman"/>
          <w:sz w:val="24"/>
          <w:szCs w:val="24"/>
        </w:rPr>
        <w:t>include:</w:t>
      </w:r>
    </w:p>
    <w:p w14:paraId="253A5624" w14:textId="77777777" w:rsidR="00851D0C" w:rsidRPr="00110226" w:rsidRDefault="00851D0C" w:rsidP="00120466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30BC44" w14:textId="77777777" w:rsidR="000F3D64" w:rsidRPr="00110226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The docket number of this proceeding (</w:t>
      </w:r>
      <w:r w:rsidR="00C20E8C" w:rsidRPr="00110226">
        <w:rPr>
          <w:rFonts w:ascii="Times New Roman" w:hAnsi="Times New Roman" w:cs="Times New Roman"/>
          <w:sz w:val="24"/>
          <w:szCs w:val="24"/>
        </w:rPr>
        <w:t>UW-143295</w:t>
      </w:r>
      <w:r w:rsidRPr="00110226">
        <w:rPr>
          <w:rFonts w:ascii="Times New Roman" w:hAnsi="Times New Roman" w:cs="Times New Roman"/>
          <w:sz w:val="24"/>
          <w:szCs w:val="24"/>
        </w:rPr>
        <w:t>).</w:t>
      </w:r>
    </w:p>
    <w:p w14:paraId="33B353B2" w14:textId="77777777" w:rsidR="000F3D64" w:rsidRPr="00110226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The commenting party's name.</w:t>
      </w:r>
    </w:p>
    <w:p w14:paraId="019EA916" w14:textId="77777777" w:rsidR="000F3D64" w:rsidRPr="00110226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The title and date of the comment or comments.</w:t>
      </w:r>
    </w:p>
    <w:p w14:paraId="3EC9672A" w14:textId="77777777" w:rsidR="000F3D64" w:rsidRPr="00110226" w:rsidRDefault="000F3D64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0BC758A" w14:textId="77777777" w:rsidR="00AD2643" w:rsidRDefault="000F3D64" w:rsidP="001E3031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 xml:space="preserve">An alternative method for submitting comments is by mailing or delivering an electronic copy to the Commission’s Records Center on a </w:t>
      </w:r>
      <w:r w:rsidR="005B01ED" w:rsidRPr="00110226">
        <w:rPr>
          <w:rFonts w:ascii="Times New Roman" w:hAnsi="Times New Roman" w:cs="Times New Roman"/>
          <w:sz w:val="24"/>
          <w:szCs w:val="24"/>
        </w:rPr>
        <w:t xml:space="preserve">flash drive, </w:t>
      </w:r>
      <w:r w:rsidR="003912FC">
        <w:rPr>
          <w:rFonts w:ascii="Times New Roman" w:hAnsi="Times New Roman" w:cs="Times New Roman"/>
          <w:sz w:val="24"/>
          <w:szCs w:val="24"/>
        </w:rPr>
        <w:t xml:space="preserve">DVD, </w:t>
      </w:r>
      <w:r w:rsidR="005B01ED" w:rsidRPr="00110226">
        <w:rPr>
          <w:rFonts w:ascii="Times New Roman" w:hAnsi="Times New Roman" w:cs="Times New Roman"/>
          <w:sz w:val="24"/>
          <w:szCs w:val="24"/>
        </w:rPr>
        <w:t>or CD</w:t>
      </w:r>
      <w:r w:rsidR="003912FC">
        <w:rPr>
          <w:rFonts w:ascii="Times New Roman" w:hAnsi="Times New Roman" w:cs="Times New Roman"/>
          <w:sz w:val="24"/>
          <w:szCs w:val="24"/>
        </w:rPr>
        <w:t xml:space="preserve"> including the filed documents(s)</w:t>
      </w:r>
      <w:r w:rsidR="0029765E" w:rsidRPr="00110226">
        <w:rPr>
          <w:rFonts w:ascii="Times New Roman" w:hAnsi="Times New Roman" w:cs="Times New Roman"/>
          <w:sz w:val="24"/>
          <w:szCs w:val="24"/>
        </w:rPr>
        <w:t xml:space="preserve">. </w:t>
      </w:r>
      <w:r w:rsidR="003912FC">
        <w:rPr>
          <w:rFonts w:ascii="Times New Roman" w:hAnsi="Times New Roman" w:cs="Times New Roman"/>
          <w:sz w:val="24"/>
          <w:szCs w:val="24"/>
        </w:rPr>
        <w:t xml:space="preserve">Parties must furnish electronic copies in MS Word 6.0 (or later) supplemented by a separate file in .pdf (Adobe Acrobat) format. </w:t>
      </w:r>
      <w:r w:rsidRPr="00110226">
        <w:rPr>
          <w:rFonts w:ascii="Times New Roman" w:hAnsi="Times New Roman" w:cs="Times New Roman"/>
          <w:sz w:val="24"/>
          <w:szCs w:val="24"/>
        </w:rPr>
        <w:t xml:space="preserve">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561A1A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 xml:space="preserve">will post on its web site all comments that are provided in electronic format. The web site is located </w:t>
      </w:r>
      <w:r w:rsidRPr="003912FC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820AD9" w:rsidRPr="00AA0C3E">
          <w:rPr>
            <w:rStyle w:val="Hyperlink"/>
            <w:rFonts w:ascii="Times New Roman" w:hAnsi="Times New Roman" w:cs="Times New Roman"/>
            <w:sz w:val="24"/>
            <w:szCs w:val="24"/>
          </w:rPr>
          <w:t>http://www.utc.wa.gov/143295</w:t>
        </w:r>
      </w:hyperlink>
      <w:r w:rsidR="00820AD9">
        <w:rPr>
          <w:rFonts w:ascii="Times New Roman" w:hAnsi="Times New Roman" w:cs="Times New Roman"/>
          <w:sz w:val="24"/>
          <w:szCs w:val="24"/>
        </w:rPr>
        <w:t>.</w:t>
      </w:r>
      <w:r w:rsidR="00AD2643">
        <w:rPr>
          <w:rFonts w:ascii="Times New Roman" w:hAnsi="Times New Roman" w:cs="Times New Roman"/>
          <w:sz w:val="24"/>
          <w:szCs w:val="24"/>
        </w:rPr>
        <w:t xml:space="preserve">  </w:t>
      </w:r>
      <w:r w:rsidRPr="00110226">
        <w:rPr>
          <w:rFonts w:ascii="Times New Roman" w:hAnsi="Times New Roman" w:cs="Times New Roman"/>
          <w:sz w:val="24"/>
          <w:szCs w:val="24"/>
        </w:rPr>
        <w:t xml:space="preserve">If you are unable to file your comments electronically or to submit them on a </w:t>
      </w:r>
      <w:r w:rsidR="00820AD9">
        <w:rPr>
          <w:rFonts w:ascii="Times New Roman" w:hAnsi="Times New Roman" w:cs="Times New Roman"/>
          <w:sz w:val="24"/>
          <w:szCs w:val="24"/>
        </w:rPr>
        <w:t>flash drive, DVD, or CD</w:t>
      </w:r>
      <w:r w:rsidRPr="00110226">
        <w:rPr>
          <w:rFonts w:ascii="Times New Roman" w:hAnsi="Times New Roman" w:cs="Times New Roman"/>
          <w:sz w:val="24"/>
          <w:szCs w:val="24"/>
        </w:rPr>
        <w:t xml:space="preserve">, the </w:t>
      </w:r>
      <w:r w:rsidR="00A8666D">
        <w:rPr>
          <w:rFonts w:ascii="Times New Roman" w:hAnsi="Times New Roman" w:cs="Times New Roman"/>
          <w:sz w:val="24"/>
          <w:szCs w:val="24"/>
        </w:rPr>
        <w:t>Commission</w:t>
      </w:r>
      <w:r w:rsidR="00561A1A">
        <w:rPr>
          <w:rFonts w:ascii="Times New Roman" w:hAnsi="Times New Roman" w:cs="Times New Roman"/>
          <w:sz w:val="24"/>
          <w:szCs w:val="24"/>
        </w:rPr>
        <w:t xml:space="preserve"> </w:t>
      </w:r>
      <w:r w:rsidRPr="00110226">
        <w:rPr>
          <w:rFonts w:ascii="Times New Roman" w:hAnsi="Times New Roman" w:cs="Times New Roman"/>
          <w:sz w:val="24"/>
          <w:szCs w:val="24"/>
        </w:rPr>
        <w:t>will accept a paper document</w:t>
      </w:r>
      <w:r w:rsidR="00F409B1" w:rsidRPr="00110226">
        <w:rPr>
          <w:rFonts w:ascii="Times New Roman" w:hAnsi="Times New Roman" w:cs="Times New Roman"/>
          <w:sz w:val="24"/>
          <w:szCs w:val="24"/>
        </w:rPr>
        <w:t>.</w:t>
      </w:r>
    </w:p>
    <w:p w14:paraId="43A034A9" w14:textId="77777777" w:rsidR="00AD2643" w:rsidRDefault="00AD2643" w:rsidP="001E3031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DF50575" w14:textId="7411173A" w:rsidR="00F61A06" w:rsidRPr="00110226" w:rsidRDefault="00AD2643" w:rsidP="001E3031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1A06" w:rsidRPr="00110226">
        <w:rPr>
          <w:rFonts w:ascii="Times New Roman" w:hAnsi="Times New Roman" w:cs="Times New Roman"/>
          <w:sz w:val="24"/>
          <w:szCs w:val="24"/>
        </w:rPr>
        <w:t xml:space="preserve">f you have questions regarding this Notice, you may </w:t>
      </w:r>
      <w:r w:rsidR="00BD36A4">
        <w:rPr>
          <w:rFonts w:ascii="Times New Roman" w:hAnsi="Times New Roman" w:cs="Times New Roman"/>
          <w:sz w:val="24"/>
          <w:szCs w:val="24"/>
        </w:rPr>
        <w:t xml:space="preserve">contact Danny Kermode by email </w:t>
      </w:r>
      <w:r w:rsidR="00F61A06" w:rsidRPr="00110226">
        <w:rPr>
          <w:rFonts w:ascii="Times New Roman" w:hAnsi="Times New Roman" w:cs="Times New Roman"/>
          <w:sz w:val="24"/>
          <w:szCs w:val="24"/>
        </w:rPr>
        <w:t xml:space="preserve">at </w:t>
      </w:r>
      <w:r w:rsidR="00171FA3">
        <w:rPr>
          <w:rFonts w:ascii="Times New Roman" w:hAnsi="Times New Roman" w:cs="Times New Roman"/>
          <w:sz w:val="24"/>
          <w:szCs w:val="24"/>
        </w:rPr>
        <w:t>dkermode</w:t>
      </w:r>
      <w:r w:rsidR="006C44A9">
        <w:rPr>
          <w:rFonts w:ascii="Times New Roman" w:hAnsi="Times New Roman" w:cs="Times New Roman"/>
          <w:sz w:val="24"/>
          <w:szCs w:val="24"/>
        </w:rPr>
        <w:t>@utc.wa.gov</w:t>
      </w:r>
      <w:r w:rsidR="00097883" w:rsidRPr="00110226">
        <w:rPr>
          <w:rFonts w:ascii="Times New Roman" w:hAnsi="Times New Roman" w:cs="Times New Roman"/>
          <w:sz w:val="24"/>
          <w:szCs w:val="24"/>
        </w:rPr>
        <w:t xml:space="preserve"> o</w:t>
      </w:r>
      <w:r w:rsidR="00F61A06" w:rsidRPr="00110226">
        <w:rPr>
          <w:rFonts w:ascii="Times New Roman" w:hAnsi="Times New Roman" w:cs="Times New Roman"/>
          <w:sz w:val="24"/>
          <w:szCs w:val="24"/>
        </w:rPr>
        <w:t xml:space="preserve">r by calling (360) </w:t>
      </w:r>
      <w:r w:rsidR="00C20E8C" w:rsidRPr="00110226">
        <w:rPr>
          <w:rFonts w:ascii="Times New Roman" w:hAnsi="Times New Roman" w:cs="Times New Roman"/>
          <w:sz w:val="24"/>
          <w:szCs w:val="24"/>
        </w:rPr>
        <w:t>664-</w:t>
      </w:r>
      <w:r w:rsidR="006C44A9">
        <w:rPr>
          <w:rFonts w:ascii="Times New Roman" w:hAnsi="Times New Roman" w:cs="Times New Roman"/>
          <w:sz w:val="24"/>
          <w:szCs w:val="24"/>
        </w:rPr>
        <w:t>125</w:t>
      </w:r>
      <w:r w:rsidR="00171FA3">
        <w:rPr>
          <w:rFonts w:ascii="Times New Roman" w:hAnsi="Times New Roman" w:cs="Times New Roman"/>
          <w:sz w:val="24"/>
          <w:szCs w:val="24"/>
        </w:rPr>
        <w:t>3</w:t>
      </w:r>
      <w:r w:rsidR="00F61A06" w:rsidRPr="00110226">
        <w:rPr>
          <w:rFonts w:ascii="Times New Roman" w:hAnsi="Times New Roman" w:cs="Times New Roman"/>
          <w:sz w:val="24"/>
          <w:szCs w:val="24"/>
        </w:rPr>
        <w:t>.</w:t>
      </w:r>
    </w:p>
    <w:p w14:paraId="4BDF2F39" w14:textId="77777777" w:rsidR="007A1362" w:rsidRPr="00110226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236FC1" w14:textId="77777777"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68314FC" w14:textId="77777777" w:rsidR="00577188" w:rsidRPr="00110226" w:rsidRDefault="00577188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DC8C12A" w14:textId="77777777" w:rsidR="00F61A06" w:rsidRPr="0011022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STEVEN V. KING</w:t>
      </w:r>
    </w:p>
    <w:p w14:paraId="49A75C3F" w14:textId="77777777" w:rsidR="009F25A0" w:rsidRDefault="00F61A06" w:rsidP="0025054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10226">
        <w:rPr>
          <w:rFonts w:ascii="Times New Roman" w:hAnsi="Times New Roman" w:cs="Times New Roman"/>
          <w:sz w:val="24"/>
          <w:szCs w:val="24"/>
        </w:rPr>
        <w:t>E</w:t>
      </w:r>
      <w:r w:rsidR="00D34CF9" w:rsidRPr="00110226">
        <w:rPr>
          <w:rFonts w:ascii="Times New Roman" w:hAnsi="Times New Roman" w:cs="Times New Roman"/>
          <w:sz w:val="24"/>
          <w:szCs w:val="24"/>
        </w:rPr>
        <w:t>x</w:t>
      </w:r>
      <w:r w:rsidR="007A1362" w:rsidRPr="00110226">
        <w:rPr>
          <w:rFonts w:ascii="Times New Roman" w:hAnsi="Times New Roman" w:cs="Times New Roman"/>
          <w:sz w:val="24"/>
          <w:szCs w:val="24"/>
        </w:rPr>
        <w:t>ecutive Director and Secretary</w:t>
      </w:r>
    </w:p>
    <w:p w14:paraId="23C5BF1E" w14:textId="77777777" w:rsidR="005722CF" w:rsidRDefault="005722CF" w:rsidP="0025054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5722CF" w:rsidSect="00A84FDE">
      <w:headerReference w:type="default" r:id="rId12"/>
      <w:headerReference w:type="first" r:id="rId13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47603" w14:textId="77777777" w:rsidR="000D3ACC" w:rsidRDefault="000D3ACC" w:rsidP="00802444">
      <w:pPr>
        <w:spacing w:after="0" w:line="240" w:lineRule="auto"/>
      </w:pPr>
      <w:r>
        <w:separator/>
      </w:r>
    </w:p>
  </w:endnote>
  <w:endnote w:type="continuationSeparator" w:id="0">
    <w:p w14:paraId="043246E0" w14:textId="77777777" w:rsidR="000D3ACC" w:rsidRDefault="000D3ACC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5FEB2" w14:textId="77777777" w:rsidR="000D3ACC" w:rsidRDefault="000D3ACC" w:rsidP="00802444">
      <w:pPr>
        <w:spacing w:after="0" w:line="240" w:lineRule="auto"/>
      </w:pPr>
      <w:r>
        <w:separator/>
      </w:r>
    </w:p>
  </w:footnote>
  <w:footnote w:type="continuationSeparator" w:id="0">
    <w:p w14:paraId="1DB70BA6" w14:textId="77777777" w:rsidR="000D3ACC" w:rsidRDefault="000D3ACC" w:rsidP="00802444">
      <w:pPr>
        <w:spacing w:after="0" w:line="240" w:lineRule="auto"/>
      </w:pPr>
      <w:r>
        <w:continuationSeparator/>
      </w:r>
    </w:p>
  </w:footnote>
  <w:footnote w:id="1">
    <w:p w14:paraId="24E53128" w14:textId="11E8A69B" w:rsidR="004F4C74" w:rsidRPr="009C612D" w:rsidRDefault="004F4C74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9C612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Any rate changes </w:t>
      </w:r>
      <w:r w:rsidR="00B07714">
        <w:rPr>
          <w:rFonts w:ascii="Times New Roman" w:hAnsi="Times New Roman" w:cs="Times New Roman"/>
          <w:sz w:val="22"/>
          <w:szCs w:val="22"/>
        </w:rPr>
        <w:t>approved</w:t>
      </w:r>
      <w:r w:rsidR="00B07714" w:rsidRPr="009C612D">
        <w:rPr>
          <w:rFonts w:ascii="Times New Roman" w:hAnsi="Times New Roman" w:cs="Times New Roman"/>
          <w:sz w:val="22"/>
          <w:szCs w:val="22"/>
        </w:rPr>
        <w:t xml:space="preserve"> </w:t>
      </w:r>
      <w:r w:rsidRPr="009C612D">
        <w:rPr>
          <w:rFonts w:ascii="Times New Roman" w:hAnsi="Times New Roman" w:cs="Times New Roman"/>
          <w:sz w:val="22"/>
          <w:szCs w:val="22"/>
        </w:rPr>
        <w:t xml:space="preserve">during the pilot period will continue until </w:t>
      </w:r>
      <w:r w:rsidR="00B07714">
        <w:rPr>
          <w:rFonts w:ascii="Times New Roman" w:hAnsi="Times New Roman" w:cs="Times New Roman"/>
          <w:sz w:val="22"/>
          <w:szCs w:val="22"/>
        </w:rPr>
        <w:t xml:space="preserve">the company proposes </w:t>
      </w:r>
      <w:r w:rsidRPr="009C612D">
        <w:rPr>
          <w:rFonts w:ascii="Times New Roman" w:hAnsi="Times New Roman" w:cs="Times New Roman"/>
          <w:sz w:val="22"/>
          <w:szCs w:val="22"/>
        </w:rPr>
        <w:t xml:space="preserve">new rates </w:t>
      </w:r>
      <w:r w:rsidR="00B07714">
        <w:rPr>
          <w:rFonts w:ascii="Times New Roman" w:hAnsi="Times New Roman" w:cs="Times New Roman"/>
          <w:sz w:val="22"/>
          <w:szCs w:val="22"/>
        </w:rPr>
        <w:t xml:space="preserve">or the Commission acts to modify the methods </w:t>
      </w:r>
      <w:r w:rsidRPr="009C612D">
        <w:rPr>
          <w:rFonts w:ascii="Times New Roman" w:hAnsi="Times New Roman" w:cs="Times New Roman"/>
          <w:sz w:val="22"/>
          <w:szCs w:val="22"/>
        </w:rPr>
        <w:t xml:space="preserve">in a future proceeding.  </w:t>
      </w:r>
    </w:p>
  </w:footnote>
  <w:footnote w:id="2">
    <w:p w14:paraId="00DD5639" w14:textId="70D53698" w:rsidR="00110226" w:rsidRPr="009C612D" w:rsidRDefault="00110226" w:rsidP="002679E8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9C612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2015-2017 Strategic Plan</w:t>
      </w:r>
      <w:r w:rsidR="001E3EA0">
        <w:rPr>
          <w:rFonts w:ascii="Times New Roman" w:hAnsi="Times New Roman" w:cs="Times New Roman"/>
          <w:sz w:val="22"/>
          <w:szCs w:val="22"/>
        </w:rPr>
        <w:t xml:space="preserve"> at</w:t>
      </w:r>
      <w:r w:rsidRPr="009C612D">
        <w:rPr>
          <w:rFonts w:ascii="Times New Roman" w:hAnsi="Times New Roman" w:cs="Times New Roman"/>
          <w:sz w:val="22"/>
          <w:szCs w:val="22"/>
        </w:rPr>
        <w:t xml:space="preserve"> 13.</w:t>
      </w:r>
    </w:p>
  </w:footnote>
  <w:footnote w:id="3">
    <w:p w14:paraId="46416840" w14:textId="77777777" w:rsidR="00110226" w:rsidRPr="009C612D" w:rsidRDefault="00110226" w:rsidP="00CB7AF1">
      <w:pPr>
        <w:pStyle w:val="FootnoteText"/>
        <w:spacing w:after="120"/>
        <w:ind w:left="90" w:hanging="90"/>
        <w:rPr>
          <w:rFonts w:ascii="Times New Roman" w:hAnsi="Times New Roman" w:cs="Times New Roman"/>
          <w:sz w:val="22"/>
          <w:szCs w:val="22"/>
        </w:rPr>
      </w:pPr>
      <w:r w:rsidRPr="009C612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Depreciation is excluded because depreciation represents recovery of historical amounts whereas expenses are meant to be prospective in nature and forward looking.</w:t>
      </w:r>
    </w:p>
  </w:footnote>
  <w:footnote w:id="4">
    <w:p w14:paraId="7BDE5182" w14:textId="3E9C6C04" w:rsidR="00042F3F" w:rsidRPr="009C612D" w:rsidRDefault="00042F3F" w:rsidP="002679E8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9C612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Any company electing to file for an inflation adjustment during the two year pilot will be allowed to file for </w:t>
      </w:r>
      <w:r w:rsidR="001E3EA0">
        <w:rPr>
          <w:rFonts w:ascii="Times New Roman" w:hAnsi="Times New Roman" w:cs="Times New Roman"/>
          <w:sz w:val="22"/>
          <w:szCs w:val="22"/>
        </w:rPr>
        <w:t xml:space="preserve">such adjustments for </w:t>
      </w:r>
      <w:r w:rsidRPr="009C612D">
        <w:rPr>
          <w:rFonts w:ascii="Times New Roman" w:hAnsi="Times New Roman" w:cs="Times New Roman"/>
          <w:sz w:val="22"/>
          <w:szCs w:val="22"/>
        </w:rPr>
        <w:t>three years following its prior rate case regardless of a decision by the Commission to cease the program.</w:t>
      </w:r>
    </w:p>
  </w:footnote>
  <w:footnote w:id="5">
    <w:p w14:paraId="27C0ADFA" w14:textId="70BD11F3" w:rsidR="00CB7AF1" w:rsidRPr="00CB7AF1" w:rsidRDefault="00CB7AF1" w:rsidP="009C612D">
      <w:pPr>
        <w:pStyle w:val="FootnoteText"/>
        <w:spacing w:after="120"/>
        <w:rPr>
          <w:rFonts w:ascii="Times New Roman" w:hAnsi="Times New Roman" w:cs="Times New Roman"/>
        </w:rPr>
      </w:pPr>
      <w:r w:rsidRPr="009C612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Which prevents the collection of any return-on-investment by the company owners and recovery of depreciation expense associated with the contributed assets.</w:t>
      </w:r>
    </w:p>
  </w:footnote>
  <w:footnote w:id="6">
    <w:p w14:paraId="56494B26" w14:textId="77777777" w:rsidR="00110226" w:rsidRPr="009C612D" w:rsidRDefault="00110226" w:rsidP="00BD36A4">
      <w:pPr>
        <w:pStyle w:val="FootnoteText"/>
        <w:spacing w:after="120"/>
        <w:ind w:left="90" w:hanging="90"/>
        <w:rPr>
          <w:rFonts w:ascii="Times New Roman" w:hAnsi="Times New Roman" w:cs="Times New Roman"/>
          <w:sz w:val="22"/>
          <w:szCs w:val="22"/>
        </w:rPr>
      </w:pPr>
      <w:r w:rsidRPr="009C612D">
        <w:rPr>
          <w:rStyle w:val="FootnoteReference"/>
          <w:sz w:val="22"/>
          <w:szCs w:val="22"/>
        </w:rPr>
        <w:footnoteRef/>
      </w:r>
      <w:r w:rsidRPr="009C612D">
        <w:rPr>
          <w:sz w:val="22"/>
          <w:szCs w:val="22"/>
        </w:rPr>
        <w:t xml:space="preserve"> </w:t>
      </w:r>
      <w:r w:rsidRPr="009C612D">
        <w:rPr>
          <w:rFonts w:ascii="Times New Roman" w:hAnsi="Times New Roman" w:cs="Times New Roman"/>
          <w:sz w:val="22"/>
          <w:szCs w:val="22"/>
        </w:rPr>
        <w:t>See NARUC Uniform System of Accounts: Deferred Credit Account 252 – Advances for Construction.</w:t>
      </w:r>
    </w:p>
  </w:footnote>
  <w:footnote w:id="7">
    <w:p w14:paraId="54D4C553" w14:textId="72471C5D" w:rsidR="00110226" w:rsidRPr="00BD36A4" w:rsidRDefault="00110226" w:rsidP="00BD36A4">
      <w:pPr>
        <w:pStyle w:val="FootnoteText"/>
        <w:spacing w:after="120"/>
        <w:ind w:left="90" w:hanging="90"/>
        <w:rPr>
          <w:rFonts w:ascii="Times New Roman" w:hAnsi="Times New Roman" w:cs="Times New Roman"/>
        </w:rPr>
      </w:pPr>
      <w:r w:rsidRPr="009C612D">
        <w:rPr>
          <w:rFonts w:ascii="Times New Roman" w:hAnsi="Times New Roman" w:cs="Times New Roman"/>
          <w:sz w:val="22"/>
          <w:szCs w:val="22"/>
        </w:rPr>
        <w:footnoteRef/>
      </w:r>
      <w:r w:rsidRPr="009C612D">
        <w:rPr>
          <w:rFonts w:ascii="Times New Roman" w:hAnsi="Times New Roman" w:cs="Times New Roman"/>
          <w:sz w:val="22"/>
          <w:szCs w:val="22"/>
        </w:rPr>
        <w:t xml:space="preserve"> There are various methods used to compute the refund amount ranging from 10 percent of total revenue for ten years (Arizona) to revenues exceeding a certain set level such as the amount by which actual revenue exceeds </w:t>
      </w:r>
      <w:r w:rsidR="00CC1CBC">
        <w:rPr>
          <w:rFonts w:ascii="Times New Roman" w:hAnsi="Times New Roman" w:cs="Times New Roman"/>
          <w:sz w:val="22"/>
          <w:szCs w:val="22"/>
        </w:rPr>
        <w:t>three</w:t>
      </w:r>
      <w:r w:rsidRPr="009C612D">
        <w:rPr>
          <w:rFonts w:ascii="Times New Roman" w:hAnsi="Times New Roman" w:cs="Times New Roman"/>
          <w:sz w:val="22"/>
          <w:szCs w:val="22"/>
        </w:rPr>
        <w:t xml:space="preserve"> times the originally estimated annual revenue (Indiana).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0711" w14:textId="65660487" w:rsidR="00097883" w:rsidRPr="003912FC" w:rsidRDefault="0029765E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9C612D">
      <w:rPr>
        <w:rFonts w:ascii="Times New Roman" w:hAnsi="Times New Roman" w:cs="Times New Roman"/>
        <w:b/>
        <w:sz w:val="20"/>
        <w:szCs w:val="20"/>
      </w:rPr>
      <w:t>D</w:t>
    </w:r>
    <w:r w:rsidR="003912FC" w:rsidRPr="009C612D">
      <w:rPr>
        <w:rFonts w:ascii="Times New Roman" w:hAnsi="Times New Roman" w:cs="Times New Roman"/>
        <w:b/>
        <w:sz w:val="20"/>
        <w:szCs w:val="20"/>
      </w:rPr>
      <w:t>OCKET</w:t>
    </w:r>
    <w:r w:rsidRPr="009C612D">
      <w:rPr>
        <w:rFonts w:ascii="Times New Roman" w:hAnsi="Times New Roman" w:cs="Times New Roman"/>
        <w:b/>
        <w:sz w:val="20"/>
        <w:szCs w:val="20"/>
      </w:rPr>
      <w:t xml:space="preserve"> </w:t>
    </w:r>
    <w:r w:rsidR="00C20E8C" w:rsidRPr="009C612D">
      <w:rPr>
        <w:rFonts w:ascii="Times New Roman" w:hAnsi="Times New Roman" w:cs="Times New Roman"/>
        <w:b/>
        <w:sz w:val="20"/>
        <w:szCs w:val="20"/>
      </w:rPr>
      <w:t>UW-143295</w:t>
    </w:r>
    <w:r w:rsidR="00097883" w:rsidRPr="003912FC">
      <w:rPr>
        <w:rFonts w:ascii="Times New Roman" w:hAnsi="Times New Roman" w:cs="Times New Roman"/>
        <w:b/>
        <w:sz w:val="20"/>
        <w:szCs w:val="20"/>
      </w:rPr>
      <w:tab/>
    </w:r>
    <w:r w:rsidR="00097883" w:rsidRPr="003912F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097883" w:rsidRPr="009C612D">
      <w:rPr>
        <w:rFonts w:ascii="Times New Roman" w:hAnsi="Times New Roman" w:cs="Times New Roman"/>
        <w:b/>
        <w:sz w:val="20"/>
        <w:szCs w:val="20"/>
      </w:rPr>
      <w:fldChar w:fldCharType="begin"/>
    </w:r>
    <w:r w:rsidR="00097883" w:rsidRPr="003912F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097883" w:rsidRPr="009C612D">
      <w:rPr>
        <w:rFonts w:ascii="Times New Roman" w:hAnsi="Times New Roman" w:cs="Times New Roman"/>
        <w:b/>
        <w:sz w:val="20"/>
        <w:szCs w:val="20"/>
      </w:rPr>
      <w:fldChar w:fldCharType="separate"/>
    </w:r>
    <w:r w:rsidR="00FC1588">
      <w:rPr>
        <w:rFonts w:ascii="Times New Roman" w:hAnsi="Times New Roman" w:cs="Times New Roman"/>
        <w:b/>
        <w:noProof/>
        <w:sz w:val="20"/>
        <w:szCs w:val="20"/>
      </w:rPr>
      <w:t>6</w:t>
    </w:r>
    <w:r w:rsidR="00097883" w:rsidRPr="009C612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3000FD74" w14:textId="77777777"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70B2" w14:textId="72A0F32F" w:rsidR="00D81FD9" w:rsidRPr="00D81FD9" w:rsidRDefault="00D81FD9" w:rsidP="00D81FD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D81FD9">
      <w:rPr>
        <w:rFonts w:ascii="Times New Roman" w:hAnsi="Times New Roman" w:cs="Times New Roman"/>
        <w:b/>
        <w:sz w:val="20"/>
        <w:szCs w:val="20"/>
      </w:rPr>
      <w:t>[Service Date November 24,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788"/>
    <w:multiLevelType w:val="hybridMultilevel"/>
    <w:tmpl w:val="B8E6020A"/>
    <w:lvl w:ilvl="0" w:tplc="333AB2F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B4226"/>
    <w:multiLevelType w:val="hybridMultilevel"/>
    <w:tmpl w:val="FD5A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53243"/>
    <w:multiLevelType w:val="hybridMultilevel"/>
    <w:tmpl w:val="201AEEA0"/>
    <w:lvl w:ilvl="0" w:tplc="11705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B4891"/>
    <w:multiLevelType w:val="hybridMultilevel"/>
    <w:tmpl w:val="66D46CC4"/>
    <w:lvl w:ilvl="0" w:tplc="ECECC5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BD5866"/>
    <w:multiLevelType w:val="hybridMultilevel"/>
    <w:tmpl w:val="201AEEA0"/>
    <w:lvl w:ilvl="0" w:tplc="11705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72CB"/>
    <w:multiLevelType w:val="hybridMultilevel"/>
    <w:tmpl w:val="44EEE2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15656D"/>
    <w:multiLevelType w:val="hybridMultilevel"/>
    <w:tmpl w:val="F6D01C5E"/>
    <w:lvl w:ilvl="0" w:tplc="8B1A0634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2AE"/>
    <w:multiLevelType w:val="hybridMultilevel"/>
    <w:tmpl w:val="E1C25F00"/>
    <w:lvl w:ilvl="0" w:tplc="24461BB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2C725FA"/>
    <w:multiLevelType w:val="hybridMultilevel"/>
    <w:tmpl w:val="C25A8920"/>
    <w:lvl w:ilvl="0" w:tplc="39F625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16F26"/>
    <w:multiLevelType w:val="hybridMultilevel"/>
    <w:tmpl w:val="C9A677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3"/>
  </w:num>
  <w:num w:numId="4">
    <w:abstractNumId w:val="26"/>
  </w:num>
  <w:num w:numId="5">
    <w:abstractNumId w:val="30"/>
  </w:num>
  <w:num w:numId="6">
    <w:abstractNumId w:val="32"/>
  </w:num>
  <w:num w:numId="7">
    <w:abstractNumId w:val="14"/>
  </w:num>
  <w:num w:numId="8">
    <w:abstractNumId w:val="20"/>
  </w:num>
  <w:num w:numId="9">
    <w:abstractNumId w:val="15"/>
  </w:num>
  <w:num w:numId="10">
    <w:abstractNumId w:val="5"/>
  </w:num>
  <w:num w:numId="11">
    <w:abstractNumId w:val="24"/>
  </w:num>
  <w:num w:numId="12">
    <w:abstractNumId w:val="9"/>
  </w:num>
  <w:num w:numId="13">
    <w:abstractNumId w:val="6"/>
  </w:num>
  <w:num w:numId="14">
    <w:abstractNumId w:val="19"/>
  </w:num>
  <w:num w:numId="15">
    <w:abstractNumId w:val="18"/>
  </w:num>
  <w:num w:numId="16">
    <w:abstractNumId w:val="10"/>
  </w:num>
  <w:num w:numId="17">
    <w:abstractNumId w:val="35"/>
  </w:num>
  <w:num w:numId="18">
    <w:abstractNumId w:val="8"/>
  </w:num>
  <w:num w:numId="19">
    <w:abstractNumId w:val="2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31"/>
  </w:num>
  <w:num w:numId="24">
    <w:abstractNumId w:val="2"/>
  </w:num>
  <w:num w:numId="25">
    <w:abstractNumId w:val="25"/>
  </w:num>
  <w:num w:numId="26">
    <w:abstractNumId w:val="28"/>
  </w:num>
  <w:num w:numId="27">
    <w:abstractNumId w:val="3"/>
  </w:num>
  <w:num w:numId="28">
    <w:abstractNumId w:val="16"/>
  </w:num>
  <w:num w:numId="29">
    <w:abstractNumId w:val="7"/>
  </w:num>
  <w:num w:numId="30">
    <w:abstractNumId w:val="29"/>
  </w:num>
  <w:num w:numId="31">
    <w:abstractNumId w:val="17"/>
  </w:num>
  <w:num w:numId="32">
    <w:abstractNumId w:val="21"/>
  </w:num>
  <w:num w:numId="33">
    <w:abstractNumId w:val="1"/>
  </w:num>
  <w:num w:numId="34">
    <w:abstractNumId w:val="0"/>
  </w:num>
  <w:num w:numId="35">
    <w:abstractNumId w:val="2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8"/>
    <w:rsid w:val="00004E4D"/>
    <w:rsid w:val="0000710A"/>
    <w:rsid w:val="00007CF9"/>
    <w:rsid w:val="00011876"/>
    <w:rsid w:val="00011F9E"/>
    <w:rsid w:val="00014D83"/>
    <w:rsid w:val="00031518"/>
    <w:rsid w:val="000353D9"/>
    <w:rsid w:val="00037C52"/>
    <w:rsid w:val="00042F3F"/>
    <w:rsid w:val="00043632"/>
    <w:rsid w:val="00050B6C"/>
    <w:rsid w:val="000515FF"/>
    <w:rsid w:val="0005483F"/>
    <w:rsid w:val="0006458A"/>
    <w:rsid w:val="000675CC"/>
    <w:rsid w:val="00070349"/>
    <w:rsid w:val="000753DF"/>
    <w:rsid w:val="00092299"/>
    <w:rsid w:val="00093D41"/>
    <w:rsid w:val="00097883"/>
    <w:rsid w:val="00097D82"/>
    <w:rsid w:val="000A19D4"/>
    <w:rsid w:val="000B1D1A"/>
    <w:rsid w:val="000C1084"/>
    <w:rsid w:val="000C6ED3"/>
    <w:rsid w:val="000D0B39"/>
    <w:rsid w:val="000D1790"/>
    <w:rsid w:val="000D1BFD"/>
    <w:rsid w:val="000D2748"/>
    <w:rsid w:val="000D3ACC"/>
    <w:rsid w:val="000D609A"/>
    <w:rsid w:val="000E29FF"/>
    <w:rsid w:val="000E4CB9"/>
    <w:rsid w:val="000F0C9C"/>
    <w:rsid w:val="000F3D2E"/>
    <w:rsid w:val="000F3D64"/>
    <w:rsid w:val="00110226"/>
    <w:rsid w:val="001104BF"/>
    <w:rsid w:val="00112A1E"/>
    <w:rsid w:val="00120466"/>
    <w:rsid w:val="00120BC9"/>
    <w:rsid w:val="00125655"/>
    <w:rsid w:val="00130950"/>
    <w:rsid w:val="0013782F"/>
    <w:rsid w:val="00141483"/>
    <w:rsid w:val="00142367"/>
    <w:rsid w:val="0014710F"/>
    <w:rsid w:val="00152A8F"/>
    <w:rsid w:val="0015511C"/>
    <w:rsid w:val="00157C99"/>
    <w:rsid w:val="001618C1"/>
    <w:rsid w:val="00163F2B"/>
    <w:rsid w:val="0016579B"/>
    <w:rsid w:val="00171FA3"/>
    <w:rsid w:val="00172AD5"/>
    <w:rsid w:val="00175953"/>
    <w:rsid w:val="001822C1"/>
    <w:rsid w:val="001846F4"/>
    <w:rsid w:val="00195C52"/>
    <w:rsid w:val="001968B6"/>
    <w:rsid w:val="001A2FC5"/>
    <w:rsid w:val="001A5278"/>
    <w:rsid w:val="001B362A"/>
    <w:rsid w:val="001B3929"/>
    <w:rsid w:val="001C5DE6"/>
    <w:rsid w:val="001D176E"/>
    <w:rsid w:val="001D7118"/>
    <w:rsid w:val="001E2E43"/>
    <w:rsid w:val="001E2EB9"/>
    <w:rsid w:val="001E3031"/>
    <w:rsid w:val="001E3EA0"/>
    <w:rsid w:val="001F7850"/>
    <w:rsid w:val="00200E73"/>
    <w:rsid w:val="002036BC"/>
    <w:rsid w:val="0020529B"/>
    <w:rsid w:val="00210CE3"/>
    <w:rsid w:val="00212760"/>
    <w:rsid w:val="00212E33"/>
    <w:rsid w:val="00221435"/>
    <w:rsid w:val="0022207F"/>
    <w:rsid w:val="002230DD"/>
    <w:rsid w:val="00224034"/>
    <w:rsid w:val="00225061"/>
    <w:rsid w:val="0022508C"/>
    <w:rsid w:val="00226EE5"/>
    <w:rsid w:val="00230AE5"/>
    <w:rsid w:val="00231A9B"/>
    <w:rsid w:val="0023497B"/>
    <w:rsid w:val="00250544"/>
    <w:rsid w:val="002523E7"/>
    <w:rsid w:val="00254871"/>
    <w:rsid w:val="00255C2E"/>
    <w:rsid w:val="00261D48"/>
    <w:rsid w:val="002679E8"/>
    <w:rsid w:val="0027306F"/>
    <w:rsid w:val="00286EF6"/>
    <w:rsid w:val="0029178D"/>
    <w:rsid w:val="0029765E"/>
    <w:rsid w:val="002A276F"/>
    <w:rsid w:val="002A37A0"/>
    <w:rsid w:val="002A6AB1"/>
    <w:rsid w:val="002B0CD0"/>
    <w:rsid w:val="002C4551"/>
    <w:rsid w:val="002D28FC"/>
    <w:rsid w:val="002D652A"/>
    <w:rsid w:val="002E41EE"/>
    <w:rsid w:val="002F1E91"/>
    <w:rsid w:val="00300487"/>
    <w:rsid w:val="00302499"/>
    <w:rsid w:val="00302C31"/>
    <w:rsid w:val="00302CA0"/>
    <w:rsid w:val="00303347"/>
    <w:rsid w:val="0030343E"/>
    <w:rsid w:val="00310734"/>
    <w:rsid w:val="0031544C"/>
    <w:rsid w:val="00315EB2"/>
    <w:rsid w:val="00316658"/>
    <w:rsid w:val="003166F1"/>
    <w:rsid w:val="003234F5"/>
    <w:rsid w:val="003269F9"/>
    <w:rsid w:val="00332170"/>
    <w:rsid w:val="00333F06"/>
    <w:rsid w:val="00335363"/>
    <w:rsid w:val="0033708D"/>
    <w:rsid w:val="00341AF0"/>
    <w:rsid w:val="00343733"/>
    <w:rsid w:val="0035129A"/>
    <w:rsid w:val="0035431B"/>
    <w:rsid w:val="00361CFC"/>
    <w:rsid w:val="0036387D"/>
    <w:rsid w:val="003672EB"/>
    <w:rsid w:val="003716CB"/>
    <w:rsid w:val="00371F72"/>
    <w:rsid w:val="00373F76"/>
    <w:rsid w:val="00374896"/>
    <w:rsid w:val="00381C0B"/>
    <w:rsid w:val="0038315B"/>
    <w:rsid w:val="00384F97"/>
    <w:rsid w:val="0038732D"/>
    <w:rsid w:val="00390A03"/>
    <w:rsid w:val="003912FC"/>
    <w:rsid w:val="003A5140"/>
    <w:rsid w:val="003A62BE"/>
    <w:rsid w:val="003B5EA5"/>
    <w:rsid w:val="003C2F3F"/>
    <w:rsid w:val="003D5FD7"/>
    <w:rsid w:val="003D7C92"/>
    <w:rsid w:val="003E0031"/>
    <w:rsid w:val="003E5577"/>
    <w:rsid w:val="003F430B"/>
    <w:rsid w:val="00400173"/>
    <w:rsid w:val="00405C2D"/>
    <w:rsid w:val="00406DD2"/>
    <w:rsid w:val="0041080E"/>
    <w:rsid w:val="00412891"/>
    <w:rsid w:val="00413275"/>
    <w:rsid w:val="004157EA"/>
    <w:rsid w:val="0041710D"/>
    <w:rsid w:val="004210DC"/>
    <w:rsid w:val="004243CC"/>
    <w:rsid w:val="00426A01"/>
    <w:rsid w:val="00431882"/>
    <w:rsid w:val="00432A36"/>
    <w:rsid w:val="00433187"/>
    <w:rsid w:val="0043321C"/>
    <w:rsid w:val="00436141"/>
    <w:rsid w:val="00443892"/>
    <w:rsid w:val="00447233"/>
    <w:rsid w:val="004476B4"/>
    <w:rsid w:val="004529E7"/>
    <w:rsid w:val="00464856"/>
    <w:rsid w:val="00465DF3"/>
    <w:rsid w:val="004706D2"/>
    <w:rsid w:val="00472859"/>
    <w:rsid w:val="00476F0C"/>
    <w:rsid w:val="00480424"/>
    <w:rsid w:val="00484494"/>
    <w:rsid w:val="00484911"/>
    <w:rsid w:val="00486FAB"/>
    <w:rsid w:val="00493E60"/>
    <w:rsid w:val="004A1826"/>
    <w:rsid w:val="004A2FA0"/>
    <w:rsid w:val="004B0C7A"/>
    <w:rsid w:val="004B1482"/>
    <w:rsid w:val="004B496B"/>
    <w:rsid w:val="004C2485"/>
    <w:rsid w:val="004C421D"/>
    <w:rsid w:val="004C5709"/>
    <w:rsid w:val="004C7918"/>
    <w:rsid w:val="004D7BF1"/>
    <w:rsid w:val="004E0B03"/>
    <w:rsid w:val="004E7597"/>
    <w:rsid w:val="004E769A"/>
    <w:rsid w:val="004F4C74"/>
    <w:rsid w:val="004F6895"/>
    <w:rsid w:val="004F7264"/>
    <w:rsid w:val="004F75F6"/>
    <w:rsid w:val="00500974"/>
    <w:rsid w:val="00501174"/>
    <w:rsid w:val="00501C99"/>
    <w:rsid w:val="00504468"/>
    <w:rsid w:val="00510D75"/>
    <w:rsid w:val="00515F97"/>
    <w:rsid w:val="0052121C"/>
    <w:rsid w:val="005221DB"/>
    <w:rsid w:val="00524CB1"/>
    <w:rsid w:val="0052783E"/>
    <w:rsid w:val="005325CC"/>
    <w:rsid w:val="0053372E"/>
    <w:rsid w:val="00533F96"/>
    <w:rsid w:val="00534FCE"/>
    <w:rsid w:val="00541483"/>
    <w:rsid w:val="00542C92"/>
    <w:rsid w:val="00545223"/>
    <w:rsid w:val="00550216"/>
    <w:rsid w:val="00555D4A"/>
    <w:rsid w:val="0055751A"/>
    <w:rsid w:val="00561A1A"/>
    <w:rsid w:val="00563550"/>
    <w:rsid w:val="00565745"/>
    <w:rsid w:val="005722CF"/>
    <w:rsid w:val="00572E6A"/>
    <w:rsid w:val="00577188"/>
    <w:rsid w:val="00592413"/>
    <w:rsid w:val="005951A1"/>
    <w:rsid w:val="00597050"/>
    <w:rsid w:val="00597940"/>
    <w:rsid w:val="005A533F"/>
    <w:rsid w:val="005A5F1C"/>
    <w:rsid w:val="005B01ED"/>
    <w:rsid w:val="005B026C"/>
    <w:rsid w:val="005B2411"/>
    <w:rsid w:val="005B2A21"/>
    <w:rsid w:val="005B37E3"/>
    <w:rsid w:val="005B76AE"/>
    <w:rsid w:val="005C4A0B"/>
    <w:rsid w:val="005D1FB7"/>
    <w:rsid w:val="005D5264"/>
    <w:rsid w:val="005D5F95"/>
    <w:rsid w:val="005F1566"/>
    <w:rsid w:val="005F3A0F"/>
    <w:rsid w:val="006012CC"/>
    <w:rsid w:val="006021BF"/>
    <w:rsid w:val="00603AC4"/>
    <w:rsid w:val="00615934"/>
    <w:rsid w:val="006159BB"/>
    <w:rsid w:val="00625A88"/>
    <w:rsid w:val="006262E7"/>
    <w:rsid w:val="00640193"/>
    <w:rsid w:val="006444DA"/>
    <w:rsid w:val="00651202"/>
    <w:rsid w:val="00653614"/>
    <w:rsid w:val="00662825"/>
    <w:rsid w:val="00670301"/>
    <w:rsid w:val="006724D9"/>
    <w:rsid w:val="00676964"/>
    <w:rsid w:val="006769AD"/>
    <w:rsid w:val="00676F6D"/>
    <w:rsid w:val="006772C7"/>
    <w:rsid w:val="00682F37"/>
    <w:rsid w:val="00685BF7"/>
    <w:rsid w:val="00687131"/>
    <w:rsid w:val="00690334"/>
    <w:rsid w:val="0069559B"/>
    <w:rsid w:val="006A1EA9"/>
    <w:rsid w:val="006A2F2C"/>
    <w:rsid w:val="006A6D03"/>
    <w:rsid w:val="006A6DA0"/>
    <w:rsid w:val="006B5339"/>
    <w:rsid w:val="006B58EE"/>
    <w:rsid w:val="006B6F6F"/>
    <w:rsid w:val="006C44A9"/>
    <w:rsid w:val="006D7CEB"/>
    <w:rsid w:val="006E09AC"/>
    <w:rsid w:val="006F57C6"/>
    <w:rsid w:val="00706F17"/>
    <w:rsid w:val="00714719"/>
    <w:rsid w:val="00714A13"/>
    <w:rsid w:val="00721B05"/>
    <w:rsid w:val="00727F8A"/>
    <w:rsid w:val="00740D51"/>
    <w:rsid w:val="00741623"/>
    <w:rsid w:val="00746ED9"/>
    <w:rsid w:val="007519A7"/>
    <w:rsid w:val="007538F5"/>
    <w:rsid w:val="00757C4E"/>
    <w:rsid w:val="007614BF"/>
    <w:rsid w:val="007859BC"/>
    <w:rsid w:val="00791702"/>
    <w:rsid w:val="00795CB0"/>
    <w:rsid w:val="00795CE7"/>
    <w:rsid w:val="007A1362"/>
    <w:rsid w:val="007A6234"/>
    <w:rsid w:val="007B0ED7"/>
    <w:rsid w:val="007B6FBC"/>
    <w:rsid w:val="007C0450"/>
    <w:rsid w:val="007C1C52"/>
    <w:rsid w:val="007C4503"/>
    <w:rsid w:val="007C6CF7"/>
    <w:rsid w:val="007D6E8F"/>
    <w:rsid w:val="007D7117"/>
    <w:rsid w:val="007E79C0"/>
    <w:rsid w:val="007F26D0"/>
    <w:rsid w:val="007F5F85"/>
    <w:rsid w:val="007F6D72"/>
    <w:rsid w:val="00802444"/>
    <w:rsid w:val="008036D7"/>
    <w:rsid w:val="00813FF9"/>
    <w:rsid w:val="00820AD9"/>
    <w:rsid w:val="00821F6F"/>
    <w:rsid w:val="00822C88"/>
    <w:rsid w:val="00823BC9"/>
    <w:rsid w:val="0083408B"/>
    <w:rsid w:val="008348B8"/>
    <w:rsid w:val="008367D3"/>
    <w:rsid w:val="008422BD"/>
    <w:rsid w:val="00845038"/>
    <w:rsid w:val="008514AF"/>
    <w:rsid w:val="00851D0C"/>
    <w:rsid w:val="00871D60"/>
    <w:rsid w:val="0087302A"/>
    <w:rsid w:val="008733D4"/>
    <w:rsid w:val="0087395B"/>
    <w:rsid w:val="00884093"/>
    <w:rsid w:val="00887F11"/>
    <w:rsid w:val="008B03DE"/>
    <w:rsid w:val="008B3318"/>
    <w:rsid w:val="008B3FE4"/>
    <w:rsid w:val="008B5062"/>
    <w:rsid w:val="008C016C"/>
    <w:rsid w:val="008C291E"/>
    <w:rsid w:val="008D08CD"/>
    <w:rsid w:val="008D0BF6"/>
    <w:rsid w:val="008D24D7"/>
    <w:rsid w:val="008D4240"/>
    <w:rsid w:val="008D6404"/>
    <w:rsid w:val="008E5F7F"/>
    <w:rsid w:val="00900E50"/>
    <w:rsid w:val="00905D4A"/>
    <w:rsid w:val="0090793F"/>
    <w:rsid w:val="00921DF4"/>
    <w:rsid w:val="0092499B"/>
    <w:rsid w:val="00930AAB"/>
    <w:rsid w:val="009331CE"/>
    <w:rsid w:val="00934923"/>
    <w:rsid w:val="009434F9"/>
    <w:rsid w:val="00951CE1"/>
    <w:rsid w:val="00952B77"/>
    <w:rsid w:val="0095322B"/>
    <w:rsid w:val="00955D7E"/>
    <w:rsid w:val="009742FB"/>
    <w:rsid w:val="009759BA"/>
    <w:rsid w:val="009800D6"/>
    <w:rsid w:val="00982C4A"/>
    <w:rsid w:val="009A0715"/>
    <w:rsid w:val="009A3A17"/>
    <w:rsid w:val="009A4228"/>
    <w:rsid w:val="009B315D"/>
    <w:rsid w:val="009B5385"/>
    <w:rsid w:val="009B5490"/>
    <w:rsid w:val="009B5E05"/>
    <w:rsid w:val="009B7E68"/>
    <w:rsid w:val="009C0582"/>
    <w:rsid w:val="009C612D"/>
    <w:rsid w:val="009E2A3C"/>
    <w:rsid w:val="009E52D9"/>
    <w:rsid w:val="009E5EF5"/>
    <w:rsid w:val="009E6718"/>
    <w:rsid w:val="009E7E9C"/>
    <w:rsid w:val="009F25A0"/>
    <w:rsid w:val="009F5AA7"/>
    <w:rsid w:val="009F5DA5"/>
    <w:rsid w:val="00A030CD"/>
    <w:rsid w:val="00A07C9F"/>
    <w:rsid w:val="00A117E1"/>
    <w:rsid w:val="00A15ACE"/>
    <w:rsid w:val="00A36745"/>
    <w:rsid w:val="00A608A1"/>
    <w:rsid w:val="00A63391"/>
    <w:rsid w:val="00A67C00"/>
    <w:rsid w:val="00A755A7"/>
    <w:rsid w:val="00A756FA"/>
    <w:rsid w:val="00A84FDE"/>
    <w:rsid w:val="00A8666D"/>
    <w:rsid w:val="00A86C54"/>
    <w:rsid w:val="00A87CFE"/>
    <w:rsid w:val="00A87E6C"/>
    <w:rsid w:val="00A90A95"/>
    <w:rsid w:val="00A96FC5"/>
    <w:rsid w:val="00A97F1A"/>
    <w:rsid w:val="00AA688D"/>
    <w:rsid w:val="00AB119D"/>
    <w:rsid w:val="00AB666B"/>
    <w:rsid w:val="00AC13D0"/>
    <w:rsid w:val="00AD2643"/>
    <w:rsid w:val="00AE7756"/>
    <w:rsid w:val="00AF266B"/>
    <w:rsid w:val="00AF26FA"/>
    <w:rsid w:val="00AF72EB"/>
    <w:rsid w:val="00B04979"/>
    <w:rsid w:val="00B05474"/>
    <w:rsid w:val="00B0759B"/>
    <w:rsid w:val="00B07714"/>
    <w:rsid w:val="00B07D51"/>
    <w:rsid w:val="00B15343"/>
    <w:rsid w:val="00B15ABE"/>
    <w:rsid w:val="00B2459E"/>
    <w:rsid w:val="00B253E0"/>
    <w:rsid w:val="00B25DF1"/>
    <w:rsid w:val="00B26D47"/>
    <w:rsid w:val="00B31F74"/>
    <w:rsid w:val="00B3446C"/>
    <w:rsid w:val="00B3704F"/>
    <w:rsid w:val="00B442DE"/>
    <w:rsid w:val="00B47005"/>
    <w:rsid w:val="00B4714C"/>
    <w:rsid w:val="00B5465A"/>
    <w:rsid w:val="00B56736"/>
    <w:rsid w:val="00B60C65"/>
    <w:rsid w:val="00B64068"/>
    <w:rsid w:val="00B648CB"/>
    <w:rsid w:val="00B70562"/>
    <w:rsid w:val="00B71720"/>
    <w:rsid w:val="00B745F8"/>
    <w:rsid w:val="00B7515E"/>
    <w:rsid w:val="00B753DA"/>
    <w:rsid w:val="00B77C0A"/>
    <w:rsid w:val="00B944B7"/>
    <w:rsid w:val="00BA203C"/>
    <w:rsid w:val="00BA7CD4"/>
    <w:rsid w:val="00BB13EE"/>
    <w:rsid w:val="00BB4996"/>
    <w:rsid w:val="00BC0D6B"/>
    <w:rsid w:val="00BD115E"/>
    <w:rsid w:val="00BD13C0"/>
    <w:rsid w:val="00BD36A4"/>
    <w:rsid w:val="00BE6004"/>
    <w:rsid w:val="00BF1896"/>
    <w:rsid w:val="00BF3EE9"/>
    <w:rsid w:val="00BF58FC"/>
    <w:rsid w:val="00C04030"/>
    <w:rsid w:val="00C04218"/>
    <w:rsid w:val="00C10E6B"/>
    <w:rsid w:val="00C136CA"/>
    <w:rsid w:val="00C1642D"/>
    <w:rsid w:val="00C20E8C"/>
    <w:rsid w:val="00C21A04"/>
    <w:rsid w:val="00C22DAD"/>
    <w:rsid w:val="00C25B7E"/>
    <w:rsid w:val="00C356C4"/>
    <w:rsid w:val="00C4045C"/>
    <w:rsid w:val="00C44307"/>
    <w:rsid w:val="00C4713F"/>
    <w:rsid w:val="00C50C0D"/>
    <w:rsid w:val="00C54A0C"/>
    <w:rsid w:val="00C55015"/>
    <w:rsid w:val="00C57A53"/>
    <w:rsid w:val="00C65F0E"/>
    <w:rsid w:val="00C70F15"/>
    <w:rsid w:val="00C7113D"/>
    <w:rsid w:val="00C74030"/>
    <w:rsid w:val="00C818B2"/>
    <w:rsid w:val="00C82438"/>
    <w:rsid w:val="00C86784"/>
    <w:rsid w:val="00C92873"/>
    <w:rsid w:val="00C92BDF"/>
    <w:rsid w:val="00CA6F2D"/>
    <w:rsid w:val="00CA7888"/>
    <w:rsid w:val="00CB1CEA"/>
    <w:rsid w:val="00CB7AF1"/>
    <w:rsid w:val="00CC1CBC"/>
    <w:rsid w:val="00CC782A"/>
    <w:rsid w:val="00CD2361"/>
    <w:rsid w:val="00CF08DC"/>
    <w:rsid w:val="00CF5B46"/>
    <w:rsid w:val="00CF7A9C"/>
    <w:rsid w:val="00D01547"/>
    <w:rsid w:val="00D02039"/>
    <w:rsid w:val="00D029A8"/>
    <w:rsid w:val="00D03F14"/>
    <w:rsid w:val="00D150EA"/>
    <w:rsid w:val="00D16005"/>
    <w:rsid w:val="00D204F6"/>
    <w:rsid w:val="00D21F62"/>
    <w:rsid w:val="00D22FDB"/>
    <w:rsid w:val="00D240E6"/>
    <w:rsid w:val="00D244FC"/>
    <w:rsid w:val="00D32A53"/>
    <w:rsid w:val="00D34CF9"/>
    <w:rsid w:val="00D37108"/>
    <w:rsid w:val="00D43B24"/>
    <w:rsid w:val="00D46386"/>
    <w:rsid w:val="00D50734"/>
    <w:rsid w:val="00D51873"/>
    <w:rsid w:val="00D51CC8"/>
    <w:rsid w:val="00D5276C"/>
    <w:rsid w:val="00D56674"/>
    <w:rsid w:val="00D619AC"/>
    <w:rsid w:val="00D62C0A"/>
    <w:rsid w:val="00D70639"/>
    <w:rsid w:val="00D71172"/>
    <w:rsid w:val="00D71BE8"/>
    <w:rsid w:val="00D73BF1"/>
    <w:rsid w:val="00D81FD9"/>
    <w:rsid w:val="00D8475B"/>
    <w:rsid w:val="00D860AD"/>
    <w:rsid w:val="00D92042"/>
    <w:rsid w:val="00D95578"/>
    <w:rsid w:val="00D9691A"/>
    <w:rsid w:val="00DA3B69"/>
    <w:rsid w:val="00DA4A8B"/>
    <w:rsid w:val="00DA5206"/>
    <w:rsid w:val="00DC0694"/>
    <w:rsid w:val="00DC3316"/>
    <w:rsid w:val="00DC4ACE"/>
    <w:rsid w:val="00DC6B20"/>
    <w:rsid w:val="00DD6DC4"/>
    <w:rsid w:val="00DE1B18"/>
    <w:rsid w:val="00DF0A51"/>
    <w:rsid w:val="00E06FD6"/>
    <w:rsid w:val="00E108EB"/>
    <w:rsid w:val="00E142F9"/>
    <w:rsid w:val="00E20987"/>
    <w:rsid w:val="00E20AA0"/>
    <w:rsid w:val="00E2595D"/>
    <w:rsid w:val="00E32F57"/>
    <w:rsid w:val="00E33A81"/>
    <w:rsid w:val="00E36259"/>
    <w:rsid w:val="00E40315"/>
    <w:rsid w:val="00E52591"/>
    <w:rsid w:val="00E55A77"/>
    <w:rsid w:val="00E65F6E"/>
    <w:rsid w:val="00E67E64"/>
    <w:rsid w:val="00E70E2D"/>
    <w:rsid w:val="00E71A90"/>
    <w:rsid w:val="00E71D76"/>
    <w:rsid w:val="00E754C0"/>
    <w:rsid w:val="00E75DA0"/>
    <w:rsid w:val="00E921B7"/>
    <w:rsid w:val="00E92948"/>
    <w:rsid w:val="00EA03BB"/>
    <w:rsid w:val="00EA05F0"/>
    <w:rsid w:val="00EA608C"/>
    <w:rsid w:val="00EC060C"/>
    <w:rsid w:val="00EC7375"/>
    <w:rsid w:val="00ED4268"/>
    <w:rsid w:val="00ED620B"/>
    <w:rsid w:val="00ED6489"/>
    <w:rsid w:val="00EE2398"/>
    <w:rsid w:val="00EE29FB"/>
    <w:rsid w:val="00EE3C57"/>
    <w:rsid w:val="00EE76B0"/>
    <w:rsid w:val="00EE77B6"/>
    <w:rsid w:val="00EF03F3"/>
    <w:rsid w:val="00EF2D3F"/>
    <w:rsid w:val="00EF5ECA"/>
    <w:rsid w:val="00F02001"/>
    <w:rsid w:val="00F0226F"/>
    <w:rsid w:val="00F0268E"/>
    <w:rsid w:val="00F05891"/>
    <w:rsid w:val="00F270D5"/>
    <w:rsid w:val="00F358C1"/>
    <w:rsid w:val="00F409B1"/>
    <w:rsid w:val="00F453E9"/>
    <w:rsid w:val="00F457B4"/>
    <w:rsid w:val="00F54EE2"/>
    <w:rsid w:val="00F5560A"/>
    <w:rsid w:val="00F61A06"/>
    <w:rsid w:val="00F65C59"/>
    <w:rsid w:val="00F73392"/>
    <w:rsid w:val="00F740BF"/>
    <w:rsid w:val="00F77446"/>
    <w:rsid w:val="00F81881"/>
    <w:rsid w:val="00F81F9F"/>
    <w:rsid w:val="00F8357B"/>
    <w:rsid w:val="00F86B01"/>
    <w:rsid w:val="00F86CB2"/>
    <w:rsid w:val="00F87E13"/>
    <w:rsid w:val="00FB3906"/>
    <w:rsid w:val="00FC1588"/>
    <w:rsid w:val="00FC52D8"/>
    <w:rsid w:val="00FC670F"/>
    <w:rsid w:val="00FE6292"/>
    <w:rsid w:val="00FF207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B0B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50544"/>
    <w:pPr>
      <w:spacing w:after="0" w:line="240" w:lineRule="auto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6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c.wa.gov/1432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utc.wa.gov/e-fil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95C09AD2AE5E4D9A894913BA436AC3" ma:contentTypeVersion="175" ma:contentTypeDescription="" ma:contentTypeScope="" ma:versionID="fdb444a06025f34223812da3d7758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160</IndustryCode>
    <DocketNumber xmlns="dc463f71-b30c-4ab2-9473-d307f9d35888">143295</DocketNumber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2014-09-08T07:00:00+00:00</OpenedDate>
    <Date1 xmlns="dc463f71-b30c-4ab2-9473-d307f9d35888">2015-11-24T19:48:45+00:00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D0658B-DA8F-4E0C-BFC9-5FD8DC4F7B72}"/>
</file>

<file path=customXml/itemProps2.xml><?xml version="1.0" encoding="utf-8"?>
<ds:datastoreItem xmlns:ds="http://schemas.openxmlformats.org/officeDocument/2006/customXml" ds:itemID="{DA7F58DA-706F-4F50-8AD8-6CC11DCE2AA2}"/>
</file>

<file path=customXml/itemProps3.xml><?xml version="1.0" encoding="utf-8"?>
<ds:datastoreItem xmlns:ds="http://schemas.openxmlformats.org/officeDocument/2006/customXml" ds:itemID="{C3A4B09B-F292-4D12-99F6-002A1313A1AD}"/>
</file>

<file path=customXml/itemProps4.xml><?xml version="1.0" encoding="utf-8"?>
<ds:datastoreItem xmlns:ds="http://schemas.openxmlformats.org/officeDocument/2006/customXml" ds:itemID="{373B070B-D071-44B0-B31F-922355654AB2}"/>
</file>

<file path=customXml/itemProps5.xml><?xml version="1.0" encoding="utf-8"?>
<ds:datastoreItem xmlns:ds="http://schemas.openxmlformats.org/officeDocument/2006/customXml" ds:itemID="{3C65B828-981E-42B4-A2FC-7D2C71C25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2015-11-23T22:47:00Z</dcterms:created>
  <dcterms:modified xsi:type="dcterms:W3CDTF">2015-11-23T22:47:00Z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0x0101006E56B4D1795A2E4DB2F0B01679ED314A00F995C09AD2AE5E4D9A894913BA436AC3</vt:lpwstr>
  </property>
  <property fmtid="{D5CDD505-2E9C-101B-9397-08002B2CF9AE}" pid="3" name="_docset_NoMedatataSyncRequired">
    <vt:lpwstr>False</vt:lpwstr>
  </property>
</Properties>
</file>