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D6" w:rsidRPr="009B59D6" w:rsidRDefault="009B59D6" w:rsidP="009B59D6">
      <w:pPr>
        <w:jc w:val="both"/>
        <w:rPr>
          <w:rFonts w:ascii="Arial" w:hAnsi="Arial" w:cs="Arial"/>
          <w:sz w:val="20"/>
        </w:rPr>
      </w:pPr>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r>
      <w:proofErr w:type="gramStart"/>
      <w:r w:rsidRPr="009B59D6">
        <w:rPr>
          <w:rFonts w:ascii="Arial" w:hAnsi="Arial" w:cs="Arial"/>
          <w:sz w:val="20"/>
        </w:rPr>
        <w:t>In all territory served by Company in the State of Washington.</w:t>
      </w:r>
      <w:proofErr w:type="gramEnd"/>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D91143" w:rsidP="009B59D6">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6143625</wp:posOffset>
                </wp:positionH>
                <wp:positionV relativeFrom="paragraph">
                  <wp:posOffset>66040</wp:posOffset>
                </wp:positionV>
                <wp:extent cx="584835" cy="39052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F" w:rsidRDefault="0049621F" w:rsidP="0049621F">
                            <w:pPr>
                              <w:rPr>
                                <w:rFonts w:ascii="Arial" w:hAnsi="Arial" w:cs="Arial"/>
                                <w:sz w:val="20"/>
                              </w:rPr>
                            </w:pPr>
                          </w:p>
                          <w:p w:rsidR="007508B7" w:rsidRDefault="007508B7" w:rsidP="0049621F">
                            <w:pPr>
                              <w:rPr>
                                <w:rFonts w:ascii="Arial" w:hAnsi="Arial" w:cs="Arial"/>
                                <w:sz w:val="20"/>
                              </w:rPr>
                            </w:pPr>
                          </w:p>
                          <w:p w:rsidR="007508B7" w:rsidRDefault="005900D8" w:rsidP="0049621F">
                            <w:pPr>
                              <w:rPr>
                                <w:rFonts w:ascii="Arial" w:hAnsi="Arial" w:cs="Arial"/>
                                <w:sz w:val="20"/>
                              </w:rPr>
                            </w:pPr>
                            <w:r>
                              <w:rPr>
                                <w:rFonts w:ascii="Arial" w:hAnsi="Arial" w:cs="Arial"/>
                                <w:sz w:val="20"/>
                              </w:rPr>
                              <w:t>(N)(D)</w:t>
                            </w:r>
                          </w:p>
                          <w:p w:rsidR="0049621F" w:rsidRDefault="0049621F"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75pt;margin-top:5.2pt;width:46.0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w+tg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" filled="f" stroked="f">
                <v:textbox>
                  <w:txbxContent>
                    <w:p w:rsidR="0049621F" w:rsidRDefault="0049621F" w:rsidP="0049621F">
                      <w:pPr>
                        <w:rPr>
                          <w:rFonts w:ascii="Arial" w:hAnsi="Arial" w:cs="Arial"/>
                          <w:sz w:val="20"/>
                        </w:rPr>
                      </w:pPr>
                    </w:p>
                    <w:p w:rsidR="007508B7" w:rsidRDefault="007508B7" w:rsidP="0049621F">
                      <w:pPr>
                        <w:rPr>
                          <w:rFonts w:ascii="Arial" w:hAnsi="Arial" w:cs="Arial"/>
                          <w:sz w:val="20"/>
                        </w:rPr>
                      </w:pPr>
                    </w:p>
                    <w:p w:rsidR="007508B7" w:rsidRDefault="005900D8" w:rsidP="0049621F">
                      <w:pPr>
                        <w:rPr>
                          <w:rFonts w:ascii="Arial" w:hAnsi="Arial" w:cs="Arial"/>
                          <w:sz w:val="20"/>
                        </w:rPr>
                      </w:pPr>
                      <w:r>
                        <w:rPr>
                          <w:rFonts w:ascii="Arial" w:hAnsi="Arial" w:cs="Arial"/>
                          <w:sz w:val="20"/>
                        </w:rPr>
                        <w:t>(N)(D)</w:t>
                      </w:r>
                    </w:p>
                    <w:p w:rsidR="0049621F" w:rsidRDefault="0049621F"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p>
                    <w:p w:rsidR="00D51F0D" w:rsidRDefault="00D51F0D" w:rsidP="0049621F">
                      <w:pPr>
                        <w:rPr>
                          <w:rFonts w:ascii="Arial" w:hAnsi="Arial" w:cs="Arial"/>
                          <w:sz w:val="20"/>
                        </w:rPr>
                      </w:pPr>
                      <w:r>
                        <w:rPr>
                          <w:rFonts w:ascii="Arial" w:hAnsi="Arial" w:cs="Arial"/>
                          <w:sz w:val="20"/>
                        </w:rPr>
                        <w:t>(I)</w:t>
                      </w:r>
                    </w:p>
                  </w:txbxContent>
                </v:textbox>
              </v:shape>
            </w:pict>
          </mc:Fallback>
        </mc:AlternateContent>
      </w:r>
      <w:r w:rsidR="009B59D6" w:rsidRPr="009B59D6">
        <w:rPr>
          <w:rFonts w:ascii="Arial" w:hAnsi="Arial" w:cs="Arial"/>
          <w:sz w:val="20"/>
          <w:u w:val="single"/>
        </w:rPr>
        <w:t>MONTHLY BILLING</w:t>
      </w:r>
      <w:r w:rsidR="009B59D6"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 </w:t>
      </w:r>
      <w:r w:rsidR="00A12BE1">
        <w:rPr>
          <w:rFonts w:ascii="Arial" w:hAnsi="Arial" w:cs="Arial"/>
          <w:sz w:val="20"/>
        </w:rPr>
        <w:t>80</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4 times Schedule 48T Energy Charge</w:t>
      </w:r>
    </w:p>
    <w:p w:rsidR="00A43A23" w:rsidRDefault="00A43A23" w:rsidP="009B59D6">
      <w:pPr>
        <w:ind w:firstLine="720"/>
        <w:rPr>
          <w:rFonts w:ascii="Arial" w:hAnsi="Arial" w:cs="Arial"/>
          <w:sz w:val="20"/>
        </w:rPr>
      </w:pPr>
      <w:bookmarkStart w:id="0" w:name="_GoBack"/>
      <w:bookmarkEnd w:id="0"/>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bove charges, at 5</w:t>
      </w:r>
      <w:r w:rsidR="00D51F0D">
        <w:rPr>
          <w:rFonts w:ascii="Arial" w:hAnsi="Arial" w:cs="Arial"/>
          <w:sz w:val="20"/>
        </w:rPr>
        <w:t>5</w:t>
      </w:r>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9621F" w:rsidRDefault="0049621F" w:rsidP="0049621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12BE1">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A12BE1">
      <w:rPr>
        <w:rFonts w:ascii="Arial" w:hAnsi="Arial" w:cs="Arial"/>
        <w:sz w:val="20"/>
      </w:rPr>
      <w:t>May 31, 2014</w:t>
    </w:r>
  </w:p>
  <w:p w:rsidR="0049621F" w:rsidRDefault="0049621F" w:rsidP="0049621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w:t>
    </w:r>
  </w:p>
  <w:p w:rsidR="00A12BE1" w:rsidRPr="00A12BE1" w:rsidRDefault="00A12BE1" w:rsidP="00A12BE1">
    <w:pPr>
      <w:tabs>
        <w:tab w:val="right" w:pos="9216"/>
      </w:tabs>
      <w:ind w:left="900" w:hanging="900"/>
      <w:jc w:val="center"/>
      <w:rPr>
        <w:rFonts w:ascii="Arial" w:hAnsi="Arial" w:cs="Arial"/>
        <w:b/>
        <w:sz w:val="20"/>
      </w:rPr>
    </w:pPr>
    <w:r w:rsidRPr="00A12BE1">
      <w:rPr>
        <w:noProof/>
        <w:lang w:eastAsia="en-US"/>
      </w:rPr>
      <w:drawing>
        <wp:anchor distT="0" distB="0" distL="114300" distR="114300" simplePos="0" relativeHeight="251686912" behindDoc="1" locked="0" layoutInCell="1" allowOverlap="1" wp14:anchorId="0E24995B" wp14:editId="2D1BF607">
          <wp:simplePos x="0" y="0"/>
          <wp:positionH relativeFrom="column">
            <wp:posOffset>381000</wp:posOffset>
          </wp:positionH>
          <wp:positionV relativeFrom="paragraph">
            <wp:posOffset>3175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2BE1">
      <w:rPr>
        <w:rFonts w:ascii="Arial" w:hAnsi="Arial" w:cs="Arial"/>
        <w:b/>
        <w:sz w:val="20"/>
      </w:rPr>
      <w:t>Issued by Pacific Power &amp; Light Company</w:t>
    </w:r>
  </w:p>
  <w:p w:rsidR="00A12BE1" w:rsidRPr="00A12BE1" w:rsidRDefault="00A12BE1" w:rsidP="00A12BE1">
    <w:pPr>
      <w:tabs>
        <w:tab w:val="left" w:pos="1365"/>
        <w:tab w:val="right" w:pos="9216"/>
      </w:tabs>
      <w:ind w:left="1170" w:hanging="360"/>
      <w:rPr>
        <w:rFonts w:ascii="Arial" w:hAnsi="Arial" w:cs="Arial"/>
        <w:b/>
        <w:sz w:val="20"/>
      </w:rPr>
    </w:pPr>
  </w:p>
  <w:p w:rsidR="003960AD" w:rsidRDefault="00A12BE1" w:rsidP="000B36F4">
    <w:pPr>
      <w:pStyle w:val="Footer"/>
      <w:tabs>
        <w:tab w:val="clear" w:pos="4680"/>
        <w:tab w:val="clear" w:pos="9360"/>
        <w:tab w:val="right" w:pos="9216"/>
      </w:tabs>
      <w:ind w:left="900" w:hanging="900"/>
      <w:rPr>
        <w:rFonts w:ascii="Arial" w:hAnsi="Arial" w:cs="Arial"/>
        <w:sz w:val="20"/>
      </w:rPr>
    </w:pPr>
    <w:r w:rsidRPr="00A12BE1">
      <w:rPr>
        <w:rFonts w:ascii="Arial" w:hAnsi="Arial" w:cs="Arial"/>
        <w:b/>
        <w:sz w:val="20"/>
      </w:rPr>
      <w:t xml:space="preserve">By: __________________________ </w:t>
    </w:r>
    <w:r w:rsidRPr="00A12BE1">
      <w:rPr>
        <w:rFonts w:ascii="Arial" w:hAnsi="Arial" w:cs="Arial"/>
        <w:sz w:val="20"/>
      </w:rPr>
      <w:t>R. Bryce Dalley</w:t>
    </w:r>
    <w:r w:rsidRPr="00A12BE1">
      <w:rPr>
        <w:rFonts w:ascii="Arial" w:hAnsi="Arial" w:cs="Arial"/>
        <w:sz w:val="20"/>
      </w:rPr>
      <w:tab/>
    </w:r>
    <w:r w:rsidRPr="00A12BE1">
      <w:rPr>
        <w:rFonts w:ascii="Arial" w:hAnsi="Arial" w:cs="Arial"/>
        <w:b/>
        <w:sz w:val="20"/>
      </w:rPr>
      <w:t xml:space="preserve">Title: </w:t>
    </w:r>
    <w:r w:rsidRPr="00A12BE1">
      <w:rPr>
        <w:rFonts w:ascii="Arial" w:hAnsi="Arial" w:cs="Arial"/>
        <w:sz w:val="20"/>
      </w:rPr>
      <w:t>Vice President, Regulation</w:t>
    </w:r>
    <w:r w:rsidRPr="00A12BE1" w:rsidDel="00774706">
      <w:rPr>
        <w:rFonts w:ascii="Arial" w:hAnsi="Arial" w:cs="Arial"/>
        <w:b/>
        <w:sz w:val="20"/>
      </w:rPr>
      <w:t xml:space="preserve"> </w:t>
    </w:r>
    <w:r w:rsidR="003960AD">
      <w:rPr>
        <w:rFonts w:ascii="Arial" w:hAnsi="Arial" w:cs="Arial"/>
        <w:sz w:val="20"/>
      </w:rPr>
      <w:tab/>
    </w:r>
    <w:r w:rsidR="003960AD">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860A84" w:rsidRDefault="00D9114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NhTFEI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12BE1" w:rsidP="00A91A21">
    <w:pPr>
      <w:tabs>
        <w:tab w:val="left" w:pos="7200"/>
      </w:tabs>
      <w:ind w:right="2160"/>
      <w:jc w:val="right"/>
      <w:rPr>
        <w:rFonts w:ascii="Arial" w:hAnsi="Arial" w:cs="Arial"/>
        <w:sz w:val="20"/>
      </w:rPr>
    </w:pPr>
    <w:r>
      <w:rPr>
        <w:rFonts w:ascii="Arial" w:hAnsi="Arial" w:cs="Arial"/>
        <w:sz w:val="20"/>
      </w:rPr>
      <w:t xml:space="preserve">Second </w:t>
    </w:r>
    <w:r w:rsidR="0049621F">
      <w:rPr>
        <w:rFonts w:ascii="Arial" w:hAnsi="Arial" w:cs="Arial"/>
        <w:sz w:val="20"/>
      </w:rPr>
      <w:t>Revision of Sheet No. 47T.1</w:t>
    </w:r>
  </w:p>
  <w:p w:rsidR="003960AD" w:rsidRDefault="0049621F" w:rsidP="00A91A21">
    <w:pPr>
      <w:tabs>
        <w:tab w:val="left" w:pos="7200"/>
      </w:tabs>
      <w:ind w:right="2160"/>
      <w:jc w:val="right"/>
      <w:rPr>
        <w:rFonts w:ascii="Arial" w:hAnsi="Arial" w:cs="Arial"/>
        <w:sz w:val="20"/>
      </w:rPr>
    </w:pPr>
    <w:r>
      <w:rPr>
        <w:rFonts w:ascii="Arial" w:hAnsi="Arial" w:cs="Arial"/>
        <w:sz w:val="20"/>
      </w:rPr>
      <w:t xml:space="preserve">Canceling </w:t>
    </w:r>
    <w:r w:rsidR="00A12BE1">
      <w:rPr>
        <w:rFonts w:ascii="Arial" w:hAnsi="Arial" w:cs="Arial"/>
        <w:sz w:val="20"/>
      </w:rPr>
      <w:t xml:space="preserve">First Revision of </w:t>
    </w:r>
    <w:r w:rsidR="009B59D6">
      <w:rPr>
        <w:rFonts w:ascii="Arial" w:hAnsi="Arial" w:cs="Arial"/>
        <w:sz w:val="20"/>
      </w:rPr>
      <w:t>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113567"/>
    <w:rsid w:val="00135716"/>
    <w:rsid w:val="00135837"/>
    <w:rsid w:val="00150DFB"/>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9621F"/>
    <w:rsid w:val="004A30F3"/>
    <w:rsid w:val="004B1617"/>
    <w:rsid w:val="004C5FE8"/>
    <w:rsid w:val="00534D32"/>
    <w:rsid w:val="00546A05"/>
    <w:rsid w:val="00555712"/>
    <w:rsid w:val="00564506"/>
    <w:rsid w:val="00577682"/>
    <w:rsid w:val="00580EC3"/>
    <w:rsid w:val="005900D8"/>
    <w:rsid w:val="005A1156"/>
    <w:rsid w:val="005C397C"/>
    <w:rsid w:val="005E008E"/>
    <w:rsid w:val="005E29DE"/>
    <w:rsid w:val="005F64B9"/>
    <w:rsid w:val="005F7880"/>
    <w:rsid w:val="006172E7"/>
    <w:rsid w:val="006638F3"/>
    <w:rsid w:val="00683DDC"/>
    <w:rsid w:val="0068713C"/>
    <w:rsid w:val="006A266F"/>
    <w:rsid w:val="006C736D"/>
    <w:rsid w:val="006E1287"/>
    <w:rsid w:val="006E424F"/>
    <w:rsid w:val="006E780D"/>
    <w:rsid w:val="00710518"/>
    <w:rsid w:val="0072316D"/>
    <w:rsid w:val="007504BF"/>
    <w:rsid w:val="007508B7"/>
    <w:rsid w:val="0077488B"/>
    <w:rsid w:val="007854E0"/>
    <w:rsid w:val="00790CE2"/>
    <w:rsid w:val="007E0BC7"/>
    <w:rsid w:val="007F06C3"/>
    <w:rsid w:val="007F6029"/>
    <w:rsid w:val="00813698"/>
    <w:rsid w:val="00823ACF"/>
    <w:rsid w:val="00836FF0"/>
    <w:rsid w:val="008463A0"/>
    <w:rsid w:val="008474F2"/>
    <w:rsid w:val="00860A84"/>
    <w:rsid w:val="008766A2"/>
    <w:rsid w:val="00876B56"/>
    <w:rsid w:val="00886645"/>
    <w:rsid w:val="008A77C7"/>
    <w:rsid w:val="008E7364"/>
    <w:rsid w:val="00920A5D"/>
    <w:rsid w:val="009B1635"/>
    <w:rsid w:val="009B59D6"/>
    <w:rsid w:val="009E0C82"/>
    <w:rsid w:val="00A02D73"/>
    <w:rsid w:val="00A12B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7897"/>
    <w:rsid w:val="00C0493E"/>
    <w:rsid w:val="00C210FD"/>
    <w:rsid w:val="00C41C7D"/>
    <w:rsid w:val="00C60F7D"/>
    <w:rsid w:val="00C91131"/>
    <w:rsid w:val="00CD01ED"/>
    <w:rsid w:val="00CE6692"/>
    <w:rsid w:val="00CF64E6"/>
    <w:rsid w:val="00D23AB3"/>
    <w:rsid w:val="00D313E0"/>
    <w:rsid w:val="00D45A57"/>
    <w:rsid w:val="00D51F0D"/>
    <w:rsid w:val="00D60206"/>
    <w:rsid w:val="00D91143"/>
    <w:rsid w:val="00D932B5"/>
    <w:rsid w:val="00E52C0F"/>
    <w:rsid w:val="00E53EC5"/>
    <w:rsid w:val="00E84454"/>
    <w:rsid w:val="00E86C83"/>
    <w:rsid w:val="00EC5B62"/>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821B14-9505-4D60-A40A-E22E391CCEE4}"/>
</file>

<file path=customXml/itemProps2.xml><?xml version="1.0" encoding="utf-8"?>
<ds:datastoreItem xmlns:ds="http://schemas.openxmlformats.org/officeDocument/2006/customXml" ds:itemID="{52B811C2-0D1B-4764-AC33-12AC17E8434F}"/>
</file>

<file path=customXml/itemProps3.xml><?xml version="1.0" encoding="utf-8"?>
<ds:datastoreItem xmlns:ds="http://schemas.openxmlformats.org/officeDocument/2006/customXml" ds:itemID="{DA4ACCCF-FA17-4625-A960-3D8E46D27172}"/>
</file>

<file path=customXml/itemProps4.xml><?xml version="1.0" encoding="utf-8"?>
<ds:datastoreItem xmlns:ds="http://schemas.openxmlformats.org/officeDocument/2006/customXml" ds:itemID="{92BAA502-CFF5-4B68-920F-8D12302D9EEB}"/>
</file>

<file path=customXml/itemProps5.xml><?xml version="1.0" encoding="utf-8"?>
<ds:datastoreItem xmlns:ds="http://schemas.openxmlformats.org/officeDocument/2006/customXml" ds:itemID="{DA9ABBA3-CA7E-444A-93AA-309B08592688}"/>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5</cp:revision>
  <cp:lastPrinted>2011-04-06T22:22:00Z</cp:lastPrinted>
  <dcterms:created xsi:type="dcterms:W3CDTF">2014-04-25T17:35:00Z</dcterms:created>
  <dcterms:modified xsi:type="dcterms:W3CDTF">2014-04-29T17:57:00Z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