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E100BD" w:rsidRPr="003761BF" w:rsidRDefault="00C72D5F" w:rsidP="00C72D5F">
      <w:pPr>
        <w:jc w:val="both"/>
        <w:rPr>
          <w:rFonts w:ascii="Arial" w:hAnsi="Arial" w:cs="Arial"/>
          <w:b/>
          <w:sz w:val="20"/>
          <w:u w:val="single"/>
        </w:rPr>
      </w:pPr>
      <w:r w:rsidRPr="003761BF">
        <w:rPr>
          <w:rFonts w:ascii="Arial" w:hAnsi="Arial" w:cs="Arial"/>
          <w:b/>
          <w:sz w:val="20"/>
          <w:u w:val="single"/>
        </w:rPr>
        <w:t xml:space="preserve">D.  </w:t>
      </w:r>
      <w:r>
        <w:rPr>
          <w:rFonts w:ascii="Arial" w:hAnsi="Arial" w:cs="Arial"/>
          <w:b/>
          <w:sz w:val="20"/>
          <w:u w:val="single"/>
        </w:rPr>
        <w:t>General Conditions:</w:t>
      </w:r>
      <w:r w:rsidRPr="003761BF">
        <w:rPr>
          <w:rFonts w:ascii="Arial" w:hAnsi="Arial" w:cs="Arial"/>
          <w:b/>
          <w:sz w:val="20"/>
          <w:u w:val="single"/>
        </w:rPr>
        <w:t xml:space="preserve"> </w:t>
      </w:r>
      <w:r>
        <w:rPr>
          <w:rFonts w:ascii="Arial" w:hAnsi="Arial" w:cs="Arial"/>
          <w:b/>
          <w:sz w:val="20"/>
          <w:u w:val="single"/>
        </w:rPr>
        <w:t xml:space="preserve"> </w:t>
      </w:r>
      <w:r w:rsidR="00E100BD" w:rsidRPr="00E100BD">
        <w:rPr>
          <w:rFonts w:ascii="Arial" w:hAnsi="Arial" w:cs="Arial"/>
          <w:sz w:val="20"/>
        </w:rPr>
        <w:t xml:space="preserve">(continued) </w:t>
      </w:r>
    </w:p>
    <w:p w:rsidR="00C742EF" w:rsidRDefault="00C742EF" w:rsidP="00C72D5F">
      <w:pPr>
        <w:pStyle w:val="ListParagraph"/>
        <w:tabs>
          <w:tab w:val="left" w:pos="-1170"/>
          <w:tab w:val="left" w:pos="360"/>
        </w:tabs>
        <w:ind w:hanging="360"/>
        <w:jc w:val="both"/>
        <w:rPr>
          <w:rFonts w:ascii="Arial" w:hAnsi="Arial" w:cs="Arial"/>
          <w:b/>
          <w:sz w:val="20"/>
          <w:u w:val="single"/>
        </w:rPr>
      </w:pPr>
    </w:p>
    <w:p w:rsidR="00597D82" w:rsidRPr="00C72D5F" w:rsidRDefault="00C72D5F" w:rsidP="00C72D5F">
      <w:pPr>
        <w:pStyle w:val="ListParagraph"/>
        <w:tabs>
          <w:tab w:val="left" w:pos="360"/>
        </w:tabs>
        <w:ind w:hanging="360"/>
        <w:jc w:val="both"/>
        <w:rPr>
          <w:rFonts w:ascii="Arial" w:hAnsi="Arial" w:cs="Arial"/>
          <w:sz w:val="20"/>
        </w:rPr>
      </w:pPr>
      <w:r w:rsidRPr="00C72D5F">
        <w:rPr>
          <w:rFonts w:ascii="Arial" w:hAnsi="Arial" w:cs="Arial"/>
          <w:sz w:val="20"/>
        </w:rPr>
        <w:t>f)</w:t>
      </w:r>
      <w:r w:rsidR="00E100BD" w:rsidRPr="00C72D5F">
        <w:rPr>
          <w:rFonts w:ascii="Arial" w:hAnsi="Arial" w:cs="Arial"/>
          <w:sz w:val="20"/>
        </w:rPr>
        <w:tab/>
      </w:r>
      <w:r w:rsidR="00597D82" w:rsidRPr="00C72D5F">
        <w:rPr>
          <w:rFonts w:ascii="Arial" w:hAnsi="Arial" w:cs="Arial"/>
          <w:sz w:val="20"/>
        </w:rPr>
        <w:t>In order to ensure system safety and reliability of interconnected operations, all interconnected generating facilities shall be constructed, operated, and maintained by the interconnection customer in accordance with this tariff, with the interconnection agreement, with the applicable manufacturer’s recommended maintenance schedule and operating requirements, good electric company practice, and all other applicable federal, state, and local laws and regulations.</w:t>
      </w:r>
    </w:p>
    <w:p w:rsidR="00C742EF" w:rsidRPr="00C72D5F" w:rsidRDefault="00C742EF" w:rsidP="00C72D5F">
      <w:pPr>
        <w:pStyle w:val="ListParagraph"/>
        <w:tabs>
          <w:tab w:val="left" w:pos="360"/>
        </w:tabs>
        <w:ind w:hanging="360"/>
        <w:jc w:val="both"/>
        <w:rPr>
          <w:rFonts w:ascii="Arial" w:hAnsi="Arial" w:cs="Arial"/>
          <w:sz w:val="20"/>
        </w:rPr>
      </w:pPr>
    </w:p>
    <w:p w:rsidR="00597D82" w:rsidRPr="00C72D5F" w:rsidRDefault="00C72D5F" w:rsidP="00C72D5F">
      <w:pPr>
        <w:pStyle w:val="ListParagraph"/>
        <w:tabs>
          <w:tab w:val="left" w:pos="360"/>
        </w:tabs>
        <w:ind w:hanging="360"/>
        <w:jc w:val="both"/>
        <w:rPr>
          <w:rFonts w:ascii="Arial" w:hAnsi="Arial" w:cs="Arial"/>
          <w:sz w:val="20"/>
        </w:rPr>
      </w:pPr>
      <w:r w:rsidRPr="00C72D5F">
        <w:rPr>
          <w:rFonts w:ascii="Arial" w:hAnsi="Arial" w:cs="Arial"/>
          <w:sz w:val="20"/>
        </w:rPr>
        <w:t>g)</w:t>
      </w:r>
      <w:r w:rsidR="00E100BD" w:rsidRPr="00C72D5F">
        <w:rPr>
          <w:rFonts w:ascii="Arial" w:hAnsi="Arial" w:cs="Arial"/>
          <w:sz w:val="20"/>
        </w:rPr>
        <w:tab/>
      </w:r>
      <w:r w:rsidR="00597D82" w:rsidRPr="00C72D5F">
        <w:rPr>
          <w:rFonts w:ascii="Arial" w:hAnsi="Arial" w:cs="Arial"/>
          <w:sz w:val="20"/>
        </w:rPr>
        <w:t>This tariff does not govern the settlement, purchase, sale, transmission or delivery of any power generated by the interconnection customer’s generating facility. The purchase, sale or delivery of power, including net metered electricity pursuant to chapter 80.60 RCW, and other services that the interconnection customer may require will be covered by separate agreement or pursuant to the terms, conditions and rates as may be from time to time approved by the Commission. Separate agreements may be required with the Company, the balancing area authority or transmission provider, or other party but not necessarily with the Company.  Any such agreement shall be complete prior to initial operation.</w:t>
      </w:r>
    </w:p>
    <w:p w:rsidR="00C742EF" w:rsidRPr="00C72D5F" w:rsidRDefault="00C742EF" w:rsidP="00C72D5F">
      <w:pPr>
        <w:pStyle w:val="ListParagraph"/>
        <w:tabs>
          <w:tab w:val="left" w:pos="360"/>
        </w:tabs>
        <w:ind w:hanging="360"/>
        <w:jc w:val="both"/>
        <w:rPr>
          <w:rFonts w:ascii="Arial" w:hAnsi="Arial" w:cs="Arial"/>
          <w:sz w:val="20"/>
        </w:rPr>
      </w:pPr>
    </w:p>
    <w:p w:rsidR="00597D82" w:rsidRPr="00C72D5F" w:rsidRDefault="00C72D5F" w:rsidP="00C72D5F">
      <w:pPr>
        <w:pStyle w:val="ListParagraph"/>
        <w:tabs>
          <w:tab w:val="left" w:pos="360"/>
        </w:tabs>
        <w:ind w:hanging="360"/>
        <w:jc w:val="both"/>
        <w:rPr>
          <w:rFonts w:ascii="Arial" w:hAnsi="Arial" w:cs="Arial"/>
          <w:sz w:val="20"/>
        </w:rPr>
      </w:pPr>
      <w:r w:rsidRPr="00C72D5F">
        <w:rPr>
          <w:rFonts w:ascii="Arial" w:hAnsi="Arial" w:cs="Arial"/>
          <w:sz w:val="20"/>
        </w:rPr>
        <w:t>h)</w:t>
      </w:r>
      <w:r w:rsidR="00E100BD" w:rsidRPr="00C72D5F">
        <w:rPr>
          <w:rFonts w:ascii="Arial" w:hAnsi="Arial" w:cs="Arial"/>
          <w:sz w:val="20"/>
        </w:rPr>
        <w:tab/>
      </w:r>
      <w:r w:rsidR="00597D82" w:rsidRPr="00C72D5F">
        <w:rPr>
          <w:rFonts w:ascii="Arial" w:hAnsi="Arial" w:cs="Arial"/>
          <w:sz w:val="20"/>
        </w:rPr>
        <w:t xml:space="preserve">An interconnection customer shall promptly furnish the Company with copies of such plans, specifications, records, and other information relating to the generating facility or ownership, operation, use, or maintenance of the generating facility, as may be reasonably requested by the Company from time to time. </w:t>
      </w:r>
    </w:p>
    <w:p w:rsidR="00C742EF" w:rsidRPr="00C72D5F" w:rsidRDefault="00C742EF" w:rsidP="00C72D5F">
      <w:pPr>
        <w:pStyle w:val="ListParagraph"/>
        <w:tabs>
          <w:tab w:val="left" w:pos="360"/>
        </w:tabs>
        <w:ind w:hanging="360"/>
        <w:jc w:val="both"/>
        <w:rPr>
          <w:rFonts w:ascii="Arial" w:hAnsi="Arial" w:cs="Arial"/>
          <w:sz w:val="20"/>
        </w:rPr>
      </w:pPr>
    </w:p>
    <w:p w:rsidR="00C742EF" w:rsidRPr="00C72D5F" w:rsidRDefault="00C72D5F" w:rsidP="00C72D5F">
      <w:pPr>
        <w:pStyle w:val="ListParagraph"/>
        <w:tabs>
          <w:tab w:val="left" w:pos="360"/>
        </w:tabs>
        <w:ind w:hanging="360"/>
        <w:jc w:val="both"/>
        <w:rPr>
          <w:rFonts w:ascii="Arial" w:hAnsi="Arial" w:cs="Arial"/>
          <w:sz w:val="20"/>
        </w:rPr>
      </w:pPr>
      <w:proofErr w:type="spellStart"/>
      <w:r w:rsidRPr="00C72D5F">
        <w:rPr>
          <w:rFonts w:ascii="Arial" w:hAnsi="Arial" w:cs="Arial"/>
          <w:sz w:val="20"/>
        </w:rPr>
        <w:t>i</w:t>
      </w:r>
      <w:proofErr w:type="spellEnd"/>
      <w:r w:rsidRPr="00C72D5F">
        <w:rPr>
          <w:rFonts w:ascii="Arial" w:hAnsi="Arial" w:cs="Arial"/>
          <w:sz w:val="20"/>
        </w:rPr>
        <w:t>)</w:t>
      </w:r>
      <w:r w:rsidR="00E100BD" w:rsidRPr="00C72D5F">
        <w:rPr>
          <w:rFonts w:ascii="Arial" w:hAnsi="Arial" w:cs="Arial"/>
          <w:sz w:val="20"/>
        </w:rPr>
        <w:tab/>
      </w:r>
      <w:r w:rsidR="00597D82" w:rsidRPr="00C72D5F">
        <w:rPr>
          <w:rFonts w:ascii="Arial" w:hAnsi="Arial" w:cs="Arial"/>
          <w:sz w:val="20"/>
        </w:rPr>
        <w:t>Disconnection.</w:t>
      </w:r>
    </w:p>
    <w:p w:rsidR="00597D82" w:rsidRDefault="00C72D5F" w:rsidP="00C72D5F">
      <w:pPr>
        <w:pStyle w:val="ListParagraph"/>
        <w:ind w:left="1440" w:hanging="360"/>
        <w:jc w:val="both"/>
        <w:rPr>
          <w:rFonts w:ascii="Arial" w:hAnsi="Arial" w:cs="Arial"/>
          <w:b/>
          <w:sz w:val="20"/>
        </w:rPr>
      </w:pPr>
      <w:r>
        <w:rPr>
          <w:rFonts w:ascii="Arial" w:hAnsi="Arial" w:cs="Arial"/>
          <w:b/>
          <w:sz w:val="20"/>
        </w:rPr>
        <w:t>(</w:t>
      </w:r>
      <w:proofErr w:type="spellStart"/>
      <w:r>
        <w:rPr>
          <w:rFonts w:ascii="Arial" w:hAnsi="Arial" w:cs="Arial"/>
          <w:b/>
          <w:sz w:val="20"/>
        </w:rPr>
        <w:t>i</w:t>
      </w:r>
      <w:proofErr w:type="spellEnd"/>
      <w:r w:rsidR="002245E6">
        <w:rPr>
          <w:rFonts w:ascii="Arial" w:hAnsi="Arial" w:cs="Arial"/>
          <w:b/>
          <w:sz w:val="20"/>
        </w:rPr>
        <w:t>)</w:t>
      </w:r>
      <w:r w:rsidR="002245E6">
        <w:rPr>
          <w:rFonts w:ascii="Arial" w:hAnsi="Arial" w:cs="Arial"/>
          <w:b/>
          <w:sz w:val="20"/>
        </w:rPr>
        <w:tab/>
      </w:r>
      <w:r w:rsidR="00597D82">
        <w:rPr>
          <w:rFonts w:ascii="Arial" w:hAnsi="Arial" w:cs="Arial"/>
          <w:b/>
          <w:sz w:val="20"/>
        </w:rPr>
        <w:t>Company’s right to disconnect.</w:t>
      </w:r>
    </w:p>
    <w:p w:rsidR="00597D82" w:rsidRDefault="00C72D5F" w:rsidP="00C72D5F">
      <w:pPr>
        <w:pStyle w:val="ListParagraph"/>
        <w:ind w:left="1440"/>
        <w:jc w:val="both"/>
        <w:rPr>
          <w:rFonts w:ascii="Arial" w:hAnsi="Arial" w:cs="Arial"/>
          <w:sz w:val="20"/>
        </w:rPr>
      </w:pPr>
      <w:r>
        <w:rPr>
          <w:rFonts w:ascii="Arial" w:hAnsi="Arial" w:cs="Arial"/>
          <w:sz w:val="20"/>
        </w:rPr>
        <w:t>(1</w:t>
      </w:r>
      <w:r w:rsidR="002245E6">
        <w:rPr>
          <w:rFonts w:ascii="Arial" w:hAnsi="Arial" w:cs="Arial"/>
          <w:sz w:val="20"/>
        </w:rPr>
        <w:t>)</w:t>
      </w:r>
      <w:r w:rsidR="002245E6">
        <w:rPr>
          <w:rFonts w:ascii="Arial" w:hAnsi="Arial" w:cs="Arial"/>
          <w:sz w:val="20"/>
        </w:rPr>
        <w:tab/>
      </w:r>
      <w:r w:rsidR="00597D82">
        <w:rPr>
          <w:rFonts w:ascii="Arial" w:hAnsi="Arial" w:cs="Arial"/>
          <w:sz w:val="20"/>
        </w:rPr>
        <w:t>The Company may disconnect a generating facility as described in this subsection. The Company shall provide reasonable advance notice to an interconnection customer before any scheduled disconnection, or reasonable notice after an unscheduled disconnection.</w:t>
      </w:r>
    </w:p>
    <w:p w:rsidR="00597D82" w:rsidRDefault="00C72D5F" w:rsidP="00C72D5F">
      <w:pPr>
        <w:pStyle w:val="ListParagraph"/>
        <w:ind w:left="1440"/>
        <w:jc w:val="both"/>
        <w:rPr>
          <w:rFonts w:ascii="Arial" w:hAnsi="Arial" w:cs="Arial"/>
          <w:b/>
          <w:sz w:val="20"/>
        </w:rPr>
      </w:pPr>
      <w:r>
        <w:rPr>
          <w:rFonts w:ascii="Arial" w:hAnsi="Arial" w:cs="Arial"/>
          <w:sz w:val="20"/>
        </w:rPr>
        <w:t>(2</w:t>
      </w:r>
      <w:r w:rsidR="002245E6">
        <w:rPr>
          <w:rFonts w:ascii="Arial" w:hAnsi="Arial" w:cs="Arial"/>
          <w:sz w:val="20"/>
        </w:rPr>
        <w:t>)</w:t>
      </w:r>
      <w:r w:rsidR="002245E6">
        <w:rPr>
          <w:rFonts w:ascii="Arial" w:hAnsi="Arial" w:cs="Arial"/>
          <w:sz w:val="20"/>
        </w:rPr>
        <w:tab/>
      </w:r>
      <w:r w:rsidR="00597D82">
        <w:rPr>
          <w:rFonts w:ascii="Arial" w:hAnsi="Arial" w:cs="Arial"/>
          <w:b/>
          <w:sz w:val="20"/>
        </w:rPr>
        <w:t xml:space="preserve">Unapproved interconnection. </w:t>
      </w:r>
      <w:r w:rsidR="00597D82">
        <w:rPr>
          <w:rFonts w:ascii="Arial" w:hAnsi="Arial" w:cs="Arial"/>
          <w:sz w:val="20"/>
        </w:rPr>
        <w:t>For the purposes of public and working personnel safety, any unapproved generating facility will be immediately disconnected from the electric system. Such disconnection of unapproved interconnections may result in disconnection of electric service to customers of the Company other than the owner of the generating facility.</w:t>
      </w:r>
    </w:p>
    <w:p w:rsidR="00597D82" w:rsidRDefault="00C72D5F" w:rsidP="00C72D5F">
      <w:pPr>
        <w:pStyle w:val="ListParagraph"/>
        <w:ind w:left="1440"/>
        <w:jc w:val="both"/>
        <w:rPr>
          <w:rFonts w:ascii="Arial" w:hAnsi="Arial" w:cs="Arial"/>
          <w:b/>
          <w:sz w:val="20"/>
        </w:rPr>
      </w:pPr>
      <w:r>
        <w:rPr>
          <w:rFonts w:ascii="Arial" w:hAnsi="Arial" w:cs="Arial"/>
          <w:sz w:val="20"/>
        </w:rPr>
        <w:t>(3</w:t>
      </w:r>
      <w:r w:rsidR="002245E6">
        <w:rPr>
          <w:rFonts w:ascii="Arial" w:hAnsi="Arial" w:cs="Arial"/>
          <w:sz w:val="20"/>
        </w:rPr>
        <w:t>)</w:t>
      </w:r>
      <w:r w:rsidR="002245E6">
        <w:rPr>
          <w:rFonts w:ascii="Arial" w:hAnsi="Arial" w:cs="Arial"/>
          <w:sz w:val="20"/>
        </w:rPr>
        <w:tab/>
      </w:r>
      <w:r w:rsidR="00597D82">
        <w:rPr>
          <w:rFonts w:ascii="Arial" w:hAnsi="Arial" w:cs="Arial"/>
          <w:b/>
          <w:sz w:val="20"/>
        </w:rPr>
        <w:t>Unapproved operation.</w:t>
      </w:r>
      <w:r w:rsidR="00597D82">
        <w:rPr>
          <w:rFonts w:ascii="Arial" w:hAnsi="Arial" w:cs="Arial"/>
          <w:sz w:val="20"/>
        </w:rPr>
        <w:t xml:space="preserve"> </w:t>
      </w:r>
      <w:r w:rsidR="00597D82" w:rsidRPr="003B59C8">
        <w:rPr>
          <w:rFonts w:ascii="Arial" w:hAnsi="Arial" w:cs="Arial"/>
          <w:sz w:val="20"/>
        </w:rPr>
        <w:t>If a generating facility does not operat</w:t>
      </w:r>
      <w:r w:rsidR="00597D82">
        <w:rPr>
          <w:rFonts w:ascii="Arial" w:hAnsi="Arial" w:cs="Arial"/>
          <w:sz w:val="20"/>
        </w:rPr>
        <w:t>e in a manner consistent with this tariff, the Company may disconnect the generating facility.</w:t>
      </w:r>
    </w:p>
    <w:p w:rsidR="00597D82" w:rsidRPr="002245E6" w:rsidRDefault="00C72D5F" w:rsidP="00C72D5F">
      <w:pPr>
        <w:pStyle w:val="ListParagraph"/>
        <w:ind w:left="1440"/>
        <w:jc w:val="both"/>
        <w:rPr>
          <w:rFonts w:ascii="Arial" w:hAnsi="Arial" w:cs="Arial"/>
          <w:sz w:val="20"/>
        </w:rPr>
      </w:pPr>
      <w:r>
        <w:rPr>
          <w:rFonts w:ascii="Arial" w:hAnsi="Arial" w:cs="Arial"/>
          <w:sz w:val="20"/>
        </w:rPr>
        <w:t>(4</w:t>
      </w:r>
      <w:r w:rsidR="002245E6">
        <w:rPr>
          <w:rFonts w:ascii="Arial" w:hAnsi="Arial" w:cs="Arial"/>
          <w:sz w:val="20"/>
        </w:rPr>
        <w:t>)</w:t>
      </w:r>
      <w:r w:rsidR="002245E6">
        <w:rPr>
          <w:rFonts w:ascii="Arial" w:hAnsi="Arial" w:cs="Arial"/>
          <w:sz w:val="20"/>
        </w:rPr>
        <w:tab/>
      </w:r>
      <w:r w:rsidR="00597D82">
        <w:rPr>
          <w:rFonts w:ascii="Arial" w:hAnsi="Arial" w:cs="Arial"/>
          <w:b/>
          <w:sz w:val="20"/>
        </w:rPr>
        <w:t>Temporary disconnection.</w:t>
      </w:r>
      <w:r w:rsidR="00597D82">
        <w:rPr>
          <w:rFonts w:ascii="Arial" w:hAnsi="Arial" w:cs="Arial"/>
          <w:sz w:val="20"/>
        </w:rPr>
        <w:t xml:space="preserve"> To maintain the Company’s operating and personnel safety the Company has the right to temporarily disconnect electric service to the interconnection customer if the generating facility must be physically disconnected for </w:t>
      </w:r>
      <w:proofErr w:type="gramStart"/>
      <w:r w:rsidR="00597D82">
        <w:rPr>
          <w:rFonts w:ascii="Arial" w:hAnsi="Arial" w:cs="Arial"/>
          <w:sz w:val="20"/>
        </w:rPr>
        <w:t>any</w:t>
      </w:r>
      <w:proofErr w:type="gramEnd"/>
      <w:r w:rsidR="00597D82">
        <w:rPr>
          <w:rFonts w:ascii="Arial" w:hAnsi="Arial" w:cs="Arial"/>
          <w:sz w:val="20"/>
        </w:rPr>
        <w:t xml:space="preserve"> reason. The disconnection of the generating facility (due to an emergency or maintenance or other condition on the electric system) will result in loss of electrical service to the customer’s facility or residence for the duration of time that work is actively in progress. If no disconnect switch is present, the duration of such an outage may be longer than it would be with the switch.</w:t>
      </w:r>
    </w:p>
    <w:sectPr w:rsidR="00597D82" w:rsidRPr="002245E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B8" w:rsidRDefault="00B43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0B" w:rsidRDefault="00BF7800"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 xml:space="preserve">(Continued) </w:t>
    </w:r>
  </w:p>
  <w:p w:rsidR="002245E6" w:rsidRDefault="002245E6" w:rsidP="00087CF7">
    <w:pPr>
      <w:pStyle w:val="Footer"/>
      <w:pBdr>
        <w:bottom w:val="single" w:sz="6" w:space="0" w:color="auto"/>
      </w:pBdr>
      <w:tabs>
        <w:tab w:val="clear" w:pos="4680"/>
      </w:tabs>
      <w:ind w:left="900" w:hanging="900"/>
      <w:jc w:val="center"/>
      <w:rPr>
        <w:rFonts w:ascii="Arial" w:hAnsi="Arial" w:cs="Arial"/>
        <w:sz w:val="20"/>
      </w:rPr>
    </w:pPr>
  </w:p>
  <w:p w:rsidR="003E3CBB" w:rsidRDefault="003E3CBB" w:rsidP="003E3CB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251F08">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3E3CBB" w:rsidRDefault="003E3CBB" w:rsidP="003E3CB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3E3CBB" w:rsidRDefault="003E3CBB" w:rsidP="003E3CB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BD999AC" wp14:editId="05E90AD8">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3E3CBB" w:rsidRDefault="003E3CBB" w:rsidP="003E3CB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851AC27" wp14:editId="50462A09">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E3CBB" w:rsidRDefault="003E3CBB" w:rsidP="003E3CBB">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2EC77B41" wp14:editId="35D03A3D">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B8" w:rsidRDefault="00B4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B8" w:rsidRDefault="00B43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4365A915" wp14:editId="2E146D3C">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60AF7222" wp14:editId="45BA6C4D">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186CD7">
      <w:rPr>
        <w:rFonts w:ascii="Arial" w:hAnsi="Arial" w:cs="Arial"/>
        <w:sz w:val="20"/>
      </w:rPr>
      <w:t>4</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B8" w:rsidRDefault="00B43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86CD7"/>
    <w:rsid w:val="001A2436"/>
    <w:rsid w:val="001A77E1"/>
    <w:rsid w:val="001C0F5B"/>
    <w:rsid w:val="001D4F15"/>
    <w:rsid w:val="001D5191"/>
    <w:rsid w:val="001F19AC"/>
    <w:rsid w:val="001F372F"/>
    <w:rsid w:val="002020DC"/>
    <w:rsid w:val="00204381"/>
    <w:rsid w:val="00205735"/>
    <w:rsid w:val="0022422A"/>
    <w:rsid w:val="002245E6"/>
    <w:rsid w:val="00251F08"/>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E3CBB"/>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97D82"/>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140B"/>
    <w:rsid w:val="00746611"/>
    <w:rsid w:val="007504BF"/>
    <w:rsid w:val="00767BD7"/>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431B8"/>
    <w:rsid w:val="00B43CBE"/>
    <w:rsid w:val="00B54432"/>
    <w:rsid w:val="00B62CA7"/>
    <w:rsid w:val="00B64140"/>
    <w:rsid w:val="00B8202C"/>
    <w:rsid w:val="00B86CD1"/>
    <w:rsid w:val="00BA088F"/>
    <w:rsid w:val="00BA1A54"/>
    <w:rsid w:val="00BB5CCE"/>
    <w:rsid w:val="00BF7800"/>
    <w:rsid w:val="00C0493E"/>
    <w:rsid w:val="00C065F2"/>
    <w:rsid w:val="00C16EA7"/>
    <w:rsid w:val="00C210FD"/>
    <w:rsid w:val="00C2540C"/>
    <w:rsid w:val="00C2632B"/>
    <w:rsid w:val="00C31B67"/>
    <w:rsid w:val="00C36075"/>
    <w:rsid w:val="00C41C7D"/>
    <w:rsid w:val="00C4223A"/>
    <w:rsid w:val="00C461AA"/>
    <w:rsid w:val="00C60F7D"/>
    <w:rsid w:val="00C72D5F"/>
    <w:rsid w:val="00C742EF"/>
    <w:rsid w:val="00C84F36"/>
    <w:rsid w:val="00C91131"/>
    <w:rsid w:val="00CC1A53"/>
    <w:rsid w:val="00CC7B43"/>
    <w:rsid w:val="00CD01ED"/>
    <w:rsid w:val="00CE6692"/>
    <w:rsid w:val="00CF4970"/>
    <w:rsid w:val="00CF64E6"/>
    <w:rsid w:val="00D23AB3"/>
    <w:rsid w:val="00D313E0"/>
    <w:rsid w:val="00D45A57"/>
    <w:rsid w:val="00D60206"/>
    <w:rsid w:val="00D9021F"/>
    <w:rsid w:val="00D932B5"/>
    <w:rsid w:val="00DA1394"/>
    <w:rsid w:val="00DB2070"/>
    <w:rsid w:val="00DC37E4"/>
    <w:rsid w:val="00DE1F3B"/>
    <w:rsid w:val="00DE2657"/>
    <w:rsid w:val="00DE409D"/>
    <w:rsid w:val="00DF0EB8"/>
    <w:rsid w:val="00E01B74"/>
    <w:rsid w:val="00E100BD"/>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C27681-BBC2-476E-8205-81D76274FAE8}"/>
</file>

<file path=customXml/itemProps2.xml><?xml version="1.0" encoding="utf-8"?>
<ds:datastoreItem xmlns:ds="http://schemas.openxmlformats.org/officeDocument/2006/customXml" ds:itemID="{69A4A4EB-7CDE-47CE-967B-26243DAAEB1D}"/>
</file>

<file path=customXml/itemProps3.xml><?xml version="1.0" encoding="utf-8"?>
<ds:datastoreItem xmlns:ds="http://schemas.openxmlformats.org/officeDocument/2006/customXml" ds:itemID="{ACD658F2-E92F-46F1-B871-D953E0FFF46D}"/>
</file>

<file path=customXml/itemProps4.xml><?xml version="1.0" encoding="utf-8"?>
<ds:datastoreItem xmlns:ds="http://schemas.openxmlformats.org/officeDocument/2006/customXml" ds:itemID="{33F6C4F8-3CAF-4125-B9E3-E28637E6E781}"/>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