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870" w:rsidRPr="00BA689A" w:rsidRDefault="003A1870" w:rsidP="0085620D">
      <w:pPr>
        <w:pStyle w:val="Question"/>
        <w:jc w:val="left"/>
      </w:pPr>
      <w:r w:rsidRPr="00BA689A">
        <w:t>Q.</w:t>
      </w:r>
      <w:r w:rsidRPr="00BA689A">
        <w:tab/>
        <w:t xml:space="preserve">Please state your </w:t>
      </w:r>
      <w:r w:rsidRPr="00BA689A">
        <w:rPr>
          <w:rStyle w:val="LineNumber"/>
        </w:rPr>
        <w:t>name</w:t>
      </w:r>
      <w:r>
        <w:rPr>
          <w:rStyle w:val="LineNumber"/>
        </w:rPr>
        <w:t xml:space="preserve">, </w:t>
      </w:r>
      <w:r w:rsidRPr="00BA689A">
        <w:t xml:space="preserve">business address </w:t>
      </w:r>
      <w:r>
        <w:t xml:space="preserve">and present position </w:t>
      </w:r>
      <w:r w:rsidRPr="00BA689A">
        <w:t xml:space="preserve">with </w:t>
      </w:r>
      <w:r w:rsidR="003F0B89">
        <w:t>Pacifi</w:t>
      </w:r>
      <w:r w:rsidR="00A9288E">
        <w:t>Corp</w:t>
      </w:r>
      <w:r>
        <w:t xml:space="preserve"> (the Company</w:t>
      </w:r>
      <w:r w:rsidRPr="00BA689A">
        <w:t>).</w:t>
      </w:r>
    </w:p>
    <w:p w:rsidR="00B105CA" w:rsidRDefault="003A1870" w:rsidP="0085620D">
      <w:pPr>
        <w:pStyle w:val="Answer"/>
        <w:jc w:val="left"/>
      </w:pPr>
      <w:r w:rsidRPr="00BA689A">
        <w:t>A.</w:t>
      </w:r>
      <w:r w:rsidRPr="00BA689A">
        <w:tab/>
        <w:t xml:space="preserve">My name is </w:t>
      </w:r>
      <w:r w:rsidR="009C74C0">
        <w:t>Ryan</w:t>
      </w:r>
      <w:r w:rsidR="003F0B89">
        <w:t xml:space="preserve"> Fuller</w:t>
      </w:r>
      <w:r w:rsidRPr="00BA689A">
        <w:t xml:space="preserve"> and my business address is </w:t>
      </w:r>
      <w:r w:rsidR="003F0B89">
        <w:t>825 NE Multnomah St., Suite 1900, Portland, OR 97062</w:t>
      </w:r>
      <w:r w:rsidRPr="00BA689A">
        <w:t>.</w:t>
      </w:r>
      <w:r w:rsidR="0085620D">
        <w:t xml:space="preserve">  </w:t>
      </w:r>
      <w:r w:rsidR="008278D8">
        <w:t>My present position is</w:t>
      </w:r>
      <w:r w:rsidR="003F0B89">
        <w:t xml:space="preserve"> </w:t>
      </w:r>
      <w:r w:rsidR="008278D8">
        <w:t>A</w:t>
      </w:r>
      <w:r w:rsidR="003F0B89">
        <w:t xml:space="preserve">ssistant </w:t>
      </w:r>
      <w:r w:rsidR="008278D8">
        <w:t>T</w:t>
      </w:r>
      <w:r w:rsidR="003F0B89">
        <w:t xml:space="preserve">ax </w:t>
      </w:r>
      <w:r w:rsidR="008278D8">
        <w:t>D</w:t>
      </w:r>
      <w:r w:rsidR="003F0B89">
        <w:t>irector</w:t>
      </w:r>
      <w:r w:rsidR="008278D8">
        <w:t>.</w:t>
      </w:r>
      <w:r w:rsidRPr="00BA689A">
        <w:t xml:space="preserve"> </w:t>
      </w:r>
    </w:p>
    <w:p w:rsidR="003A1870" w:rsidRPr="00567ED5" w:rsidRDefault="003A1870" w:rsidP="0085620D">
      <w:pPr>
        <w:pStyle w:val="Answer"/>
        <w:jc w:val="left"/>
        <w:rPr>
          <w:b/>
        </w:rPr>
      </w:pPr>
      <w:r w:rsidRPr="00567ED5">
        <w:rPr>
          <w:b/>
        </w:rPr>
        <w:t>Qualifications</w:t>
      </w:r>
    </w:p>
    <w:p w:rsidR="003A1870" w:rsidRPr="00567ED5" w:rsidRDefault="003A1870" w:rsidP="0085620D">
      <w:pPr>
        <w:pStyle w:val="Answer"/>
        <w:jc w:val="left"/>
        <w:rPr>
          <w:b/>
        </w:rPr>
      </w:pPr>
      <w:r w:rsidRPr="00567ED5">
        <w:rPr>
          <w:b/>
        </w:rPr>
        <w:t>Q.</w:t>
      </w:r>
      <w:r w:rsidRPr="00567ED5">
        <w:rPr>
          <w:b/>
        </w:rPr>
        <w:tab/>
        <w:t>Pl</w:t>
      </w:r>
      <w:r w:rsidR="00B76877">
        <w:rPr>
          <w:b/>
        </w:rPr>
        <w:t>ease describe your educational and professional background</w:t>
      </w:r>
      <w:r w:rsidRPr="00567ED5">
        <w:rPr>
          <w:b/>
        </w:rPr>
        <w:t>.</w:t>
      </w:r>
    </w:p>
    <w:p w:rsidR="003A1870" w:rsidRDefault="003A1870" w:rsidP="0085620D">
      <w:pPr>
        <w:pStyle w:val="Answer"/>
        <w:jc w:val="left"/>
      </w:pPr>
      <w:r w:rsidRPr="008A2D7E">
        <w:t>A.</w:t>
      </w:r>
      <w:r>
        <w:tab/>
      </w:r>
      <w:r w:rsidRPr="00BA689A">
        <w:t xml:space="preserve">I </w:t>
      </w:r>
      <w:r w:rsidR="003F0B89">
        <w:t>graduated from the University of Idaho in 1997 with a Bachelor of Science Degree in Accounting</w:t>
      </w:r>
      <w:r w:rsidRPr="00BA689A">
        <w:t>.</w:t>
      </w:r>
      <w:r w:rsidR="0085620D">
        <w:t xml:space="preserve"> </w:t>
      </w:r>
      <w:r w:rsidRPr="00BA689A">
        <w:t xml:space="preserve"> I </w:t>
      </w:r>
      <w:r w:rsidR="003F0B89">
        <w:t xml:space="preserve">am a licensed CPA. </w:t>
      </w:r>
      <w:r w:rsidR="004E1C04">
        <w:t xml:space="preserve">Before joining the PacifiCorp tax department in 2003, </w:t>
      </w:r>
      <w:r w:rsidR="003F0B89">
        <w:t xml:space="preserve">I worked in public accounting for </w:t>
      </w:r>
      <w:r w:rsidR="00DC66B2">
        <w:t xml:space="preserve">six </w:t>
      </w:r>
      <w:r w:rsidR="003F0B89">
        <w:t>years, first with Talbot, Korvola and Warwick LLP and then for PricewaterhouseCoopers LLP</w:t>
      </w:r>
      <w:r w:rsidRPr="00BA689A">
        <w:t>.</w:t>
      </w:r>
      <w:r w:rsidR="004E1C04">
        <w:t xml:space="preserve"> </w:t>
      </w:r>
    </w:p>
    <w:p w:rsidR="003A1870" w:rsidRPr="00BA689A" w:rsidRDefault="003A1870" w:rsidP="0085620D">
      <w:pPr>
        <w:pStyle w:val="Question"/>
        <w:jc w:val="left"/>
      </w:pPr>
      <w:r w:rsidRPr="00BA689A">
        <w:t>Q.</w:t>
      </w:r>
      <w:r w:rsidRPr="00BA689A">
        <w:tab/>
        <w:t xml:space="preserve">What are your responsibilities as </w:t>
      </w:r>
      <w:r w:rsidR="00C05DF7">
        <w:t>Assistant Tax D</w:t>
      </w:r>
      <w:r w:rsidR="004E1C04">
        <w:t>irector</w:t>
      </w:r>
      <w:r w:rsidRPr="00BA689A">
        <w:t>?</w:t>
      </w:r>
    </w:p>
    <w:p w:rsidR="003A1870" w:rsidRPr="00BA689A" w:rsidRDefault="003A1870" w:rsidP="0085620D">
      <w:pPr>
        <w:pStyle w:val="Answer"/>
        <w:jc w:val="left"/>
      </w:pPr>
      <w:r w:rsidRPr="008A2D7E">
        <w:t>A.</w:t>
      </w:r>
      <w:r w:rsidRPr="00BA689A">
        <w:tab/>
        <w:t xml:space="preserve">My primary responsibilities include </w:t>
      </w:r>
      <w:r w:rsidR="004E1C04">
        <w:t xml:space="preserve">income tax accounting and providing support for the </w:t>
      </w:r>
      <w:r w:rsidR="00C21165">
        <w:t xml:space="preserve">income tax component of the </w:t>
      </w:r>
      <w:r w:rsidR="004E1C04">
        <w:t>Company’s regulatory filings</w:t>
      </w:r>
      <w:r w:rsidRPr="00BA689A">
        <w:t>.</w:t>
      </w:r>
    </w:p>
    <w:p w:rsidR="003A1870" w:rsidRPr="00BA689A" w:rsidRDefault="003A1870" w:rsidP="0085620D">
      <w:pPr>
        <w:pStyle w:val="Question"/>
        <w:jc w:val="left"/>
      </w:pPr>
      <w:r w:rsidRPr="00BA689A">
        <w:t>Q.</w:t>
      </w:r>
      <w:r w:rsidRPr="00BA689A">
        <w:tab/>
        <w:t>Have you testified in previous regulatory proceedings?</w:t>
      </w:r>
    </w:p>
    <w:p w:rsidR="003A1870" w:rsidRPr="00BA689A" w:rsidRDefault="003A1870" w:rsidP="0085620D">
      <w:pPr>
        <w:pStyle w:val="Answer"/>
        <w:jc w:val="left"/>
      </w:pPr>
      <w:r w:rsidRPr="008A2D7E">
        <w:t>A.</w:t>
      </w:r>
      <w:r w:rsidRPr="00BA689A">
        <w:tab/>
        <w:t>Yes.</w:t>
      </w:r>
      <w:r w:rsidR="00C05DF7">
        <w:t xml:space="preserve"> </w:t>
      </w:r>
      <w:r w:rsidRPr="00BA689A">
        <w:t xml:space="preserve"> I have </w:t>
      </w:r>
      <w:r w:rsidR="001149BB" w:rsidRPr="00FF6E3F">
        <w:rPr>
          <w:bCs/>
        </w:rPr>
        <w:t>previously</w:t>
      </w:r>
      <w:r w:rsidR="001149BB">
        <w:rPr>
          <w:bCs/>
        </w:rPr>
        <w:t xml:space="preserve"> </w:t>
      </w:r>
      <w:r w:rsidR="001149BB" w:rsidRPr="00FF6E3F">
        <w:rPr>
          <w:bCs/>
        </w:rPr>
        <w:t>testi</w:t>
      </w:r>
      <w:r w:rsidR="001149BB">
        <w:rPr>
          <w:bCs/>
        </w:rPr>
        <w:t>fied</w:t>
      </w:r>
      <w:r w:rsidR="001149BB" w:rsidRPr="00FF6E3F">
        <w:rPr>
          <w:bCs/>
        </w:rPr>
        <w:t xml:space="preserve"> on behalf of the Company in the state</w:t>
      </w:r>
      <w:r w:rsidR="001149BB">
        <w:rPr>
          <w:bCs/>
        </w:rPr>
        <w:t>s</w:t>
      </w:r>
      <w:r w:rsidR="001149BB" w:rsidRPr="00FF6E3F">
        <w:rPr>
          <w:bCs/>
        </w:rPr>
        <w:t xml:space="preserve"> of </w:t>
      </w:r>
      <w:r w:rsidR="001149BB">
        <w:t>Oregon and Utah.</w:t>
      </w:r>
    </w:p>
    <w:p w:rsidR="003A1870" w:rsidRPr="00BA689A" w:rsidRDefault="003A1870" w:rsidP="0085620D">
      <w:pPr>
        <w:pStyle w:val="Question"/>
        <w:jc w:val="left"/>
      </w:pPr>
      <w:r w:rsidRPr="00BA689A">
        <w:t>Q.</w:t>
      </w:r>
      <w:r w:rsidRPr="00BA689A">
        <w:tab/>
        <w:t>What is the purpose of your direct testimony?</w:t>
      </w:r>
    </w:p>
    <w:p w:rsidR="007D3CCC" w:rsidRDefault="003A1870" w:rsidP="0085620D">
      <w:pPr>
        <w:pStyle w:val="Answer"/>
        <w:jc w:val="left"/>
      </w:pPr>
      <w:r w:rsidRPr="008A2D7E">
        <w:t>A.</w:t>
      </w:r>
      <w:r w:rsidRPr="00BA689A">
        <w:tab/>
        <w:t xml:space="preserve">My direct testimony addresses the calculation of the </w:t>
      </w:r>
      <w:r w:rsidR="004E1C04">
        <w:t>income tax portion of the Washington</w:t>
      </w:r>
      <w:r w:rsidRPr="00BA689A">
        <w:t xml:space="preserve">-allocated revenue requirement </w:t>
      </w:r>
      <w:r w:rsidR="004E1C04">
        <w:t xml:space="preserve">requested </w:t>
      </w:r>
      <w:r w:rsidR="0085620D">
        <w:t>in this case</w:t>
      </w:r>
      <w:r w:rsidR="0093446A">
        <w:t xml:space="preserve">. </w:t>
      </w:r>
      <w:r w:rsidR="00C05DF7">
        <w:t xml:space="preserve"> </w:t>
      </w:r>
      <w:r w:rsidR="007D3CCC">
        <w:t>More s</w:t>
      </w:r>
      <w:r w:rsidR="0093446A">
        <w:t>pecifically</w:t>
      </w:r>
      <w:r w:rsidR="007D3CCC">
        <w:t>:</w:t>
      </w:r>
      <w:r w:rsidR="0093446A">
        <w:t xml:space="preserve"> </w:t>
      </w:r>
    </w:p>
    <w:p w:rsidR="007D3CCC" w:rsidRDefault="007D3CCC" w:rsidP="007D3CCC">
      <w:pPr>
        <w:pStyle w:val="Answer"/>
        <w:numPr>
          <w:ilvl w:val="0"/>
          <w:numId w:val="6"/>
        </w:numPr>
        <w:jc w:val="left"/>
      </w:pPr>
      <w:r>
        <w:t xml:space="preserve">I provide background on the “repairs deduction,” a temporary book-tax difference associated with a recent change in </w:t>
      </w:r>
      <w:r w:rsidR="00C86634">
        <w:t>accounting</w:t>
      </w:r>
      <w:r w:rsidR="003B44A2">
        <w:t xml:space="preserve"> </w:t>
      </w:r>
      <w:r w:rsidR="00912105">
        <w:t>method for income tax purposes.</w:t>
      </w:r>
    </w:p>
    <w:p w:rsidR="007D3CCC" w:rsidRDefault="007D3CCC" w:rsidP="007D3CCC">
      <w:pPr>
        <w:pStyle w:val="Answer"/>
        <w:numPr>
          <w:ilvl w:val="0"/>
          <w:numId w:val="6"/>
        </w:numPr>
        <w:jc w:val="left"/>
      </w:pPr>
      <w:r>
        <w:lastRenderedPageBreak/>
        <w:t>I explain the Company’s proposal for fully reflecting the benefits of the repairs deduction in this case, and propose establishment of a regulatory asset or liability for interest paid to or received from the Internal Revenue Service (the Service) on adjustments made to the repairs deductions taken in the Company’s 2008 and 2009 federal income tax returns</w:t>
      </w:r>
      <w:r w:rsidR="00912105">
        <w:t>.</w:t>
      </w:r>
    </w:p>
    <w:p w:rsidR="00B105CA" w:rsidRPr="00BA689A" w:rsidRDefault="007D3CCC" w:rsidP="0085620D">
      <w:pPr>
        <w:pStyle w:val="Answer"/>
        <w:numPr>
          <w:ilvl w:val="0"/>
          <w:numId w:val="6"/>
        </w:numPr>
        <w:jc w:val="left"/>
      </w:pPr>
      <w:r>
        <w:t xml:space="preserve">I sponsor the Company’s proposal to fully normalize the repairs deduction and all other temporary book-tax differences, with the exception of </w:t>
      </w:r>
      <w:r w:rsidR="008712AB">
        <w:t xml:space="preserve">the </w:t>
      </w:r>
      <w:r>
        <w:t>equity allowance for funds used during construction (equity AFUDC).</w:t>
      </w:r>
    </w:p>
    <w:p w:rsidR="007878C7" w:rsidRDefault="003A1870" w:rsidP="00DA54F8">
      <w:pPr>
        <w:ind w:left="720" w:hanging="720"/>
        <w:jc w:val="left"/>
        <w:rPr>
          <w:b/>
        </w:rPr>
      </w:pPr>
      <w:r w:rsidRPr="00BA689A">
        <w:rPr>
          <w:b/>
        </w:rPr>
        <w:t>Q.</w:t>
      </w:r>
      <w:r w:rsidRPr="00BA689A">
        <w:rPr>
          <w:b/>
        </w:rPr>
        <w:tab/>
      </w:r>
      <w:r>
        <w:rPr>
          <w:b/>
        </w:rPr>
        <w:t xml:space="preserve">Please explain the </w:t>
      </w:r>
      <w:r w:rsidR="0093446A">
        <w:rPr>
          <w:b/>
        </w:rPr>
        <w:t xml:space="preserve">repairs deduction. </w:t>
      </w:r>
    </w:p>
    <w:p w:rsidR="00DC66B2" w:rsidRDefault="003A1870" w:rsidP="00DA54F8">
      <w:pPr>
        <w:ind w:left="720" w:hanging="720"/>
        <w:jc w:val="left"/>
      </w:pPr>
      <w:r w:rsidRPr="00BA689A">
        <w:t>A.</w:t>
      </w:r>
      <w:r w:rsidRPr="00BA689A">
        <w:tab/>
      </w:r>
      <w:r w:rsidR="00DC66B2">
        <w:t>Generally, t</w:t>
      </w:r>
      <w:r w:rsidR="00DA54F8" w:rsidRPr="00DA54F8">
        <w:t xml:space="preserve">he </w:t>
      </w:r>
      <w:r w:rsidR="00DA54F8">
        <w:t>repairs deduction</w:t>
      </w:r>
      <w:r w:rsidR="00DA54F8" w:rsidRPr="00DA54F8">
        <w:t xml:space="preserve"> permits </w:t>
      </w:r>
      <w:r w:rsidR="00DA54F8">
        <w:t>a taxpayer</w:t>
      </w:r>
      <w:r w:rsidR="00DA54F8" w:rsidRPr="00DA54F8">
        <w:t xml:space="preserve"> to take a tax deduction for </w:t>
      </w:r>
      <w:r w:rsidR="00DC66B2">
        <w:t>qualifying expenditures</w:t>
      </w:r>
      <w:r w:rsidR="00DA54F8" w:rsidRPr="00DA54F8">
        <w:t xml:space="preserve"> in the taxable year paid or incurred even though the same expenditures are required to be capitalized and depreciated for book purposes.  An illustrative example of the new method of accounting is provided in </w:t>
      </w:r>
      <w:r w:rsidR="00DA54F8" w:rsidRPr="00CE2A77">
        <w:t>confidential Exhibit No.__</w:t>
      </w:r>
      <w:proofErr w:type="gramStart"/>
      <w:r w:rsidR="00B02903">
        <w:t>_</w:t>
      </w:r>
      <w:r w:rsidR="00DA54F8" w:rsidRPr="00CE2A77">
        <w:t>(</w:t>
      </w:r>
      <w:proofErr w:type="gramEnd"/>
      <w:r w:rsidR="00DA54F8" w:rsidRPr="00CE2A77">
        <w:t>RF-2C)</w:t>
      </w:r>
      <w:r w:rsidR="000B1349" w:rsidRPr="00CE2A77">
        <w:t>.</w:t>
      </w:r>
      <w:r w:rsidR="00CE2A77">
        <w:t xml:space="preserve"> </w:t>
      </w:r>
      <w:r w:rsidR="000B1349">
        <w:t xml:space="preserve">  </w:t>
      </w:r>
    </w:p>
    <w:p w:rsidR="00CE493E" w:rsidRDefault="00DC66B2" w:rsidP="00CE493E">
      <w:pPr>
        <w:ind w:left="720" w:firstLine="720"/>
        <w:jc w:val="left"/>
      </w:pPr>
      <w:r>
        <w:t xml:space="preserve">For the Company, the repairs deduction is a change in accounting method that required approval from the Service.  </w:t>
      </w:r>
      <w:r w:rsidR="00DC4327">
        <w:t xml:space="preserve">The change in accounting method is applicable for income tax purposes only and does not impact the methods of accounting used for FERC or U.S. GAAP reporting purposes. </w:t>
      </w:r>
      <w:r w:rsidR="00AF73E8">
        <w:t xml:space="preserve"> </w:t>
      </w:r>
      <w:r w:rsidR="00DA54F8" w:rsidRPr="00DA54F8">
        <w:t xml:space="preserve">Prior to the change in accounting method, the Company was generally capitalizing these costs in accordance with FERC accounting classifications and U. S. GAAP methods of accounting.  The costs were then subject to accelerated tax depreciation. </w:t>
      </w:r>
    </w:p>
    <w:p w:rsidR="00DC4327" w:rsidRDefault="003A1870" w:rsidP="0085620D">
      <w:pPr>
        <w:ind w:left="720" w:firstLine="720"/>
        <w:jc w:val="left"/>
      </w:pPr>
      <w:r w:rsidRPr="00BA689A">
        <w:lastRenderedPageBreak/>
        <w:t xml:space="preserve">On December 30, 2008, the Company filed </w:t>
      </w:r>
      <w:r w:rsidR="00450D11">
        <w:t xml:space="preserve">applications </w:t>
      </w:r>
      <w:r w:rsidR="00DC66B2">
        <w:t xml:space="preserve">with the Service </w:t>
      </w:r>
      <w:r w:rsidR="00450D11">
        <w:t xml:space="preserve">for </w:t>
      </w:r>
      <w:r w:rsidR="00DC66B2">
        <w:t xml:space="preserve">the </w:t>
      </w:r>
      <w:r w:rsidR="00450D11">
        <w:t>change in accou</w:t>
      </w:r>
      <w:r w:rsidR="002D528F">
        <w:t>n</w:t>
      </w:r>
      <w:r w:rsidR="00450D11">
        <w:t>ting method (</w:t>
      </w:r>
      <w:r w:rsidRPr="00BA689A">
        <w:t>Form 3115</w:t>
      </w:r>
      <w:r w:rsidR="00450D11">
        <w:t>)</w:t>
      </w:r>
      <w:r w:rsidR="005C3381">
        <w:t xml:space="preserve">. </w:t>
      </w:r>
      <w:r w:rsidR="00AF73E8">
        <w:t xml:space="preserve"> </w:t>
      </w:r>
      <w:r w:rsidR="005C3381">
        <w:t>O</w:t>
      </w:r>
      <w:r w:rsidR="002D528F">
        <w:t xml:space="preserve">n October 2, 2009, and October 7, 2009, the Service granted the Company permission to change its method of accounting beginning with the taxable year beginning January 1, 2008. </w:t>
      </w:r>
    </w:p>
    <w:p w:rsidR="005C3381" w:rsidRPr="005C3381" w:rsidRDefault="005C3381" w:rsidP="005C3381">
      <w:pPr>
        <w:ind w:left="720" w:hanging="720"/>
        <w:jc w:val="left"/>
        <w:rPr>
          <w:b/>
        </w:rPr>
      </w:pPr>
      <w:r w:rsidRPr="005C3381">
        <w:rPr>
          <w:b/>
        </w:rPr>
        <w:t>Q.</w:t>
      </w:r>
      <w:r w:rsidRPr="005C3381">
        <w:rPr>
          <w:b/>
        </w:rPr>
        <w:tab/>
        <w:t>Has the Company reflected the repairs deduction in its 2008 federal income tax return?</w:t>
      </w:r>
    </w:p>
    <w:p w:rsidR="00DA54F8" w:rsidRDefault="005C3381" w:rsidP="005C3381">
      <w:pPr>
        <w:ind w:left="720" w:hanging="720"/>
        <w:jc w:val="left"/>
      </w:pPr>
      <w:r>
        <w:t>A.</w:t>
      </w:r>
      <w:r>
        <w:tab/>
        <w:t xml:space="preserve">Yes.  </w:t>
      </w:r>
      <w:r w:rsidR="003A1870" w:rsidRPr="00BA689A">
        <w:t xml:space="preserve">The Company’s 2008 federal income tax return contains a </w:t>
      </w:r>
      <w:r w:rsidR="00AE2B75">
        <w:t>r</w:t>
      </w:r>
      <w:r w:rsidR="00AE2B75" w:rsidRPr="00BA689A">
        <w:t xml:space="preserve">epairs </w:t>
      </w:r>
      <w:r w:rsidR="00AE2B75">
        <w:t>d</w:t>
      </w:r>
      <w:r w:rsidR="00AE2B75" w:rsidRPr="00BA689A">
        <w:t xml:space="preserve">eduction </w:t>
      </w:r>
      <w:r w:rsidR="003A1870" w:rsidRPr="00BA689A">
        <w:t xml:space="preserve">for the </w:t>
      </w:r>
      <w:r w:rsidR="00E06C36">
        <w:t>taxable</w:t>
      </w:r>
      <w:r w:rsidR="003A1870" w:rsidRPr="00BA689A">
        <w:t xml:space="preserve"> year ended December 31, 2008</w:t>
      </w:r>
      <w:r w:rsidR="003A1870">
        <w:t>,</w:t>
      </w:r>
      <w:r w:rsidR="003A1870" w:rsidRPr="00BA689A">
        <w:t xml:space="preserve"> and a one-time adjustment (tax deduction) known as an </w:t>
      </w:r>
      <w:r w:rsidR="003A1870">
        <w:t>Internal Revenue Code (</w:t>
      </w:r>
      <w:r w:rsidR="003A1870" w:rsidRPr="00BA689A">
        <w:t>IRC</w:t>
      </w:r>
      <w:r w:rsidR="003A1870">
        <w:t>)</w:t>
      </w:r>
      <w:r w:rsidR="0085620D">
        <w:t xml:space="preserve"> Section 481(a) adjustment.  </w:t>
      </w:r>
      <w:r w:rsidR="00E06C36">
        <w:t xml:space="preserve">IRC Section 481(a) adjustments are </w:t>
      </w:r>
      <w:r w:rsidR="003A1870" w:rsidRPr="00BA689A">
        <w:t xml:space="preserve">meant to prevent amounts from being duplicated or omitted in transition from the old method of accounting </w:t>
      </w:r>
      <w:r w:rsidR="00895B4B">
        <w:t>to the new method of accounting</w:t>
      </w:r>
      <w:r w:rsidR="003A1870" w:rsidRPr="00BA689A">
        <w:t xml:space="preserve"> and </w:t>
      </w:r>
      <w:r w:rsidR="00895B4B">
        <w:t>are</w:t>
      </w:r>
      <w:r w:rsidR="003A1870" w:rsidRPr="00BA689A">
        <w:t xml:space="preserve"> generally determined as if the new method of accounting had always been used.</w:t>
      </w:r>
      <w:r w:rsidR="0085620D">
        <w:t xml:space="preserve">  </w:t>
      </w:r>
      <w:r w:rsidR="00E46387" w:rsidRPr="00BA689A">
        <w:t>The</w:t>
      </w:r>
      <w:r w:rsidR="00E46387">
        <w:t xml:space="preserve"> Company’s</w:t>
      </w:r>
      <w:r w:rsidR="00E46387" w:rsidRPr="00BA689A">
        <w:t xml:space="preserve"> IRC Section 481(a) adjustment</w:t>
      </w:r>
      <w:r w:rsidR="00E46387">
        <w:t xml:space="preserve"> encompasses the taxable year</w:t>
      </w:r>
      <w:r w:rsidR="00496ADF">
        <w:t>s</w:t>
      </w:r>
      <w:r w:rsidR="00E46387">
        <w:t xml:space="preserve"> ended November 30, 1999</w:t>
      </w:r>
      <w:r w:rsidR="00496ADF">
        <w:t>,</w:t>
      </w:r>
      <w:r w:rsidR="00E46387">
        <w:t xml:space="preserve"> through </w:t>
      </w:r>
      <w:r w:rsidR="00A4150D">
        <w:t>December 31, 2007.</w:t>
      </w:r>
      <w:r w:rsidR="0085620D">
        <w:t xml:space="preserve">  </w:t>
      </w:r>
      <w:r w:rsidR="00A9288E">
        <w:t xml:space="preserve">Confidential </w:t>
      </w:r>
      <w:r w:rsidR="00496ADF">
        <w:t xml:space="preserve">Exhibit </w:t>
      </w:r>
      <w:r w:rsidR="00BF0964">
        <w:t>No.__</w:t>
      </w:r>
      <w:proofErr w:type="gramStart"/>
      <w:r w:rsidR="0096149F">
        <w:t>_</w:t>
      </w:r>
      <w:r w:rsidR="00BF0964">
        <w:t>(</w:t>
      </w:r>
      <w:proofErr w:type="gramEnd"/>
      <w:r w:rsidR="00BF0964">
        <w:t>RF-3</w:t>
      </w:r>
      <w:r w:rsidR="00AE2B75">
        <w:t>C</w:t>
      </w:r>
      <w:r w:rsidR="00BF0964">
        <w:t>)</w:t>
      </w:r>
      <w:r w:rsidR="00496ADF">
        <w:t xml:space="preserve"> provides a</w:t>
      </w:r>
      <w:r w:rsidR="00E46387">
        <w:t xml:space="preserve"> summary</w:t>
      </w:r>
      <w:r w:rsidR="00496ADF">
        <w:t xml:space="preserve"> of</w:t>
      </w:r>
      <w:r w:rsidR="00E46387">
        <w:t xml:space="preserve"> </w:t>
      </w:r>
      <w:r w:rsidR="00C86634">
        <w:t xml:space="preserve">the </w:t>
      </w:r>
      <w:r w:rsidR="00496ADF">
        <w:t xml:space="preserve">IRC Section 481(a) adjustment by year and the 2008 repairs deduction as </w:t>
      </w:r>
      <w:r w:rsidR="00E46387">
        <w:t>taken in the</w:t>
      </w:r>
      <w:r w:rsidR="00496ADF">
        <w:t xml:space="preserve"> 2</w:t>
      </w:r>
      <w:r w:rsidR="0085620D">
        <w:t xml:space="preserve">008 federal income tax return.  </w:t>
      </w:r>
    </w:p>
    <w:p w:rsidR="00DA54F8" w:rsidRPr="00DA54F8" w:rsidRDefault="00DA54F8" w:rsidP="005C3381">
      <w:pPr>
        <w:ind w:left="720" w:hanging="720"/>
        <w:jc w:val="left"/>
        <w:rPr>
          <w:b/>
        </w:rPr>
      </w:pPr>
      <w:r w:rsidRPr="00DA54F8">
        <w:rPr>
          <w:b/>
        </w:rPr>
        <w:t>Q.</w:t>
      </w:r>
      <w:r w:rsidRPr="00DA54F8">
        <w:rPr>
          <w:b/>
        </w:rPr>
        <w:tab/>
        <w:t xml:space="preserve">Does the Company intend to reflect the repairs deduction in its 2009 </w:t>
      </w:r>
      <w:r w:rsidR="00DC4327">
        <w:rPr>
          <w:b/>
        </w:rPr>
        <w:t xml:space="preserve">federal </w:t>
      </w:r>
      <w:r w:rsidRPr="00DA54F8">
        <w:rPr>
          <w:b/>
        </w:rPr>
        <w:t>income tax return?</w:t>
      </w:r>
    </w:p>
    <w:p w:rsidR="00C4112B" w:rsidRDefault="00DA54F8" w:rsidP="00DA54F8">
      <w:pPr>
        <w:ind w:left="720" w:hanging="720"/>
        <w:jc w:val="left"/>
      </w:pPr>
      <w:r>
        <w:t>A.</w:t>
      </w:r>
      <w:r>
        <w:tab/>
        <w:t xml:space="preserve">Yes.  </w:t>
      </w:r>
      <w:r w:rsidR="00DC4327">
        <w:t xml:space="preserve">Beginning with taxable year beginning January 1, 2008, the repairs deduction is the Company’s ongoing method of accounting for qualifying expenditures.  Accordingly, to the extent the Company incurs qualifying expenditures, </w:t>
      </w:r>
      <w:proofErr w:type="gramStart"/>
      <w:r w:rsidR="00DC4327">
        <w:t>a repairs</w:t>
      </w:r>
      <w:proofErr w:type="gramEnd"/>
      <w:r w:rsidR="00DC4327">
        <w:t xml:space="preserve"> deduction will be taken in the Comp</w:t>
      </w:r>
      <w:r w:rsidR="0018123B">
        <w:t xml:space="preserve">any’s federal income </w:t>
      </w:r>
      <w:r w:rsidR="0018123B">
        <w:lastRenderedPageBreak/>
        <w:t>tax return</w:t>
      </w:r>
      <w:r w:rsidR="00DC4327">
        <w:t xml:space="preserve"> for the respective tax year. </w:t>
      </w:r>
      <w:r w:rsidR="0096149F">
        <w:t xml:space="preserve"> </w:t>
      </w:r>
      <w:r w:rsidR="009B675F">
        <w:t xml:space="preserve">Confidential </w:t>
      </w:r>
      <w:r w:rsidR="00496ADF">
        <w:t xml:space="preserve">Exhibit </w:t>
      </w:r>
      <w:r w:rsidR="00BF0964">
        <w:t>No.__</w:t>
      </w:r>
      <w:proofErr w:type="gramStart"/>
      <w:r w:rsidR="0096149F">
        <w:t>_</w:t>
      </w:r>
      <w:r w:rsidR="00BF0964">
        <w:t>(</w:t>
      </w:r>
      <w:proofErr w:type="gramEnd"/>
      <w:r w:rsidR="00BF0964">
        <w:t>RF-3</w:t>
      </w:r>
      <w:r w:rsidR="00AE2B75">
        <w:t>C</w:t>
      </w:r>
      <w:r w:rsidR="00BF0964">
        <w:t>)</w:t>
      </w:r>
      <w:r w:rsidR="00496ADF">
        <w:t xml:space="preserve"> provides the 2009 repairs deduction estimated </w:t>
      </w:r>
      <w:r w:rsidR="00DC4327">
        <w:t xml:space="preserve">to be taken </w:t>
      </w:r>
      <w:r w:rsidR="00496ADF">
        <w:t xml:space="preserve">in the Company’s </w:t>
      </w:r>
      <w:r w:rsidR="00DC4327">
        <w:t>2009 federal income tax return</w:t>
      </w:r>
      <w:r w:rsidR="00496ADF">
        <w:t>.</w:t>
      </w:r>
    </w:p>
    <w:p w:rsidR="00C4112B" w:rsidRPr="00BA689A" w:rsidRDefault="00C4112B" w:rsidP="0085620D">
      <w:pPr>
        <w:pStyle w:val="Answer"/>
        <w:jc w:val="left"/>
        <w:rPr>
          <w:b/>
        </w:rPr>
      </w:pPr>
      <w:r>
        <w:rPr>
          <w:b/>
        </w:rPr>
        <w:t>Q.</w:t>
      </w:r>
      <w:r>
        <w:rPr>
          <w:b/>
        </w:rPr>
        <w:tab/>
        <w:t xml:space="preserve">Can you please illustrate how an IRC Section 481(a) adjustment </w:t>
      </w:r>
      <w:r w:rsidR="00E46387">
        <w:rPr>
          <w:b/>
        </w:rPr>
        <w:t>operates</w:t>
      </w:r>
      <w:r>
        <w:rPr>
          <w:b/>
        </w:rPr>
        <w:t>?</w:t>
      </w:r>
    </w:p>
    <w:p w:rsidR="00895B4B" w:rsidRDefault="008A2D7E" w:rsidP="008A2D7E">
      <w:pPr>
        <w:ind w:left="720" w:hanging="720"/>
        <w:jc w:val="left"/>
      </w:pPr>
      <w:r w:rsidRPr="008A2D7E">
        <w:t>A.</w:t>
      </w:r>
      <w:r>
        <w:tab/>
      </w:r>
      <w:r w:rsidR="00A4150D">
        <w:t>Yes.</w:t>
      </w:r>
      <w:r w:rsidR="0085620D">
        <w:t xml:space="preserve">  </w:t>
      </w:r>
      <w:r w:rsidR="00C4112B">
        <w:t>As a simple</w:t>
      </w:r>
      <w:r w:rsidR="00BD7C26">
        <w:t xml:space="preserve"> example, assume a company that uses the accrual basis of accounting for both book and tax purposes accrues a $1,000 liability and related expense in year 1 and, in year 2, </w:t>
      </w:r>
      <w:r w:rsidR="00C4112B">
        <w:t xml:space="preserve">the company </w:t>
      </w:r>
      <w:r w:rsidR="00BD7C26">
        <w:t xml:space="preserve">makes a cash payment to </w:t>
      </w:r>
      <w:r w:rsidR="0085620D">
        <w:t xml:space="preserve">satisfy the recorded liability.  </w:t>
      </w:r>
      <w:r w:rsidR="00BD7C26">
        <w:t xml:space="preserve">Under the accrual basis of accounting, the company is entitled to a tax deduction in the year the expenditure is </w:t>
      </w:r>
      <w:r w:rsidR="00BD7C26" w:rsidRPr="00BD7C26">
        <w:rPr>
          <w:u w:val="single"/>
        </w:rPr>
        <w:t>accrued</w:t>
      </w:r>
      <w:r w:rsidR="00A4150D">
        <w:t>.</w:t>
      </w:r>
      <w:r w:rsidR="0085620D">
        <w:t xml:space="preserve">  </w:t>
      </w:r>
      <w:r w:rsidR="00BD7C26">
        <w:t xml:space="preserve">Accordingly, the company would take a </w:t>
      </w:r>
      <w:r w:rsidR="0085620D">
        <w:t xml:space="preserve">$1,000 tax deduction in year 1.  </w:t>
      </w:r>
      <w:r w:rsidR="00BD7C26">
        <w:t>Now, assume that for income tax purposes onl</w:t>
      </w:r>
      <w:r w:rsidR="00C4112B">
        <w:t>y,</w:t>
      </w:r>
      <w:r w:rsidR="00BD7C26">
        <w:t xml:space="preserve"> the company changes to the cash</w:t>
      </w:r>
      <w:r w:rsidR="00A4150D">
        <w:t xml:space="preserve"> basis of accounting in year 2.</w:t>
      </w:r>
      <w:r w:rsidR="0085620D">
        <w:t xml:space="preserve">  </w:t>
      </w:r>
      <w:r w:rsidR="00BD7C26">
        <w:t xml:space="preserve">Under the cash basis of accounting, the company is entitled to a tax deduction in the year the expenditure is </w:t>
      </w:r>
      <w:r w:rsidR="00BD7C26" w:rsidRPr="00BD7C26">
        <w:rPr>
          <w:u w:val="single"/>
        </w:rPr>
        <w:t>paid</w:t>
      </w:r>
      <w:r w:rsidR="0085620D">
        <w:t xml:space="preserve">.  </w:t>
      </w:r>
      <w:r w:rsidR="00BD7C26">
        <w:t>Accordingly,</w:t>
      </w:r>
      <w:r w:rsidR="00C4112B">
        <w:t xml:space="preserve"> </w:t>
      </w:r>
      <w:r w:rsidR="00BD7C26">
        <w:t>the company would take a</w:t>
      </w:r>
      <w:r w:rsidR="00C4112B">
        <w:t xml:space="preserve">nother </w:t>
      </w:r>
      <w:r w:rsidR="00BD7C26">
        <w:t>$1,000 tax deduction in year 2</w:t>
      </w:r>
      <w:r w:rsidR="00E46387">
        <w:t xml:space="preserve"> for the same expenditure it deducted in year 1</w:t>
      </w:r>
      <w:r w:rsidR="00BD7C26">
        <w:t>.</w:t>
      </w:r>
      <w:r w:rsidR="0085620D">
        <w:t xml:space="preserve">  </w:t>
      </w:r>
      <w:r w:rsidR="00C4112B">
        <w:t>However, in this example, the company would be required</w:t>
      </w:r>
      <w:r w:rsidR="00567E11">
        <w:t xml:space="preserve"> to</w:t>
      </w:r>
      <w:r w:rsidR="00C4112B">
        <w:t xml:space="preserve"> record an IRC Section 481(a) adjustment </w:t>
      </w:r>
      <w:r w:rsidR="00E46387">
        <w:t>increasing taxable income by $1,000 in the year of change, year</w:t>
      </w:r>
      <w:r w:rsidR="0085620D">
        <w:t xml:space="preserve"> 2, preventing the duplication.  </w:t>
      </w:r>
      <w:r w:rsidR="00E46387">
        <w:t xml:space="preserve">This example is illustrated in Exhibit </w:t>
      </w:r>
      <w:r w:rsidR="00BF0964">
        <w:t>No.__</w:t>
      </w:r>
      <w:proofErr w:type="gramStart"/>
      <w:r w:rsidR="00ED6BFA">
        <w:t>_</w:t>
      </w:r>
      <w:r w:rsidR="00BF0964">
        <w:t>(</w:t>
      </w:r>
      <w:proofErr w:type="gramEnd"/>
      <w:r w:rsidR="00BF0964">
        <w:t>RF-4)</w:t>
      </w:r>
      <w:r w:rsidR="00E46387">
        <w:t>.</w:t>
      </w:r>
    </w:p>
    <w:p w:rsidR="00F14A40" w:rsidRDefault="00F14A40" w:rsidP="0085620D">
      <w:pPr>
        <w:jc w:val="left"/>
        <w:rPr>
          <w:b/>
        </w:rPr>
      </w:pPr>
      <w:r>
        <w:rPr>
          <w:b/>
        </w:rPr>
        <w:t>Q.</w:t>
      </w:r>
      <w:r>
        <w:rPr>
          <w:b/>
        </w:rPr>
        <w:tab/>
        <w:t xml:space="preserve">What is the status of </w:t>
      </w:r>
      <w:r w:rsidR="00DA54F8">
        <w:rPr>
          <w:b/>
        </w:rPr>
        <w:t xml:space="preserve">PacifiCorp’s repairs deduction </w:t>
      </w:r>
      <w:r>
        <w:rPr>
          <w:b/>
        </w:rPr>
        <w:t>with the Service?</w:t>
      </w:r>
    </w:p>
    <w:p w:rsidR="00B371E7" w:rsidRDefault="008A2D7E" w:rsidP="0085620D">
      <w:pPr>
        <w:ind w:left="720" w:hanging="720"/>
        <w:jc w:val="left"/>
      </w:pPr>
      <w:r w:rsidRPr="008A2D7E">
        <w:t>A.</w:t>
      </w:r>
      <w:r w:rsidR="00F14A40">
        <w:rPr>
          <w:b/>
        </w:rPr>
        <w:tab/>
      </w:r>
      <w:r w:rsidR="00F14A40">
        <w:t xml:space="preserve">To date, the Service has only granted the Company permission to change its method of accounting beginning with the taxable </w:t>
      </w:r>
      <w:r w:rsidR="0085620D">
        <w:t xml:space="preserve">year beginning January 1, 2008.  </w:t>
      </w:r>
      <w:r w:rsidR="00F14A40">
        <w:t xml:space="preserve">The amount of the IRC Section 481(a) adjustment and the 2008 repairs deduction taken </w:t>
      </w:r>
      <w:r w:rsidR="00A949D7">
        <w:t xml:space="preserve">as a deduction </w:t>
      </w:r>
      <w:r w:rsidR="00F14A40">
        <w:t xml:space="preserve">in the Company’s 2008 federal income tax return is still </w:t>
      </w:r>
      <w:r w:rsidR="00F14A40">
        <w:lastRenderedPageBreak/>
        <w:t>subject to adjustment b</w:t>
      </w:r>
      <w:r w:rsidR="0085620D">
        <w:t xml:space="preserve">y the Service upon examination.  </w:t>
      </w:r>
      <w:r w:rsidR="00F14A40">
        <w:t>The amount that will ultimately be sustained</w:t>
      </w:r>
      <w:r w:rsidR="00A949D7">
        <w:t xml:space="preserve"> upon examination</w:t>
      </w:r>
      <w:r w:rsidR="00F14A40">
        <w:t xml:space="preserve"> is still uncertain.</w:t>
      </w:r>
    </w:p>
    <w:p w:rsidR="00CB64E2" w:rsidRPr="00B53F02" w:rsidRDefault="00CB64E2" w:rsidP="0085620D">
      <w:pPr>
        <w:ind w:left="720" w:hanging="720"/>
        <w:jc w:val="left"/>
        <w:rPr>
          <w:b/>
        </w:rPr>
      </w:pPr>
      <w:r w:rsidRPr="00B53F02">
        <w:rPr>
          <w:b/>
        </w:rPr>
        <w:t>Q.</w:t>
      </w:r>
      <w:r w:rsidRPr="00B53F02">
        <w:rPr>
          <w:b/>
        </w:rPr>
        <w:tab/>
        <w:t>How has the Company proposed to treat the repairs deduction in this filing?</w:t>
      </w:r>
    </w:p>
    <w:p w:rsidR="00F15905" w:rsidRPr="00F14A40" w:rsidRDefault="00CE2A77" w:rsidP="0085620D">
      <w:pPr>
        <w:ind w:left="720" w:hanging="720"/>
        <w:jc w:val="left"/>
      </w:pPr>
      <w:r>
        <w:t>A.</w:t>
      </w:r>
      <w:r>
        <w:tab/>
        <w:t>Assuming the Commission</w:t>
      </w:r>
      <w:r w:rsidRPr="006D7DE5">
        <w:t xml:space="preserve"> </w:t>
      </w:r>
      <w:r>
        <w:t xml:space="preserve">determines that the repairs deduction is sufficiently known and measurable to be included in rates in this case, the Company proposes to reflect the </w:t>
      </w:r>
      <w:r w:rsidR="002247DE">
        <w:t xml:space="preserve">repairs </w:t>
      </w:r>
      <w:r>
        <w:t xml:space="preserve">deduction in a manner that also addresses </w:t>
      </w:r>
      <w:r w:rsidR="002247DE">
        <w:t xml:space="preserve">its </w:t>
      </w:r>
      <w:r>
        <w:t xml:space="preserve">non-final nature.  First, as discussed below, the Company has reflected the full value of the repairs deductions taken or expected to be taken through December 31, 2009, in this rate case through a reduction in rate base which </w:t>
      </w:r>
      <w:r w:rsidR="006615D4">
        <w:t xml:space="preserve">will </w:t>
      </w:r>
      <w:r>
        <w:t xml:space="preserve">be adjusted if necessary after the </w:t>
      </w:r>
      <w:r w:rsidR="002247DE">
        <w:t xml:space="preserve">Service has completed its examination of these </w:t>
      </w:r>
      <w:r>
        <w:t xml:space="preserve">repairs </w:t>
      </w:r>
      <w:r w:rsidR="002247DE">
        <w:t xml:space="preserve">deductions and they are </w:t>
      </w:r>
      <w:r>
        <w:t xml:space="preserve">final.  </w:t>
      </w:r>
      <w:r w:rsidR="00BA6796">
        <w:t xml:space="preserve">Second, </w:t>
      </w:r>
      <w:r w:rsidR="009826B5">
        <w:t xml:space="preserve">the Company respectfully requests that the Commission approve the establishment of a regulatory asset </w:t>
      </w:r>
      <w:r w:rsidR="004D7291">
        <w:t xml:space="preserve">or liability </w:t>
      </w:r>
      <w:r w:rsidR="009826B5">
        <w:t xml:space="preserve">for </w:t>
      </w:r>
      <w:r w:rsidR="004D7291">
        <w:t xml:space="preserve">the recovery of interest paid to or received from the Service, if any, </w:t>
      </w:r>
      <w:r w:rsidR="000561DA">
        <w:t>for adjustments made to the</w:t>
      </w:r>
      <w:r w:rsidR="004D7291">
        <w:t xml:space="preserve"> repairs deduction</w:t>
      </w:r>
      <w:r w:rsidR="000561DA">
        <w:t>s</w:t>
      </w:r>
      <w:r w:rsidR="00BF0964">
        <w:t xml:space="preserve"> </w:t>
      </w:r>
      <w:r w:rsidR="004D7291">
        <w:t>taken in the Company’s 2008 and 2</w:t>
      </w:r>
      <w:r w:rsidR="0085620D">
        <w:t xml:space="preserve">009 federal income tax returns.  </w:t>
      </w:r>
      <w:r w:rsidR="004D7291">
        <w:t xml:space="preserve">Authorizing this one-time recovery will hold both the Company and customers harmless for the uncertainty of the </w:t>
      </w:r>
      <w:r w:rsidR="00B53F02">
        <w:t xml:space="preserve">repairs </w:t>
      </w:r>
      <w:r w:rsidR="004D7291">
        <w:t xml:space="preserve">deductions </w:t>
      </w:r>
      <w:r w:rsidR="00AE2B75">
        <w:t>reflected in this case</w:t>
      </w:r>
      <w:r w:rsidR="004D7291">
        <w:t>.</w:t>
      </w:r>
    </w:p>
    <w:p w:rsidR="00E46387" w:rsidRDefault="00E46387" w:rsidP="0085620D">
      <w:pPr>
        <w:ind w:left="720" w:hanging="720"/>
        <w:jc w:val="left"/>
        <w:rPr>
          <w:b/>
        </w:rPr>
      </w:pPr>
      <w:r>
        <w:rPr>
          <w:b/>
        </w:rPr>
        <w:t>Q.</w:t>
      </w:r>
      <w:r>
        <w:rPr>
          <w:b/>
        </w:rPr>
        <w:tab/>
      </w:r>
      <w:bookmarkStart w:id="0" w:name="OLE_LINK3"/>
      <w:bookmarkStart w:id="1" w:name="OLE_LINK4"/>
      <w:r w:rsidR="006615D4">
        <w:rPr>
          <w:b/>
        </w:rPr>
        <w:t>What is the impact of the repairs deduction on</w:t>
      </w:r>
      <w:r w:rsidR="009B5360">
        <w:rPr>
          <w:b/>
        </w:rPr>
        <w:t xml:space="preserve"> revenue requirement</w:t>
      </w:r>
      <w:r w:rsidR="002A0B86">
        <w:rPr>
          <w:b/>
        </w:rPr>
        <w:t xml:space="preserve"> in this case?</w:t>
      </w:r>
      <w:bookmarkEnd w:id="0"/>
      <w:bookmarkEnd w:id="1"/>
    </w:p>
    <w:p w:rsidR="00E46387" w:rsidRDefault="008A2D7E" w:rsidP="0085620D">
      <w:pPr>
        <w:ind w:left="720" w:hanging="720"/>
        <w:jc w:val="left"/>
      </w:pPr>
      <w:r w:rsidRPr="008A2D7E">
        <w:t>A.</w:t>
      </w:r>
      <w:r w:rsidR="00E46387">
        <w:rPr>
          <w:b/>
        </w:rPr>
        <w:tab/>
      </w:r>
      <w:r w:rsidR="001B3B4E">
        <w:t xml:space="preserve">The </w:t>
      </w:r>
      <w:r w:rsidR="00F118D4">
        <w:t>C</w:t>
      </w:r>
      <w:r w:rsidR="001B3B4E">
        <w:t xml:space="preserve">ompany has reflected the </w:t>
      </w:r>
      <w:r w:rsidR="00AE2B75">
        <w:t xml:space="preserve">temporary book-tax difference created by the </w:t>
      </w:r>
      <w:r w:rsidR="001B3B4E">
        <w:t>repairs deduction on a normalized b</w:t>
      </w:r>
      <w:r w:rsidR="00D51D16">
        <w:t>asis, meaning that</w:t>
      </w:r>
      <w:r w:rsidR="00AE2B75">
        <w:t xml:space="preserve"> customers benefit from</w:t>
      </w:r>
      <w:r w:rsidR="00D51D16">
        <w:t xml:space="preserve"> the </w:t>
      </w:r>
      <w:r w:rsidR="001B3B4E">
        <w:t xml:space="preserve">accumulated deferred income tax liability </w:t>
      </w:r>
      <w:r w:rsidR="00AE2B75">
        <w:t>generated by</w:t>
      </w:r>
      <w:r w:rsidR="001B3B4E">
        <w:t xml:space="preserve"> the repairs deduction </w:t>
      </w:r>
      <w:r w:rsidR="00AE2B75">
        <w:t>by way of</w:t>
      </w:r>
      <w:r w:rsidR="0085620D">
        <w:t xml:space="preserve"> a rate base reduction.  </w:t>
      </w:r>
      <w:r w:rsidR="00F07262">
        <w:t xml:space="preserve">As enumerated in Exhibit </w:t>
      </w:r>
      <w:r w:rsidR="00BF0964">
        <w:t>No.__</w:t>
      </w:r>
      <w:proofErr w:type="gramStart"/>
      <w:r w:rsidR="008F3A58">
        <w:t>_</w:t>
      </w:r>
      <w:r w:rsidR="00BF0964">
        <w:t>(</w:t>
      </w:r>
      <w:proofErr w:type="gramEnd"/>
      <w:r w:rsidR="00BF0964">
        <w:t>RF-5)</w:t>
      </w:r>
      <w:r w:rsidR="00F07262">
        <w:t xml:space="preserve">, </w:t>
      </w:r>
      <w:r w:rsidR="001B3B4E">
        <w:t>the rate base reduction reduces revenue requirement by $1.</w:t>
      </w:r>
      <w:r w:rsidR="0097375A">
        <w:t>7</w:t>
      </w:r>
      <w:r w:rsidR="001B3B4E">
        <w:t xml:space="preserve"> million.</w:t>
      </w:r>
    </w:p>
    <w:p w:rsidR="001B3B4E" w:rsidRDefault="001B3B4E" w:rsidP="0085620D">
      <w:pPr>
        <w:ind w:left="720" w:hanging="720"/>
        <w:jc w:val="left"/>
        <w:rPr>
          <w:b/>
        </w:rPr>
      </w:pPr>
      <w:r>
        <w:rPr>
          <w:b/>
        </w:rPr>
        <w:lastRenderedPageBreak/>
        <w:t>Q.</w:t>
      </w:r>
      <w:r>
        <w:rPr>
          <w:b/>
        </w:rPr>
        <w:tab/>
      </w:r>
      <w:r w:rsidR="009B5360">
        <w:rPr>
          <w:b/>
        </w:rPr>
        <w:t xml:space="preserve">Please explain </w:t>
      </w:r>
      <w:r w:rsidR="007878C7">
        <w:rPr>
          <w:b/>
        </w:rPr>
        <w:t>how</w:t>
      </w:r>
      <w:r w:rsidR="00F07262">
        <w:rPr>
          <w:b/>
        </w:rPr>
        <w:t xml:space="preserve"> the Company </w:t>
      </w:r>
      <w:r w:rsidR="009B5360">
        <w:rPr>
          <w:b/>
        </w:rPr>
        <w:t>has treated</w:t>
      </w:r>
      <w:r w:rsidR="00F07262">
        <w:rPr>
          <w:b/>
        </w:rPr>
        <w:t xml:space="preserve"> </w:t>
      </w:r>
      <w:r w:rsidR="006376C2">
        <w:rPr>
          <w:b/>
        </w:rPr>
        <w:t xml:space="preserve">all other </w:t>
      </w:r>
      <w:r w:rsidR="00F07262">
        <w:rPr>
          <w:b/>
        </w:rPr>
        <w:t>temporary book-tax differences in this filing</w:t>
      </w:r>
      <w:r w:rsidR="009B5360">
        <w:rPr>
          <w:b/>
        </w:rPr>
        <w:t>.</w:t>
      </w:r>
    </w:p>
    <w:p w:rsidR="007878C7" w:rsidRDefault="008A2D7E" w:rsidP="0085620D">
      <w:pPr>
        <w:ind w:left="720" w:hanging="720"/>
        <w:jc w:val="left"/>
      </w:pPr>
      <w:r w:rsidRPr="008A2D7E">
        <w:t>A.</w:t>
      </w:r>
      <w:r w:rsidR="001B3B4E">
        <w:rPr>
          <w:b/>
        </w:rPr>
        <w:tab/>
      </w:r>
      <w:r w:rsidR="00EA5C6B">
        <w:t>Consistent with the treatment of the repairs deduction</w:t>
      </w:r>
      <w:r w:rsidR="00D51D16">
        <w:t xml:space="preserve">, the Company </w:t>
      </w:r>
      <w:r w:rsidR="00880E2B">
        <w:t xml:space="preserve">has reflected all </w:t>
      </w:r>
      <w:r w:rsidR="006376C2">
        <w:t xml:space="preserve">other </w:t>
      </w:r>
      <w:r w:rsidR="00880E2B">
        <w:t>temporary book-tax differences</w:t>
      </w:r>
      <w:r w:rsidR="00880E2B" w:rsidRPr="00880E2B">
        <w:t xml:space="preserve"> </w:t>
      </w:r>
      <w:r w:rsidR="00880E2B">
        <w:t xml:space="preserve">on a normalized basis, </w:t>
      </w:r>
      <w:r w:rsidR="006376C2">
        <w:t>with the single exception of</w:t>
      </w:r>
      <w:r w:rsidR="00880E2B">
        <w:t xml:space="preserve"> the temporary book-tax difference associated with the </w:t>
      </w:r>
      <w:r w:rsidR="0085620D">
        <w:t xml:space="preserve">equity AFUDC.  </w:t>
      </w:r>
      <w:r w:rsidR="00880E2B">
        <w:t>In prior rate cases, the Company reflected all temporary book-tax differences not required to be normalized by t</w:t>
      </w:r>
      <w:r w:rsidR="0085620D">
        <w:t xml:space="preserve">he IRC on a flow-through basis.  </w:t>
      </w:r>
      <w:r w:rsidR="00244A17">
        <w:t xml:space="preserve">As enumerated in Exhibit </w:t>
      </w:r>
      <w:r w:rsidR="00BF0964">
        <w:t>No.__</w:t>
      </w:r>
      <w:proofErr w:type="gramStart"/>
      <w:r w:rsidR="00CA34D9">
        <w:t>_</w:t>
      </w:r>
      <w:r w:rsidR="00BF0964">
        <w:t>(</w:t>
      </w:r>
      <w:proofErr w:type="gramEnd"/>
      <w:r w:rsidR="00BF0964">
        <w:t>RF-6)</w:t>
      </w:r>
      <w:r w:rsidR="00244A17">
        <w:t>, r</w:t>
      </w:r>
      <w:r w:rsidR="00880E2B">
        <w:t>eporting all temporary book-tax differences</w:t>
      </w:r>
      <w:r w:rsidR="00880E2B" w:rsidRPr="00880E2B">
        <w:t xml:space="preserve"> </w:t>
      </w:r>
      <w:r w:rsidR="00880E2B">
        <w:t xml:space="preserve">on a normalized basis, other than the temporary book-tax difference associated with </w:t>
      </w:r>
      <w:r w:rsidR="002E1E60">
        <w:t>equity AFUDC,</w:t>
      </w:r>
      <w:r w:rsidR="00880E2B">
        <w:t xml:space="preserve"> reduces revenue requirement by $25,891 as compared to reporting these same book-tax differences on a flow-through basis. </w:t>
      </w:r>
      <w:r w:rsidR="002F7C8B">
        <w:t xml:space="preserve"> </w:t>
      </w:r>
    </w:p>
    <w:p w:rsidR="00244A17" w:rsidRPr="00244A17" w:rsidRDefault="00244A17" w:rsidP="0085620D">
      <w:pPr>
        <w:ind w:left="720" w:hanging="720"/>
        <w:jc w:val="left"/>
        <w:rPr>
          <w:b/>
        </w:rPr>
      </w:pPr>
      <w:r>
        <w:rPr>
          <w:b/>
        </w:rPr>
        <w:t>Q.</w:t>
      </w:r>
      <w:r>
        <w:rPr>
          <w:b/>
        </w:rPr>
        <w:tab/>
      </w:r>
      <w:r w:rsidR="006615D4">
        <w:rPr>
          <w:b/>
        </w:rPr>
        <w:t>I</w:t>
      </w:r>
      <w:r w:rsidR="002F7C8B">
        <w:rPr>
          <w:b/>
        </w:rPr>
        <w:t xml:space="preserve">s </w:t>
      </w:r>
      <w:r w:rsidR="00C872B7">
        <w:rPr>
          <w:b/>
        </w:rPr>
        <w:t xml:space="preserve">the </w:t>
      </w:r>
      <w:r>
        <w:rPr>
          <w:b/>
        </w:rPr>
        <w:t xml:space="preserve">Company </w:t>
      </w:r>
      <w:r w:rsidR="00C872B7">
        <w:rPr>
          <w:b/>
        </w:rPr>
        <w:t>propos</w:t>
      </w:r>
      <w:r w:rsidR="002F7C8B">
        <w:rPr>
          <w:b/>
        </w:rPr>
        <w:t>ing</w:t>
      </w:r>
      <w:r w:rsidR="00C872B7">
        <w:rPr>
          <w:b/>
        </w:rPr>
        <w:t xml:space="preserve"> to </w:t>
      </w:r>
      <w:r w:rsidR="002F7C8B">
        <w:rPr>
          <w:b/>
        </w:rPr>
        <w:t xml:space="preserve">move to full </w:t>
      </w:r>
      <w:r w:rsidR="00981504">
        <w:rPr>
          <w:b/>
        </w:rPr>
        <w:t>normaliz</w:t>
      </w:r>
      <w:r w:rsidR="002F7C8B">
        <w:rPr>
          <w:b/>
        </w:rPr>
        <w:t xml:space="preserve">ation </w:t>
      </w:r>
      <w:r>
        <w:rPr>
          <w:b/>
        </w:rPr>
        <w:t>in th</w:t>
      </w:r>
      <w:r w:rsidR="002F7C8B">
        <w:rPr>
          <w:b/>
        </w:rPr>
        <w:t>is</w:t>
      </w:r>
      <w:r>
        <w:rPr>
          <w:b/>
        </w:rPr>
        <w:t xml:space="preserve"> rate case?</w:t>
      </w:r>
      <w:r w:rsidR="0018123B">
        <w:rPr>
          <w:b/>
        </w:rPr>
        <w:t xml:space="preserve"> </w:t>
      </w:r>
      <w:r w:rsidR="003B44A2">
        <w:rPr>
          <w:b/>
        </w:rPr>
        <w:t xml:space="preserve"> </w:t>
      </w:r>
      <w:r w:rsidR="0018123B">
        <w:rPr>
          <w:b/>
        </w:rPr>
        <w:t>If yes</w:t>
      </w:r>
      <w:r w:rsidR="006615D4">
        <w:rPr>
          <w:b/>
        </w:rPr>
        <w:t>, why?</w:t>
      </w:r>
    </w:p>
    <w:p w:rsidR="00C92973" w:rsidRDefault="008A2D7E" w:rsidP="00C92973">
      <w:pPr>
        <w:widowControl w:val="0"/>
        <w:ind w:left="720" w:hanging="720"/>
        <w:jc w:val="left"/>
      </w:pPr>
      <w:r w:rsidRPr="008A2D7E">
        <w:t>A.</w:t>
      </w:r>
      <w:r>
        <w:tab/>
      </w:r>
      <w:r w:rsidR="006615D4">
        <w:t xml:space="preserve">Yes, the Company is proposing to move to the fully normalized treatment of income taxes. </w:t>
      </w:r>
      <w:r w:rsidR="00487C68">
        <w:t>There are practical and policy reasons underlying this proposal.  As a practical matter, the Company’s</w:t>
      </w:r>
      <w:r w:rsidR="00DD2D83">
        <w:t xml:space="preserve"> income</w:t>
      </w:r>
      <w:r w:rsidR="00487C68">
        <w:t xml:space="preserve"> taxes are normalized in Oregon, Utah, and Wyoming, whi</w:t>
      </w:r>
      <w:r w:rsidR="009C4E13">
        <w:t>ch account for approximately 85 percent</w:t>
      </w:r>
      <w:r w:rsidR="00487C68">
        <w:t xml:space="preserve"> of the Company’s total regulated operations. </w:t>
      </w:r>
      <w:r w:rsidR="005437CE">
        <w:t xml:space="preserve"> </w:t>
      </w:r>
      <w:r w:rsidR="00C34FDE">
        <w:t>The Company is also purs</w:t>
      </w:r>
      <w:r w:rsidR="006F18EC">
        <w:t>u</w:t>
      </w:r>
      <w:r w:rsidR="00C34FDE">
        <w:t xml:space="preserve">ing this treatment in California and Idaho.  </w:t>
      </w:r>
      <w:r w:rsidR="00487C68">
        <w:t xml:space="preserve">Ideally, the Company would have a single and consistent policy across all of its regulated operations which would provide benefits by way of increased efficiency in the Company’s income tax accounting and reporting processes and income tax accounting systems.  </w:t>
      </w:r>
    </w:p>
    <w:p w:rsidR="001B3B4E" w:rsidRDefault="00487C68" w:rsidP="00C92973">
      <w:pPr>
        <w:widowControl w:val="0"/>
        <w:ind w:left="720" w:hanging="720"/>
        <w:jc w:val="left"/>
      </w:pPr>
      <w:r>
        <w:tab/>
      </w:r>
      <w:r>
        <w:tab/>
        <w:t>As a policy matter, t</w:t>
      </w:r>
      <w:r w:rsidR="00A36FCE">
        <w:t xml:space="preserve">he Company </w:t>
      </w:r>
      <w:r>
        <w:t xml:space="preserve">supports </w:t>
      </w:r>
      <w:r w:rsidR="00A36FCE">
        <w:t xml:space="preserve">tax normalization </w:t>
      </w:r>
      <w:r>
        <w:t>based on</w:t>
      </w:r>
      <w:r w:rsidR="00A36FCE">
        <w:t xml:space="preserve"> the </w:t>
      </w:r>
      <w:r w:rsidR="00DE59A4">
        <w:lastRenderedPageBreak/>
        <w:t xml:space="preserve">matching principle and </w:t>
      </w:r>
      <w:r w:rsidR="0085620D">
        <w:t xml:space="preserve">intergenerational equity.  </w:t>
      </w:r>
      <w:r w:rsidR="00A36FCE">
        <w:t>Tax normalization matches tax benefits with cost responsibility and prevents customers who pay for the cost of an ass</w:t>
      </w:r>
      <w:r w:rsidR="00A7209A">
        <w:t>et well past its tax life</w:t>
      </w:r>
      <w:r w:rsidR="00A36FCE">
        <w:t xml:space="preserve"> </w:t>
      </w:r>
      <w:r w:rsidR="00165063">
        <w:t>from</w:t>
      </w:r>
      <w:r w:rsidR="00A36FCE">
        <w:t xml:space="preserve"> pay</w:t>
      </w:r>
      <w:r w:rsidR="00165063">
        <w:t>ing</w:t>
      </w:r>
      <w:r w:rsidR="00A36FCE">
        <w:t xml:space="preserve"> a disproportionately higher tax rate than customers that pay for the </w:t>
      </w:r>
      <w:r w:rsidR="0085620D">
        <w:t xml:space="preserve">same asset during its tax life.  </w:t>
      </w:r>
      <w:r w:rsidR="00A36FCE">
        <w:t>Because tax normalization matches tax benefits with cost responsibility, all customers pay the same effective tax rate over the asset’s entire life.</w:t>
      </w:r>
      <w:r w:rsidR="007019C6" w:rsidRPr="007019C6">
        <w:t xml:space="preserve"> </w:t>
      </w:r>
    </w:p>
    <w:p w:rsidR="00487C68" w:rsidRPr="004A5522" w:rsidRDefault="00487C68" w:rsidP="008A2D7E">
      <w:pPr>
        <w:ind w:left="720" w:hanging="720"/>
        <w:jc w:val="left"/>
        <w:rPr>
          <w:b/>
        </w:rPr>
      </w:pPr>
      <w:r w:rsidRPr="004A5522">
        <w:rPr>
          <w:b/>
        </w:rPr>
        <w:t>Q.</w:t>
      </w:r>
      <w:r w:rsidRPr="004A5522">
        <w:rPr>
          <w:b/>
        </w:rPr>
        <w:tab/>
        <w:t xml:space="preserve">Does the repairs deduction illustrate the policy reasons supporting the Company’s proposal to </w:t>
      </w:r>
      <w:r w:rsidR="004A5522" w:rsidRPr="004A5522">
        <w:rPr>
          <w:b/>
        </w:rPr>
        <w:t xml:space="preserve">normalize </w:t>
      </w:r>
      <w:r w:rsidR="00DD2D83">
        <w:rPr>
          <w:b/>
        </w:rPr>
        <w:t xml:space="preserve">all </w:t>
      </w:r>
      <w:r w:rsidR="004A5522" w:rsidRPr="004A5522">
        <w:rPr>
          <w:b/>
        </w:rPr>
        <w:t>temporary book-tax differences?</w:t>
      </w:r>
    </w:p>
    <w:p w:rsidR="00135514" w:rsidRDefault="004A5522" w:rsidP="007878C7">
      <w:pPr>
        <w:ind w:left="720" w:hanging="720"/>
        <w:jc w:val="left"/>
      </w:pPr>
      <w:r>
        <w:t>A.</w:t>
      </w:r>
      <w:r>
        <w:tab/>
        <w:t>Yes.  U</w:t>
      </w:r>
      <w:r w:rsidR="007019C6">
        <w:t xml:space="preserve">nder </w:t>
      </w:r>
      <w:r w:rsidR="002E1E60">
        <w:t xml:space="preserve">the </w:t>
      </w:r>
      <w:r w:rsidR="007019C6">
        <w:t>flow-through</w:t>
      </w:r>
      <w:r w:rsidR="002E1E60">
        <w:t xml:space="preserve"> treatment of the repairs deduction,</w:t>
      </w:r>
      <w:r w:rsidR="007019C6">
        <w:t xml:space="preserve"> </w:t>
      </w:r>
      <w:r w:rsidR="002E1E60">
        <w:t xml:space="preserve">there are significant out-of-period </w:t>
      </w:r>
      <w:r w:rsidR="00135514">
        <w:t>issues</w:t>
      </w:r>
      <w:r w:rsidR="002E1E60">
        <w:t xml:space="preserve"> with respect </w:t>
      </w:r>
      <w:r w:rsidR="009F7732">
        <w:t xml:space="preserve">to </w:t>
      </w:r>
      <w:r w:rsidR="007019C6">
        <w:t>the IRC Section 481(a) adjustment and the 2008 repairs deduction.</w:t>
      </w:r>
      <w:r w:rsidR="0085620D">
        <w:t xml:space="preserve">  </w:t>
      </w:r>
      <w:r w:rsidR="002E1E60">
        <w:t>A</w:t>
      </w:r>
      <w:r w:rsidR="00135514">
        <w:t xml:space="preserve">s enumerated in Exhibit </w:t>
      </w:r>
      <w:r w:rsidR="00567E11">
        <w:t>No.__</w:t>
      </w:r>
      <w:proofErr w:type="gramStart"/>
      <w:r w:rsidR="004C56B0">
        <w:t>_</w:t>
      </w:r>
      <w:r w:rsidR="00567E11">
        <w:t>(</w:t>
      </w:r>
      <w:proofErr w:type="gramEnd"/>
      <w:r w:rsidR="00567E11">
        <w:t>RF-7)</w:t>
      </w:r>
      <w:r w:rsidR="00135514">
        <w:t>,</w:t>
      </w:r>
      <w:r w:rsidR="002E1E60">
        <w:t xml:space="preserve"> </w:t>
      </w:r>
      <w:r w:rsidR="001C1764">
        <w:t>under flow-through accounting</w:t>
      </w:r>
      <w:r>
        <w:t>, 85 percent of the</w:t>
      </w:r>
      <w:r w:rsidR="0096308B">
        <w:t xml:space="preserve"> tax benefits from the repairs deduction </w:t>
      </w:r>
      <w:r>
        <w:t>(</w:t>
      </w:r>
      <w:r w:rsidR="002E1E60">
        <w:t xml:space="preserve">$25.3 million of the total </w:t>
      </w:r>
      <w:r w:rsidR="0096308B">
        <w:t xml:space="preserve">of </w:t>
      </w:r>
      <w:r w:rsidR="002E1E60">
        <w:t xml:space="preserve">$29.6 million </w:t>
      </w:r>
      <w:r>
        <w:t>in Washington</w:t>
      </w:r>
      <w:r w:rsidR="00D20E87">
        <w:t>-</w:t>
      </w:r>
      <w:r>
        <w:t xml:space="preserve">allocated </w:t>
      </w:r>
      <w:r w:rsidR="002E1E60">
        <w:t xml:space="preserve">tax benefits generated </w:t>
      </w:r>
      <w:r w:rsidR="00135514">
        <w:t>through the taxable year ended December 31, 2009</w:t>
      </w:r>
      <w:r>
        <w:t>)</w:t>
      </w:r>
      <w:r w:rsidR="00135514">
        <w:t>,</w:t>
      </w:r>
      <w:r w:rsidR="002E1E60">
        <w:t xml:space="preserve"> </w:t>
      </w:r>
      <w:r>
        <w:t xml:space="preserve">would be considered out-of-period.  In contrast, under the Company’s proposal for full normalization, customers receive all of the tax benefits of the repairs deduction.  </w:t>
      </w:r>
      <w:r w:rsidR="00CE2A77">
        <w:t xml:space="preserve">This demonstrates how tax normalization creates a </w:t>
      </w:r>
      <w:r>
        <w:t xml:space="preserve">more </w:t>
      </w:r>
      <w:r w:rsidR="00135514">
        <w:t>balanced outcome between the Company and its customers</w:t>
      </w:r>
      <w:r>
        <w:t>.</w:t>
      </w:r>
    </w:p>
    <w:p w:rsidR="00883D9C" w:rsidRPr="00244A17" w:rsidRDefault="00883D9C" w:rsidP="00883D9C">
      <w:pPr>
        <w:ind w:left="720" w:hanging="720"/>
        <w:jc w:val="left"/>
        <w:rPr>
          <w:b/>
        </w:rPr>
      </w:pPr>
      <w:r>
        <w:rPr>
          <w:b/>
        </w:rPr>
        <w:t>Q.</w:t>
      </w:r>
      <w:r>
        <w:rPr>
          <w:b/>
        </w:rPr>
        <w:tab/>
        <w:t xml:space="preserve">Why doesn’t the Company propose to normalize the repairs deduction only and continue flow-through treatment </w:t>
      </w:r>
      <w:r w:rsidR="00B96CDD">
        <w:rPr>
          <w:b/>
        </w:rPr>
        <w:t>for</w:t>
      </w:r>
      <w:r>
        <w:rPr>
          <w:b/>
        </w:rPr>
        <w:t xml:space="preserve"> all other temporary book-tax differences?</w:t>
      </w:r>
    </w:p>
    <w:p w:rsidR="00883D9C" w:rsidRDefault="00883D9C" w:rsidP="006A5550">
      <w:pPr>
        <w:ind w:left="720" w:hanging="720"/>
        <w:jc w:val="left"/>
      </w:pPr>
      <w:r>
        <w:t>A.</w:t>
      </w:r>
      <w:r>
        <w:tab/>
      </w:r>
      <w:r w:rsidR="004A5522">
        <w:t xml:space="preserve">The </w:t>
      </w:r>
      <w:r w:rsidR="00135514">
        <w:t xml:space="preserve">Company does not support </w:t>
      </w:r>
      <w:r w:rsidR="00C3546D">
        <w:t>the selective</w:t>
      </w:r>
      <w:r w:rsidR="0014202F">
        <w:t xml:space="preserve"> determin</w:t>
      </w:r>
      <w:r w:rsidR="004A5522">
        <w:t>ation</w:t>
      </w:r>
      <w:r w:rsidR="0014202F">
        <w:t xml:space="preserve"> </w:t>
      </w:r>
      <w:r w:rsidR="004A5522">
        <w:t xml:space="preserve">of </w:t>
      </w:r>
      <w:r w:rsidR="006A5550">
        <w:t xml:space="preserve">normalization or flow-through treatment for </w:t>
      </w:r>
      <w:r w:rsidR="0014202F">
        <w:t xml:space="preserve">each temporary book-tax </w:t>
      </w:r>
      <w:r w:rsidR="00CE2A77">
        <w:t xml:space="preserve">difference. </w:t>
      </w:r>
      <w:r w:rsidR="008B5F7E">
        <w:t xml:space="preserve"> </w:t>
      </w:r>
      <w:r w:rsidR="00CE2A77">
        <w:t>This</w:t>
      </w:r>
      <w:r w:rsidR="0014202F">
        <w:t xml:space="preserve"> </w:t>
      </w:r>
      <w:r w:rsidR="006A5550">
        <w:t>approach</w:t>
      </w:r>
      <w:r w:rsidR="0014202F">
        <w:t xml:space="preserve"> </w:t>
      </w:r>
      <w:r w:rsidR="0014202F">
        <w:lastRenderedPageBreak/>
        <w:t xml:space="preserve">does not </w:t>
      </w:r>
      <w:r w:rsidR="006A5550">
        <w:t>satisfy the practical and policy considerations discussed above.  Additionally, a</w:t>
      </w:r>
      <w:r w:rsidR="004575C4">
        <w:t xml:space="preserve"> policy of</w:t>
      </w:r>
      <w:r>
        <w:t xml:space="preserve"> selective determination of the regulatory treatment of individual temporary book-tax differences creates uncertainty as to the correct accounting treatment of the deferred income taxes generated by the Company’s</w:t>
      </w:r>
      <w:r w:rsidR="004575C4">
        <w:t xml:space="preserve"> temporary book-tax differences for SEC and FERC financial reporting purposes and subjects the Company to</w:t>
      </w:r>
      <w:r w:rsidR="001C1764">
        <w:t xml:space="preserve"> the possibility of</w:t>
      </w:r>
      <w:r w:rsidR="004575C4">
        <w:t xml:space="preserve"> prior period adjustments to its earnings if the incorrect regulatory treatment is assumed.</w:t>
      </w:r>
    </w:p>
    <w:p w:rsidR="00AE2B75" w:rsidRDefault="0014202F" w:rsidP="007878C7">
      <w:pPr>
        <w:ind w:left="720" w:firstLine="720"/>
        <w:jc w:val="left"/>
      </w:pPr>
      <w:r>
        <w:t xml:space="preserve">Accordingly, with the normalization of the repairs deduction, the Company has also </w:t>
      </w:r>
      <w:r w:rsidR="00B7171F">
        <w:t>normalized</w:t>
      </w:r>
      <w:r>
        <w:t xml:space="preserve"> all </w:t>
      </w:r>
      <w:r w:rsidR="00B33BE6">
        <w:t xml:space="preserve">other </w:t>
      </w:r>
      <w:r>
        <w:t xml:space="preserve">temporary book-tax differences, </w:t>
      </w:r>
      <w:r w:rsidR="00B33BE6">
        <w:t>with the single exception of</w:t>
      </w:r>
      <w:r>
        <w:t xml:space="preserve"> the temporary book-tax difference associated with equity AFUDC.</w:t>
      </w:r>
      <w:r w:rsidR="0085620D">
        <w:t xml:space="preserve">  </w:t>
      </w:r>
      <w:r w:rsidR="00A7209A">
        <w:t xml:space="preserve">This </w:t>
      </w:r>
      <w:r w:rsidR="006A5550">
        <w:t xml:space="preserve">is consistent with how the Company accounts for temporary book-tax differences in other states and </w:t>
      </w:r>
      <w:r w:rsidR="00A7209A">
        <w:t xml:space="preserve">establishes </w:t>
      </w:r>
      <w:r w:rsidR="008A37AF">
        <w:t>an</w:t>
      </w:r>
      <w:r w:rsidR="00B33BE6">
        <w:t xml:space="preserve"> </w:t>
      </w:r>
      <w:r w:rsidR="00C3546D">
        <w:t>ongoing</w:t>
      </w:r>
      <w:r w:rsidR="00A7209A">
        <w:t xml:space="preserve"> regulatory policy for the treatment of income taxes for the Company in Washington</w:t>
      </w:r>
      <w:r w:rsidR="00B33BE6" w:rsidRPr="00B33BE6">
        <w:t xml:space="preserve"> </w:t>
      </w:r>
      <w:r w:rsidR="00B33BE6">
        <w:t>that is balanced and consistent</w:t>
      </w:r>
      <w:r w:rsidR="00A7209A">
        <w:t>.</w:t>
      </w:r>
    </w:p>
    <w:p w:rsidR="0096308B" w:rsidRDefault="00317D72" w:rsidP="0085620D">
      <w:pPr>
        <w:ind w:left="720" w:hanging="720"/>
        <w:jc w:val="left"/>
      </w:pPr>
      <w:r>
        <w:rPr>
          <w:b/>
        </w:rPr>
        <w:t>Q.</w:t>
      </w:r>
      <w:r>
        <w:rPr>
          <w:b/>
        </w:rPr>
        <w:tab/>
      </w:r>
      <w:r w:rsidR="006A5550">
        <w:rPr>
          <w:b/>
        </w:rPr>
        <w:t xml:space="preserve">Does the Company recommend adoption of </w:t>
      </w:r>
      <w:r w:rsidR="0096308B">
        <w:rPr>
          <w:b/>
        </w:rPr>
        <w:t xml:space="preserve">tax normalization </w:t>
      </w:r>
      <w:r w:rsidR="00030B76">
        <w:rPr>
          <w:b/>
        </w:rPr>
        <w:t>for PacifiCorp</w:t>
      </w:r>
      <w:r w:rsidR="006A5550">
        <w:rPr>
          <w:b/>
        </w:rPr>
        <w:t xml:space="preserve">?  </w:t>
      </w:r>
    </w:p>
    <w:p w:rsidR="0096308B" w:rsidRPr="00273EC6" w:rsidRDefault="008A2D7E" w:rsidP="008A2D7E">
      <w:pPr>
        <w:ind w:left="720" w:hanging="720"/>
        <w:jc w:val="left"/>
      </w:pPr>
      <w:r w:rsidRPr="008A2D7E">
        <w:t>A.</w:t>
      </w:r>
      <w:r>
        <w:tab/>
      </w:r>
      <w:r w:rsidR="0085620D">
        <w:t xml:space="preserve">Yes.  </w:t>
      </w:r>
      <w:r w:rsidR="00030B76">
        <w:t>T</w:t>
      </w:r>
      <w:r w:rsidR="0096308B">
        <w:t xml:space="preserve">he Company respectfully requests that the Commission authorize </w:t>
      </w:r>
      <w:r w:rsidR="001C1764">
        <w:t xml:space="preserve">the Company </w:t>
      </w:r>
      <w:r w:rsidR="00663B34">
        <w:t xml:space="preserve">to </w:t>
      </w:r>
      <w:r w:rsidR="00030B76">
        <w:t>henceforth</w:t>
      </w:r>
      <w:r w:rsidR="00663B34">
        <w:t xml:space="preserve"> account for Washington</w:t>
      </w:r>
      <w:r w:rsidR="00C34FDE">
        <w:t>-</w:t>
      </w:r>
      <w:r w:rsidR="00663B34">
        <w:t>allocated income taxes</w:t>
      </w:r>
      <w:r w:rsidR="001C1764">
        <w:t xml:space="preserve"> not currently normalized</w:t>
      </w:r>
      <w:r w:rsidR="00663B34">
        <w:t xml:space="preserve"> on </w:t>
      </w:r>
      <w:r w:rsidR="00C34FDE">
        <w:t xml:space="preserve">a </w:t>
      </w:r>
      <w:r w:rsidR="00663B34">
        <w:t xml:space="preserve">fully normalized basis beginning </w:t>
      </w:r>
      <w:r w:rsidR="008A37AF">
        <w:t>January</w:t>
      </w:r>
      <w:r w:rsidR="00663B34">
        <w:t xml:space="preserve"> 1, 2011.</w:t>
      </w:r>
      <w:r w:rsidR="00030B76">
        <w:t xml:space="preserve">  </w:t>
      </w:r>
    </w:p>
    <w:p w:rsidR="00EB70DC" w:rsidRPr="00BA689A" w:rsidRDefault="00EB70DC" w:rsidP="0085620D">
      <w:pPr>
        <w:pStyle w:val="Answer"/>
        <w:jc w:val="left"/>
        <w:rPr>
          <w:b/>
        </w:rPr>
      </w:pPr>
      <w:r w:rsidRPr="00BA689A">
        <w:rPr>
          <w:b/>
        </w:rPr>
        <w:t>Q.</w:t>
      </w:r>
      <w:r w:rsidRPr="00BA689A">
        <w:rPr>
          <w:b/>
        </w:rPr>
        <w:tab/>
      </w:r>
      <w:r w:rsidR="00663B34">
        <w:rPr>
          <w:b/>
        </w:rPr>
        <w:t>Wh</w:t>
      </w:r>
      <w:r w:rsidR="00030B76">
        <w:rPr>
          <w:b/>
        </w:rPr>
        <w:t xml:space="preserve">y is the </w:t>
      </w:r>
      <w:r w:rsidR="00663B34">
        <w:rPr>
          <w:b/>
        </w:rPr>
        <w:t>Company propos</w:t>
      </w:r>
      <w:r w:rsidR="00030B76">
        <w:rPr>
          <w:b/>
        </w:rPr>
        <w:t>ing to exempt</w:t>
      </w:r>
      <w:r w:rsidR="00317D72">
        <w:rPr>
          <w:b/>
        </w:rPr>
        <w:t xml:space="preserve"> </w:t>
      </w:r>
      <w:r w:rsidR="00DD2D83">
        <w:rPr>
          <w:b/>
        </w:rPr>
        <w:t xml:space="preserve">the </w:t>
      </w:r>
      <w:r w:rsidR="00317D72">
        <w:rPr>
          <w:b/>
        </w:rPr>
        <w:t>temporary book-tax difference related to eq</w:t>
      </w:r>
      <w:r w:rsidRPr="00BA689A">
        <w:rPr>
          <w:b/>
        </w:rPr>
        <w:t>uity AFUDC</w:t>
      </w:r>
      <w:r w:rsidR="00030B76">
        <w:rPr>
          <w:b/>
        </w:rPr>
        <w:t xml:space="preserve"> from its proposal for full normalization</w:t>
      </w:r>
      <w:r w:rsidR="00317D72">
        <w:rPr>
          <w:b/>
        </w:rPr>
        <w:t>?</w:t>
      </w:r>
    </w:p>
    <w:p w:rsidR="00663B34" w:rsidRDefault="00EB70DC" w:rsidP="0085620D">
      <w:pPr>
        <w:pStyle w:val="Answer"/>
        <w:jc w:val="left"/>
      </w:pPr>
      <w:r w:rsidRPr="008A2D7E">
        <w:t>A.</w:t>
      </w:r>
      <w:r w:rsidRPr="00BA689A">
        <w:tab/>
        <w:t xml:space="preserve">The Company has reviewed the income tax normalization policy for equity AFUDC and has determined that, because equity AFUDC more closely resembles </w:t>
      </w:r>
      <w:r w:rsidRPr="00BA689A">
        <w:lastRenderedPageBreak/>
        <w:t>a permanent difference for ratemaking purposes, an income tax flow-through policy is more appropriate</w:t>
      </w:r>
      <w:r>
        <w:t xml:space="preserve"> than normalization</w:t>
      </w:r>
      <w:r w:rsidR="0085620D">
        <w:t xml:space="preserve">.  </w:t>
      </w:r>
    </w:p>
    <w:p w:rsidR="00AE2B75" w:rsidRDefault="00EB70DC">
      <w:pPr>
        <w:pStyle w:val="Answer"/>
        <w:ind w:firstLine="720"/>
        <w:jc w:val="left"/>
      </w:pPr>
      <w:r w:rsidRPr="00BA689A">
        <w:t xml:space="preserve">Equity AFUDC </w:t>
      </w:r>
      <w:r w:rsidR="00344387">
        <w:t xml:space="preserve">increases the book basis of assets.  It originates as </w:t>
      </w:r>
      <w:r w:rsidR="00344387" w:rsidRPr="00BA689A">
        <w:t xml:space="preserve">book income </w:t>
      </w:r>
      <w:r w:rsidR="00344387">
        <w:t xml:space="preserve">and reverses as an expense through book depreciation. </w:t>
      </w:r>
      <w:r w:rsidR="003A4FB9">
        <w:t xml:space="preserve"> </w:t>
      </w:r>
      <w:r w:rsidR="00344387">
        <w:t>Over the book life of the related asset, equity AFUDC has no net impact on book</w:t>
      </w:r>
      <w:r w:rsidR="00F91DF8">
        <w:t xml:space="preserve"> </w:t>
      </w:r>
      <w:r w:rsidR="00344387">
        <w:t xml:space="preserve">income.  </w:t>
      </w:r>
      <w:r w:rsidR="00076FCB">
        <w:t>Equity AFUDC also has no impact on taxable income bec</w:t>
      </w:r>
      <w:r w:rsidR="00C1038E">
        <w:t xml:space="preserve">ause </w:t>
      </w:r>
      <w:r w:rsidR="00076FCB">
        <w:t>the income created by equity AFUDC is never taxable and the book depreciation attributable to equity AFUDC is never deductible</w:t>
      </w:r>
      <w:r w:rsidR="00C1038E" w:rsidRPr="00C1038E">
        <w:t xml:space="preserve"> </w:t>
      </w:r>
      <w:r w:rsidR="00C1038E">
        <w:t>for income tax purposes</w:t>
      </w:r>
      <w:r w:rsidR="00076FCB">
        <w:t xml:space="preserve">.  Items of book income or expense that are never taxable or never deductible for income tax purposes are typically considered permanent book-tax differences for income tax accounting purposes.  Permanent book-tax differences do not generate deferred income tax expense because there is no corresponding future event that will generate a tax </w:t>
      </w:r>
      <w:r w:rsidR="00C1038E">
        <w:t>receivable or payable on</w:t>
      </w:r>
      <w:r w:rsidR="00076FCB">
        <w:t xml:space="preserve"> an income tax return.  </w:t>
      </w:r>
    </w:p>
    <w:p w:rsidR="00AE2B75" w:rsidRDefault="00076FCB" w:rsidP="004075AB">
      <w:pPr>
        <w:pStyle w:val="Answer"/>
        <w:widowControl w:val="0"/>
        <w:ind w:firstLine="720"/>
        <w:jc w:val="left"/>
      </w:pPr>
      <w:r>
        <w:t xml:space="preserve">However, because of the unique </w:t>
      </w:r>
      <w:r w:rsidR="00C1038E">
        <w:t>“</w:t>
      </w:r>
      <w:r>
        <w:t>in-and-out</w:t>
      </w:r>
      <w:r w:rsidR="00C1038E">
        <w:t>”</w:t>
      </w:r>
      <w:r>
        <w:t xml:space="preserve"> aspect of equity </w:t>
      </w:r>
      <w:r w:rsidR="00344387">
        <w:t xml:space="preserve">AFUDC </w:t>
      </w:r>
      <w:r>
        <w:t xml:space="preserve">for book purposes, accounting guidance recommends that equity AFUDC be tracked as a temporary </w:t>
      </w:r>
      <w:r w:rsidR="00C1038E">
        <w:t xml:space="preserve">book-tax </w:t>
      </w:r>
      <w:r>
        <w:t>difference</w:t>
      </w:r>
      <w:r w:rsidR="00C1038E">
        <w:t xml:space="preserve"> for income tax accounting purposes.  Equity AFUDC is a temporary book-tax difference in the sense that it ultimately has the same impact on book </w:t>
      </w:r>
      <w:r w:rsidR="00E62F39">
        <w:t xml:space="preserve">income </w:t>
      </w:r>
      <w:r w:rsidR="00C1038E">
        <w:t xml:space="preserve">and taxable income – zero.  For income tax accounting purposes, the temporary book-tax difference for equity AFUDC generates deferred income tax liability upon origination, with a corresponding debit to deferred income tax expense.  As the temporary book-tax difference reverses over the book life of the related asset, the income tax accounting entry is to debit the deferred income tax liability and credit deferred income </w:t>
      </w:r>
      <w:r w:rsidR="004A6B8A">
        <w:t xml:space="preserve">tax expense </w:t>
      </w:r>
      <w:r w:rsidR="004A6B8A">
        <w:lastRenderedPageBreak/>
        <w:t>until the deferred income tax liability is brought down to zero.</w:t>
      </w:r>
    </w:p>
    <w:p w:rsidR="00AE2B75" w:rsidRDefault="004A6B8A">
      <w:pPr>
        <w:pStyle w:val="Answer"/>
        <w:ind w:firstLine="720"/>
        <w:jc w:val="left"/>
      </w:pPr>
      <w:r>
        <w:t>Accordingly, because deferred income taxes are included in revenue requirement under a policy of income tax normalization, n</w:t>
      </w:r>
      <w:r w:rsidR="00EB70DC" w:rsidRPr="00BA689A">
        <w:t xml:space="preserve">ormalization of this item in rates effectively results in a loan to the Company from customers that is returned to them over time with interest at the Company’s rate of return with no tax impacts or payments to the </w:t>
      </w:r>
      <w:r w:rsidR="00EB48A7">
        <w:t>Service</w:t>
      </w:r>
      <w:r w:rsidR="00EB70DC" w:rsidRPr="00BA689A">
        <w:t>.</w:t>
      </w:r>
      <w:r w:rsidR="00EB48A7">
        <w:t xml:space="preserve">  Under flow-through accounting, the deferred income taxes generated by equity AFUDC never impact revenue requirement, which is appropriate since there is no corresponding income tax payable or receivable between the Company and the Service. </w:t>
      </w:r>
    </w:p>
    <w:p w:rsidR="00AE2B75" w:rsidRDefault="00EB48A7">
      <w:pPr>
        <w:pStyle w:val="Answer"/>
        <w:ind w:firstLine="720"/>
        <w:jc w:val="left"/>
      </w:pPr>
      <w:r>
        <w:t>Currently, the Company uses flow-through accounting for the deferred income taxes generated by equity AFUDC in all of its regulatory jurisdictions, including those regulatory jurisdictions that have adopted a policy of income tax normalization.</w:t>
      </w:r>
    </w:p>
    <w:p w:rsidR="007878C7" w:rsidRDefault="00357BA8" w:rsidP="0085620D">
      <w:pPr>
        <w:pStyle w:val="Answer"/>
        <w:jc w:val="left"/>
        <w:rPr>
          <w:b/>
        </w:rPr>
      </w:pPr>
      <w:r w:rsidRPr="008A2D7E">
        <w:rPr>
          <w:b/>
        </w:rPr>
        <w:t>Q.</w:t>
      </w:r>
      <w:r>
        <w:tab/>
      </w:r>
      <w:r w:rsidR="00CF2CF8">
        <w:rPr>
          <w:b/>
        </w:rPr>
        <w:t xml:space="preserve">Are there any other </w:t>
      </w:r>
      <w:r w:rsidR="00030B76">
        <w:rPr>
          <w:b/>
        </w:rPr>
        <w:t>implementation issues raised by PacifiCorp’s proposal to move to full normalization?</w:t>
      </w:r>
    </w:p>
    <w:p w:rsidR="00E1269D" w:rsidRPr="00E1269D" w:rsidRDefault="008A2D7E" w:rsidP="0085620D">
      <w:pPr>
        <w:pStyle w:val="Answer"/>
        <w:jc w:val="left"/>
      </w:pPr>
      <w:r w:rsidRPr="00CF2CF8">
        <w:t>A.</w:t>
      </w:r>
      <w:r w:rsidR="000A141F" w:rsidRPr="000A141F">
        <w:tab/>
        <w:t>Yes</w:t>
      </w:r>
      <w:r w:rsidR="005375EC">
        <w:t xml:space="preserve">.  </w:t>
      </w:r>
      <w:r w:rsidR="007D3CCC">
        <w:t>To implement full normalization</w:t>
      </w:r>
      <w:r w:rsidR="00CF2CF8">
        <w:t xml:space="preserve">, the </w:t>
      </w:r>
      <w:r w:rsidR="007D3CCC">
        <w:t>Commission</w:t>
      </w:r>
      <w:r w:rsidR="00CF2CF8">
        <w:t xml:space="preserve"> will </w:t>
      </w:r>
      <w:r w:rsidR="007D3CCC">
        <w:t xml:space="preserve">ultimately </w:t>
      </w:r>
      <w:r w:rsidR="00CF2CF8">
        <w:t xml:space="preserve">need to address the disposition of a </w:t>
      </w:r>
      <w:r w:rsidR="00E62F39">
        <w:t>regulatory asset</w:t>
      </w:r>
      <w:r w:rsidR="00CF2CF8">
        <w:t xml:space="preserve"> associated with income tax flow-through in Washington for non-property related tempor</w:t>
      </w:r>
      <w:r w:rsidR="001851AE">
        <w:t>ary book-differences.  However,</w:t>
      </w:r>
      <w:r w:rsidR="00CF2CF8">
        <w:t xml:space="preserve"> b</w:t>
      </w:r>
      <w:r w:rsidR="00357BA8">
        <w:t xml:space="preserve">ecause the Company </w:t>
      </w:r>
      <w:r w:rsidR="00CF2CF8">
        <w:t>is proposing to use</w:t>
      </w:r>
      <w:r w:rsidR="00357BA8">
        <w:t xml:space="preserve"> flow-th</w:t>
      </w:r>
      <w:r w:rsidR="008712AB">
        <w:t>rough accounting for Washington-</w:t>
      </w:r>
      <w:r w:rsidR="00357BA8">
        <w:t xml:space="preserve">allocated income taxes through December 31, 2010, the Company proposes to address the recovery of the regulatory asset for flow-through on </w:t>
      </w:r>
      <w:r w:rsidR="00CF2CF8">
        <w:t>non-property related temporary</w:t>
      </w:r>
      <w:r w:rsidR="00357BA8">
        <w:t xml:space="preserve"> book-tax differences in the next filed rate case, at </w:t>
      </w:r>
      <w:r w:rsidR="00357BA8">
        <w:lastRenderedPageBreak/>
        <w:t>which time the final regulatory asset or regulatory liability will have been determined.</w:t>
      </w:r>
    </w:p>
    <w:p w:rsidR="003A1870" w:rsidRPr="00BA689A" w:rsidRDefault="003A1870" w:rsidP="0085620D">
      <w:pPr>
        <w:pStyle w:val="Question"/>
        <w:jc w:val="left"/>
      </w:pPr>
      <w:r w:rsidRPr="00BA689A">
        <w:t>Q.</w:t>
      </w:r>
      <w:r w:rsidRPr="00BA689A">
        <w:tab/>
        <w:t>Does this conclude your direct testimony?</w:t>
      </w:r>
    </w:p>
    <w:p w:rsidR="00481BA7" w:rsidRDefault="003A1870" w:rsidP="0085620D">
      <w:pPr>
        <w:pStyle w:val="Answer"/>
        <w:jc w:val="left"/>
      </w:pPr>
      <w:r w:rsidRPr="008A2D7E">
        <w:t>A.</w:t>
      </w:r>
      <w:r w:rsidRPr="00BA689A">
        <w:tab/>
        <w:t>Yes.</w:t>
      </w:r>
    </w:p>
    <w:sectPr w:rsidR="00481BA7" w:rsidSect="003F0B89">
      <w:headerReference w:type="default" r:id="rId8"/>
      <w:footerReference w:type="default" r:id="rId9"/>
      <w:pgSz w:w="12240" w:h="15840" w:code="1"/>
      <w:pgMar w:top="1440" w:right="1800" w:bottom="1440" w:left="180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DF7" w:rsidRDefault="00C05DF7" w:rsidP="003A1870">
      <w:pPr>
        <w:spacing w:line="240" w:lineRule="auto"/>
      </w:pPr>
      <w:r>
        <w:separator/>
      </w:r>
    </w:p>
  </w:endnote>
  <w:endnote w:type="continuationSeparator" w:id="0">
    <w:p w:rsidR="00C05DF7" w:rsidRDefault="00C05DF7" w:rsidP="003A187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DF7" w:rsidRDefault="00C05DF7" w:rsidP="002E4928">
    <w:pPr>
      <w:pStyle w:val="Footer"/>
      <w:spacing w:line="240" w:lineRule="auto"/>
      <w:rPr>
        <w:rStyle w:val="PageNumber"/>
      </w:rPr>
    </w:pPr>
    <w:r>
      <w:rPr>
        <w:rStyle w:val="PageNumber"/>
      </w:rPr>
      <w:t>Direct Testimony of Ryan Fuller</w:t>
    </w:r>
    <w:r w:rsidRPr="002E4928">
      <w:rPr>
        <w:rStyle w:val="PageNumber"/>
      </w:rPr>
      <w:ptab w:relativeTo="margin" w:alignment="center" w:leader="none"/>
    </w:r>
    <w:r w:rsidRPr="002E4928">
      <w:rPr>
        <w:rStyle w:val="PageNumber"/>
      </w:rPr>
      <w:ptab w:relativeTo="margin" w:alignment="right" w:leader="none"/>
    </w:r>
    <w:r>
      <w:rPr>
        <w:rStyle w:val="PageNumber"/>
      </w:rPr>
      <w:t>Exhibit No.__</w:t>
    </w:r>
    <w:proofErr w:type="gramStart"/>
    <w:r>
      <w:rPr>
        <w:rStyle w:val="PageNumber"/>
      </w:rPr>
      <w:t>_(</w:t>
    </w:r>
    <w:proofErr w:type="gramEnd"/>
    <w:r>
      <w:rPr>
        <w:rStyle w:val="PageNumber"/>
      </w:rPr>
      <w:t>RF-1T)</w:t>
    </w:r>
  </w:p>
  <w:p w:rsidR="00C05DF7" w:rsidRDefault="00C05DF7" w:rsidP="002E4928">
    <w:pPr>
      <w:pStyle w:val="Footer"/>
      <w:spacing w:line="240" w:lineRule="auto"/>
    </w:pPr>
    <w:r>
      <w:tab/>
    </w:r>
    <w:r>
      <w:tab/>
      <w:t xml:space="preserve">Page </w:t>
    </w:r>
    <w:fldSimple w:instr=" PAGE   \* MERGEFORMAT ">
      <w:r w:rsidR="008712AB">
        <w:rPr>
          <w:noProof/>
        </w:rPr>
        <w:t>10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DF7" w:rsidRDefault="00C05DF7" w:rsidP="003A1870">
      <w:pPr>
        <w:spacing w:line="240" w:lineRule="auto"/>
      </w:pPr>
      <w:r>
        <w:separator/>
      </w:r>
    </w:p>
  </w:footnote>
  <w:footnote w:type="continuationSeparator" w:id="0">
    <w:p w:rsidR="00C05DF7" w:rsidRDefault="00C05DF7" w:rsidP="003A187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DF7" w:rsidRDefault="00C05DF7">
    <w:pPr>
      <w:pStyle w:val="Header"/>
    </w:pPr>
    <w:r>
      <w:ptab w:relativeTo="margin" w:alignment="center" w:leader="none"/>
    </w:r>
    <w:r>
      <w:ptab w:relativeTo="margin" w:alignment="right" w:leader="none"/>
    </w:r>
    <w:r>
      <w:t xml:space="preserve">Page </w:t>
    </w:r>
    <w:fldSimple w:instr=" PAGE   \* MERGEFORMAT ">
      <w:r w:rsidR="008712AB">
        <w:rPr>
          <w:noProof/>
        </w:rPr>
        <w:t>10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5406B"/>
    <w:multiLevelType w:val="multilevel"/>
    <w:tmpl w:val="9AC4D5DC"/>
    <w:lvl w:ilvl="0">
      <w:start w:val="1"/>
      <w:numFmt w:val="bullet"/>
      <w:lvlText w:val=""/>
      <w:lvlJc w:val="left"/>
      <w:pPr>
        <w:tabs>
          <w:tab w:val="num" w:pos="1440"/>
        </w:tabs>
        <w:ind w:left="1440" w:hanging="360"/>
      </w:pPr>
      <w:rPr>
        <w:rFonts w:ascii="Symbol" w:hAnsi="Symbol" w:hint="default"/>
        <w:sz w:val="24"/>
      </w:rPr>
    </w:lvl>
    <w:lvl w:ilvl="1">
      <w:start w:val="1"/>
      <w:numFmt w:val="bullet"/>
      <w:lvlText w:val="o"/>
      <w:lvlJc w:val="left"/>
      <w:pPr>
        <w:tabs>
          <w:tab w:val="num" w:pos="2160"/>
        </w:tabs>
        <w:ind w:left="2160" w:hanging="360"/>
      </w:pPr>
      <w:rPr>
        <w:rFonts w:ascii="Courier New" w:hAnsi="Courier New" w:hint="default"/>
        <w:color w:val="auto"/>
        <w:sz w:val="24"/>
      </w:rPr>
    </w:lvl>
    <w:lvl w:ilvl="2">
      <w:start w:val="1"/>
      <w:numFmt w:val="bullet"/>
      <w:lvlText w:val=""/>
      <w:lvlJc w:val="left"/>
      <w:pPr>
        <w:tabs>
          <w:tab w:val="num" w:pos="-540"/>
        </w:tabs>
        <w:ind w:left="-540" w:hanging="360"/>
      </w:pPr>
      <w:rPr>
        <w:rFonts w:ascii="Wingdings" w:hAnsi="Wingdings" w:hint="default"/>
      </w:rPr>
    </w:lvl>
    <w:lvl w:ilvl="3">
      <w:start w:val="1"/>
      <w:numFmt w:val="bullet"/>
      <w:lvlText w:val=""/>
      <w:lvlJc w:val="left"/>
      <w:pPr>
        <w:tabs>
          <w:tab w:val="num" w:pos="180"/>
        </w:tabs>
        <w:ind w:left="180" w:hanging="360"/>
      </w:pPr>
      <w:rPr>
        <w:rFonts w:ascii="Symbol" w:hAnsi="Symbol" w:hint="default"/>
      </w:rPr>
    </w:lvl>
    <w:lvl w:ilvl="4">
      <w:start w:val="1"/>
      <w:numFmt w:val="bullet"/>
      <w:lvlText w:val="o"/>
      <w:lvlJc w:val="left"/>
      <w:pPr>
        <w:tabs>
          <w:tab w:val="num" w:pos="900"/>
        </w:tabs>
        <w:ind w:left="900" w:hanging="360"/>
      </w:pPr>
      <w:rPr>
        <w:rFonts w:ascii="Courier New" w:hAnsi="Courier New" w:hint="default"/>
      </w:rPr>
    </w:lvl>
    <w:lvl w:ilvl="5">
      <w:start w:val="1"/>
      <w:numFmt w:val="bullet"/>
      <w:lvlText w:val=""/>
      <w:lvlJc w:val="left"/>
      <w:pPr>
        <w:tabs>
          <w:tab w:val="num" w:pos="1620"/>
        </w:tabs>
        <w:ind w:left="1620" w:hanging="360"/>
      </w:pPr>
      <w:rPr>
        <w:rFonts w:ascii="Wingdings" w:hAnsi="Wingdings" w:hint="default"/>
      </w:rPr>
    </w:lvl>
    <w:lvl w:ilvl="6">
      <w:start w:val="1"/>
      <w:numFmt w:val="bullet"/>
      <w:lvlText w:val=""/>
      <w:lvlJc w:val="left"/>
      <w:pPr>
        <w:tabs>
          <w:tab w:val="num" w:pos="2340"/>
        </w:tabs>
        <w:ind w:left="2340" w:hanging="360"/>
      </w:pPr>
      <w:rPr>
        <w:rFonts w:ascii="Symbol" w:hAnsi="Symbol" w:hint="default"/>
      </w:rPr>
    </w:lvl>
    <w:lvl w:ilvl="7">
      <w:start w:val="1"/>
      <w:numFmt w:val="bullet"/>
      <w:lvlText w:val="o"/>
      <w:lvlJc w:val="left"/>
      <w:pPr>
        <w:tabs>
          <w:tab w:val="num" w:pos="3060"/>
        </w:tabs>
        <w:ind w:left="3060" w:hanging="360"/>
      </w:pPr>
      <w:rPr>
        <w:rFonts w:ascii="Courier New" w:hAnsi="Courier New" w:cs="Courier New" w:hint="default"/>
      </w:rPr>
    </w:lvl>
    <w:lvl w:ilvl="8">
      <w:start w:val="1"/>
      <w:numFmt w:val="bullet"/>
      <w:lvlText w:val=""/>
      <w:lvlJc w:val="left"/>
      <w:pPr>
        <w:tabs>
          <w:tab w:val="num" w:pos="3780"/>
        </w:tabs>
        <w:ind w:left="3780" w:hanging="360"/>
      </w:pPr>
      <w:rPr>
        <w:rFonts w:ascii="Wingdings" w:hAnsi="Wingdings" w:hint="default"/>
      </w:rPr>
    </w:lvl>
  </w:abstractNum>
  <w:abstractNum w:abstractNumId="1">
    <w:nsid w:val="2AE959A7"/>
    <w:multiLevelType w:val="hybridMultilevel"/>
    <w:tmpl w:val="34F275B4"/>
    <w:lvl w:ilvl="0" w:tplc="D9AC1E1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49E33F24"/>
    <w:multiLevelType w:val="hybridMultilevel"/>
    <w:tmpl w:val="21FC16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E9D1F28"/>
    <w:multiLevelType w:val="hybridMultilevel"/>
    <w:tmpl w:val="0F76892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567B7A4A"/>
    <w:multiLevelType w:val="hybridMultilevel"/>
    <w:tmpl w:val="6BF8AA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7A113B0D"/>
    <w:multiLevelType w:val="hybridMultilevel"/>
    <w:tmpl w:val="3D0E9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3A1870"/>
    <w:rsid w:val="00030B76"/>
    <w:rsid w:val="000561DA"/>
    <w:rsid w:val="00062F0D"/>
    <w:rsid w:val="00066F91"/>
    <w:rsid w:val="00076FCB"/>
    <w:rsid w:val="00094E3E"/>
    <w:rsid w:val="000A141F"/>
    <w:rsid w:val="000B1349"/>
    <w:rsid w:val="000D2C34"/>
    <w:rsid w:val="001149BB"/>
    <w:rsid w:val="00135514"/>
    <w:rsid w:val="0014202F"/>
    <w:rsid w:val="001474A4"/>
    <w:rsid w:val="00165063"/>
    <w:rsid w:val="0018123B"/>
    <w:rsid w:val="001851AE"/>
    <w:rsid w:val="001B3B4E"/>
    <w:rsid w:val="001C1764"/>
    <w:rsid w:val="002247DE"/>
    <w:rsid w:val="00244A17"/>
    <w:rsid w:val="00273EC6"/>
    <w:rsid w:val="00283E7B"/>
    <w:rsid w:val="002A0B86"/>
    <w:rsid w:val="002C1902"/>
    <w:rsid w:val="002D528F"/>
    <w:rsid w:val="002E1E60"/>
    <w:rsid w:val="002E4928"/>
    <w:rsid w:val="002F178A"/>
    <w:rsid w:val="002F7C8B"/>
    <w:rsid w:val="00310706"/>
    <w:rsid w:val="00317D72"/>
    <w:rsid w:val="00337E35"/>
    <w:rsid w:val="00344387"/>
    <w:rsid w:val="00357BA8"/>
    <w:rsid w:val="003A1870"/>
    <w:rsid w:val="003A4FB9"/>
    <w:rsid w:val="003B44A2"/>
    <w:rsid w:val="003C1971"/>
    <w:rsid w:val="003F0B89"/>
    <w:rsid w:val="004075AB"/>
    <w:rsid w:val="00430725"/>
    <w:rsid w:val="00450D11"/>
    <w:rsid w:val="004575C4"/>
    <w:rsid w:val="00467EEB"/>
    <w:rsid w:val="00481BA7"/>
    <w:rsid w:val="004862A9"/>
    <w:rsid w:val="00487C68"/>
    <w:rsid w:val="00495816"/>
    <w:rsid w:val="00496ADF"/>
    <w:rsid w:val="004A5522"/>
    <w:rsid w:val="004A6B8A"/>
    <w:rsid w:val="004C56B0"/>
    <w:rsid w:val="004D7291"/>
    <w:rsid w:val="004E1C04"/>
    <w:rsid w:val="00512106"/>
    <w:rsid w:val="00526BD2"/>
    <w:rsid w:val="00531B6E"/>
    <w:rsid w:val="005375EC"/>
    <w:rsid w:val="005437CE"/>
    <w:rsid w:val="00565B20"/>
    <w:rsid w:val="00567E11"/>
    <w:rsid w:val="00574343"/>
    <w:rsid w:val="005C3381"/>
    <w:rsid w:val="0062637D"/>
    <w:rsid w:val="00632E79"/>
    <w:rsid w:val="006376C2"/>
    <w:rsid w:val="006400C0"/>
    <w:rsid w:val="006615D4"/>
    <w:rsid w:val="00663B34"/>
    <w:rsid w:val="00665947"/>
    <w:rsid w:val="00685726"/>
    <w:rsid w:val="006A5550"/>
    <w:rsid w:val="006D28A3"/>
    <w:rsid w:val="006D7DE5"/>
    <w:rsid w:val="006F0776"/>
    <w:rsid w:val="006F12C0"/>
    <w:rsid w:val="006F18EC"/>
    <w:rsid w:val="007019C6"/>
    <w:rsid w:val="00747BBF"/>
    <w:rsid w:val="00753D8D"/>
    <w:rsid w:val="00765E61"/>
    <w:rsid w:val="007878C7"/>
    <w:rsid w:val="007B72BA"/>
    <w:rsid w:val="007D3CCC"/>
    <w:rsid w:val="00822230"/>
    <w:rsid w:val="008278D8"/>
    <w:rsid w:val="0085620D"/>
    <w:rsid w:val="00864417"/>
    <w:rsid w:val="008712AB"/>
    <w:rsid w:val="008763C7"/>
    <w:rsid w:val="00880E2B"/>
    <w:rsid w:val="00883D9C"/>
    <w:rsid w:val="00895B4B"/>
    <w:rsid w:val="008A2D7E"/>
    <w:rsid w:val="008A37AF"/>
    <w:rsid w:val="008B5F7E"/>
    <w:rsid w:val="008F3A58"/>
    <w:rsid w:val="00903F50"/>
    <w:rsid w:val="00912105"/>
    <w:rsid w:val="0093446A"/>
    <w:rsid w:val="0096149F"/>
    <w:rsid w:val="0096308B"/>
    <w:rsid w:val="0097375A"/>
    <w:rsid w:val="0097379D"/>
    <w:rsid w:val="00981504"/>
    <w:rsid w:val="009826B5"/>
    <w:rsid w:val="00982841"/>
    <w:rsid w:val="00993269"/>
    <w:rsid w:val="009B5360"/>
    <w:rsid w:val="009B675F"/>
    <w:rsid w:val="009C4E13"/>
    <w:rsid w:val="009C74C0"/>
    <w:rsid w:val="009F7732"/>
    <w:rsid w:val="00A25F3B"/>
    <w:rsid w:val="00A36FCE"/>
    <w:rsid w:val="00A4150D"/>
    <w:rsid w:val="00A418A3"/>
    <w:rsid w:val="00A60CE1"/>
    <w:rsid w:val="00A66DA7"/>
    <w:rsid w:val="00A7209A"/>
    <w:rsid w:val="00A9288E"/>
    <w:rsid w:val="00A949D7"/>
    <w:rsid w:val="00AC064A"/>
    <w:rsid w:val="00AE2B75"/>
    <w:rsid w:val="00AF1980"/>
    <w:rsid w:val="00AF73E8"/>
    <w:rsid w:val="00B02903"/>
    <w:rsid w:val="00B105CA"/>
    <w:rsid w:val="00B33BE6"/>
    <w:rsid w:val="00B371E7"/>
    <w:rsid w:val="00B53F02"/>
    <w:rsid w:val="00B7171F"/>
    <w:rsid w:val="00B76877"/>
    <w:rsid w:val="00B96CDD"/>
    <w:rsid w:val="00BA6796"/>
    <w:rsid w:val="00BB2C23"/>
    <w:rsid w:val="00BC0799"/>
    <w:rsid w:val="00BD7C26"/>
    <w:rsid w:val="00BF0964"/>
    <w:rsid w:val="00C00EBD"/>
    <w:rsid w:val="00C05DF7"/>
    <w:rsid w:val="00C1038E"/>
    <w:rsid w:val="00C21165"/>
    <w:rsid w:val="00C34FDE"/>
    <w:rsid w:val="00C3546D"/>
    <w:rsid w:val="00C4112B"/>
    <w:rsid w:val="00C74614"/>
    <w:rsid w:val="00C86634"/>
    <w:rsid w:val="00C872B7"/>
    <w:rsid w:val="00C92973"/>
    <w:rsid w:val="00CA34D9"/>
    <w:rsid w:val="00CB25FA"/>
    <w:rsid w:val="00CB64E2"/>
    <w:rsid w:val="00CE2A77"/>
    <w:rsid w:val="00CE2BA3"/>
    <w:rsid w:val="00CE493E"/>
    <w:rsid w:val="00CF0464"/>
    <w:rsid w:val="00CF2CF8"/>
    <w:rsid w:val="00D20E87"/>
    <w:rsid w:val="00D22743"/>
    <w:rsid w:val="00D51D16"/>
    <w:rsid w:val="00D66121"/>
    <w:rsid w:val="00D72678"/>
    <w:rsid w:val="00D76EEF"/>
    <w:rsid w:val="00DA18DF"/>
    <w:rsid w:val="00DA54F8"/>
    <w:rsid w:val="00DB58B0"/>
    <w:rsid w:val="00DC4327"/>
    <w:rsid w:val="00DC66B2"/>
    <w:rsid w:val="00DD2D83"/>
    <w:rsid w:val="00DE59A4"/>
    <w:rsid w:val="00E06C36"/>
    <w:rsid w:val="00E1269D"/>
    <w:rsid w:val="00E36284"/>
    <w:rsid w:val="00E46387"/>
    <w:rsid w:val="00E62F39"/>
    <w:rsid w:val="00E721D7"/>
    <w:rsid w:val="00E863AF"/>
    <w:rsid w:val="00EA5C6B"/>
    <w:rsid w:val="00EB14F9"/>
    <w:rsid w:val="00EB48A7"/>
    <w:rsid w:val="00EB70B3"/>
    <w:rsid w:val="00EB70DC"/>
    <w:rsid w:val="00EC4B6F"/>
    <w:rsid w:val="00ED6BFA"/>
    <w:rsid w:val="00F07262"/>
    <w:rsid w:val="00F118D4"/>
    <w:rsid w:val="00F14A40"/>
    <w:rsid w:val="00F15905"/>
    <w:rsid w:val="00F31B4D"/>
    <w:rsid w:val="00F34469"/>
    <w:rsid w:val="00F81A5E"/>
    <w:rsid w:val="00F91DF8"/>
    <w:rsid w:val="00FB2282"/>
    <w:rsid w:val="00FD3AF3"/>
    <w:rsid w:val="00FE395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870"/>
    <w:pPr>
      <w:spacing w:line="480" w:lineRule="auto"/>
      <w:jc w:val="both"/>
    </w:pPr>
    <w:rPr>
      <w:rFonts w:eastAsia="Times New Roman"/>
      <w:sz w:val="24"/>
      <w:szCs w:val="24"/>
    </w:rPr>
  </w:style>
  <w:style w:type="paragraph" w:styleId="Heading1">
    <w:name w:val="heading 1"/>
    <w:basedOn w:val="Normal"/>
    <w:next w:val="Normal"/>
    <w:link w:val="Heading1Char"/>
    <w:qFormat/>
    <w:rsid w:val="003A187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A1870"/>
    <w:pPr>
      <w:keepNext/>
      <w:jc w:val="left"/>
      <w:outlineLvl w:val="1"/>
    </w:pPr>
    <w:rPr>
      <w:b/>
      <w:bCs/>
      <w:iCs/>
      <w:caps/>
    </w:rPr>
  </w:style>
  <w:style w:type="paragraph" w:styleId="Heading3">
    <w:name w:val="heading 3"/>
    <w:basedOn w:val="Normal"/>
    <w:next w:val="Normal"/>
    <w:link w:val="Heading3Char"/>
    <w:qFormat/>
    <w:rsid w:val="003A1870"/>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3A1870"/>
    <w:pPr>
      <w:spacing w:before="240" w:after="60" w:line="240" w:lineRule="auto"/>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1870"/>
    <w:rPr>
      <w:rFonts w:ascii="Arial" w:eastAsia="Times New Roman" w:hAnsi="Arial" w:cs="Arial"/>
      <w:b/>
      <w:bCs/>
      <w:kern w:val="32"/>
      <w:sz w:val="32"/>
      <w:szCs w:val="32"/>
    </w:rPr>
  </w:style>
  <w:style w:type="character" w:customStyle="1" w:styleId="Heading2Char">
    <w:name w:val="Heading 2 Char"/>
    <w:basedOn w:val="DefaultParagraphFont"/>
    <w:link w:val="Heading2"/>
    <w:rsid w:val="003A1870"/>
    <w:rPr>
      <w:rFonts w:eastAsia="Times New Roman" w:cs="Times New Roman"/>
      <w:b/>
      <w:bCs/>
      <w:iCs/>
      <w:caps/>
      <w:szCs w:val="24"/>
    </w:rPr>
  </w:style>
  <w:style w:type="character" w:customStyle="1" w:styleId="Heading3Char">
    <w:name w:val="Heading 3 Char"/>
    <w:basedOn w:val="DefaultParagraphFont"/>
    <w:link w:val="Heading3"/>
    <w:rsid w:val="003A1870"/>
    <w:rPr>
      <w:rFonts w:ascii="Arial" w:eastAsia="Times New Roman" w:hAnsi="Arial" w:cs="Arial"/>
      <w:b/>
      <w:bCs/>
      <w:sz w:val="26"/>
      <w:szCs w:val="26"/>
    </w:rPr>
  </w:style>
  <w:style w:type="character" w:customStyle="1" w:styleId="Heading6Char">
    <w:name w:val="Heading 6 Char"/>
    <w:basedOn w:val="DefaultParagraphFont"/>
    <w:link w:val="Heading6"/>
    <w:rsid w:val="003A1870"/>
    <w:rPr>
      <w:rFonts w:eastAsia="Times New Roman" w:cs="Times New Roman"/>
      <w:b/>
      <w:bCs/>
      <w:sz w:val="22"/>
    </w:rPr>
  </w:style>
  <w:style w:type="paragraph" w:styleId="BalloonText">
    <w:name w:val="Balloon Text"/>
    <w:basedOn w:val="Normal"/>
    <w:link w:val="BalloonTextChar"/>
    <w:semiHidden/>
    <w:rsid w:val="003A1870"/>
    <w:rPr>
      <w:rFonts w:ascii="Tahoma" w:hAnsi="Tahoma" w:cs="Tahoma"/>
      <w:sz w:val="16"/>
      <w:szCs w:val="16"/>
    </w:rPr>
  </w:style>
  <w:style w:type="character" w:customStyle="1" w:styleId="BalloonTextChar">
    <w:name w:val="Balloon Text Char"/>
    <w:basedOn w:val="DefaultParagraphFont"/>
    <w:link w:val="BalloonText"/>
    <w:semiHidden/>
    <w:rsid w:val="003A1870"/>
    <w:rPr>
      <w:rFonts w:ascii="Tahoma" w:eastAsia="Times New Roman" w:hAnsi="Tahoma" w:cs="Tahoma"/>
      <w:sz w:val="16"/>
      <w:szCs w:val="16"/>
    </w:rPr>
  </w:style>
  <w:style w:type="paragraph" w:customStyle="1" w:styleId="Question">
    <w:name w:val="Question"/>
    <w:basedOn w:val="Normal"/>
    <w:link w:val="QuestionChar"/>
    <w:rsid w:val="003A1870"/>
    <w:pPr>
      <w:ind w:left="720" w:hanging="720"/>
    </w:pPr>
    <w:rPr>
      <w:b/>
      <w:bCs/>
    </w:rPr>
  </w:style>
  <w:style w:type="character" w:customStyle="1" w:styleId="QuestionChar">
    <w:name w:val="Question Char"/>
    <w:basedOn w:val="DefaultParagraphFont"/>
    <w:link w:val="Question"/>
    <w:rsid w:val="003A1870"/>
    <w:rPr>
      <w:rFonts w:eastAsia="Times New Roman" w:cs="Times New Roman"/>
      <w:b/>
      <w:bCs/>
      <w:szCs w:val="24"/>
    </w:rPr>
  </w:style>
  <w:style w:type="paragraph" w:customStyle="1" w:styleId="Answer">
    <w:name w:val="Answer"/>
    <w:basedOn w:val="Normal"/>
    <w:link w:val="AnswerChar"/>
    <w:rsid w:val="003A1870"/>
    <w:pPr>
      <w:ind w:left="720" w:hanging="720"/>
    </w:pPr>
  </w:style>
  <w:style w:type="character" w:customStyle="1" w:styleId="AnswerChar">
    <w:name w:val="Answer Char"/>
    <w:basedOn w:val="DefaultParagraphFont"/>
    <w:link w:val="Answer"/>
    <w:rsid w:val="003A1870"/>
    <w:rPr>
      <w:rFonts w:eastAsia="Times New Roman" w:cs="Times New Roman"/>
      <w:szCs w:val="24"/>
    </w:rPr>
  </w:style>
  <w:style w:type="character" w:styleId="LineNumber">
    <w:name w:val="line number"/>
    <w:basedOn w:val="DefaultParagraphFont"/>
    <w:rsid w:val="003A1870"/>
  </w:style>
  <w:style w:type="paragraph" w:styleId="Header">
    <w:name w:val="header"/>
    <w:basedOn w:val="Normal"/>
    <w:link w:val="HeaderChar"/>
    <w:uiPriority w:val="99"/>
    <w:rsid w:val="003A1870"/>
    <w:pPr>
      <w:tabs>
        <w:tab w:val="center" w:pos="4320"/>
        <w:tab w:val="right" w:pos="8640"/>
      </w:tabs>
    </w:pPr>
  </w:style>
  <w:style w:type="character" w:customStyle="1" w:styleId="HeaderChar">
    <w:name w:val="Header Char"/>
    <w:basedOn w:val="DefaultParagraphFont"/>
    <w:link w:val="Header"/>
    <w:uiPriority w:val="99"/>
    <w:rsid w:val="003A1870"/>
    <w:rPr>
      <w:rFonts w:eastAsia="Times New Roman" w:cs="Times New Roman"/>
      <w:szCs w:val="24"/>
    </w:rPr>
  </w:style>
  <w:style w:type="paragraph" w:styleId="Footer">
    <w:name w:val="footer"/>
    <w:basedOn w:val="Normal"/>
    <w:link w:val="FooterChar"/>
    <w:rsid w:val="003A1870"/>
    <w:pPr>
      <w:tabs>
        <w:tab w:val="center" w:pos="4320"/>
        <w:tab w:val="right" w:pos="8640"/>
      </w:tabs>
    </w:pPr>
  </w:style>
  <w:style w:type="character" w:customStyle="1" w:styleId="FooterChar">
    <w:name w:val="Footer Char"/>
    <w:basedOn w:val="DefaultParagraphFont"/>
    <w:link w:val="Footer"/>
    <w:rsid w:val="003A1870"/>
    <w:rPr>
      <w:rFonts w:eastAsia="Times New Roman" w:cs="Times New Roman"/>
      <w:szCs w:val="24"/>
    </w:rPr>
  </w:style>
  <w:style w:type="character" w:styleId="PageNumber">
    <w:name w:val="page number"/>
    <w:basedOn w:val="DefaultParagraphFont"/>
    <w:rsid w:val="003A1870"/>
  </w:style>
  <w:style w:type="paragraph" w:styleId="CommentText">
    <w:name w:val="annotation text"/>
    <w:basedOn w:val="Normal"/>
    <w:link w:val="CommentTextChar"/>
    <w:semiHidden/>
    <w:rsid w:val="003A1870"/>
    <w:rPr>
      <w:sz w:val="20"/>
      <w:szCs w:val="20"/>
    </w:rPr>
  </w:style>
  <w:style w:type="character" w:customStyle="1" w:styleId="CommentTextChar">
    <w:name w:val="Comment Text Char"/>
    <w:basedOn w:val="DefaultParagraphFont"/>
    <w:link w:val="CommentText"/>
    <w:semiHidden/>
    <w:rsid w:val="003A1870"/>
    <w:rPr>
      <w:rFonts w:eastAsia="Times New Roman" w:cs="Times New Roman"/>
      <w:sz w:val="20"/>
      <w:szCs w:val="20"/>
    </w:rPr>
  </w:style>
  <w:style w:type="paragraph" w:styleId="CommentSubject">
    <w:name w:val="annotation subject"/>
    <w:basedOn w:val="CommentText"/>
    <w:next w:val="CommentText"/>
    <w:link w:val="CommentSubjectChar"/>
    <w:semiHidden/>
    <w:rsid w:val="003A1870"/>
    <w:rPr>
      <w:b/>
      <w:bCs/>
    </w:rPr>
  </w:style>
  <w:style w:type="character" w:customStyle="1" w:styleId="CommentSubjectChar">
    <w:name w:val="Comment Subject Char"/>
    <w:basedOn w:val="CommentTextChar"/>
    <w:link w:val="CommentSubject"/>
    <w:semiHidden/>
    <w:rsid w:val="003A1870"/>
    <w:rPr>
      <w:b/>
      <w:bCs/>
    </w:rPr>
  </w:style>
  <w:style w:type="character" w:customStyle="1" w:styleId="AnswerChar1">
    <w:name w:val="Answer Char1"/>
    <w:basedOn w:val="DefaultParagraphFont"/>
    <w:rsid w:val="003A1870"/>
    <w:rPr>
      <w:sz w:val="24"/>
      <w:lang w:val="en-US" w:eastAsia="en-US" w:bidi="ar-SA"/>
    </w:rPr>
  </w:style>
  <w:style w:type="paragraph" w:customStyle="1" w:styleId="Bullet">
    <w:name w:val="Bullet"/>
    <w:basedOn w:val="Answer"/>
    <w:rsid w:val="003A1870"/>
    <w:pPr>
      <w:tabs>
        <w:tab w:val="num" w:pos="2160"/>
      </w:tabs>
      <w:ind w:left="2160" w:hanging="360"/>
    </w:pPr>
    <w:rPr>
      <w:szCs w:val="20"/>
    </w:rPr>
  </w:style>
  <w:style w:type="paragraph" w:styleId="Quote">
    <w:name w:val="Quote"/>
    <w:basedOn w:val="Normal"/>
    <w:link w:val="QuoteChar"/>
    <w:qFormat/>
    <w:rsid w:val="003A1870"/>
    <w:pPr>
      <w:spacing w:after="240" w:line="240" w:lineRule="auto"/>
      <w:ind w:left="1440"/>
    </w:pPr>
  </w:style>
  <w:style w:type="character" w:customStyle="1" w:styleId="QuoteChar">
    <w:name w:val="Quote Char"/>
    <w:basedOn w:val="DefaultParagraphFont"/>
    <w:link w:val="Quote"/>
    <w:rsid w:val="003A1870"/>
    <w:rPr>
      <w:rFonts w:eastAsia="Times New Roman" w:cs="Times New Roman"/>
      <w:szCs w:val="24"/>
    </w:rPr>
  </w:style>
  <w:style w:type="paragraph" w:styleId="Revision">
    <w:name w:val="Revision"/>
    <w:hidden/>
    <w:uiPriority w:val="99"/>
    <w:semiHidden/>
    <w:rsid w:val="003A1870"/>
    <w:rPr>
      <w:rFonts w:eastAsia="Times New Roman"/>
      <w:sz w:val="24"/>
      <w:szCs w:val="24"/>
    </w:rPr>
  </w:style>
  <w:style w:type="paragraph" w:customStyle="1" w:styleId="CharChar2">
    <w:name w:val="Char Char2"/>
    <w:basedOn w:val="Normal"/>
    <w:rsid w:val="003A1870"/>
    <w:pPr>
      <w:spacing w:after="160" w:line="240" w:lineRule="exact"/>
      <w:jc w:val="left"/>
    </w:pPr>
    <w:rPr>
      <w:rFonts w:ascii="Verdana" w:hAnsi="Verdana"/>
      <w:sz w:val="20"/>
      <w:szCs w:val="20"/>
    </w:rPr>
  </w:style>
  <w:style w:type="paragraph" w:styleId="BodyTextIndent">
    <w:name w:val="Body Text Indent"/>
    <w:basedOn w:val="Normal"/>
    <w:link w:val="BodyTextIndentChar"/>
    <w:rsid w:val="003A1870"/>
    <w:pPr>
      <w:widowControl w:val="0"/>
      <w:tabs>
        <w:tab w:val="left" w:pos="720"/>
      </w:tabs>
      <w:adjustRightInd w:val="0"/>
      <w:ind w:left="720" w:hanging="720"/>
      <w:textAlignment w:val="baseline"/>
    </w:pPr>
  </w:style>
  <w:style w:type="character" w:customStyle="1" w:styleId="BodyTextIndentChar">
    <w:name w:val="Body Text Indent Char"/>
    <w:basedOn w:val="DefaultParagraphFont"/>
    <w:link w:val="BodyTextIndent"/>
    <w:rsid w:val="003A1870"/>
    <w:rPr>
      <w:rFonts w:eastAsia="Times New Roman" w:cs="Times New Roman"/>
      <w:szCs w:val="24"/>
    </w:rPr>
  </w:style>
  <w:style w:type="paragraph" w:styleId="FootnoteText">
    <w:name w:val="footnote text"/>
    <w:basedOn w:val="Normal"/>
    <w:link w:val="FootnoteTextChar"/>
    <w:semiHidden/>
    <w:rsid w:val="003A1870"/>
    <w:pPr>
      <w:spacing w:line="240" w:lineRule="auto"/>
    </w:pPr>
    <w:rPr>
      <w:sz w:val="20"/>
      <w:szCs w:val="20"/>
    </w:rPr>
  </w:style>
  <w:style w:type="character" w:customStyle="1" w:styleId="FootnoteTextChar">
    <w:name w:val="Footnote Text Char"/>
    <w:basedOn w:val="DefaultParagraphFont"/>
    <w:link w:val="FootnoteText"/>
    <w:semiHidden/>
    <w:rsid w:val="003A1870"/>
    <w:rPr>
      <w:rFonts w:eastAsia="Times New Roman" w:cs="Times New Roman"/>
      <w:sz w:val="20"/>
      <w:szCs w:val="20"/>
    </w:rPr>
  </w:style>
  <w:style w:type="character" w:styleId="FootnoteReference">
    <w:name w:val="footnote reference"/>
    <w:basedOn w:val="DefaultParagraphFont"/>
    <w:semiHidden/>
    <w:rsid w:val="003A1870"/>
    <w:rPr>
      <w:vertAlign w:val="superscript"/>
    </w:rPr>
  </w:style>
  <w:style w:type="paragraph" w:styleId="NormalWeb">
    <w:name w:val="Normal (Web)"/>
    <w:basedOn w:val="Normal"/>
    <w:uiPriority w:val="99"/>
    <w:semiHidden/>
    <w:unhideWhenUsed/>
    <w:rsid w:val="003A1870"/>
    <w:pPr>
      <w:spacing w:before="100" w:beforeAutospacing="1" w:after="100" w:afterAutospacing="1" w:line="240" w:lineRule="auto"/>
      <w:jc w:val="left"/>
    </w:pPr>
  </w:style>
  <w:style w:type="paragraph" w:customStyle="1" w:styleId="PleadingBody">
    <w:name w:val="Pleading Body"/>
    <w:basedOn w:val="Normal"/>
    <w:rsid w:val="003A1870"/>
    <w:pPr>
      <w:spacing w:line="480" w:lineRule="exact"/>
      <w:ind w:firstLine="720"/>
      <w:jc w:val="left"/>
    </w:pPr>
    <w:rPr>
      <w:rFonts w:ascii="CG Times" w:hAnsi="CG Times" w:cs="CG Times"/>
    </w:rPr>
  </w:style>
  <w:style w:type="paragraph" w:customStyle="1" w:styleId="CharCharCharCharChar">
    <w:name w:val="Char Char Char Char Char"/>
    <w:basedOn w:val="Normal"/>
    <w:rsid w:val="003A1870"/>
    <w:pPr>
      <w:tabs>
        <w:tab w:val="left" w:pos="540"/>
        <w:tab w:val="left" w:pos="1260"/>
        <w:tab w:val="left" w:pos="1800"/>
      </w:tabs>
      <w:spacing w:before="240" w:after="160" w:line="240" w:lineRule="exact"/>
    </w:pPr>
    <w:rPr>
      <w:sz w:val="22"/>
      <w:szCs w:val="20"/>
    </w:rPr>
  </w:style>
  <w:style w:type="paragraph" w:customStyle="1" w:styleId="CharChar1">
    <w:name w:val="Char Char1"/>
    <w:basedOn w:val="Normal"/>
    <w:rsid w:val="003A1870"/>
    <w:pPr>
      <w:spacing w:after="160" w:line="240" w:lineRule="exact"/>
      <w:jc w:val="left"/>
    </w:pPr>
    <w:rPr>
      <w:rFonts w:ascii="Verdana" w:hAnsi="Verdana"/>
      <w:sz w:val="20"/>
      <w:szCs w:val="20"/>
    </w:rPr>
  </w:style>
  <w:style w:type="paragraph" w:customStyle="1" w:styleId="CharChar">
    <w:name w:val="Char Char"/>
    <w:basedOn w:val="Normal"/>
    <w:rsid w:val="003A1870"/>
    <w:pPr>
      <w:spacing w:after="160" w:line="240" w:lineRule="exact"/>
      <w:jc w:val="left"/>
    </w:pPr>
    <w:rPr>
      <w:rFonts w:ascii="Verdana" w:hAnsi="Verdan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2010-05-04T07:00:00+00:00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B56CD8-08DD-4ED3-93A0-018820631B26}"/>
</file>

<file path=customXml/itemProps2.xml><?xml version="1.0" encoding="utf-8"?>
<ds:datastoreItem xmlns:ds="http://schemas.openxmlformats.org/officeDocument/2006/customXml" ds:itemID="{52ADD46E-04AD-4208-A491-223745B36011}"/>
</file>

<file path=customXml/itemProps3.xml><?xml version="1.0" encoding="utf-8"?>
<ds:datastoreItem xmlns:ds="http://schemas.openxmlformats.org/officeDocument/2006/customXml" ds:itemID="{A1ECC286-BB7E-4544-99BE-89999CD96DD8}"/>
</file>

<file path=customXml/itemProps4.xml><?xml version="1.0" encoding="utf-8"?>
<ds:datastoreItem xmlns:ds="http://schemas.openxmlformats.org/officeDocument/2006/customXml" ds:itemID="{9921EB55-2557-4950-95FF-443CC7897A22}"/>
</file>

<file path=customXml/itemProps5.xml><?xml version="1.0" encoding="utf-8"?>
<ds:datastoreItem xmlns:ds="http://schemas.openxmlformats.org/officeDocument/2006/customXml" ds:itemID="{0ABE57CA-46F9-4395-A1E4-2C0CCFAC0ED9}"/>
</file>

<file path=docProps/app.xml><?xml version="1.0" encoding="utf-8"?>
<Properties xmlns="http://schemas.openxmlformats.org/officeDocument/2006/extended-properties" xmlns:vt="http://schemas.openxmlformats.org/officeDocument/2006/docPropsVTypes">
  <Template>Normal.dotm</Template>
  <TotalTime>31</TotalTime>
  <Pages>11</Pages>
  <Words>2420</Words>
  <Characters>13794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Fuller</dc:creator>
  <cp:keywords/>
  <dc:description/>
  <cp:lastModifiedBy>P20165</cp:lastModifiedBy>
  <cp:revision>22</cp:revision>
  <cp:lastPrinted>2010-04-29T22:33:00Z</cp:lastPrinted>
  <dcterms:created xsi:type="dcterms:W3CDTF">2010-04-29T23:23:00Z</dcterms:created>
  <dcterms:modified xsi:type="dcterms:W3CDTF">2010-05-02T18:57:00Z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