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rsidP="00671131">
      <w:pPr>
        <w:pStyle w:val="CourtName"/>
        <w:rPr>
          <w:b/>
          <w:caps/>
        </w:rPr>
      </w:pPr>
    </w:p>
    <w:p w:rsidR="00114D18" w:rsidRDefault="00114D18" w:rsidP="00671131">
      <w:pPr>
        <w:pStyle w:val="CourtName"/>
        <w:rPr>
          <w:b/>
          <w:caps/>
        </w:rPr>
      </w:pPr>
    </w:p>
    <w:p w:rsidR="00671131" w:rsidRPr="00F649C2" w:rsidRDefault="00671131" w:rsidP="00F649C2">
      <w:pPr>
        <w:pStyle w:val="CourtName"/>
        <w:ind w:left="-360" w:right="-432"/>
        <w:rPr>
          <w:caps/>
        </w:rPr>
      </w:pPr>
      <w:r w:rsidRPr="00F649C2">
        <w:rPr>
          <w:caps/>
        </w:rPr>
        <w:t>BEFORE THE WASHINGTON STATE UTILITIES AND TRANSPORTATION COMMISSION</w:t>
      </w:r>
    </w:p>
    <w:p w:rsidR="00671131" w:rsidRDefault="00671131" w:rsidP="00671131">
      <w:pPr>
        <w:pStyle w:val="CourtName"/>
        <w:rPr>
          <w:b/>
          <w:caps/>
        </w:rPr>
      </w:pPr>
    </w:p>
    <w:p w:rsidR="00671131" w:rsidRDefault="00671131" w:rsidP="00671131">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671131" w:rsidTr="00FE1095">
        <w:tc>
          <w:tcPr>
            <w:tcW w:w="4500" w:type="dxa"/>
            <w:tcBorders>
              <w:bottom w:val="single" w:sz="6" w:space="0" w:color="auto"/>
              <w:right w:val="single" w:sz="6" w:space="0" w:color="auto"/>
            </w:tcBorders>
          </w:tcPr>
          <w:p w:rsidR="008753E8" w:rsidRDefault="008753E8" w:rsidP="00114D18">
            <w:pPr>
              <w:tabs>
                <w:tab w:val="left" w:pos="2160"/>
              </w:tabs>
              <w:spacing w:line="240" w:lineRule="auto"/>
              <w:rPr>
                <w:bCs/>
                <w:sz w:val="25"/>
                <w:szCs w:val="25"/>
              </w:rPr>
            </w:pPr>
            <w:r w:rsidRPr="006D4414">
              <w:rPr>
                <w:bCs/>
                <w:sz w:val="25"/>
                <w:szCs w:val="25"/>
              </w:rPr>
              <w:t>WASHINGTON U</w:t>
            </w:r>
            <w:r>
              <w:rPr>
                <w:bCs/>
                <w:sz w:val="25"/>
                <w:szCs w:val="25"/>
              </w:rPr>
              <w:t>TILITIES AND TRANSPORTATION COMMISSION,</w:t>
            </w:r>
          </w:p>
          <w:p w:rsidR="008753E8" w:rsidRDefault="008753E8" w:rsidP="00114D18">
            <w:pPr>
              <w:tabs>
                <w:tab w:val="left" w:pos="2160"/>
              </w:tabs>
              <w:spacing w:line="240" w:lineRule="auto"/>
              <w:rPr>
                <w:bCs/>
                <w:sz w:val="25"/>
                <w:szCs w:val="25"/>
              </w:rPr>
            </w:pPr>
          </w:p>
          <w:p w:rsidR="008753E8" w:rsidRDefault="00114D18" w:rsidP="00114D18">
            <w:pPr>
              <w:spacing w:line="240" w:lineRule="auto"/>
              <w:rPr>
                <w:bCs/>
                <w:sz w:val="25"/>
                <w:szCs w:val="25"/>
              </w:rPr>
            </w:pPr>
            <w:r>
              <w:rPr>
                <w:bCs/>
                <w:sz w:val="25"/>
                <w:szCs w:val="25"/>
              </w:rPr>
              <w:tab/>
            </w:r>
            <w:r w:rsidR="008753E8">
              <w:rPr>
                <w:bCs/>
                <w:sz w:val="25"/>
                <w:szCs w:val="25"/>
              </w:rPr>
              <w:t>Complainant,</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v.</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PUGET SOUND ENERGY, INC.,</w:t>
            </w:r>
          </w:p>
          <w:p w:rsidR="008753E8" w:rsidRDefault="008753E8" w:rsidP="00114D18">
            <w:pPr>
              <w:tabs>
                <w:tab w:val="left" w:pos="2160"/>
              </w:tabs>
              <w:spacing w:line="240" w:lineRule="auto"/>
              <w:rPr>
                <w:bCs/>
                <w:sz w:val="25"/>
                <w:szCs w:val="25"/>
              </w:rPr>
            </w:pPr>
          </w:p>
          <w:p w:rsidR="008753E8" w:rsidRPr="006D4414" w:rsidRDefault="00114D18" w:rsidP="00114D18">
            <w:pPr>
              <w:spacing w:line="240" w:lineRule="auto"/>
              <w:rPr>
                <w:bCs/>
                <w:sz w:val="25"/>
                <w:szCs w:val="25"/>
              </w:rPr>
            </w:pPr>
            <w:r>
              <w:rPr>
                <w:bCs/>
                <w:sz w:val="25"/>
                <w:szCs w:val="25"/>
              </w:rPr>
              <w:tab/>
            </w:r>
            <w:r w:rsidR="008753E8">
              <w:rPr>
                <w:bCs/>
                <w:sz w:val="25"/>
                <w:szCs w:val="25"/>
              </w:rPr>
              <w:t>Respondent.</w:t>
            </w:r>
          </w:p>
          <w:p w:rsidR="00671131" w:rsidRDefault="00671131" w:rsidP="00114D18">
            <w:pPr>
              <w:spacing w:line="240" w:lineRule="auto"/>
              <w:ind w:left="-360"/>
            </w:pPr>
          </w:p>
        </w:tc>
        <w:tc>
          <w:tcPr>
            <w:tcW w:w="4500" w:type="dxa"/>
            <w:tcBorders>
              <w:left w:val="nil"/>
              <w:bottom w:val="nil"/>
            </w:tcBorders>
          </w:tcPr>
          <w:p w:rsidR="002E57EF" w:rsidRDefault="002E57EF" w:rsidP="00114D18">
            <w:pPr>
              <w:spacing w:line="240" w:lineRule="auto"/>
            </w:pPr>
            <w:bookmarkStart w:id="0" w:name="Court_Doc_Number"/>
            <w:bookmarkEnd w:id="0"/>
          </w:p>
          <w:p w:rsidR="003E3E96" w:rsidRDefault="00671131" w:rsidP="00114D18">
            <w:pPr>
              <w:spacing w:line="240" w:lineRule="auto"/>
            </w:pPr>
            <w:r>
              <w:t>DOCKET</w:t>
            </w:r>
            <w:r w:rsidR="003E3E96">
              <w:t>S</w:t>
            </w:r>
            <w:r>
              <w:t xml:space="preserve"> </w:t>
            </w:r>
            <w:r w:rsidR="00DB450D">
              <w:t>UE-130137</w:t>
            </w:r>
            <w:r w:rsidR="003E3E96">
              <w:t xml:space="preserve"> </w:t>
            </w:r>
          </w:p>
          <w:p w:rsidR="00671131" w:rsidRDefault="003E3E96" w:rsidP="00114D18">
            <w:pPr>
              <w:spacing w:line="240" w:lineRule="auto"/>
            </w:pPr>
            <w:r>
              <w:t>and UG-130138</w:t>
            </w:r>
          </w:p>
          <w:p w:rsidR="00671131" w:rsidRDefault="00671131" w:rsidP="00114D18">
            <w:pPr>
              <w:spacing w:line="240" w:lineRule="auto"/>
            </w:pPr>
          </w:p>
          <w:p w:rsidR="00671131" w:rsidRDefault="00671131" w:rsidP="00114D18">
            <w:pPr>
              <w:spacing w:line="240" w:lineRule="auto"/>
            </w:pPr>
          </w:p>
          <w:p w:rsidR="00671131" w:rsidRDefault="00671131" w:rsidP="00114D18">
            <w:pPr>
              <w:spacing w:line="240" w:lineRule="auto"/>
            </w:pPr>
          </w:p>
        </w:tc>
      </w:tr>
      <w:tr w:rsidR="0073711B" w:rsidTr="00E5759D">
        <w:tc>
          <w:tcPr>
            <w:tcW w:w="4500" w:type="dxa"/>
            <w:tcBorders>
              <w:bottom w:val="single" w:sz="6" w:space="0" w:color="auto"/>
              <w:right w:val="single" w:sz="6" w:space="0" w:color="auto"/>
            </w:tcBorders>
          </w:tcPr>
          <w:p w:rsidR="00F035FF" w:rsidRPr="00F035FF" w:rsidRDefault="00F035FF" w:rsidP="00F035FF">
            <w:pPr>
              <w:spacing w:line="240" w:lineRule="auto"/>
              <w:rPr>
                <w:sz w:val="25"/>
                <w:szCs w:val="25"/>
              </w:rPr>
            </w:pPr>
            <w:r w:rsidRPr="00F035FF">
              <w:rPr>
                <w:sz w:val="25"/>
                <w:szCs w:val="25"/>
              </w:rPr>
              <w:t>In the Matter of the Petition of</w:t>
            </w:r>
          </w:p>
          <w:p w:rsidR="00F035FF" w:rsidRPr="00F035FF" w:rsidRDefault="00F035FF" w:rsidP="00F035FF">
            <w:pPr>
              <w:spacing w:line="240" w:lineRule="auto"/>
              <w:rPr>
                <w:sz w:val="25"/>
                <w:szCs w:val="25"/>
              </w:rPr>
            </w:pPr>
          </w:p>
          <w:p w:rsidR="00F035FF" w:rsidRDefault="00F035FF" w:rsidP="00F035FF">
            <w:pPr>
              <w:spacing w:line="240" w:lineRule="auto"/>
              <w:rPr>
                <w:sz w:val="25"/>
                <w:szCs w:val="25"/>
              </w:rPr>
            </w:pPr>
            <w:r w:rsidRPr="00F035FF">
              <w:rPr>
                <w:sz w:val="25"/>
                <w:szCs w:val="25"/>
              </w:rPr>
              <w:t>PUGET SOUND ENERGY, INC., and</w:t>
            </w:r>
          </w:p>
          <w:p w:rsidR="00F035FF" w:rsidRPr="00F035FF" w:rsidRDefault="00F035FF" w:rsidP="00F035FF">
            <w:pPr>
              <w:spacing w:line="240" w:lineRule="auto"/>
              <w:rPr>
                <w:sz w:val="25"/>
                <w:szCs w:val="25"/>
              </w:rPr>
            </w:pPr>
            <w:r w:rsidRPr="00F035FF">
              <w:rPr>
                <w:sz w:val="25"/>
                <w:szCs w:val="25"/>
              </w:rPr>
              <w:t>NW ENERGY COALITION</w:t>
            </w:r>
          </w:p>
          <w:p w:rsidR="00F035FF" w:rsidRPr="00F035FF" w:rsidRDefault="00F035FF" w:rsidP="00F035FF">
            <w:pPr>
              <w:spacing w:line="240" w:lineRule="auto"/>
              <w:rPr>
                <w:sz w:val="25"/>
                <w:szCs w:val="25"/>
              </w:rPr>
            </w:pPr>
          </w:p>
          <w:p w:rsidR="0073711B" w:rsidRDefault="00F035FF" w:rsidP="00F035FF">
            <w:pPr>
              <w:tabs>
                <w:tab w:val="left" w:pos="2160"/>
                <w:tab w:val="left" w:pos="2520"/>
              </w:tabs>
              <w:spacing w:line="240" w:lineRule="auto"/>
            </w:pPr>
            <w:r w:rsidRPr="00F035FF">
              <w:rPr>
                <w:sz w:val="25"/>
                <w:szCs w:val="25"/>
              </w:rPr>
              <w:t>For an Order Authorizing PSE to Implement Electric and Natural Gas Decoupling Mechanisms and to Record Accounting Entries Associated with the Mechanisms</w:t>
            </w:r>
          </w:p>
        </w:tc>
        <w:tc>
          <w:tcPr>
            <w:tcW w:w="4500" w:type="dxa"/>
            <w:tcBorders>
              <w:left w:val="nil"/>
              <w:bottom w:val="nil"/>
            </w:tcBorders>
          </w:tcPr>
          <w:p w:rsidR="003610D2" w:rsidRPr="00DA5DBB" w:rsidRDefault="003610D2" w:rsidP="00D41EC2">
            <w:pPr>
              <w:spacing w:line="240" w:lineRule="auto"/>
              <w:rPr>
                <w:sz w:val="25"/>
                <w:szCs w:val="25"/>
              </w:rPr>
            </w:pPr>
            <w:r w:rsidRPr="00DA5DBB">
              <w:rPr>
                <w:sz w:val="25"/>
                <w:szCs w:val="25"/>
              </w:rPr>
              <w:t>DOCKETS UE-</w:t>
            </w:r>
            <w:r w:rsidR="00DB450D">
              <w:rPr>
                <w:sz w:val="25"/>
                <w:szCs w:val="25"/>
              </w:rPr>
              <w:t>121697</w:t>
            </w:r>
          </w:p>
          <w:p w:rsidR="003610D2" w:rsidRDefault="003610D2" w:rsidP="00D41EC2">
            <w:pPr>
              <w:spacing w:line="240" w:lineRule="auto"/>
              <w:rPr>
                <w:i/>
                <w:sz w:val="25"/>
                <w:szCs w:val="25"/>
              </w:rPr>
            </w:pPr>
            <w:r>
              <w:rPr>
                <w:bCs/>
                <w:sz w:val="25"/>
                <w:szCs w:val="25"/>
              </w:rPr>
              <w:t>and</w:t>
            </w:r>
            <w:r w:rsidRPr="00DA5DBB">
              <w:rPr>
                <w:bCs/>
                <w:sz w:val="25"/>
                <w:szCs w:val="25"/>
              </w:rPr>
              <w:t xml:space="preserve"> </w:t>
            </w:r>
            <w:r w:rsidRPr="00DA5DBB">
              <w:rPr>
                <w:sz w:val="25"/>
                <w:szCs w:val="25"/>
              </w:rPr>
              <w:t>UG-</w:t>
            </w:r>
            <w:r w:rsidR="00DB450D">
              <w:rPr>
                <w:sz w:val="25"/>
                <w:szCs w:val="25"/>
              </w:rPr>
              <w:t>121705</w:t>
            </w:r>
            <w:r w:rsidRPr="00DA5DBB">
              <w:rPr>
                <w:sz w:val="25"/>
                <w:szCs w:val="25"/>
              </w:rPr>
              <w:t xml:space="preserve"> </w:t>
            </w:r>
          </w:p>
          <w:p w:rsidR="001D60D7" w:rsidRDefault="001D60D7" w:rsidP="00D41EC2">
            <w:pPr>
              <w:spacing w:line="240" w:lineRule="auto"/>
              <w:rPr>
                <w:i/>
                <w:sz w:val="25"/>
                <w:szCs w:val="25"/>
              </w:rPr>
            </w:pPr>
          </w:p>
          <w:p w:rsidR="001D60D7" w:rsidRPr="001D60D7" w:rsidRDefault="00432C0C" w:rsidP="00D41EC2">
            <w:pPr>
              <w:spacing w:line="240" w:lineRule="auto"/>
              <w:rPr>
                <w:sz w:val="25"/>
                <w:szCs w:val="25"/>
              </w:rPr>
            </w:pPr>
            <w:r>
              <w:rPr>
                <w:sz w:val="25"/>
                <w:szCs w:val="25"/>
              </w:rPr>
              <w:t xml:space="preserve">INDUSTRIAL CUSTOMERS OF NORTHWEST UTILITIES </w:t>
            </w:r>
            <w:r w:rsidR="005E75E3">
              <w:rPr>
                <w:sz w:val="25"/>
                <w:szCs w:val="25"/>
              </w:rPr>
              <w:t>RESPONSE TO PUBLIC COUNSEL</w:t>
            </w:r>
            <w:r>
              <w:rPr>
                <w:sz w:val="25"/>
                <w:szCs w:val="25"/>
              </w:rPr>
              <w:t xml:space="preserve"> OBJECTION</w:t>
            </w:r>
            <w:r w:rsidR="005E75E3">
              <w:rPr>
                <w:sz w:val="25"/>
                <w:szCs w:val="25"/>
              </w:rPr>
              <w:t xml:space="preserve"> TO </w:t>
            </w:r>
            <w:r>
              <w:rPr>
                <w:sz w:val="25"/>
                <w:szCs w:val="25"/>
              </w:rPr>
              <w:t>ORDER 02 SCHEDULE</w:t>
            </w:r>
          </w:p>
          <w:p w:rsidR="0073711B" w:rsidRDefault="0073711B" w:rsidP="00114D18">
            <w:pPr>
              <w:spacing w:line="240" w:lineRule="auto"/>
            </w:pPr>
          </w:p>
        </w:tc>
      </w:tr>
    </w:tbl>
    <w:p w:rsidR="0075174F" w:rsidRDefault="0075174F" w:rsidP="0075174F">
      <w:pPr>
        <w:pStyle w:val="Heading1"/>
        <w:numPr>
          <w:ilvl w:val="0"/>
          <w:numId w:val="0"/>
        </w:numPr>
        <w:spacing w:before="0" w:line="480" w:lineRule="auto"/>
        <w:ind w:left="720" w:hanging="720"/>
        <w:jc w:val="left"/>
      </w:pPr>
    </w:p>
    <w:p w:rsidR="001D60D7" w:rsidRDefault="004B0379" w:rsidP="0075174F">
      <w:pPr>
        <w:pStyle w:val="Heading1"/>
        <w:numPr>
          <w:ilvl w:val="0"/>
          <w:numId w:val="1"/>
        </w:numPr>
        <w:spacing w:before="0" w:line="480" w:lineRule="auto"/>
      </w:pPr>
      <w:r>
        <w:t>INTRODUCTION</w:t>
      </w:r>
    </w:p>
    <w:p w:rsidR="00E37C3F" w:rsidRDefault="00354FFC" w:rsidP="00354FFC">
      <w:pPr>
        <w:numPr>
          <w:ilvl w:val="0"/>
          <w:numId w:val="22"/>
        </w:numPr>
        <w:spacing w:line="480" w:lineRule="auto"/>
      </w:pPr>
      <w:r>
        <w:tab/>
      </w:r>
      <w:r w:rsidR="000F389E">
        <w:tab/>
      </w:r>
      <w:r w:rsidR="001D60D7">
        <w:t xml:space="preserve">The </w:t>
      </w:r>
      <w:r w:rsidR="00DB450D">
        <w:t>Industrial Customers of Northwest Utilities (“ICNU”</w:t>
      </w:r>
      <w:r w:rsidR="001D60D7">
        <w:t xml:space="preserve">) </w:t>
      </w:r>
      <w:r w:rsidR="002340B3">
        <w:t>files this response in support of Public Counsel Objection to Order 02 Schedule, filed April 1, 2013.</w:t>
      </w:r>
      <w:r w:rsidR="00006B0A">
        <w:t xml:space="preserve"> </w:t>
      </w:r>
      <w:r w:rsidR="002340B3">
        <w:t xml:space="preserve"> </w:t>
      </w:r>
      <w:r w:rsidR="00006B0A">
        <w:t>After a prehearing c</w:t>
      </w:r>
      <w:r w:rsidR="00F7544D">
        <w:t xml:space="preserve">onference held </w:t>
      </w:r>
      <w:r w:rsidR="0058283B">
        <w:t xml:space="preserve">on </w:t>
      </w:r>
      <w:r w:rsidR="00F7544D">
        <w:t>March 22, 2013, the Commissio</w:t>
      </w:r>
      <w:r w:rsidR="00006B0A">
        <w:t>n, in its Consolidation Order; P</w:t>
      </w:r>
      <w:r w:rsidR="00F7544D">
        <w:t>rehearing Conference Order; Notice of Hearing (“Order 02”),</w:t>
      </w:r>
      <w:r w:rsidR="00594378" w:rsidRPr="007820CB">
        <w:rPr>
          <w:rStyle w:val="FootnoteReference"/>
          <w:u w:val="single"/>
        </w:rPr>
        <w:footnoteReference w:id="1"/>
      </w:r>
      <w:r w:rsidR="007820CB">
        <w:rPr>
          <w:vertAlign w:val="superscript"/>
        </w:rPr>
        <w:t>/</w:t>
      </w:r>
      <w:r w:rsidR="00006B0A">
        <w:t xml:space="preserve"> adopted a procedural s</w:t>
      </w:r>
      <w:r w:rsidR="00F7544D">
        <w:t>chedule containing a compressed timeline</w:t>
      </w:r>
      <w:r w:rsidR="0058283B">
        <w:t xml:space="preserve"> for review of the Decoupling and Expedited Rate Filing</w:t>
      </w:r>
      <w:r w:rsidR="0044438E">
        <w:t xml:space="preserve"> (“ERF”)</w:t>
      </w:r>
      <w:r w:rsidR="00441BD2">
        <w:t xml:space="preserve"> proceedings</w:t>
      </w:r>
      <w:r w:rsidR="0058283B">
        <w:t>.</w:t>
      </w:r>
      <w:r w:rsidR="00F7544D">
        <w:t xml:space="preserve"> </w:t>
      </w:r>
      <w:r w:rsidR="00E76C66">
        <w:t xml:space="preserve"> </w:t>
      </w:r>
      <w:r w:rsidR="002340B3">
        <w:t xml:space="preserve">ICNU </w:t>
      </w:r>
      <w:r w:rsidR="00237DED">
        <w:t>agrees</w:t>
      </w:r>
      <w:r w:rsidR="002340B3">
        <w:t xml:space="preserve"> </w:t>
      </w:r>
      <w:r w:rsidR="00E37C3F">
        <w:t xml:space="preserve">with Public Counsel </w:t>
      </w:r>
      <w:r w:rsidR="002340B3">
        <w:t xml:space="preserve">that Puget Sound Energy’s </w:t>
      </w:r>
      <w:r w:rsidR="002340B3">
        <w:lastRenderedPageBreak/>
        <w:t xml:space="preserve">(“PSE”) </w:t>
      </w:r>
      <w:r w:rsidR="00EE2024">
        <w:t>proposal</w:t>
      </w:r>
      <w:r w:rsidR="00C87244">
        <w:t>s</w:t>
      </w:r>
      <w:r w:rsidR="00EE2024">
        <w:t xml:space="preserve"> requesting novel </w:t>
      </w:r>
      <w:r w:rsidR="002340B3">
        <w:t>mechanism</w:t>
      </w:r>
      <w:r w:rsidR="00C87244">
        <w:t>s</w:t>
      </w:r>
      <w:r w:rsidR="002340B3">
        <w:t xml:space="preserve"> </w:t>
      </w:r>
      <w:r w:rsidR="00BE7D48">
        <w:t xml:space="preserve">for </w:t>
      </w:r>
      <w:r w:rsidR="002340B3">
        <w:t>ratemaking</w:t>
      </w:r>
      <w:r w:rsidR="00C87244">
        <w:t xml:space="preserve">, </w:t>
      </w:r>
      <w:r w:rsidR="00BE7D48">
        <w:t>warrant</w:t>
      </w:r>
      <w:r w:rsidR="00C87244">
        <w:t>s</w:t>
      </w:r>
      <w:r w:rsidR="00BE7D48">
        <w:t xml:space="preserve"> a more reasonable schedule to fully develop the issues </w:t>
      </w:r>
      <w:r w:rsidR="00EE2024">
        <w:t>and</w:t>
      </w:r>
      <w:r w:rsidR="00BE7D48">
        <w:t xml:space="preserve"> allow the Commission to come to a</w:t>
      </w:r>
      <w:r w:rsidR="0058283B">
        <w:t>n</w:t>
      </w:r>
      <w:r w:rsidR="00BE7D48">
        <w:t xml:space="preserve"> informed decision</w:t>
      </w:r>
      <w:r w:rsidR="0058283B">
        <w:t xml:space="preserve"> based on a complete record</w:t>
      </w:r>
      <w:r w:rsidR="00BE7D48">
        <w:t xml:space="preserve">. </w:t>
      </w:r>
    </w:p>
    <w:p w:rsidR="00237DED" w:rsidRDefault="00E37C3F" w:rsidP="0004770F">
      <w:pPr>
        <w:numPr>
          <w:ilvl w:val="0"/>
          <w:numId w:val="22"/>
        </w:numPr>
        <w:spacing w:line="480" w:lineRule="auto"/>
      </w:pPr>
      <w:r>
        <w:t xml:space="preserve">    </w:t>
      </w:r>
      <w:r>
        <w:tab/>
      </w:r>
      <w:r>
        <w:tab/>
      </w:r>
      <w:r w:rsidR="00EE2024">
        <w:t>A</w:t>
      </w:r>
      <w:r w:rsidR="00BE7D48">
        <w:t xml:space="preserve"> more reasonable schedule is </w:t>
      </w:r>
      <w:r w:rsidR="00EE2024">
        <w:t xml:space="preserve">also </w:t>
      </w:r>
      <w:r w:rsidR="00BE7D48">
        <w:t xml:space="preserve">needed </w:t>
      </w:r>
      <w:r w:rsidR="00E76C66">
        <w:t>because rate</w:t>
      </w:r>
      <w:r w:rsidR="00BE7D48">
        <w:t>payers</w:t>
      </w:r>
      <w:r w:rsidR="00E76C66" w:rsidRPr="00E76C66">
        <w:t xml:space="preserve"> </w:t>
      </w:r>
      <w:r w:rsidR="00E76C66">
        <w:t>will not have a further opportunity to investigate and contest the issues regarding the decoupling proposal until PSE’s next general rate case, which PSE need n</w:t>
      </w:r>
      <w:r w:rsidR="0058283B">
        <w:t>ot commence until April of 2016, if the Global Settlement</w:t>
      </w:r>
      <w:r w:rsidR="00441BD2" w:rsidRPr="00441BD2">
        <w:rPr>
          <w:rStyle w:val="FootnoteReference"/>
          <w:u w:val="single"/>
        </w:rPr>
        <w:footnoteReference w:id="2"/>
      </w:r>
      <w:r w:rsidR="00441BD2" w:rsidRPr="00441BD2">
        <w:rPr>
          <w:vertAlign w:val="superscript"/>
        </w:rPr>
        <w:t>/</w:t>
      </w:r>
      <w:r w:rsidR="0058283B">
        <w:t xml:space="preserve"> is adopted.</w:t>
      </w:r>
      <w:r w:rsidR="00E76C66">
        <w:t xml:space="preserve">  Additionally, ratepayers</w:t>
      </w:r>
      <w:r w:rsidR="00BE7D48">
        <w:t xml:space="preserve"> </w:t>
      </w:r>
      <w:r w:rsidR="00594378">
        <w:t>do not yet have the benefit</w:t>
      </w:r>
      <w:r w:rsidR="00321354">
        <w:t>s</w:t>
      </w:r>
      <w:r w:rsidR="00594378">
        <w:t xml:space="preserve"> of</w:t>
      </w:r>
      <w:r w:rsidR="00321354">
        <w:t xml:space="preserve"> the recently noticed</w:t>
      </w:r>
      <w:r w:rsidR="00E83CE9">
        <w:t xml:space="preserve"> rule</w:t>
      </w:r>
      <w:r w:rsidR="00594378">
        <w:t xml:space="preserve">making specific to the </w:t>
      </w:r>
      <w:r w:rsidR="00ED155B">
        <w:t>ERF</w:t>
      </w:r>
      <w:r w:rsidR="00E76C66">
        <w:t xml:space="preserve"> at issue in this docket</w:t>
      </w:r>
      <w:r w:rsidR="00EE2024">
        <w:t>.</w:t>
      </w:r>
      <w:r w:rsidR="00CA40A3" w:rsidRPr="00644182">
        <w:rPr>
          <w:rStyle w:val="FootnoteReference"/>
          <w:u w:val="single"/>
        </w:rPr>
        <w:footnoteReference w:id="3"/>
      </w:r>
      <w:r w:rsidR="00644182" w:rsidRPr="0044438E">
        <w:rPr>
          <w:vertAlign w:val="superscript"/>
        </w:rPr>
        <w:t>/</w:t>
      </w:r>
      <w:r w:rsidR="00E76C66">
        <w:t xml:space="preserve"> </w:t>
      </w:r>
      <w:r w:rsidR="00EE2024">
        <w:t xml:space="preserve"> </w:t>
      </w:r>
      <w:r w:rsidR="00644182">
        <w:t xml:space="preserve"> </w:t>
      </w:r>
      <w:r w:rsidR="00E76C66">
        <w:t xml:space="preserve">For these reasons, </w:t>
      </w:r>
      <w:r w:rsidR="00AB5534">
        <w:t xml:space="preserve">ICNU </w:t>
      </w:r>
      <w:r w:rsidR="0058283B">
        <w:t>supports Public Counsel’s request to add</w:t>
      </w:r>
      <w:r w:rsidR="00594378">
        <w:t xml:space="preserve"> </w:t>
      </w:r>
      <w:r w:rsidR="00E76C66">
        <w:t>approximately</w:t>
      </w:r>
      <w:r w:rsidR="0004770F">
        <w:t xml:space="preserve"> 60 days</w:t>
      </w:r>
      <w:r w:rsidR="0058283B">
        <w:t xml:space="preserve"> to the schedule (with a completion date by </w:t>
      </w:r>
      <w:r w:rsidR="00AB5534">
        <w:t>September</w:t>
      </w:r>
      <w:r w:rsidR="0058283B">
        <w:t>)</w:t>
      </w:r>
      <w:r w:rsidR="00594378" w:rsidRPr="0098756B">
        <w:rPr>
          <w:rStyle w:val="FootnoteReference"/>
          <w:u w:val="single"/>
        </w:rPr>
        <w:footnoteReference w:id="4"/>
      </w:r>
      <w:r w:rsidR="0098756B" w:rsidRPr="0098756B">
        <w:rPr>
          <w:vertAlign w:val="superscript"/>
        </w:rPr>
        <w:t>/</w:t>
      </w:r>
      <w:r w:rsidR="00E76C66" w:rsidRPr="00E76C66">
        <w:t xml:space="preserve"> </w:t>
      </w:r>
      <w:r w:rsidR="00515979">
        <w:t>for development of the</w:t>
      </w:r>
      <w:r w:rsidR="00594378">
        <w:t xml:space="preserve">se complex </w:t>
      </w:r>
      <w:r w:rsidR="00515979">
        <w:t>issues</w:t>
      </w:r>
      <w:r w:rsidR="00594378">
        <w:t xml:space="preserve"> of first </w:t>
      </w:r>
      <w:r w:rsidR="00E76C66">
        <w:t>impression</w:t>
      </w:r>
      <w:r>
        <w:t>.</w:t>
      </w:r>
    </w:p>
    <w:p w:rsidR="00354FFC" w:rsidRDefault="00492E22" w:rsidP="00354FFC">
      <w:pPr>
        <w:pStyle w:val="Heading1"/>
        <w:numPr>
          <w:ilvl w:val="0"/>
          <w:numId w:val="1"/>
        </w:numPr>
        <w:spacing w:before="0" w:line="480" w:lineRule="auto"/>
      </w:pPr>
      <w:r>
        <w:t>RESPONSE</w:t>
      </w:r>
    </w:p>
    <w:p w:rsidR="0004770F" w:rsidRDefault="00237DED" w:rsidP="00515979">
      <w:pPr>
        <w:pStyle w:val="Heading2"/>
        <w:numPr>
          <w:ilvl w:val="1"/>
          <w:numId w:val="1"/>
        </w:numPr>
        <w:spacing w:before="0" w:line="240" w:lineRule="auto"/>
      </w:pPr>
      <w:r>
        <w:t xml:space="preserve">The Commission Should </w:t>
      </w:r>
      <w:r w:rsidR="0004770F">
        <w:t xml:space="preserve">Adopt </w:t>
      </w:r>
      <w:r>
        <w:t xml:space="preserve">a More Reasonable Schedule to </w:t>
      </w:r>
      <w:r w:rsidR="00E83CE9">
        <w:t xml:space="preserve">Allow Parties to </w:t>
      </w:r>
      <w:r>
        <w:t xml:space="preserve">Fully Develop the Issues Surrounding This </w:t>
      </w:r>
      <w:r w:rsidR="00EE2024">
        <w:t>New Mechanism for Rate</w:t>
      </w:r>
      <w:r w:rsidR="00E83CE9">
        <w:t>m</w:t>
      </w:r>
      <w:r w:rsidR="00EE2024">
        <w:t xml:space="preserve">aking </w:t>
      </w:r>
      <w:r w:rsidR="0004770F">
        <w:t xml:space="preserve">    </w:t>
      </w:r>
    </w:p>
    <w:p w:rsidR="00515979" w:rsidRDefault="00515979" w:rsidP="00506912">
      <w:pPr>
        <w:numPr>
          <w:ilvl w:val="0"/>
          <w:numId w:val="22"/>
        </w:numPr>
        <w:spacing w:before="240" w:line="480" w:lineRule="auto"/>
      </w:pPr>
      <w:r>
        <w:t xml:space="preserve"> </w:t>
      </w:r>
      <w:r>
        <w:tab/>
      </w:r>
      <w:r>
        <w:tab/>
        <w:t xml:space="preserve">PSE’s proposal to decouple its sales from its profits is a significant alteration to the </w:t>
      </w:r>
      <w:r w:rsidR="0058283B">
        <w:t xml:space="preserve">normal </w:t>
      </w:r>
      <w:r>
        <w:t>ratemaking process.  Such a change warra</w:t>
      </w:r>
      <w:r w:rsidR="0058283B">
        <w:t>nts the careful consideration by</w:t>
      </w:r>
      <w:r>
        <w:t xml:space="preserve"> the Commission.  In </w:t>
      </w:r>
      <w:r w:rsidR="00594378">
        <w:t>its Report and Policy Statement</w:t>
      </w:r>
      <w:r>
        <w:t>,</w:t>
      </w:r>
      <w:r w:rsidR="006A50E5" w:rsidRPr="0098756B">
        <w:rPr>
          <w:rStyle w:val="FootnoteReference"/>
          <w:u w:val="single"/>
        </w:rPr>
        <w:footnoteReference w:id="5"/>
      </w:r>
      <w:r w:rsidR="006A50E5">
        <w:rPr>
          <w:vertAlign w:val="superscript"/>
        </w:rPr>
        <w:t>/</w:t>
      </w:r>
      <w:r>
        <w:t xml:space="preserve"> the Commission contemplated that such a significant proposal should properly take place during the course of a general rate case, which would afford the parties adequate time to develop the issues.  </w:t>
      </w:r>
    </w:p>
    <w:p w:rsidR="00354080" w:rsidRDefault="00ED155B" w:rsidP="00354080">
      <w:pPr>
        <w:numPr>
          <w:ilvl w:val="0"/>
          <w:numId w:val="22"/>
        </w:numPr>
        <w:spacing w:before="240" w:line="480" w:lineRule="auto"/>
      </w:pPr>
      <w:r>
        <w:lastRenderedPageBreak/>
        <w:t xml:space="preserve">  </w:t>
      </w:r>
      <w:r>
        <w:tab/>
      </w:r>
      <w:r>
        <w:tab/>
        <w:t>As Public Counsel notes, much of the material to which ICNU and other parties must respond, including testimony and exhibits, has only been filed within the last 30 days, and no party to this proceeding has made a showing for the need of this compressed schedule.</w:t>
      </w:r>
      <w:r w:rsidR="003B27D5" w:rsidRPr="0058283B">
        <w:rPr>
          <w:rStyle w:val="FootnoteReference"/>
          <w:u w:val="single"/>
        </w:rPr>
        <w:footnoteReference w:id="6"/>
      </w:r>
      <w:proofErr w:type="gramStart"/>
      <w:r w:rsidR="0058283B" w:rsidRPr="0098756B">
        <w:rPr>
          <w:vertAlign w:val="superscript"/>
        </w:rPr>
        <w:t>/</w:t>
      </w:r>
      <w:r>
        <w:t xml:space="preserve">  Given</w:t>
      </w:r>
      <w:proofErr w:type="gramEnd"/>
      <w:r>
        <w:t xml:space="preserve"> the complexity of the issues presented, the fac</w:t>
      </w:r>
      <w:r w:rsidR="00C643CC">
        <w:t>t that they are issues of first impression</w:t>
      </w:r>
      <w:r>
        <w:t>, and the reasonab</w:t>
      </w:r>
      <w:r w:rsidR="0058283B">
        <w:t>leness of the request for an</w:t>
      </w:r>
      <w:r>
        <w:t xml:space="preserve"> additional 60 days</w:t>
      </w:r>
      <w:r w:rsidR="00CA40A3">
        <w:t>, as compared with the 10-month suspension</w:t>
      </w:r>
      <w:r>
        <w:t xml:space="preserve"> available in a general rate </w:t>
      </w:r>
      <w:r w:rsidR="0058283B">
        <w:t xml:space="preserve">case, the Commission should extend the current schedule until September 1, 2013. </w:t>
      </w:r>
    </w:p>
    <w:p w:rsidR="00354FFC" w:rsidRPr="007820CB" w:rsidRDefault="00237DED" w:rsidP="007820CB">
      <w:pPr>
        <w:pStyle w:val="Heading2"/>
        <w:numPr>
          <w:ilvl w:val="1"/>
          <w:numId w:val="1"/>
        </w:numPr>
        <w:spacing w:before="0" w:line="240" w:lineRule="auto"/>
        <w:jc w:val="left"/>
      </w:pPr>
      <w:r>
        <w:t>The</w:t>
      </w:r>
      <w:r w:rsidR="003B27D5">
        <w:t xml:space="preserve"> Commission Should Afford Ratep</w:t>
      </w:r>
      <w:r w:rsidR="00A024CE">
        <w:t>ayers the Process Warranted</w:t>
      </w:r>
      <w:r>
        <w:t xml:space="preserve"> Because </w:t>
      </w:r>
      <w:r w:rsidR="003B27D5">
        <w:t>of the Magnitude of the Potential Rate Increases</w:t>
      </w:r>
      <w:r>
        <w:t>.</w:t>
      </w:r>
      <w:r w:rsidR="00310240" w:rsidRPr="007820CB">
        <w:rPr>
          <w:b w:val="0"/>
        </w:rPr>
        <w:t xml:space="preserve"> </w:t>
      </w:r>
    </w:p>
    <w:p w:rsidR="007820CB" w:rsidRDefault="00354FFC" w:rsidP="007820CB">
      <w:pPr>
        <w:numPr>
          <w:ilvl w:val="0"/>
          <w:numId w:val="22"/>
        </w:numPr>
        <w:spacing w:before="240" w:line="480" w:lineRule="auto"/>
      </w:pPr>
      <w:r>
        <w:tab/>
      </w:r>
      <w:r w:rsidR="000F389E">
        <w:tab/>
      </w:r>
      <w:r w:rsidR="007820CB" w:rsidRPr="007820CB">
        <w:t xml:space="preserve">The Commission should also reconsider the compressed schedule adopted because of the high stakes surrounding </w:t>
      </w:r>
      <w:r w:rsidR="003B27D5">
        <w:t>its</w:t>
      </w:r>
      <w:r w:rsidR="007820CB" w:rsidRPr="007820CB">
        <w:t xml:space="preserve"> decision.  The effec</w:t>
      </w:r>
      <w:r w:rsidR="0058283B">
        <w:t>t of the proposals now before the Commission</w:t>
      </w:r>
      <w:r w:rsidR="007820CB" w:rsidRPr="007820CB">
        <w:t>, if accepted</w:t>
      </w:r>
      <w:r w:rsidR="0058283B">
        <w:t>,</w:t>
      </w:r>
      <w:r w:rsidR="007820CB" w:rsidRPr="007820CB">
        <w:t xml:space="preserve"> will result in collection of an additional</w:t>
      </w:r>
      <w:r w:rsidR="00A024CE">
        <w:t xml:space="preserve"> approximately</w:t>
      </w:r>
      <w:r w:rsidR="007820CB" w:rsidRPr="007820CB">
        <w:t xml:space="preserve"> $160 million to $200 million from PSE’s </w:t>
      </w:r>
      <w:r w:rsidR="00CA40A3">
        <w:t>customers</w:t>
      </w:r>
      <w:r w:rsidR="007820CB" w:rsidRPr="007820CB">
        <w:t xml:space="preserve"> by the year-end 2015.</w:t>
      </w:r>
      <w:r w:rsidR="00A024CE" w:rsidRPr="00A024CE">
        <w:rPr>
          <w:rStyle w:val="FootnoteReference"/>
          <w:u w:val="single"/>
        </w:rPr>
        <w:footnoteReference w:id="7"/>
      </w:r>
      <w:proofErr w:type="gramStart"/>
      <w:r w:rsidR="00A024CE" w:rsidRPr="00A024CE">
        <w:rPr>
          <w:vertAlign w:val="superscript"/>
        </w:rPr>
        <w:t>/</w:t>
      </w:r>
      <w:r w:rsidR="007820CB" w:rsidRPr="007820CB">
        <w:t xml:space="preserve">  This</w:t>
      </w:r>
      <w:proofErr w:type="gramEnd"/>
      <w:r w:rsidR="007820CB" w:rsidRPr="007820CB">
        <w:t xml:space="preserve"> figure comes on the heels of a 3.2% increase in electricity rates imposed on PSE’s customers</w:t>
      </w:r>
      <w:r w:rsidR="00B23830">
        <w:t xml:space="preserve"> in </w:t>
      </w:r>
      <w:r w:rsidR="0044438E">
        <w:t>Docket Nos. UE-111048/UG-111049</w:t>
      </w:r>
      <w:r w:rsidR="000F1E15">
        <w:t xml:space="preserve"> in 2012.  </w:t>
      </w:r>
      <w:r w:rsidR="003B27D5">
        <w:t>Furthermore, these figures do</w:t>
      </w:r>
      <w:r w:rsidR="007820CB" w:rsidRPr="007820CB">
        <w:t xml:space="preserve"> not take into account </w:t>
      </w:r>
      <w:r w:rsidR="007820CB">
        <w:t xml:space="preserve">the many exceptions to </w:t>
      </w:r>
      <w:r w:rsidR="003B27D5">
        <w:t>the</w:t>
      </w:r>
      <w:r w:rsidR="007820CB">
        <w:t xml:space="preserve"> stay-out provision</w:t>
      </w:r>
      <w:r w:rsidR="0058283B">
        <w:t>s</w:t>
      </w:r>
      <w:r w:rsidR="007820CB">
        <w:t xml:space="preserve"> or </w:t>
      </w:r>
      <w:r w:rsidR="003B27D5">
        <w:t xml:space="preserve">the possibility that </w:t>
      </w:r>
      <w:r w:rsidR="0058283B">
        <w:t>PSE may recover additional rate increases</w:t>
      </w:r>
      <w:r w:rsidR="003B27D5">
        <w:t xml:space="preserve"> through a </w:t>
      </w:r>
      <w:r w:rsidR="0044438E">
        <w:t>power cost only rate case (“</w:t>
      </w:r>
      <w:r w:rsidR="003B27D5">
        <w:t>PCORC</w:t>
      </w:r>
      <w:r w:rsidR="0044438E">
        <w:t>”)</w:t>
      </w:r>
      <w:r w:rsidR="0058283B">
        <w:t>, if the Global Settlement is adopted</w:t>
      </w:r>
      <w:r w:rsidR="007820CB" w:rsidRPr="007820CB">
        <w:t xml:space="preserve">. </w:t>
      </w:r>
    </w:p>
    <w:p w:rsidR="00AD2693" w:rsidRDefault="007820CB" w:rsidP="002E2BC8">
      <w:pPr>
        <w:numPr>
          <w:ilvl w:val="0"/>
          <w:numId w:val="22"/>
        </w:numPr>
        <w:spacing w:line="480" w:lineRule="auto"/>
      </w:pPr>
      <w:r>
        <w:t xml:space="preserve"> </w:t>
      </w:r>
      <w:r>
        <w:tab/>
      </w:r>
      <w:r>
        <w:tab/>
      </w:r>
      <w:r w:rsidRPr="007820CB">
        <w:t xml:space="preserve">The </w:t>
      </w:r>
      <w:r w:rsidR="0058283B">
        <w:t xml:space="preserve">Global </w:t>
      </w:r>
      <w:r w:rsidRPr="007820CB">
        <w:t>Settlement contemplates PSE</w:t>
      </w:r>
      <w:r>
        <w:t xml:space="preserve"> filing its next general rate case between April 1, 2015</w:t>
      </w:r>
      <w:r w:rsidR="0058283B">
        <w:t>,</w:t>
      </w:r>
      <w:r>
        <w:t xml:space="preserve"> and April 1, 2016.</w:t>
      </w:r>
      <w:r w:rsidRPr="00354080">
        <w:rPr>
          <w:rStyle w:val="FootnoteReference"/>
          <w:u w:val="single"/>
        </w:rPr>
        <w:footnoteReference w:id="8"/>
      </w:r>
      <w:proofErr w:type="gramStart"/>
      <w:r w:rsidR="00354080">
        <w:rPr>
          <w:vertAlign w:val="superscript"/>
        </w:rPr>
        <w:t>/</w:t>
      </w:r>
      <w:r>
        <w:t xml:space="preserve"> </w:t>
      </w:r>
      <w:r w:rsidR="00C643CC">
        <w:t xml:space="preserve"> </w:t>
      </w:r>
      <w:r>
        <w:t>If</w:t>
      </w:r>
      <w:proofErr w:type="gramEnd"/>
      <w:r>
        <w:t xml:space="preserve"> filed in 2016, consumers will be subject to the rates adopted pursuant to this docket for approximately four years.  </w:t>
      </w:r>
    </w:p>
    <w:p w:rsidR="00321354" w:rsidRPr="00AE5477" w:rsidRDefault="00F11762" w:rsidP="00AE5477">
      <w:pPr>
        <w:spacing w:line="240" w:lineRule="auto"/>
        <w:ind w:left="720" w:hanging="720"/>
        <w:rPr>
          <w:b/>
        </w:rPr>
      </w:pPr>
      <w:r w:rsidRPr="00F11762">
        <w:rPr>
          <w:b/>
        </w:rPr>
        <w:lastRenderedPageBreak/>
        <w:t>C.</w:t>
      </w:r>
      <w:r w:rsidRPr="00F11762">
        <w:rPr>
          <w:b/>
        </w:rPr>
        <w:tab/>
        <w:t>The Commission Should Adopt Public Counsel’s Recommendations Because Ratepayers do not</w:t>
      </w:r>
      <w:r w:rsidR="00321354">
        <w:rPr>
          <w:b/>
        </w:rPr>
        <w:t xml:space="preserve"> yet H</w:t>
      </w:r>
      <w:r w:rsidRPr="00F11762">
        <w:rPr>
          <w:b/>
        </w:rPr>
        <w:t>ave the Benefit</w:t>
      </w:r>
      <w:r w:rsidR="00321354">
        <w:rPr>
          <w:b/>
        </w:rPr>
        <w:t>s of the Recently Noticed Rulemaking</w:t>
      </w:r>
      <w:r w:rsidRPr="00F11762">
        <w:rPr>
          <w:b/>
        </w:rPr>
        <w:t xml:space="preserve"> </w:t>
      </w:r>
      <w:r w:rsidR="00321354">
        <w:rPr>
          <w:b/>
        </w:rPr>
        <w:t>Concerning</w:t>
      </w:r>
      <w:r w:rsidRPr="00F11762">
        <w:rPr>
          <w:b/>
        </w:rPr>
        <w:t xml:space="preserve"> </w:t>
      </w:r>
      <w:r w:rsidR="00321354" w:rsidRPr="00F11762">
        <w:rPr>
          <w:b/>
        </w:rPr>
        <w:t>Expedited</w:t>
      </w:r>
      <w:r w:rsidRPr="00F11762">
        <w:rPr>
          <w:b/>
        </w:rPr>
        <w:t xml:space="preserve"> Rate Filing Rules.</w:t>
      </w:r>
    </w:p>
    <w:p w:rsidR="007820CB" w:rsidRPr="007820CB" w:rsidRDefault="00AE5477" w:rsidP="007820CB">
      <w:pPr>
        <w:numPr>
          <w:ilvl w:val="0"/>
          <w:numId w:val="22"/>
        </w:numPr>
        <w:spacing w:before="240" w:line="480" w:lineRule="auto"/>
      </w:pPr>
      <w:r>
        <w:tab/>
      </w:r>
      <w:r>
        <w:tab/>
        <w:t>The Commission recently noticed a proposed rulemaking for consideration of</w:t>
      </w:r>
      <w:r w:rsidR="0058283B">
        <w:t>, among other things,</w:t>
      </w:r>
      <w:r>
        <w:t xml:space="preserve"> procedures for ERFs.</w:t>
      </w:r>
      <w:r w:rsidRPr="00C643CC">
        <w:rPr>
          <w:rStyle w:val="FootnoteReference"/>
          <w:u w:val="single"/>
        </w:rPr>
        <w:footnoteReference w:id="9"/>
      </w:r>
      <w:proofErr w:type="gramStart"/>
      <w:r w:rsidR="00C643CC" w:rsidRPr="008C380B">
        <w:rPr>
          <w:vertAlign w:val="superscript"/>
        </w:rPr>
        <w:t>/</w:t>
      </w:r>
      <w:r>
        <w:t xml:space="preserve">  However</w:t>
      </w:r>
      <w:proofErr w:type="gramEnd"/>
      <w:r>
        <w:t xml:space="preserve">, in the present </w:t>
      </w:r>
      <w:r w:rsidR="00A70755">
        <w:t>proceeding</w:t>
      </w:r>
      <w:r>
        <w:t xml:space="preserve">, </w:t>
      </w:r>
      <w:r w:rsidR="0058283B">
        <w:t>parties</w:t>
      </w:r>
      <w:r>
        <w:t xml:space="preserve"> are without the benefit of any procedural rules that may result from the</w:t>
      </w:r>
      <w:r w:rsidR="00C643CC">
        <w:t xml:space="preserve"> pending</w:t>
      </w:r>
      <w:r>
        <w:t xml:space="preserve"> ERF rulemaking.  </w:t>
      </w:r>
      <w:r w:rsidRPr="00321354">
        <w:t>The</w:t>
      </w:r>
      <w:r>
        <w:t xml:space="preserve"> Commission should adopt Public Counsel’s recommendation that an additional 60 days be pro</w:t>
      </w:r>
      <w:r w:rsidR="00716DDE">
        <w:t>vided in the discovery schedule</w:t>
      </w:r>
      <w:r>
        <w:t xml:space="preserve"> because it is unreasonable </w:t>
      </w:r>
      <w:r w:rsidR="00716DDE">
        <w:t xml:space="preserve">to impose such a compressed schedule </w:t>
      </w:r>
      <w:r>
        <w:t xml:space="preserve">to </w:t>
      </w:r>
      <w:r w:rsidR="0058283B">
        <w:t>adjudicate</w:t>
      </w:r>
      <w:r>
        <w:t xml:space="preserve"> an ERF</w:t>
      </w:r>
      <w:r w:rsidR="0058283B">
        <w:t xml:space="preserve"> proceeding</w:t>
      </w:r>
      <w:r>
        <w:t xml:space="preserve">, when the </w:t>
      </w:r>
      <w:r w:rsidR="0058283B">
        <w:t>partie</w:t>
      </w:r>
      <w:r>
        <w:t>s do not have the benefit of any procedural protections which may originat</w:t>
      </w:r>
      <w:r w:rsidR="0058283B">
        <w:t>e from the pending rulemaking.  The</w:t>
      </w:r>
      <w:r>
        <w:t xml:space="preserve"> extended schedule proposed by Public Counsel </w:t>
      </w:r>
      <w:r w:rsidR="002E2AB0">
        <w:t>seeks to protect</w:t>
      </w:r>
      <w:r>
        <w:t xml:space="preserve"> ratepayers</w:t>
      </w:r>
      <w:r w:rsidR="0020436D">
        <w:t>’</w:t>
      </w:r>
      <w:r>
        <w:t xml:space="preserve"> interests in </w:t>
      </w:r>
      <w:r w:rsidR="00A70755">
        <w:t>this</w:t>
      </w:r>
      <w:r>
        <w:t xml:space="preserve"> proceeding, without unduly burdening the expedited nature of the filings.</w:t>
      </w:r>
    </w:p>
    <w:p w:rsidR="00C115CF" w:rsidRDefault="00C115CF" w:rsidP="00C115CF">
      <w:pPr>
        <w:pStyle w:val="Heading1"/>
        <w:numPr>
          <w:ilvl w:val="0"/>
          <w:numId w:val="1"/>
        </w:numPr>
        <w:spacing w:before="0" w:line="480" w:lineRule="auto"/>
      </w:pPr>
      <w:r>
        <w:t>conclusion</w:t>
      </w:r>
    </w:p>
    <w:p w:rsidR="006A5A0B" w:rsidRDefault="00AE5477">
      <w:pPr>
        <w:numPr>
          <w:ilvl w:val="0"/>
          <w:numId w:val="22"/>
        </w:numPr>
        <w:spacing w:line="480" w:lineRule="auto"/>
      </w:pPr>
      <w:r>
        <w:tab/>
      </w:r>
      <w:r>
        <w:tab/>
        <w:t>For the reasons cited above</w:t>
      </w:r>
      <w:r w:rsidR="008C380B">
        <w:t>,</w:t>
      </w:r>
      <w:r>
        <w:t xml:space="preserve"> ICNU supports the objection filed by Public Counsel.  The novelty of the policy issues involved, the </w:t>
      </w:r>
      <w:r w:rsidR="0058283B">
        <w:t>magnitude</w:t>
      </w:r>
      <w:r>
        <w:t xml:space="preserve"> of the potential changes in rates, and the inability of ratepayers to take advantage of potential new procedural protections related to ERFs, all support </w:t>
      </w:r>
      <w:r w:rsidR="002E2AB0">
        <w:t xml:space="preserve">additional time for these </w:t>
      </w:r>
      <w:r w:rsidR="0058283B">
        <w:t>proceedings</w:t>
      </w:r>
      <w:r>
        <w:t xml:space="preserve">.  </w:t>
      </w:r>
      <w:bookmarkStart w:id="1" w:name="_GoBack"/>
      <w:bookmarkEnd w:id="1"/>
      <w:r>
        <w:t xml:space="preserve">For these reasons, ICNU respectfully requests that the Commission reconsider the schedule in </w:t>
      </w:r>
      <w:r w:rsidR="00C31963">
        <w:t>these</w:t>
      </w:r>
      <w:r>
        <w:t xml:space="preserve"> docket</w:t>
      </w:r>
      <w:r w:rsidR="00C31963">
        <w:t>s</w:t>
      </w:r>
      <w:r>
        <w:t xml:space="preserve"> and adopt a schedule similar to that proposed by Public Counsel in </w:t>
      </w:r>
      <w:r w:rsidR="00C31963">
        <w:t>its</w:t>
      </w:r>
      <w:r>
        <w:t xml:space="preserve"> March 12</w:t>
      </w:r>
      <w:r w:rsidR="00C31963">
        <w:t>, 2013,</w:t>
      </w:r>
      <w:r>
        <w:t xml:space="preserve"> letter filing</w:t>
      </w:r>
      <w:r w:rsidR="00C31963">
        <w:t xml:space="preserve"> in Docket Nos. UE-130137/UG-130138</w:t>
      </w:r>
      <w:r>
        <w:t>.</w:t>
      </w:r>
    </w:p>
    <w:p w:rsidR="00716DDE" w:rsidRDefault="00716DDE">
      <w:pPr>
        <w:spacing w:line="240" w:lineRule="auto"/>
      </w:pPr>
      <w:r>
        <w:br w:type="page"/>
      </w:r>
    </w:p>
    <w:p w:rsidR="000A2D38" w:rsidRDefault="00F51328" w:rsidP="003B6EF7">
      <w:pPr>
        <w:pStyle w:val="ParNumber"/>
        <w:numPr>
          <w:ilvl w:val="0"/>
          <w:numId w:val="0"/>
        </w:numPr>
        <w:spacing w:line="480" w:lineRule="auto"/>
        <w:ind w:firstLine="720"/>
      </w:pPr>
      <w:proofErr w:type="gramStart"/>
      <w:r>
        <w:lastRenderedPageBreak/>
        <w:t>DATED</w:t>
      </w:r>
      <w:r w:rsidR="008753E8">
        <w:t xml:space="preserve"> this </w:t>
      </w:r>
      <w:r w:rsidR="002E2AB0">
        <w:t>4th</w:t>
      </w:r>
      <w:r w:rsidR="009C5E56">
        <w:t xml:space="preserve"> </w:t>
      </w:r>
      <w:r w:rsidR="006C0D2B">
        <w:t xml:space="preserve">day of </w:t>
      </w:r>
      <w:r w:rsidR="005E75E3">
        <w:t>April</w:t>
      </w:r>
      <w:r>
        <w:t>,</w:t>
      </w:r>
      <w:r w:rsidR="006C0D2B">
        <w:t xml:space="preserve"> 2013</w:t>
      </w:r>
      <w:r w:rsidR="00671131">
        <w:t>.</w:t>
      </w:r>
      <w:proofErr w:type="gramEnd"/>
    </w:p>
    <w:p w:rsidR="005E75E3" w:rsidRDefault="005E75E3" w:rsidP="005E75E3">
      <w:pPr>
        <w:spacing w:line="480" w:lineRule="auto"/>
        <w:ind w:left="2880" w:firstLine="720"/>
      </w:pPr>
      <w:r>
        <w:t>Respectfully submitted,</w:t>
      </w:r>
    </w:p>
    <w:p w:rsidR="005E75E3" w:rsidRDefault="005E75E3" w:rsidP="005E75E3">
      <w:pPr>
        <w:ind w:firstLine="3600"/>
      </w:pPr>
      <w:r>
        <w:t>DAVISON VAN CLEVE, P.C.</w:t>
      </w:r>
    </w:p>
    <w:p w:rsidR="005E75E3" w:rsidRDefault="005E75E3" w:rsidP="005E75E3">
      <w:pPr>
        <w:keepNext/>
        <w:rPr>
          <w:i/>
          <w:u w:val="single"/>
        </w:rPr>
      </w:pPr>
    </w:p>
    <w:p w:rsidR="005E75E3" w:rsidRDefault="005E75E3" w:rsidP="005E75E3">
      <w:pPr>
        <w:keepNext/>
        <w:rPr>
          <w:i/>
          <w:u w:val="single"/>
        </w:rPr>
      </w:pPr>
    </w:p>
    <w:p w:rsidR="005E75E3" w:rsidRPr="009C3245" w:rsidRDefault="005E75E3" w:rsidP="005E75E3">
      <w:pPr>
        <w:ind w:left="3600"/>
        <w:rPr>
          <w:i/>
          <w:u w:val="single"/>
        </w:rPr>
      </w:pPr>
      <w:r>
        <w:rPr>
          <w:i/>
          <w:u w:val="single"/>
        </w:rPr>
        <w:t xml:space="preserve">/s/ </w:t>
      </w:r>
      <w:r w:rsidR="002E2AB0">
        <w:rPr>
          <w:i/>
          <w:u w:val="single"/>
        </w:rPr>
        <w:t>Melinda J. Davison</w:t>
      </w:r>
    </w:p>
    <w:p w:rsidR="005E75E3" w:rsidRDefault="005E75E3" w:rsidP="005E75E3">
      <w:pPr>
        <w:ind w:left="3600"/>
      </w:pPr>
      <w:r>
        <w:t>Melinda J. Davison</w:t>
      </w:r>
    </w:p>
    <w:p w:rsidR="005E75E3" w:rsidRDefault="005E75E3" w:rsidP="005E75E3">
      <w:pPr>
        <w:ind w:left="3600"/>
      </w:pPr>
      <w:r>
        <w:t>Joshua D. Weber</w:t>
      </w:r>
    </w:p>
    <w:p w:rsidR="005E75E3" w:rsidRDefault="005E75E3" w:rsidP="005E75E3">
      <w:pPr>
        <w:ind w:left="3600"/>
      </w:pPr>
      <w:r>
        <w:t>Davison Van Cleve, P.C.</w:t>
      </w:r>
    </w:p>
    <w:p w:rsidR="005E75E3" w:rsidRDefault="005E75E3" w:rsidP="005E75E3">
      <w:pPr>
        <w:keepNext/>
        <w:ind w:left="3600"/>
      </w:pPr>
      <w:r>
        <w:t>333 S.W. Taylor, Suite 400</w:t>
      </w:r>
    </w:p>
    <w:p w:rsidR="005E75E3" w:rsidRDefault="005E75E3" w:rsidP="005E75E3">
      <w:pPr>
        <w:keepNext/>
        <w:ind w:left="3600"/>
      </w:pPr>
      <w:r>
        <w:t>Portland, Oregon 97204</w:t>
      </w:r>
    </w:p>
    <w:p w:rsidR="005E75E3" w:rsidRDefault="005E75E3" w:rsidP="005E75E3">
      <w:pPr>
        <w:keepNext/>
        <w:ind w:left="3600"/>
      </w:pPr>
      <w:r>
        <w:t>(503) 241-7242 telephone</w:t>
      </w:r>
    </w:p>
    <w:p w:rsidR="005E75E3" w:rsidRDefault="005E75E3" w:rsidP="005E75E3">
      <w:pPr>
        <w:keepNext/>
        <w:ind w:left="3600"/>
      </w:pPr>
      <w:r>
        <w:t>(503) 241-8160 facsimile</w:t>
      </w:r>
    </w:p>
    <w:p w:rsidR="005E75E3" w:rsidRDefault="005E75E3" w:rsidP="005E75E3">
      <w:pPr>
        <w:keepNext/>
        <w:ind w:left="3600"/>
      </w:pPr>
      <w:r w:rsidRPr="00675B8F">
        <w:t>mjd@dvclaw.com</w:t>
      </w:r>
    </w:p>
    <w:p w:rsidR="005E75E3" w:rsidRDefault="005E75E3" w:rsidP="005E75E3">
      <w:pPr>
        <w:keepNext/>
        <w:ind w:left="3600"/>
      </w:pPr>
      <w:r>
        <w:t>jdw@dvclaw.com</w:t>
      </w:r>
    </w:p>
    <w:p w:rsidR="005E75E3" w:rsidRDefault="005E75E3" w:rsidP="005E75E3">
      <w:pPr>
        <w:ind w:left="3600"/>
      </w:pPr>
      <w:r>
        <w:t xml:space="preserve">Of Attorneys for Industrial Customers </w:t>
      </w:r>
    </w:p>
    <w:p w:rsidR="005E75E3" w:rsidRDefault="005E75E3" w:rsidP="005E75E3">
      <w:pPr>
        <w:ind w:left="3600"/>
      </w:pPr>
      <w:r>
        <w:t>of Northwest Utilities</w:t>
      </w:r>
    </w:p>
    <w:sectPr w:rsidR="005E75E3" w:rsidSect="00114D18">
      <w:footerReference w:type="default" r:id="rId8"/>
      <w:pgSz w:w="12240" w:h="15840" w:code="1"/>
      <w:pgMar w:top="1440" w:right="1440" w:bottom="144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244" w:rsidRDefault="00C87244">
      <w:pPr>
        <w:spacing w:line="240" w:lineRule="auto"/>
      </w:pPr>
      <w:r>
        <w:separator/>
      </w:r>
    </w:p>
  </w:endnote>
  <w:endnote w:type="continuationSeparator" w:id="0">
    <w:p w:rsidR="00C87244" w:rsidRDefault="00C872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44" w:rsidRPr="00EE2D9A" w:rsidRDefault="00C87244">
    <w:pPr>
      <w:pStyle w:val="Footer"/>
      <w:rPr>
        <w:sz w:val="24"/>
        <w:szCs w:val="24"/>
      </w:rPr>
    </w:pPr>
    <w:r>
      <w:rPr>
        <w:sz w:val="24"/>
        <w:szCs w:val="24"/>
      </w:rPr>
      <w:t>ICNU RESPONSE TO PUBLIC COUNSEL OBJECTION TO SCHEDULE</w:t>
    </w:r>
    <w:r w:rsidRPr="00EE2D9A">
      <w:rPr>
        <w:sz w:val="24"/>
        <w:szCs w:val="24"/>
      </w:rPr>
      <w:t xml:space="preserve"> - </w:t>
    </w:r>
    <w:r w:rsidR="00E30FFC" w:rsidRPr="00EE2D9A">
      <w:rPr>
        <w:sz w:val="24"/>
        <w:szCs w:val="24"/>
      </w:rPr>
      <w:fldChar w:fldCharType="begin"/>
    </w:r>
    <w:r w:rsidRPr="00EE2D9A">
      <w:rPr>
        <w:sz w:val="24"/>
        <w:szCs w:val="24"/>
      </w:rPr>
      <w:instrText xml:space="preserve"> PAGE   \* MERGEFORMAT </w:instrText>
    </w:r>
    <w:r w:rsidR="00E30FFC" w:rsidRPr="00EE2D9A">
      <w:rPr>
        <w:sz w:val="24"/>
        <w:szCs w:val="24"/>
      </w:rPr>
      <w:fldChar w:fldCharType="separate"/>
    </w:r>
    <w:r w:rsidR="003B6EF7">
      <w:rPr>
        <w:noProof/>
        <w:sz w:val="24"/>
        <w:szCs w:val="24"/>
      </w:rPr>
      <w:t>5</w:t>
    </w:r>
    <w:r w:rsidR="00E30FFC" w:rsidRPr="00EE2D9A">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244" w:rsidRDefault="00C87244">
      <w:pPr>
        <w:spacing w:line="240" w:lineRule="auto"/>
      </w:pPr>
      <w:r>
        <w:separator/>
      </w:r>
    </w:p>
  </w:footnote>
  <w:footnote w:type="continuationSeparator" w:id="0">
    <w:p w:rsidR="00C87244" w:rsidRDefault="00C87244">
      <w:pPr>
        <w:ind w:right="5760"/>
      </w:pPr>
      <w:r>
        <w:continuationSeparator/>
      </w:r>
    </w:p>
  </w:footnote>
  <w:footnote w:id="1">
    <w:p w:rsidR="00C87244" w:rsidRPr="007820CB" w:rsidRDefault="00C87244" w:rsidP="00006B0A">
      <w:pPr>
        <w:pStyle w:val="FootnoteText"/>
        <w:ind w:left="720" w:hanging="720"/>
      </w:pPr>
      <w:r w:rsidRPr="007820CB">
        <w:rPr>
          <w:rStyle w:val="FootnoteReference"/>
          <w:u w:val="single"/>
        </w:rPr>
        <w:footnoteRef/>
      </w:r>
      <w:r w:rsidRPr="007820CB">
        <w:rPr>
          <w:vertAlign w:val="superscript"/>
        </w:rPr>
        <w:t>/</w:t>
      </w:r>
      <w:r>
        <w:tab/>
      </w:r>
      <w:r>
        <w:rPr>
          <w:u w:val="single"/>
        </w:rPr>
        <w:t>WUTC v. Puget Sound Energy, Inc.</w:t>
      </w:r>
      <w:r>
        <w:t>, Docket Nos. UE-121697/UG-121705, Order 02 (Mar. 22, 2013).</w:t>
      </w:r>
    </w:p>
  </w:footnote>
  <w:footnote w:id="2">
    <w:p w:rsidR="00C87244" w:rsidRPr="004A4951" w:rsidRDefault="00C87244" w:rsidP="004A4951">
      <w:pPr>
        <w:pStyle w:val="FootnoteText"/>
        <w:ind w:left="720" w:hanging="720"/>
        <w:rPr>
          <w:u w:val="single"/>
        </w:rPr>
      </w:pPr>
      <w:r w:rsidRPr="00441BD2">
        <w:rPr>
          <w:rStyle w:val="FootnoteReference"/>
          <w:u w:val="single"/>
        </w:rPr>
        <w:footnoteRef/>
      </w:r>
      <w:r w:rsidRPr="00441BD2">
        <w:rPr>
          <w:vertAlign w:val="superscript"/>
        </w:rPr>
        <w:t>/</w:t>
      </w:r>
      <w:r>
        <w:rPr>
          <w:vertAlign w:val="superscript"/>
        </w:rPr>
        <w:tab/>
      </w:r>
      <w:r>
        <w:rPr>
          <w:u w:val="single"/>
        </w:rPr>
        <w:t>Re Puget Sound Energy, Inc.</w:t>
      </w:r>
      <w:r>
        <w:t xml:space="preserve">, WUTC Docket Nos. </w:t>
      </w:r>
      <w:proofErr w:type="gramStart"/>
      <w:r>
        <w:t xml:space="preserve">UE-121373, UE-121697/UG-121705, </w:t>
      </w:r>
      <w:r>
        <w:br/>
        <w:t>UE-130137/UG-130138, Multiparty Settlement Agreement (Mar. 22, 2013) (“Global Settlement”).</w:t>
      </w:r>
      <w:proofErr w:type="gramEnd"/>
    </w:p>
  </w:footnote>
  <w:footnote w:id="3">
    <w:p w:rsidR="00C87244" w:rsidRDefault="00C87244" w:rsidP="00CA40A3">
      <w:pPr>
        <w:pStyle w:val="FootnoteText"/>
        <w:ind w:left="720" w:hanging="720"/>
      </w:pPr>
      <w:r w:rsidRPr="00CA40A3">
        <w:rPr>
          <w:rStyle w:val="FootnoteReference"/>
          <w:u w:val="single"/>
        </w:rPr>
        <w:footnoteRef/>
      </w:r>
      <w:r w:rsidRPr="0044438E">
        <w:rPr>
          <w:vertAlign w:val="superscript"/>
        </w:rPr>
        <w:t>/</w:t>
      </w:r>
      <w:r>
        <w:t xml:space="preserve"> </w:t>
      </w:r>
      <w:r>
        <w:tab/>
      </w:r>
      <w:r w:rsidRPr="003C4055">
        <w:rPr>
          <w:u w:val="single"/>
        </w:rPr>
        <w:t>Re Rulemaking to Consider Possible Corrections and Changes in Rules in WAC 480-07, Relating to Procedural Rules</w:t>
      </w:r>
      <w:r>
        <w:t>, WUTC Docket A-130355, Notice of Opportunity to File Written Comments (Mar. 22, 2013).</w:t>
      </w:r>
    </w:p>
  </w:footnote>
  <w:footnote w:id="4">
    <w:p w:rsidR="00C87244" w:rsidRPr="0098756B" w:rsidRDefault="00C87244" w:rsidP="0098756B">
      <w:pPr>
        <w:pStyle w:val="FootnoteText"/>
        <w:ind w:left="720" w:hanging="720"/>
        <w:rPr>
          <w:u w:val="single"/>
        </w:rPr>
      </w:pPr>
      <w:r w:rsidRPr="0098756B">
        <w:rPr>
          <w:rStyle w:val="FootnoteReference"/>
          <w:u w:val="single"/>
        </w:rPr>
        <w:footnoteRef/>
      </w:r>
      <w:r w:rsidRPr="0098756B">
        <w:rPr>
          <w:vertAlign w:val="superscript"/>
        </w:rPr>
        <w:t xml:space="preserve">/ </w:t>
      </w:r>
      <w:r>
        <w:tab/>
      </w:r>
      <w:r>
        <w:rPr>
          <w:u w:val="single"/>
        </w:rPr>
        <w:t>Re Puget Sound Energy</w:t>
      </w:r>
      <w:r>
        <w:t>, WUTC Docket Nos. UE-121697/UG-121705, Public Counsel Objection to Order 02 Schedule, at ¶ 1 (Apr. 1, 2013).</w:t>
      </w:r>
    </w:p>
  </w:footnote>
  <w:footnote w:id="5">
    <w:p w:rsidR="00C87244" w:rsidRPr="0098756B" w:rsidRDefault="00C87244" w:rsidP="006A50E5">
      <w:pPr>
        <w:pStyle w:val="FootnoteText"/>
        <w:ind w:left="720" w:hanging="720"/>
      </w:pPr>
      <w:r w:rsidRPr="0098756B">
        <w:rPr>
          <w:rStyle w:val="FootnoteReference"/>
          <w:u w:val="single"/>
        </w:rPr>
        <w:footnoteRef/>
      </w:r>
      <w:r w:rsidRPr="0098756B">
        <w:rPr>
          <w:vertAlign w:val="superscript"/>
        </w:rPr>
        <w:t>/</w:t>
      </w:r>
      <w:r>
        <w:t xml:space="preserve"> </w:t>
      </w:r>
      <w:r>
        <w:tab/>
      </w:r>
      <w:r>
        <w:rPr>
          <w:u w:val="single"/>
        </w:rPr>
        <w:t xml:space="preserve">Re WUTC’s Investigation into Conservation </w:t>
      </w:r>
      <w:proofErr w:type="gramStart"/>
      <w:r>
        <w:rPr>
          <w:u w:val="single"/>
        </w:rPr>
        <w:t>Incentives</w:t>
      </w:r>
      <w:r>
        <w:t>,</w:t>
      </w:r>
      <w:proofErr w:type="gramEnd"/>
      <w:r>
        <w:t xml:space="preserve"> Docket No. </w:t>
      </w:r>
      <w:proofErr w:type="gramStart"/>
      <w:r>
        <w:t>U-100522, Report and Policy Statement on Regulatory Mechanisms, Including Decoupling, at ¶ 28 (Nov. 4, 2010).</w:t>
      </w:r>
      <w:proofErr w:type="gramEnd"/>
      <w:r>
        <w:tab/>
      </w:r>
    </w:p>
  </w:footnote>
  <w:footnote w:id="6">
    <w:p w:rsidR="00C87244" w:rsidRDefault="00C87244" w:rsidP="003B27D5">
      <w:pPr>
        <w:pStyle w:val="FootnoteText"/>
        <w:ind w:left="720" w:hanging="720"/>
      </w:pPr>
      <w:r w:rsidRPr="00A70755">
        <w:rPr>
          <w:rStyle w:val="FootnoteReference"/>
          <w:u w:val="single"/>
        </w:rPr>
        <w:footnoteRef/>
      </w:r>
      <w:r w:rsidRPr="0044438E">
        <w:rPr>
          <w:vertAlign w:val="superscript"/>
        </w:rPr>
        <w:t>/</w:t>
      </w:r>
      <w:r>
        <w:t xml:space="preserve"> </w:t>
      </w:r>
      <w:r>
        <w:tab/>
      </w:r>
      <w:r>
        <w:rPr>
          <w:u w:val="single"/>
        </w:rPr>
        <w:t>Re Puget Sound Energy</w:t>
      </w:r>
      <w:r>
        <w:t>, WUTC Docket Nos. UE-121697/UG-121705, Public Counsel Objection to Order 02 Schedule, at ¶ 5 (Apr. 1, 2013).</w:t>
      </w:r>
    </w:p>
  </w:footnote>
  <w:footnote w:id="7">
    <w:p w:rsidR="00C87244" w:rsidRPr="00A024CE" w:rsidRDefault="00C87244" w:rsidP="00A024CE">
      <w:pPr>
        <w:pStyle w:val="FootnoteText"/>
        <w:ind w:firstLine="0"/>
        <w:rPr>
          <w:u w:val="single"/>
        </w:rPr>
      </w:pPr>
      <w:r w:rsidRPr="00A024CE">
        <w:rPr>
          <w:rStyle w:val="FootnoteReference"/>
          <w:u w:val="single"/>
        </w:rPr>
        <w:footnoteRef/>
      </w:r>
      <w:r w:rsidRPr="00A024CE">
        <w:rPr>
          <w:vertAlign w:val="superscript"/>
        </w:rPr>
        <w:t>/</w:t>
      </w:r>
      <w:r w:rsidRPr="00A024CE">
        <w:tab/>
      </w:r>
      <w:r>
        <w:t>This includes both gas and electric estimated rate increases.</w:t>
      </w:r>
    </w:p>
  </w:footnote>
  <w:footnote w:id="8">
    <w:p w:rsidR="00C87244" w:rsidRPr="00354080" w:rsidRDefault="00C87244" w:rsidP="00354080">
      <w:pPr>
        <w:pStyle w:val="FootnoteText"/>
        <w:ind w:left="720" w:hanging="720"/>
        <w:rPr>
          <w:u w:val="single"/>
        </w:rPr>
      </w:pPr>
      <w:r w:rsidRPr="00354080">
        <w:rPr>
          <w:rStyle w:val="FootnoteReference"/>
          <w:u w:val="single"/>
        </w:rPr>
        <w:footnoteRef/>
      </w:r>
      <w:r w:rsidRPr="00354080">
        <w:rPr>
          <w:vertAlign w:val="superscript"/>
        </w:rPr>
        <w:t>/</w:t>
      </w:r>
      <w:r w:rsidRPr="00354080">
        <w:t xml:space="preserve"> </w:t>
      </w:r>
      <w:r>
        <w:t xml:space="preserve">  </w:t>
      </w:r>
      <w:r>
        <w:tab/>
        <w:t>Global Settlement, at ¶ 13.</w:t>
      </w:r>
    </w:p>
  </w:footnote>
  <w:footnote w:id="9">
    <w:p w:rsidR="00C87244" w:rsidRDefault="00C87244" w:rsidP="00AE5477">
      <w:pPr>
        <w:pStyle w:val="FootnoteText"/>
        <w:ind w:left="720" w:hanging="720"/>
      </w:pPr>
      <w:r w:rsidRPr="00C643CC">
        <w:rPr>
          <w:rStyle w:val="FootnoteReference"/>
          <w:u w:val="single"/>
        </w:rPr>
        <w:footnoteRef/>
      </w:r>
      <w:r w:rsidRPr="008C380B">
        <w:rPr>
          <w:vertAlign w:val="superscript"/>
        </w:rPr>
        <w:t>/</w:t>
      </w:r>
      <w:r>
        <w:t xml:space="preserve"> </w:t>
      </w:r>
      <w:r>
        <w:tab/>
      </w:r>
      <w:r w:rsidRPr="003C4055">
        <w:rPr>
          <w:u w:val="single"/>
        </w:rPr>
        <w:t>Re Rulemaking to Consider Possible Corrections and Changes in Rules in WAC 480-07, Relating to Procedural Rules</w:t>
      </w:r>
      <w:r>
        <w:t>, WUTC Docket A-130355, Notice of Opportunity to File Written Comments (Mar. 22,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36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nsid w:val="4A2F3923"/>
    <w:multiLevelType w:val="hybridMultilevel"/>
    <w:tmpl w:val="7814086C"/>
    <w:lvl w:ilvl="0" w:tplc="4B020D72">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001003"/>
    <w:multiLevelType w:val="singleLevel"/>
    <w:tmpl w:val="FC222806"/>
    <w:lvl w:ilvl="0">
      <w:start w:val="1"/>
      <w:numFmt w:val="decimal"/>
      <w:pStyle w:val="ParNumber"/>
      <w:lvlText w:val="%1."/>
      <w:lvlJc w:val="left"/>
      <w:pPr>
        <w:tabs>
          <w:tab w:val="num" w:pos="360"/>
        </w:tabs>
        <w:ind w:left="360" w:hanging="360"/>
      </w:pPr>
      <w:rPr>
        <w:i/>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1530CD"/>
    <w:rsid w:val="000068D4"/>
    <w:rsid w:val="00006B0A"/>
    <w:rsid w:val="00025DE2"/>
    <w:rsid w:val="0004770F"/>
    <w:rsid w:val="00065340"/>
    <w:rsid w:val="00066DF3"/>
    <w:rsid w:val="00071573"/>
    <w:rsid w:val="00076BE5"/>
    <w:rsid w:val="00084515"/>
    <w:rsid w:val="00084D45"/>
    <w:rsid w:val="000A2D38"/>
    <w:rsid w:val="000C3BA4"/>
    <w:rsid w:val="000C709D"/>
    <w:rsid w:val="000D1944"/>
    <w:rsid w:val="000D1FBA"/>
    <w:rsid w:val="000D272D"/>
    <w:rsid w:val="000F1E15"/>
    <w:rsid w:val="000F389E"/>
    <w:rsid w:val="00103904"/>
    <w:rsid w:val="00104703"/>
    <w:rsid w:val="00106F50"/>
    <w:rsid w:val="00114D18"/>
    <w:rsid w:val="00135A03"/>
    <w:rsid w:val="0014428A"/>
    <w:rsid w:val="001530CD"/>
    <w:rsid w:val="00165913"/>
    <w:rsid w:val="0017276C"/>
    <w:rsid w:val="00173DAB"/>
    <w:rsid w:val="001761A4"/>
    <w:rsid w:val="00182C50"/>
    <w:rsid w:val="00193310"/>
    <w:rsid w:val="001A1A08"/>
    <w:rsid w:val="001A38FD"/>
    <w:rsid w:val="001B6603"/>
    <w:rsid w:val="001D60D7"/>
    <w:rsid w:val="001E0145"/>
    <w:rsid w:val="001F3027"/>
    <w:rsid w:val="0020436D"/>
    <w:rsid w:val="002107A0"/>
    <w:rsid w:val="00214C22"/>
    <w:rsid w:val="0021677D"/>
    <w:rsid w:val="00226F00"/>
    <w:rsid w:val="00227793"/>
    <w:rsid w:val="002340B3"/>
    <w:rsid w:val="00237DED"/>
    <w:rsid w:val="00237E77"/>
    <w:rsid w:val="00272B2D"/>
    <w:rsid w:val="0028534A"/>
    <w:rsid w:val="002B2C10"/>
    <w:rsid w:val="002C2843"/>
    <w:rsid w:val="002E1E10"/>
    <w:rsid w:val="002E23DA"/>
    <w:rsid w:val="002E2AB0"/>
    <w:rsid w:val="002E2BC8"/>
    <w:rsid w:val="002E57EF"/>
    <w:rsid w:val="00302804"/>
    <w:rsid w:val="00305A50"/>
    <w:rsid w:val="00305EA6"/>
    <w:rsid w:val="00310240"/>
    <w:rsid w:val="003151B5"/>
    <w:rsid w:val="00321354"/>
    <w:rsid w:val="0032387D"/>
    <w:rsid w:val="003265A4"/>
    <w:rsid w:val="00331536"/>
    <w:rsid w:val="00336CF7"/>
    <w:rsid w:val="00346464"/>
    <w:rsid w:val="00347050"/>
    <w:rsid w:val="00354080"/>
    <w:rsid w:val="00354FFC"/>
    <w:rsid w:val="003610D2"/>
    <w:rsid w:val="00363059"/>
    <w:rsid w:val="003855C4"/>
    <w:rsid w:val="00390CB1"/>
    <w:rsid w:val="00393E73"/>
    <w:rsid w:val="003B18AE"/>
    <w:rsid w:val="003B27D5"/>
    <w:rsid w:val="003B683F"/>
    <w:rsid w:val="003B6EF7"/>
    <w:rsid w:val="003C4055"/>
    <w:rsid w:val="003E0DB9"/>
    <w:rsid w:val="003E3E96"/>
    <w:rsid w:val="003E4D84"/>
    <w:rsid w:val="003F6DBC"/>
    <w:rsid w:val="00403B5E"/>
    <w:rsid w:val="004115A8"/>
    <w:rsid w:val="0041256B"/>
    <w:rsid w:val="00415370"/>
    <w:rsid w:val="00416664"/>
    <w:rsid w:val="004247EF"/>
    <w:rsid w:val="00432A41"/>
    <w:rsid w:val="00432C0C"/>
    <w:rsid w:val="00441BD2"/>
    <w:rsid w:val="0044438E"/>
    <w:rsid w:val="00460E08"/>
    <w:rsid w:val="004633D9"/>
    <w:rsid w:val="00492E22"/>
    <w:rsid w:val="004A4951"/>
    <w:rsid w:val="004B0379"/>
    <w:rsid w:val="004D45D0"/>
    <w:rsid w:val="004E54FC"/>
    <w:rsid w:val="004F3439"/>
    <w:rsid w:val="004F5973"/>
    <w:rsid w:val="004F6A19"/>
    <w:rsid w:val="005048A2"/>
    <w:rsid w:val="00506912"/>
    <w:rsid w:val="0050746A"/>
    <w:rsid w:val="00515979"/>
    <w:rsid w:val="0052469F"/>
    <w:rsid w:val="00534BD1"/>
    <w:rsid w:val="00543D36"/>
    <w:rsid w:val="00563AC6"/>
    <w:rsid w:val="00580BBD"/>
    <w:rsid w:val="0058283B"/>
    <w:rsid w:val="005864A1"/>
    <w:rsid w:val="005930D1"/>
    <w:rsid w:val="0059359C"/>
    <w:rsid w:val="00594378"/>
    <w:rsid w:val="005C01A5"/>
    <w:rsid w:val="005C046A"/>
    <w:rsid w:val="005C091A"/>
    <w:rsid w:val="005E3C6D"/>
    <w:rsid w:val="005E75E3"/>
    <w:rsid w:val="005E7CD3"/>
    <w:rsid w:val="0061295F"/>
    <w:rsid w:val="006213EA"/>
    <w:rsid w:val="00621FA9"/>
    <w:rsid w:val="006329FE"/>
    <w:rsid w:val="00636276"/>
    <w:rsid w:val="006405CC"/>
    <w:rsid w:val="00644182"/>
    <w:rsid w:val="00657FDA"/>
    <w:rsid w:val="00665D83"/>
    <w:rsid w:val="006664EF"/>
    <w:rsid w:val="00671131"/>
    <w:rsid w:val="00690493"/>
    <w:rsid w:val="006A50E5"/>
    <w:rsid w:val="006A5A0B"/>
    <w:rsid w:val="006A5B1A"/>
    <w:rsid w:val="006A77A2"/>
    <w:rsid w:val="006B7241"/>
    <w:rsid w:val="006C0D2B"/>
    <w:rsid w:val="006D576F"/>
    <w:rsid w:val="006F3F35"/>
    <w:rsid w:val="006F7685"/>
    <w:rsid w:val="00702D6F"/>
    <w:rsid w:val="00703E44"/>
    <w:rsid w:val="00705646"/>
    <w:rsid w:val="007076A7"/>
    <w:rsid w:val="00710314"/>
    <w:rsid w:val="007111C7"/>
    <w:rsid w:val="00713412"/>
    <w:rsid w:val="00714625"/>
    <w:rsid w:val="00716D9F"/>
    <w:rsid w:val="00716DDE"/>
    <w:rsid w:val="00717A10"/>
    <w:rsid w:val="00735AD9"/>
    <w:rsid w:val="0073711B"/>
    <w:rsid w:val="00740AA7"/>
    <w:rsid w:val="0075174F"/>
    <w:rsid w:val="007636A3"/>
    <w:rsid w:val="00773EBC"/>
    <w:rsid w:val="0077614C"/>
    <w:rsid w:val="007820CB"/>
    <w:rsid w:val="007B2CB1"/>
    <w:rsid w:val="007B58C4"/>
    <w:rsid w:val="007B5E66"/>
    <w:rsid w:val="007D3B3A"/>
    <w:rsid w:val="007D4D1B"/>
    <w:rsid w:val="007D75E2"/>
    <w:rsid w:val="007E57B5"/>
    <w:rsid w:val="00812BFE"/>
    <w:rsid w:val="00814F86"/>
    <w:rsid w:val="00824A4F"/>
    <w:rsid w:val="008330F6"/>
    <w:rsid w:val="00843EE7"/>
    <w:rsid w:val="00854638"/>
    <w:rsid w:val="0086620B"/>
    <w:rsid w:val="008753E8"/>
    <w:rsid w:val="008C2BC7"/>
    <w:rsid w:val="008C380B"/>
    <w:rsid w:val="008C7762"/>
    <w:rsid w:val="008D6603"/>
    <w:rsid w:val="008E7660"/>
    <w:rsid w:val="00900F5D"/>
    <w:rsid w:val="00936FD0"/>
    <w:rsid w:val="00943A52"/>
    <w:rsid w:val="009630B5"/>
    <w:rsid w:val="00965618"/>
    <w:rsid w:val="00965B4E"/>
    <w:rsid w:val="00975CE9"/>
    <w:rsid w:val="0098756B"/>
    <w:rsid w:val="009913A0"/>
    <w:rsid w:val="00995818"/>
    <w:rsid w:val="009A7E21"/>
    <w:rsid w:val="009B0A17"/>
    <w:rsid w:val="009C0941"/>
    <w:rsid w:val="009C5A5A"/>
    <w:rsid w:val="009C5E56"/>
    <w:rsid w:val="009D113B"/>
    <w:rsid w:val="009F02DB"/>
    <w:rsid w:val="00A024CE"/>
    <w:rsid w:val="00A02AA7"/>
    <w:rsid w:val="00A15362"/>
    <w:rsid w:val="00A159AC"/>
    <w:rsid w:val="00A317CB"/>
    <w:rsid w:val="00A4100D"/>
    <w:rsid w:val="00A44F27"/>
    <w:rsid w:val="00A56CC7"/>
    <w:rsid w:val="00A6017E"/>
    <w:rsid w:val="00A70755"/>
    <w:rsid w:val="00A853AA"/>
    <w:rsid w:val="00A97A26"/>
    <w:rsid w:val="00AA0DE8"/>
    <w:rsid w:val="00AA5CAB"/>
    <w:rsid w:val="00AB5534"/>
    <w:rsid w:val="00AB5916"/>
    <w:rsid w:val="00AC47C5"/>
    <w:rsid w:val="00AD2693"/>
    <w:rsid w:val="00AD76AB"/>
    <w:rsid w:val="00AE5477"/>
    <w:rsid w:val="00AF099A"/>
    <w:rsid w:val="00AF4DE0"/>
    <w:rsid w:val="00B107E9"/>
    <w:rsid w:val="00B17BD5"/>
    <w:rsid w:val="00B23830"/>
    <w:rsid w:val="00B26400"/>
    <w:rsid w:val="00B35241"/>
    <w:rsid w:val="00B613E4"/>
    <w:rsid w:val="00B83749"/>
    <w:rsid w:val="00B84B5C"/>
    <w:rsid w:val="00BD7006"/>
    <w:rsid w:val="00BE7D48"/>
    <w:rsid w:val="00BF084B"/>
    <w:rsid w:val="00C0216C"/>
    <w:rsid w:val="00C115CF"/>
    <w:rsid w:val="00C128CE"/>
    <w:rsid w:val="00C23973"/>
    <w:rsid w:val="00C276E4"/>
    <w:rsid w:val="00C31963"/>
    <w:rsid w:val="00C3585E"/>
    <w:rsid w:val="00C46EFD"/>
    <w:rsid w:val="00C643CC"/>
    <w:rsid w:val="00C870DA"/>
    <w:rsid w:val="00C87244"/>
    <w:rsid w:val="00C91A71"/>
    <w:rsid w:val="00C97E5E"/>
    <w:rsid w:val="00CA40A3"/>
    <w:rsid w:val="00CA66D7"/>
    <w:rsid w:val="00CD6A86"/>
    <w:rsid w:val="00CE6954"/>
    <w:rsid w:val="00CF39A7"/>
    <w:rsid w:val="00CF5F86"/>
    <w:rsid w:val="00D062EA"/>
    <w:rsid w:val="00D11AC0"/>
    <w:rsid w:val="00D41EC2"/>
    <w:rsid w:val="00D57972"/>
    <w:rsid w:val="00D84E28"/>
    <w:rsid w:val="00D861AD"/>
    <w:rsid w:val="00D861BB"/>
    <w:rsid w:val="00D95B34"/>
    <w:rsid w:val="00DA02A8"/>
    <w:rsid w:val="00DA398A"/>
    <w:rsid w:val="00DA4618"/>
    <w:rsid w:val="00DA5340"/>
    <w:rsid w:val="00DB3FBE"/>
    <w:rsid w:val="00DB450D"/>
    <w:rsid w:val="00DC42AA"/>
    <w:rsid w:val="00DE5F30"/>
    <w:rsid w:val="00DF5A51"/>
    <w:rsid w:val="00E20895"/>
    <w:rsid w:val="00E30FFC"/>
    <w:rsid w:val="00E33924"/>
    <w:rsid w:val="00E37C3F"/>
    <w:rsid w:val="00E52E52"/>
    <w:rsid w:val="00E53CD9"/>
    <w:rsid w:val="00E5759D"/>
    <w:rsid w:val="00E66D9E"/>
    <w:rsid w:val="00E712A4"/>
    <w:rsid w:val="00E76C66"/>
    <w:rsid w:val="00E800EA"/>
    <w:rsid w:val="00E83CE9"/>
    <w:rsid w:val="00EB56F0"/>
    <w:rsid w:val="00EC2153"/>
    <w:rsid w:val="00EC633B"/>
    <w:rsid w:val="00EC66B6"/>
    <w:rsid w:val="00ED155B"/>
    <w:rsid w:val="00EE2024"/>
    <w:rsid w:val="00EE2D9A"/>
    <w:rsid w:val="00F035FF"/>
    <w:rsid w:val="00F11762"/>
    <w:rsid w:val="00F16B2A"/>
    <w:rsid w:val="00F51328"/>
    <w:rsid w:val="00F649C2"/>
    <w:rsid w:val="00F7544D"/>
    <w:rsid w:val="00FA5E1E"/>
    <w:rsid w:val="00FC0142"/>
    <w:rsid w:val="00FC7B27"/>
    <w:rsid w:val="00FE1095"/>
    <w:rsid w:val="00FE22DF"/>
    <w:rsid w:val="00FE720D"/>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rsid w:val="004F3439"/>
    <w:pPr>
      <w:keepNext/>
      <w:numPr>
        <w:numId w:val="21"/>
      </w:numPr>
      <w:spacing w:before="240"/>
      <w:jc w:val="center"/>
      <w:outlineLvl w:val="0"/>
    </w:pPr>
    <w:rPr>
      <w:b/>
      <w:caps/>
      <w:kern w:val="28"/>
    </w:rPr>
  </w:style>
  <w:style w:type="paragraph" w:styleId="Heading2">
    <w:name w:val="heading 2"/>
    <w:basedOn w:val="Normal"/>
    <w:next w:val="Normal"/>
    <w:link w:val="Heading2Char"/>
    <w:qFormat/>
    <w:rsid w:val="004F3439"/>
    <w:pPr>
      <w:keepNext/>
      <w:numPr>
        <w:ilvl w:val="1"/>
        <w:numId w:val="21"/>
      </w:numPr>
      <w:spacing w:before="240"/>
      <w:jc w:val="both"/>
      <w:outlineLvl w:val="1"/>
    </w:pPr>
    <w:rPr>
      <w:b/>
    </w:rPr>
  </w:style>
  <w:style w:type="paragraph" w:styleId="Heading3">
    <w:name w:val="heading 3"/>
    <w:basedOn w:val="Normal"/>
    <w:next w:val="Normal"/>
    <w:link w:val="Heading3Char"/>
    <w:qFormat/>
    <w:rsid w:val="004F3439"/>
    <w:pPr>
      <w:keepNext/>
      <w:numPr>
        <w:ilvl w:val="2"/>
        <w:numId w:val="21"/>
      </w:numPr>
      <w:spacing w:before="240"/>
      <w:jc w:val="both"/>
      <w:outlineLvl w:val="2"/>
    </w:pPr>
    <w:rPr>
      <w:b/>
    </w:rPr>
  </w:style>
  <w:style w:type="paragraph" w:styleId="Heading4">
    <w:name w:val="heading 4"/>
    <w:basedOn w:val="Normal"/>
    <w:next w:val="Normal"/>
    <w:qFormat/>
    <w:rsid w:val="004F3439"/>
    <w:pPr>
      <w:keepNext/>
      <w:numPr>
        <w:ilvl w:val="3"/>
        <w:numId w:val="21"/>
      </w:numPr>
      <w:spacing w:before="240"/>
      <w:jc w:val="both"/>
      <w:outlineLvl w:val="3"/>
    </w:pPr>
    <w:rPr>
      <w:b/>
    </w:rPr>
  </w:style>
  <w:style w:type="paragraph" w:styleId="Heading5">
    <w:name w:val="heading 5"/>
    <w:basedOn w:val="Normal"/>
    <w:next w:val="Normal"/>
    <w:qFormat/>
    <w:rsid w:val="004F3439"/>
    <w:pPr>
      <w:keepNext/>
      <w:numPr>
        <w:ilvl w:val="4"/>
        <w:numId w:val="21"/>
      </w:numPr>
      <w:spacing w:before="240"/>
      <w:jc w:val="both"/>
      <w:outlineLvl w:val="4"/>
    </w:pPr>
    <w:rPr>
      <w:b/>
    </w:rPr>
  </w:style>
  <w:style w:type="paragraph" w:styleId="Heading6">
    <w:name w:val="heading 6"/>
    <w:basedOn w:val="Normal"/>
    <w:next w:val="Normal"/>
    <w:link w:val="Heading6Char"/>
    <w:qFormat/>
    <w:rsid w:val="004F3439"/>
    <w:pPr>
      <w:keepNext/>
      <w:numPr>
        <w:ilvl w:val="5"/>
        <w:numId w:val="21"/>
      </w:numPr>
      <w:spacing w:before="240"/>
      <w:jc w:val="both"/>
      <w:outlineLvl w:val="5"/>
    </w:pPr>
    <w:rPr>
      <w:b/>
    </w:rPr>
  </w:style>
  <w:style w:type="paragraph" w:styleId="Heading7">
    <w:name w:val="heading 7"/>
    <w:basedOn w:val="Normal"/>
    <w:next w:val="Normal"/>
    <w:qFormat/>
    <w:rsid w:val="004F3439"/>
    <w:pPr>
      <w:keepNext/>
      <w:numPr>
        <w:ilvl w:val="6"/>
        <w:numId w:val="21"/>
      </w:numPr>
      <w:spacing w:before="240"/>
      <w:jc w:val="both"/>
      <w:outlineLvl w:val="6"/>
    </w:pPr>
    <w:rPr>
      <w:b/>
    </w:rPr>
  </w:style>
  <w:style w:type="paragraph" w:styleId="Heading8">
    <w:name w:val="heading 8"/>
    <w:basedOn w:val="Normal"/>
    <w:next w:val="Normal"/>
    <w:qFormat/>
    <w:rsid w:val="004F3439"/>
    <w:pPr>
      <w:keepNext/>
      <w:numPr>
        <w:ilvl w:val="7"/>
        <w:numId w:val="21"/>
      </w:numPr>
      <w:spacing w:before="240"/>
      <w:jc w:val="both"/>
      <w:outlineLvl w:val="7"/>
    </w:pPr>
    <w:rPr>
      <w:b/>
    </w:rPr>
  </w:style>
  <w:style w:type="paragraph" w:styleId="Heading9">
    <w:name w:val="heading 9"/>
    <w:basedOn w:val="Normal"/>
    <w:next w:val="Normal"/>
    <w:qFormat/>
    <w:rsid w:val="004F3439"/>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439"/>
    <w:pPr>
      <w:tabs>
        <w:tab w:val="center" w:pos="4320"/>
        <w:tab w:val="right" w:pos="8640"/>
      </w:tabs>
      <w:spacing w:line="240" w:lineRule="auto"/>
    </w:pPr>
  </w:style>
  <w:style w:type="paragraph" w:styleId="Footer">
    <w:name w:val="footer"/>
    <w:basedOn w:val="Normal"/>
    <w:rsid w:val="004F3439"/>
    <w:pPr>
      <w:tabs>
        <w:tab w:val="center" w:pos="4320"/>
        <w:tab w:val="right" w:pos="8640"/>
      </w:tabs>
      <w:spacing w:line="240" w:lineRule="auto"/>
    </w:pPr>
    <w:rPr>
      <w:sz w:val="20"/>
    </w:rPr>
  </w:style>
  <w:style w:type="paragraph" w:customStyle="1" w:styleId="LineNumbers">
    <w:name w:val="LineNumbers"/>
    <w:basedOn w:val="Normal"/>
    <w:rsid w:val="004F3439"/>
    <w:pPr>
      <w:jc w:val="right"/>
    </w:pPr>
  </w:style>
  <w:style w:type="paragraph" w:customStyle="1" w:styleId="SingleSpacing">
    <w:name w:val="Single Spacing"/>
    <w:basedOn w:val="Normal"/>
    <w:rsid w:val="004F3439"/>
    <w:pPr>
      <w:spacing w:line="186" w:lineRule="exact"/>
    </w:pPr>
  </w:style>
  <w:style w:type="paragraph" w:customStyle="1" w:styleId="15Spacing">
    <w:name w:val="1.5 Spacing"/>
    <w:basedOn w:val="Normal"/>
    <w:rsid w:val="004F3439"/>
    <w:pPr>
      <w:spacing w:line="279" w:lineRule="exact"/>
    </w:pPr>
  </w:style>
  <w:style w:type="paragraph" w:customStyle="1" w:styleId="DoubleSpacing">
    <w:name w:val="Double Spacing"/>
    <w:basedOn w:val="Normal"/>
    <w:rsid w:val="004F3439"/>
  </w:style>
  <w:style w:type="character" w:styleId="PageNumber">
    <w:name w:val="page number"/>
    <w:basedOn w:val="DefaultParagraphFont"/>
    <w:rsid w:val="004F3439"/>
  </w:style>
  <w:style w:type="paragraph" w:customStyle="1" w:styleId="Address">
    <w:name w:val="Address"/>
    <w:basedOn w:val="SingleSpacing"/>
    <w:rsid w:val="004F3439"/>
    <w:pPr>
      <w:ind w:left="4680"/>
    </w:pPr>
  </w:style>
  <w:style w:type="paragraph" w:customStyle="1" w:styleId="CourtName">
    <w:name w:val="CourtName"/>
    <w:basedOn w:val="Normal"/>
    <w:rsid w:val="004F3439"/>
    <w:pPr>
      <w:jc w:val="center"/>
    </w:pPr>
  </w:style>
  <w:style w:type="character" w:styleId="FootnoteReference">
    <w:name w:val="footnote reference"/>
    <w:uiPriority w:val="99"/>
    <w:semiHidden/>
    <w:rsid w:val="004F3439"/>
    <w:rPr>
      <w:vertAlign w:val="superscript"/>
    </w:rPr>
  </w:style>
  <w:style w:type="paragraph" w:styleId="TOAHeading">
    <w:name w:val="toa heading"/>
    <w:basedOn w:val="Normal"/>
    <w:next w:val="Normal"/>
    <w:semiHidden/>
    <w:rsid w:val="004F3439"/>
    <w:pPr>
      <w:spacing w:before="120" w:after="240"/>
      <w:jc w:val="center"/>
    </w:pPr>
    <w:rPr>
      <w:b/>
      <w:u w:val="single"/>
    </w:rPr>
  </w:style>
  <w:style w:type="paragraph" w:styleId="FootnoteText">
    <w:name w:val="footnote text"/>
    <w:basedOn w:val="Normal"/>
    <w:link w:val="FootnoteTextChar"/>
    <w:uiPriority w:val="99"/>
    <w:semiHidden/>
    <w:rsid w:val="004F3439"/>
    <w:pPr>
      <w:spacing w:line="240" w:lineRule="auto"/>
      <w:ind w:firstLine="720"/>
    </w:pPr>
    <w:rPr>
      <w:sz w:val="20"/>
    </w:rPr>
  </w:style>
  <w:style w:type="paragraph" w:styleId="TOC1">
    <w:name w:val="toc 1"/>
    <w:basedOn w:val="Normal"/>
    <w:next w:val="Normal"/>
    <w:semiHidden/>
    <w:rsid w:val="004F3439"/>
    <w:pPr>
      <w:tabs>
        <w:tab w:val="right" w:leader="dot" w:pos="9158"/>
      </w:tabs>
      <w:spacing w:after="240"/>
      <w:ind w:left="630" w:right="547" w:hanging="630"/>
    </w:pPr>
    <w:rPr>
      <w:caps/>
      <w:noProof/>
    </w:rPr>
  </w:style>
  <w:style w:type="paragraph" w:styleId="TOC2">
    <w:name w:val="toc 2"/>
    <w:basedOn w:val="Normal"/>
    <w:next w:val="Normal"/>
    <w:semiHidden/>
    <w:rsid w:val="004F3439"/>
    <w:pPr>
      <w:tabs>
        <w:tab w:val="right" w:leader="dot" w:pos="9158"/>
      </w:tabs>
      <w:spacing w:after="240"/>
      <w:ind w:left="1080" w:right="547" w:hanging="450"/>
    </w:pPr>
    <w:rPr>
      <w:noProof/>
    </w:rPr>
  </w:style>
  <w:style w:type="paragraph" w:styleId="TOC3">
    <w:name w:val="toc 3"/>
    <w:basedOn w:val="Normal"/>
    <w:next w:val="Normal"/>
    <w:semiHidden/>
    <w:rsid w:val="004F3439"/>
    <w:pPr>
      <w:tabs>
        <w:tab w:val="right" w:leader="dot" w:pos="9158"/>
      </w:tabs>
      <w:spacing w:after="240"/>
      <w:ind w:left="1530" w:right="547" w:hanging="450"/>
    </w:pPr>
    <w:rPr>
      <w:noProof/>
    </w:rPr>
  </w:style>
  <w:style w:type="paragraph" w:styleId="TOC4">
    <w:name w:val="toc 4"/>
    <w:basedOn w:val="Normal"/>
    <w:next w:val="Normal"/>
    <w:semiHidden/>
    <w:rsid w:val="004F3439"/>
    <w:pPr>
      <w:tabs>
        <w:tab w:val="right" w:leader="dot" w:pos="9158"/>
      </w:tabs>
      <w:spacing w:after="240"/>
      <w:ind w:left="1980" w:right="547" w:hanging="450"/>
    </w:pPr>
    <w:rPr>
      <w:noProof/>
    </w:rPr>
  </w:style>
  <w:style w:type="paragraph" w:styleId="TOC5">
    <w:name w:val="toc 5"/>
    <w:basedOn w:val="Normal"/>
    <w:next w:val="Normal"/>
    <w:semiHidden/>
    <w:rsid w:val="004F3439"/>
    <w:pPr>
      <w:tabs>
        <w:tab w:val="right" w:leader="dot" w:pos="9158"/>
      </w:tabs>
      <w:spacing w:after="240"/>
      <w:ind w:left="2610" w:right="547" w:hanging="630"/>
    </w:pPr>
    <w:rPr>
      <w:noProof/>
    </w:rPr>
  </w:style>
  <w:style w:type="paragraph" w:styleId="TOC6">
    <w:name w:val="toc 6"/>
    <w:basedOn w:val="Normal"/>
    <w:next w:val="Normal"/>
    <w:semiHidden/>
    <w:rsid w:val="004F3439"/>
    <w:pPr>
      <w:tabs>
        <w:tab w:val="right" w:pos="9158"/>
      </w:tabs>
      <w:spacing w:after="240"/>
      <w:ind w:left="3150" w:right="547" w:hanging="540"/>
    </w:pPr>
    <w:rPr>
      <w:noProof/>
    </w:rPr>
  </w:style>
  <w:style w:type="paragraph" w:styleId="TOC7">
    <w:name w:val="toc 7"/>
    <w:basedOn w:val="Normal"/>
    <w:next w:val="Normal"/>
    <w:semiHidden/>
    <w:rsid w:val="004F3439"/>
    <w:pPr>
      <w:tabs>
        <w:tab w:val="right" w:leader="dot" w:pos="9158"/>
      </w:tabs>
      <w:spacing w:after="240"/>
      <w:ind w:left="3600" w:right="547" w:hanging="450"/>
    </w:pPr>
    <w:rPr>
      <w:noProof/>
    </w:rPr>
  </w:style>
  <w:style w:type="paragraph" w:styleId="TOC8">
    <w:name w:val="toc 8"/>
    <w:basedOn w:val="Normal"/>
    <w:next w:val="Normal"/>
    <w:semiHidden/>
    <w:rsid w:val="004F3439"/>
    <w:pPr>
      <w:tabs>
        <w:tab w:val="right" w:leader="dot" w:pos="9158"/>
      </w:tabs>
      <w:spacing w:after="240"/>
      <w:ind w:left="4050" w:right="547" w:hanging="450"/>
    </w:pPr>
    <w:rPr>
      <w:noProof/>
    </w:rPr>
  </w:style>
  <w:style w:type="paragraph" w:styleId="BodyText">
    <w:name w:val="Body Text"/>
    <w:basedOn w:val="Normal"/>
    <w:rsid w:val="004F3439"/>
    <w:pPr>
      <w:spacing w:after="120" w:line="480" w:lineRule="auto"/>
      <w:ind w:firstLine="720"/>
    </w:pPr>
  </w:style>
  <w:style w:type="paragraph" w:styleId="TableofAuthorities">
    <w:name w:val="table of authorities"/>
    <w:basedOn w:val="Normal"/>
    <w:next w:val="Normal"/>
    <w:semiHidden/>
    <w:rsid w:val="004F3439"/>
    <w:pPr>
      <w:tabs>
        <w:tab w:val="right" w:pos="9360"/>
      </w:tabs>
      <w:spacing w:after="240"/>
      <w:ind w:left="245" w:right="720" w:hanging="245"/>
    </w:pPr>
  </w:style>
  <w:style w:type="paragraph" w:customStyle="1" w:styleId="ParNumber">
    <w:name w:val="ParNumber"/>
    <w:basedOn w:val="Normal"/>
    <w:rsid w:val="004F3439"/>
    <w:pPr>
      <w:numPr>
        <w:numId w:val="12"/>
      </w:numPr>
      <w:tabs>
        <w:tab w:val="clear" w:pos="360"/>
        <w:tab w:val="left" w:pos="720"/>
      </w:tabs>
      <w:ind w:left="0" w:hanging="720"/>
    </w:pPr>
  </w:style>
  <w:style w:type="character" w:customStyle="1" w:styleId="Heading6Char">
    <w:name w:val="Heading 6 Char"/>
    <w:link w:val="Heading6"/>
    <w:rsid w:val="004F3439"/>
    <w:rPr>
      <w:b/>
      <w:sz w:val="24"/>
      <w:lang w:val="en-US" w:eastAsia="en-US" w:bidi="ar-SA"/>
    </w:rPr>
  </w:style>
  <w:style w:type="paragraph" w:styleId="BalloonText">
    <w:name w:val="Balloon Text"/>
    <w:basedOn w:val="Normal"/>
    <w:semiHidden/>
    <w:rsid w:val="004F3439"/>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link w:val="Heading2Char"/>
    <w:qFormat/>
    <w:pPr>
      <w:keepNext/>
      <w:numPr>
        <w:ilvl w:val="1"/>
        <w:numId w:val="21"/>
      </w:numPr>
      <w:spacing w:before="240"/>
      <w:jc w:val="both"/>
      <w:outlineLvl w:val="1"/>
    </w:pPr>
    <w:rPr>
      <w:b/>
      <w:lang w:val="x-none" w:eastAsia="x-none"/>
    </w:rPr>
  </w:style>
  <w:style w:type="paragraph" w:styleId="Heading3">
    <w:name w:val="heading 3"/>
    <w:basedOn w:val="Normal"/>
    <w:next w:val="Normal"/>
    <w:link w:val="Heading3Char"/>
    <w:qFormat/>
    <w:pPr>
      <w:keepNext/>
      <w:numPr>
        <w:ilvl w:val="2"/>
        <w:numId w:val="21"/>
      </w:numPr>
      <w:spacing w:before="240"/>
      <w:jc w:val="both"/>
      <w:outlineLvl w:val="2"/>
    </w:pPr>
    <w:rPr>
      <w:b/>
      <w:lang w:val="x-none" w:eastAsia="x-none"/>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val="x-none" w:eastAsia="x-none"/>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Public%20Counsel\U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42D71E-25AB-4EFF-B1FC-959EC800C279}"/>
</file>

<file path=customXml/itemProps2.xml><?xml version="1.0" encoding="utf-8"?>
<ds:datastoreItem xmlns:ds="http://schemas.openxmlformats.org/officeDocument/2006/customXml" ds:itemID="{50AC6ED2-8BA9-4228-8278-14E1BE8E7D62}"/>
</file>

<file path=customXml/itemProps3.xml><?xml version="1.0" encoding="utf-8"?>
<ds:datastoreItem xmlns:ds="http://schemas.openxmlformats.org/officeDocument/2006/customXml" ds:itemID="{CDE3C221-BF81-4767-BF3E-981D90D297B2}"/>
</file>

<file path=customXml/itemProps4.xml><?xml version="1.0" encoding="utf-8"?>
<ds:datastoreItem xmlns:ds="http://schemas.openxmlformats.org/officeDocument/2006/customXml" ds:itemID="{EA19BAF3-5EAB-44C8-88CC-40774DFF46A6}"/>
</file>

<file path=customXml/itemProps5.xml><?xml version="1.0" encoding="utf-8"?>
<ds:datastoreItem xmlns:ds="http://schemas.openxmlformats.org/officeDocument/2006/customXml" ds:itemID="{CA523A0C-62A2-4519-9B62-651C5AD2C5C7}"/>
</file>

<file path=docProps/app.xml><?xml version="1.0" encoding="utf-8"?>
<Properties xmlns="http://schemas.openxmlformats.org/officeDocument/2006/extended-properties" xmlns:vt="http://schemas.openxmlformats.org/officeDocument/2006/docPropsVTypes">
  <Template>UTC</Template>
  <TotalTime>141</TotalTime>
  <Pages>5</Pages>
  <Words>939</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Plain Pleading</vt:lpstr>
    </vt:vector>
  </TitlesOfParts>
  <Company>Microsoft</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Sarah A. Kohler</cp:lastModifiedBy>
  <cp:revision>19</cp:revision>
  <cp:lastPrinted>2013-04-04T20:49:00Z</cp:lastPrinted>
  <dcterms:created xsi:type="dcterms:W3CDTF">2013-04-04T16:21:00Z</dcterms:created>
  <dcterms:modified xsi:type="dcterms:W3CDTF">2013-04-04T22:08:00Z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