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2CE5D" w14:textId="77777777"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p>
    <w:p w14:paraId="1B638BFF" w14:textId="77777777" w:rsidR="00A17D6A" w:rsidRDefault="00A17D6A" w:rsidP="00A17D6A">
      <w:pPr>
        <w:jc w:val="center"/>
        <w:rPr>
          <w:b/>
          <w:bCs/>
          <w:szCs w:val="24"/>
        </w:rPr>
      </w:pPr>
    </w:p>
    <w:p w14:paraId="54FE70AE" w14:textId="77777777" w:rsidR="00A17D6A" w:rsidRPr="00376EF7" w:rsidRDefault="00A17D6A" w:rsidP="00A17D6A">
      <w:pPr>
        <w:jc w:val="center"/>
        <w:rPr>
          <w:b/>
          <w:bCs/>
          <w:szCs w:val="24"/>
        </w:rPr>
      </w:pPr>
      <w:r>
        <w:rPr>
          <w:b/>
          <w:bCs/>
          <w:szCs w:val="24"/>
        </w:rPr>
        <w:t xml:space="preserve">TRANSPORTATION COMMISSION </w:t>
      </w:r>
    </w:p>
    <w:p w14:paraId="4035A225" w14:textId="77777777" w:rsidR="00A17D6A" w:rsidRDefault="00A17D6A" w:rsidP="00A17D6A">
      <w:pPr>
        <w:jc w:val="center"/>
        <w:rPr>
          <w:szCs w:val="24"/>
        </w:rPr>
      </w:pPr>
    </w:p>
    <w:p w14:paraId="649A4499" w14:textId="77777777" w:rsidR="00A17D6A" w:rsidRPr="00376EF7" w:rsidRDefault="00A17D6A" w:rsidP="00A17D6A">
      <w:pPr>
        <w:pStyle w:val="Heading1"/>
        <w:rPr>
          <w:sz w:val="24"/>
          <w:szCs w:val="24"/>
        </w:rPr>
      </w:pPr>
      <w:r>
        <w:rPr>
          <w:sz w:val="24"/>
          <w:szCs w:val="24"/>
        </w:rPr>
        <w:t>A-130355</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A17D6A" w14:paraId="0011394A" w14:textId="77777777" w:rsidTr="003471BB">
        <w:trPr>
          <w:trHeight w:val="2223"/>
        </w:trPr>
        <w:tc>
          <w:tcPr>
            <w:tcW w:w="4508" w:type="dxa"/>
            <w:tcBorders>
              <w:bottom w:val="single" w:sz="4" w:space="0" w:color="auto"/>
            </w:tcBorders>
          </w:tcPr>
          <w:p w14:paraId="0D4695A6" w14:textId="77777777" w:rsidR="00A17D6A" w:rsidRDefault="00A17D6A" w:rsidP="003471BB">
            <w:pPr>
              <w:tabs>
                <w:tab w:val="left" w:pos="1456"/>
              </w:tabs>
              <w:autoSpaceDE w:val="0"/>
              <w:autoSpaceDN w:val="0"/>
              <w:adjustRightInd w:val="0"/>
            </w:pPr>
          </w:p>
          <w:p w14:paraId="67E7C2A4" w14:textId="77777777" w:rsidR="00A17D6A" w:rsidRDefault="00A17D6A" w:rsidP="003471BB">
            <w:pPr>
              <w:tabs>
                <w:tab w:val="left" w:pos="1456"/>
              </w:tabs>
              <w:autoSpaceDE w:val="0"/>
              <w:autoSpaceDN w:val="0"/>
              <w:adjustRightInd w:val="0"/>
            </w:pPr>
            <w:r>
              <w:t>In the Matter of</w:t>
            </w:r>
          </w:p>
          <w:p w14:paraId="4122F667" w14:textId="77777777" w:rsidR="00A17D6A" w:rsidRDefault="00A17D6A" w:rsidP="003471BB">
            <w:pPr>
              <w:tabs>
                <w:tab w:val="left" w:pos="1456"/>
              </w:tabs>
              <w:autoSpaceDE w:val="0"/>
              <w:autoSpaceDN w:val="0"/>
              <w:adjustRightInd w:val="0"/>
            </w:pPr>
          </w:p>
          <w:p w14:paraId="7553ABAD" w14:textId="77777777" w:rsidR="00A17D6A" w:rsidRDefault="00A17D6A" w:rsidP="003471BB">
            <w:pPr>
              <w:tabs>
                <w:tab w:val="left" w:pos="1456"/>
              </w:tabs>
              <w:autoSpaceDE w:val="0"/>
              <w:autoSpaceDN w:val="0"/>
              <w:adjustRightInd w:val="0"/>
            </w:pPr>
            <w:r>
              <w:t>Rulemaking to Consider Possible Correction</w:t>
            </w:r>
            <w:r w:rsidR="00B07778">
              <w:t>s</w:t>
            </w:r>
            <w:r>
              <w:t xml:space="preserve"> and Changes in Rules in WAC 480-07, Relating to Procedural Rules</w:t>
            </w:r>
          </w:p>
          <w:p w14:paraId="25EDF905" w14:textId="77777777" w:rsidR="00A17D6A" w:rsidRDefault="00A17D6A" w:rsidP="003471BB">
            <w:pPr>
              <w:tabs>
                <w:tab w:val="left" w:pos="1456"/>
              </w:tabs>
              <w:autoSpaceDE w:val="0"/>
              <w:autoSpaceDN w:val="0"/>
              <w:adjustRightInd w:val="0"/>
            </w:pPr>
          </w:p>
          <w:p w14:paraId="35770152" w14:textId="77777777" w:rsidR="00A17D6A" w:rsidRPr="00625777" w:rsidRDefault="00A17D6A" w:rsidP="003471BB">
            <w:pPr>
              <w:autoSpaceDE w:val="0"/>
              <w:autoSpaceDN w:val="0"/>
              <w:adjustRightInd w:val="0"/>
              <w:rPr>
                <w:color w:val="000000"/>
              </w:rPr>
            </w:pPr>
          </w:p>
        </w:tc>
        <w:tc>
          <w:tcPr>
            <w:tcW w:w="310" w:type="dxa"/>
          </w:tcPr>
          <w:p w14:paraId="317A6BB9" w14:textId="77777777" w:rsidR="00A17D6A" w:rsidRDefault="00A17D6A" w:rsidP="003471BB">
            <w:pPr>
              <w:pStyle w:val="SingleSpacing"/>
              <w:spacing w:line="240" w:lineRule="auto"/>
            </w:pPr>
          </w:p>
          <w:p w14:paraId="4083763E" w14:textId="77777777" w:rsidR="00A17D6A" w:rsidRDefault="00A17D6A" w:rsidP="003471BB">
            <w:pPr>
              <w:pStyle w:val="SingleSpacing"/>
              <w:spacing w:line="240" w:lineRule="auto"/>
            </w:pPr>
            <w:r>
              <w:t>)</w:t>
            </w:r>
          </w:p>
          <w:p w14:paraId="0E5C00CB" w14:textId="77777777" w:rsidR="00A17D6A" w:rsidRDefault="00A17D6A" w:rsidP="003471BB">
            <w:pPr>
              <w:pStyle w:val="SingleSpacing"/>
              <w:spacing w:line="240" w:lineRule="auto"/>
            </w:pPr>
            <w:r>
              <w:t>)</w:t>
            </w:r>
          </w:p>
          <w:p w14:paraId="7A971E2B" w14:textId="77777777" w:rsidR="00A17D6A" w:rsidRDefault="00A17D6A" w:rsidP="003471BB">
            <w:pPr>
              <w:pStyle w:val="SingleSpacing"/>
              <w:spacing w:line="240" w:lineRule="auto"/>
            </w:pPr>
            <w:r>
              <w:t>)</w:t>
            </w:r>
          </w:p>
          <w:p w14:paraId="126D6131" w14:textId="77777777" w:rsidR="00A17D6A" w:rsidRDefault="00A17D6A" w:rsidP="003471BB">
            <w:pPr>
              <w:pStyle w:val="SingleSpacing"/>
              <w:spacing w:line="240" w:lineRule="auto"/>
            </w:pPr>
            <w:r>
              <w:t>)</w:t>
            </w:r>
          </w:p>
          <w:p w14:paraId="09365B2A" w14:textId="77777777" w:rsidR="00A17D6A" w:rsidRDefault="00A17D6A" w:rsidP="003471BB">
            <w:pPr>
              <w:pStyle w:val="SingleSpacing"/>
              <w:spacing w:line="240" w:lineRule="auto"/>
            </w:pPr>
            <w:r>
              <w:t>)</w:t>
            </w:r>
          </w:p>
          <w:p w14:paraId="0553FCE1" w14:textId="77777777" w:rsidR="00A17D6A" w:rsidRDefault="00A17D6A" w:rsidP="003471BB">
            <w:pPr>
              <w:pStyle w:val="SingleSpacing"/>
              <w:spacing w:line="240" w:lineRule="auto"/>
            </w:pPr>
            <w:r>
              <w:t>)</w:t>
            </w:r>
          </w:p>
          <w:p w14:paraId="0218F412" w14:textId="77777777" w:rsidR="00A17D6A" w:rsidRPr="00340346" w:rsidRDefault="00A17D6A" w:rsidP="003471BB">
            <w:r>
              <w:t>)</w:t>
            </w:r>
          </w:p>
        </w:tc>
        <w:tc>
          <w:tcPr>
            <w:tcW w:w="4542" w:type="dxa"/>
          </w:tcPr>
          <w:p w14:paraId="12581016" w14:textId="77777777" w:rsidR="00A17D6A" w:rsidRDefault="00A17D6A" w:rsidP="003471BB">
            <w:pPr>
              <w:pStyle w:val="SingleSpacing"/>
              <w:spacing w:line="240" w:lineRule="auto"/>
            </w:pPr>
            <w:bookmarkStart w:id="0" w:name="CaseNumber"/>
            <w:bookmarkEnd w:id="0"/>
          </w:p>
          <w:p w14:paraId="576DE2A7" w14:textId="77777777" w:rsidR="00A17D6A" w:rsidRDefault="00A17D6A" w:rsidP="003471BB">
            <w:pPr>
              <w:pStyle w:val="SingleSpacing"/>
              <w:spacing w:line="240" w:lineRule="auto"/>
            </w:pPr>
          </w:p>
          <w:p w14:paraId="2D9CF62A" w14:textId="77777777" w:rsidR="00A17D6A" w:rsidRPr="00FA693A" w:rsidRDefault="00A17D6A" w:rsidP="003471BB">
            <w:pPr>
              <w:pStyle w:val="BodyText2"/>
              <w:ind w:left="410"/>
              <w:rPr>
                <w:b w:val="0"/>
                <w:bCs w:val="0"/>
                <w:sz w:val="24"/>
              </w:rPr>
            </w:pPr>
            <w:r>
              <w:rPr>
                <w:b w:val="0"/>
                <w:bCs w:val="0"/>
                <w:sz w:val="24"/>
              </w:rPr>
              <w:t>COMMENTS OF THE INDUSTRIAL CUSTOMERS OF NORTHWEST UTILITIES</w:t>
            </w:r>
            <w:r w:rsidR="00442E6D">
              <w:rPr>
                <w:b w:val="0"/>
                <w:bCs w:val="0"/>
                <w:sz w:val="24"/>
              </w:rPr>
              <w:t xml:space="preserve"> </w:t>
            </w:r>
            <w:r w:rsidR="00442E6D" w:rsidRPr="001A7B97">
              <w:rPr>
                <w:b w:val="0"/>
                <w:bCs w:val="0"/>
                <w:sz w:val="24"/>
              </w:rPr>
              <w:t>REGARDING PROPOS</w:t>
            </w:r>
            <w:r w:rsidR="00A16A40" w:rsidRPr="001A7B97">
              <w:rPr>
                <w:b w:val="0"/>
                <w:bCs w:val="0"/>
                <w:sz w:val="24"/>
              </w:rPr>
              <w:t>ED CHANGES TO WAC</w:t>
            </w:r>
            <w:r w:rsidR="005A4726" w:rsidRPr="001A7B97">
              <w:rPr>
                <w:b w:val="0"/>
                <w:bCs w:val="0"/>
                <w:sz w:val="24"/>
              </w:rPr>
              <w:t xml:space="preserve"> </w:t>
            </w:r>
            <w:r w:rsidR="00442C21">
              <w:rPr>
                <w:b w:val="0"/>
                <w:bCs w:val="0"/>
                <w:sz w:val="24"/>
              </w:rPr>
              <w:t>CHAPTER</w:t>
            </w:r>
            <w:r w:rsidR="00F80EF3">
              <w:rPr>
                <w:b w:val="0"/>
                <w:bCs w:val="0"/>
                <w:sz w:val="24"/>
              </w:rPr>
              <w:t xml:space="preserve"> 480-07</w:t>
            </w:r>
          </w:p>
          <w:p w14:paraId="799C6665" w14:textId="77777777" w:rsidR="00A17D6A" w:rsidRPr="00FA693A" w:rsidRDefault="00A17D6A" w:rsidP="003471BB">
            <w:pPr>
              <w:pStyle w:val="BodyText2"/>
              <w:ind w:left="410"/>
              <w:rPr>
                <w:b w:val="0"/>
                <w:bCs w:val="0"/>
                <w:sz w:val="24"/>
              </w:rPr>
            </w:pPr>
          </w:p>
        </w:tc>
      </w:tr>
    </w:tbl>
    <w:p w14:paraId="2FCF8474" w14:textId="77777777" w:rsidR="00A17D6A" w:rsidRDefault="00A17D6A" w:rsidP="00A17D6A"/>
    <w:p w14:paraId="4719354D" w14:textId="77777777" w:rsidR="00A17D6A" w:rsidRPr="0059652A" w:rsidRDefault="00A17D6A" w:rsidP="00A17D6A">
      <w:pPr>
        <w:spacing w:line="480" w:lineRule="auto"/>
        <w:jc w:val="center"/>
        <w:rPr>
          <w:b/>
        </w:rPr>
      </w:pPr>
      <w:r>
        <w:rPr>
          <w:b/>
        </w:rPr>
        <w:t>I.</w:t>
      </w:r>
      <w:r>
        <w:rPr>
          <w:b/>
        </w:rPr>
        <w:tab/>
        <w:t>INTRODUCTION</w:t>
      </w:r>
    </w:p>
    <w:p w14:paraId="2D1EA650" w14:textId="77777777" w:rsidR="00A17D6A" w:rsidRDefault="00BA4911" w:rsidP="00BA4911">
      <w:pPr>
        <w:pStyle w:val="WUTCParagraph"/>
      </w:pPr>
      <w:r>
        <w:tab/>
      </w:r>
      <w:r w:rsidR="00442E6D">
        <w:t xml:space="preserve">On </w:t>
      </w:r>
      <w:r w:rsidR="00D838EF">
        <w:t>March 30, 2017</w:t>
      </w:r>
      <w:r w:rsidR="00442E6D">
        <w:t xml:space="preserve">, </w:t>
      </w:r>
      <w:r w:rsidR="00610A96">
        <w:t>t</w:t>
      </w:r>
      <w:r w:rsidR="00527D43">
        <w:t>he Washington Utilities and Transportation Commissi</w:t>
      </w:r>
      <w:r w:rsidR="00442E6D">
        <w:t>on (</w:t>
      </w:r>
      <w:r w:rsidR="00280394">
        <w:t xml:space="preserve">“WUTC” or </w:t>
      </w:r>
      <w:r w:rsidR="00442E6D">
        <w:t xml:space="preserve">the </w:t>
      </w:r>
      <w:r w:rsidR="00BA557E">
        <w:t>“Commission”</w:t>
      </w:r>
      <w:r w:rsidR="0036387C">
        <w:t>) issu</w:t>
      </w:r>
      <w:r w:rsidR="00442E6D">
        <w:t>ed notice that</w:t>
      </w:r>
      <w:r w:rsidR="00367567">
        <w:t xml:space="preserve"> it would receive</w:t>
      </w:r>
      <w:r w:rsidR="00442E6D">
        <w:t xml:space="preserve"> comments regarding proposed revisions to </w:t>
      </w:r>
      <w:r w:rsidR="0036387C">
        <w:t>Part</w:t>
      </w:r>
      <w:r w:rsidR="000342E0">
        <w:t xml:space="preserve"> </w:t>
      </w:r>
      <w:r w:rsidR="002355C8">
        <w:t>III</w:t>
      </w:r>
      <w:r w:rsidR="000342E0">
        <w:t xml:space="preserve">, Subpart </w:t>
      </w:r>
      <w:r w:rsidR="00D838EF">
        <w:t>B</w:t>
      </w:r>
      <w:r w:rsidR="006A6767">
        <w:t xml:space="preserve"> of </w:t>
      </w:r>
      <w:r w:rsidR="00442E6D">
        <w:t xml:space="preserve">Washington Administrative Code </w:t>
      </w:r>
      <w:r w:rsidR="000342E0">
        <w:t xml:space="preserve">(“WAC”) </w:t>
      </w:r>
      <w:r w:rsidR="006A6767">
        <w:t>Chapter 480-07.</w:t>
      </w:r>
      <w:r w:rsidR="00527D43">
        <w:t xml:space="preserve">  The </w:t>
      </w:r>
      <w:r w:rsidR="00A17D6A">
        <w:t xml:space="preserve">Industrial Customers of Northwest Utilities (“ICNU”) </w:t>
      </w:r>
      <w:r w:rsidR="00397538">
        <w:t xml:space="preserve">appreciates the </w:t>
      </w:r>
      <w:r w:rsidR="00957AAA">
        <w:t>invitation</w:t>
      </w:r>
      <w:r w:rsidR="00397538">
        <w:t xml:space="preserve"> to</w:t>
      </w:r>
      <w:r w:rsidR="0036387C">
        <w:t xml:space="preserve"> participate in this rulemaking docket</w:t>
      </w:r>
      <w:r w:rsidR="002355C8">
        <w:t xml:space="preserve"> and submits</w:t>
      </w:r>
      <w:r w:rsidR="00957AAA">
        <w:t xml:space="preserve"> these c</w:t>
      </w:r>
      <w:r w:rsidR="006A6767">
        <w:t xml:space="preserve">omments </w:t>
      </w:r>
      <w:r w:rsidR="00FE52C5">
        <w:t xml:space="preserve">regarding </w:t>
      </w:r>
      <w:r w:rsidR="000342E0">
        <w:t xml:space="preserve">the </w:t>
      </w:r>
      <w:r w:rsidR="0036387C">
        <w:t>revised draft rule proposals</w:t>
      </w:r>
      <w:r w:rsidR="006A6767">
        <w:t xml:space="preserve">.  </w:t>
      </w:r>
    </w:p>
    <w:p w14:paraId="0BDF0EA7" w14:textId="77777777" w:rsidR="00A17D6A" w:rsidRDefault="00A17D6A" w:rsidP="00A17D6A">
      <w:pPr>
        <w:spacing w:line="480" w:lineRule="auto"/>
        <w:jc w:val="center"/>
        <w:rPr>
          <w:b/>
        </w:rPr>
      </w:pPr>
      <w:r>
        <w:rPr>
          <w:b/>
        </w:rPr>
        <w:t>II.</w:t>
      </w:r>
      <w:r>
        <w:rPr>
          <w:b/>
        </w:rPr>
        <w:tab/>
      </w:r>
      <w:r w:rsidR="003471BB">
        <w:rPr>
          <w:b/>
        </w:rPr>
        <w:t>COMMENTS</w:t>
      </w:r>
    </w:p>
    <w:p w14:paraId="0741CA01" w14:textId="61977750" w:rsidR="00F84F43" w:rsidRDefault="0036387C" w:rsidP="0036387C">
      <w:pPr>
        <w:pStyle w:val="WUTCParagraph"/>
      </w:pPr>
      <w:r>
        <w:tab/>
      </w:r>
      <w:r w:rsidR="00C07345">
        <w:t xml:space="preserve">The </w:t>
      </w:r>
      <w:r w:rsidR="00D20EA6">
        <w:t>Commission has asked stakeholders to comment on</w:t>
      </w:r>
      <w:r w:rsidR="003E19AF">
        <w:t xml:space="preserve"> its</w:t>
      </w:r>
      <w:r w:rsidR="00D20EA6">
        <w:t xml:space="preserve"> draft rules </w:t>
      </w:r>
      <w:r w:rsidR="003E19AF">
        <w:t>governing adjudicated</w:t>
      </w:r>
      <w:r w:rsidR="00D20EA6">
        <w:t xml:space="preserve"> proceedings.</w:t>
      </w:r>
      <w:r w:rsidR="00D20EA6" w:rsidRPr="00706094">
        <w:rPr>
          <w:rStyle w:val="FootnoteReference"/>
          <w:u w:val="single"/>
        </w:rPr>
        <w:footnoteReference w:id="1"/>
      </w:r>
      <w:r w:rsidR="00706094">
        <w:rPr>
          <w:vertAlign w:val="superscript"/>
        </w:rPr>
        <w:t>/</w:t>
      </w:r>
      <w:r w:rsidR="00D20EA6">
        <w:t xml:space="preserve"> </w:t>
      </w:r>
      <w:r w:rsidR="00706094">
        <w:t xml:space="preserve"> </w:t>
      </w:r>
      <w:r w:rsidR="003E19AF">
        <w:t>ICNU has participated in this proceeding from the beginning, and devoted considerable time to its many phases and iterations.</w:t>
      </w:r>
      <w:r w:rsidR="00F84F43" w:rsidRPr="00706094">
        <w:rPr>
          <w:rStyle w:val="FootnoteReference"/>
          <w:u w:val="single"/>
        </w:rPr>
        <w:footnoteReference w:id="2"/>
      </w:r>
      <w:r w:rsidR="00706094">
        <w:rPr>
          <w:vertAlign w:val="superscript"/>
        </w:rPr>
        <w:t>/</w:t>
      </w:r>
      <w:r w:rsidR="003E19AF">
        <w:t xml:space="preserve"> </w:t>
      </w:r>
      <w:r w:rsidR="00706094">
        <w:t xml:space="preserve"> </w:t>
      </w:r>
      <w:r w:rsidR="003E19AF">
        <w:t xml:space="preserve">This process </w:t>
      </w:r>
      <w:r w:rsidR="001F56BE">
        <w:t xml:space="preserve">now </w:t>
      </w:r>
      <w:r w:rsidR="003E19AF">
        <w:t>appears to be winding down</w:t>
      </w:r>
      <w:r w:rsidR="00903D2E">
        <w:t xml:space="preserve"> to a conclusion, but not before </w:t>
      </w:r>
      <w:r w:rsidR="0095279B">
        <w:t xml:space="preserve">addressing </w:t>
      </w:r>
      <w:r w:rsidR="00903D2E">
        <w:t xml:space="preserve">issues that </w:t>
      </w:r>
      <w:r w:rsidR="001F56BE">
        <w:t xml:space="preserve">are of critical importance to </w:t>
      </w:r>
      <w:r w:rsidR="001F56BE">
        <w:lastRenderedPageBreak/>
        <w:t>ICNU</w:t>
      </w:r>
      <w:r w:rsidR="00903D2E">
        <w:t xml:space="preserve">. </w:t>
      </w:r>
      <w:r w:rsidR="0032672E">
        <w:t xml:space="preserve"> </w:t>
      </w:r>
      <w:r w:rsidR="00F84F43">
        <w:t xml:space="preserve">In this iteration, </w:t>
      </w:r>
      <w:r w:rsidR="001F56BE">
        <w:t xml:space="preserve">the Commission’s rules focus </w:t>
      </w:r>
      <w:r w:rsidR="003E19AF">
        <w:t xml:space="preserve">on the all-important processes and procedures </w:t>
      </w:r>
      <w:r w:rsidR="00F84F43">
        <w:t xml:space="preserve">affecting </w:t>
      </w:r>
      <w:r w:rsidR="00903D2E">
        <w:t xml:space="preserve">the rights of </w:t>
      </w:r>
      <w:r w:rsidR="001F56BE">
        <w:t xml:space="preserve">ICNU and </w:t>
      </w:r>
      <w:r w:rsidR="0095279B">
        <w:t xml:space="preserve">other </w:t>
      </w:r>
      <w:r w:rsidR="003E19AF">
        <w:t>part</w:t>
      </w:r>
      <w:r w:rsidR="0095279B">
        <w:t>i</w:t>
      </w:r>
      <w:r w:rsidR="00DB36C0">
        <w:t>e</w:t>
      </w:r>
      <w:r w:rsidR="0095279B">
        <w:t>s</w:t>
      </w:r>
      <w:r w:rsidR="003E19AF">
        <w:t xml:space="preserve"> that appear </w:t>
      </w:r>
      <w:r w:rsidR="00F84F43">
        <w:t xml:space="preserve">in proceedings </w:t>
      </w:r>
      <w:r w:rsidR="003E19AF">
        <w:t xml:space="preserve">before </w:t>
      </w:r>
      <w:r w:rsidR="001F56BE">
        <w:t>the Commission</w:t>
      </w:r>
      <w:r w:rsidR="00F84F43">
        <w:t xml:space="preserve">. </w:t>
      </w:r>
    </w:p>
    <w:p w14:paraId="01EF37B9" w14:textId="36763BFC" w:rsidR="00F84F43" w:rsidRDefault="00F84F43" w:rsidP="00BC5CA0">
      <w:pPr>
        <w:pStyle w:val="WUTCParagraph"/>
      </w:pPr>
      <w:r>
        <w:tab/>
      </w:r>
      <w:r w:rsidR="00FE7892">
        <w:t xml:space="preserve">It appears that the draft rules are intended to </w:t>
      </w:r>
      <w:r w:rsidR="00D20EA6">
        <w:t xml:space="preserve">clarify </w:t>
      </w:r>
      <w:r w:rsidR="00FE7892">
        <w:t xml:space="preserve">the existing rules for stakeholders, while taking steps to </w:t>
      </w:r>
      <w:r w:rsidR="00D20EA6">
        <w:t xml:space="preserve">streamline the </w:t>
      </w:r>
      <w:r w:rsidR="00FE7892">
        <w:t xml:space="preserve">Commission’s adjudicative processes. </w:t>
      </w:r>
      <w:r w:rsidR="000320E4">
        <w:t xml:space="preserve"> </w:t>
      </w:r>
      <w:r w:rsidR="00FE7892">
        <w:t xml:space="preserve">ICNU has </w:t>
      </w:r>
      <w:r>
        <w:t xml:space="preserve">generally </w:t>
      </w:r>
      <w:r w:rsidR="00FE7892">
        <w:t xml:space="preserve">found </w:t>
      </w:r>
      <w:r w:rsidR="006B668F">
        <w:t xml:space="preserve">Staff’s </w:t>
      </w:r>
      <w:r>
        <w:t>r</w:t>
      </w:r>
      <w:r w:rsidR="006B668F">
        <w:t xml:space="preserve">ecommendations </w:t>
      </w:r>
      <w:r>
        <w:t xml:space="preserve">to be </w:t>
      </w:r>
      <w:r w:rsidR="006B668F">
        <w:t xml:space="preserve">helpful </w:t>
      </w:r>
      <w:r>
        <w:t>in purpose and design.</w:t>
      </w:r>
      <w:r w:rsidR="0032672E">
        <w:t xml:space="preserve"> </w:t>
      </w:r>
      <w:r>
        <w:t xml:space="preserve"> However, ICNU’s interests may not always align with </w:t>
      </w:r>
      <w:r w:rsidR="008F4B93">
        <w:t>Staff</w:t>
      </w:r>
      <w:r>
        <w:t xml:space="preserve">’s recommendations. </w:t>
      </w:r>
      <w:r w:rsidR="0032672E">
        <w:t xml:space="preserve"> </w:t>
      </w:r>
      <w:r w:rsidR="00313FAB">
        <w:t xml:space="preserve">ICNU hopes that the Commission will consider its comments, and reflect on the impacts </w:t>
      </w:r>
      <w:r w:rsidR="0095279B">
        <w:t>discussed below</w:t>
      </w:r>
      <w:r w:rsidR="00313FAB">
        <w:t>.</w:t>
      </w:r>
      <w:r w:rsidR="00313FAB" w:rsidRPr="0032672E">
        <w:rPr>
          <w:rStyle w:val="FootnoteReference"/>
          <w:u w:val="single"/>
        </w:rPr>
        <w:footnoteReference w:id="3"/>
      </w:r>
      <w:r w:rsidR="0032672E">
        <w:rPr>
          <w:vertAlign w:val="superscript"/>
        </w:rPr>
        <w:t>/</w:t>
      </w:r>
      <w:r w:rsidR="00313FAB">
        <w:t xml:space="preserve">  </w:t>
      </w:r>
    </w:p>
    <w:p w14:paraId="51395FE4" w14:textId="77777777" w:rsidR="004173CB" w:rsidRPr="00B1008F" w:rsidRDefault="007E51A4" w:rsidP="008F4B93">
      <w:pPr>
        <w:pStyle w:val="WUTCParagraph"/>
        <w:numPr>
          <w:ilvl w:val="0"/>
          <w:numId w:val="0"/>
        </w:numPr>
        <w:rPr>
          <w:b/>
        </w:rPr>
      </w:pPr>
      <w:r>
        <w:rPr>
          <w:b/>
        </w:rPr>
        <w:t xml:space="preserve">Part III, Subpart </w:t>
      </w:r>
      <w:r w:rsidRPr="007E51A4">
        <w:rPr>
          <w:b/>
        </w:rPr>
        <w:t>B</w:t>
      </w:r>
      <w:r w:rsidR="002B0CFF">
        <w:rPr>
          <w:b/>
        </w:rPr>
        <w:t xml:space="preserve">:  </w:t>
      </w:r>
      <w:r w:rsidR="008B3ED9">
        <w:rPr>
          <w:b/>
        </w:rPr>
        <w:t>General Rate Proceedings</w:t>
      </w:r>
    </w:p>
    <w:p w14:paraId="212083B3" w14:textId="13A495CF" w:rsidR="00673D3A" w:rsidRDefault="00673D3A" w:rsidP="00E62AB8">
      <w:pPr>
        <w:pStyle w:val="WUTCParagraph"/>
        <w:numPr>
          <w:ilvl w:val="0"/>
          <w:numId w:val="0"/>
        </w:numPr>
        <w:ind w:firstLine="720"/>
        <w:rPr>
          <w:b/>
        </w:rPr>
      </w:pPr>
      <w:bookmarkStart w:id="1" w:name="_Hlk482107428"/>
      <w:r>
        <w:rPr>
          <w:b/>
        </w:rPr>
        <w:t>480-07-510</w:t>
      </w:r>
      <w:r w:rsidR="00E62AB8">
        <w:rPr>
          <w:b/>
        </w:rPr>
        <w:t xml:space="preserve"> (1) Testimony and exhibits</w:t>
      </w:r>
      <w:r w:rsidR="00A05D3C">
        <w:rPr>
          <w:b/>
        </w:rPr>
        <w:t xml:space="preserve"> </w:t>
      </w:r>
      <w:r w:rsidR="00553637" w:rsidRPr="00607F81">
        <w:rPr>
          <w:b/>
        </w:rPr>
        <w:t xml:space="preserve"> </w:t>
      </w:r>
    </w:p>
    <w:p w14:paraId="77693AA6" w14:textId="3017502A" w:rsidR="00ED37F7" w:rsidRDefault="00AE611B" w:rsidP="00607F81">
      <w:pPr>
        <w:pStyle w:val="WUTCParagraph"/>
      </w:pPr>
      <w:r>
        <w:t xml:space="preserve">                        </w:t>
      </w:r>
      <w:r w:rsidR="00A05D3C">
        <w:t xml:space="preserve">The Commission has long </w:t>
      </w:r>
      <w:r w:rsidR="00546596">
        <w:t>understood the procedural an</w:t>
      </w:r>
      <w:r w:rsidR="00DE28F3">
        <w:t xml:space="preserve">d substantive problems </w:t>
      </w:r>
      <w:r w:rsidR="00546596">
        <w:t xml:space="preserve">caused by </w:t>
      </w:r>
      <w:r w:rsidR="00056C9F">
        <w:t>c</w:t>
      </w:r>
      <w:r w:rsidR="00546596">
        <w:t xml:space="preserve">ompany rebuttal testimony that </w:t>
      </w:r>
      <w:r w:rsidR="00550FE4">
        <w:t xml:space="preserve">is not intended to </w:t>
      </w:r>
      <w:r w:rsidR="00522173">
        <w:t>respond to the testimony filed by opposing parties.</w:t>
      </w:r>
      <w:r w:rsidR="00CE1DFD" w:rsidRPr="00CE1DFD">
        <w:rPr>
          <w:rStyle w:val="FootnoteReference"/>
        </w:rPr>
        <w:t xml:space="preserve"> </w:t>
      </w:r>
      <w:r w:rsidR="00CE1DFD" w:rsidRPr="00516E05">
        <w:rPr>
          <w:rStyle w:val="FootnoteReference"/>
          <w:u w:val="single"/>
        </w:rPr>
        <w:footnoteReference w:id="4"/>
      </w:r>
      <w:r w:rsidR="00516E05">
        <w:rPr>
          <w:vertAlign w:val="superscript"/>
        </w:rPr>
        <w:t>/</w:t>
      </w:r>
      <w:r w:rsidR="00CE1DFD">
        <w:t xml:space="preserve"> </w:t>
      </w:r>
      <w:r w:rsidR="00522173">
        <w:t xml:space="preserve"> </w:t>
      </w:r>
      <w:r w:rsidR="001E40B4">
        <w:t>S</w:t>
      </w:r>
      <w:r w:rsidR="00550FE4">
        <w:t>uch non-responsive tes</w:t>
      </w:r>
      <w:r w:rsidR="00ED37F7">
        <w:t xml:space="preserve">timony may introduce new substantive issues to the company’s case-in-chief, change or modify methodologies used to calculate material financial results, present a new study that supports the company’s </w:t>
      </w:r>
      <w:r w:rsidR="001E40B4">
        <w:t xml:space="preserve">initial as-filed </w:t>
      </w:r>
      <w:r w:rsidR="00ED37F7">
        <w:t>position</w:t>
      </w:r>
      <w:r w:rsidR="00056C9F">
        <w:t>, or introduce a new request for relief</w:t>
      </w:r>
      <w:r w:rsidR="00ED37F7">
        <w:t>.</w:t>
      </w:r>
      <w:r w:rsidR="00163F06" w:rsidRPr="00516E05">
        <w:rPr>
          <w:rStyle w:val="FootnoteReference"/>
          <w:u w:val="single"/>
        </w:rPr>
        <w:footnoteReference w:id="5"/>
      </w:r>
      <w:r w:rsidR="00516E05">
        <w:rPr>
          <w:vertAlign w:val="superscript"/>
        </w:rPr>
        <w:t>/</w:t>
      </w:r>
      <w:r w:rsidR="00ED37F7">
        <w:t xml:space="preserve"> </w:t>
      </w:r>
      <w:r w:rsidR="000320E4">
        <w:t xml:space="preserve"> </w:t>
      </w:r>
      <w:r w:rsidR="00ED37F7">
        <w:t xml:space="preserve">Because these material changes are made in the company’s rebuttal </w:t>
      </w:r>
      <w:r w:rsidR="00ED37F7">
        <w:lastRenderedPageBreak/>
        <w:t xml:space="preserve">filing, non-company parties have little or no time </w:t>
      </w:r>
      <w:r w:rsidR="00056C9F">
        <w:t>t</w:t>
      </w:r>
      <w:r w:rsidR="00ED37F7">
        <w:t xml:space="preserve">o engage in meaningful discovery, </w:t>
      </w:r>
      <w:r w:rsidR="00056C9F">
        <w:t xml:space="preserve">produce a thorough analysis of the issues, and </w:t>
      </w:r>
      <w:r w:rsidR="00ED37F7">
        <w:t>file cross-rebuttal testimony</w:t>
      </w:r>
      <w:r w:rsidR="00056C9F">
        <w:t>.</w:t>
      </w:r>
      <w:r w:rsidR="00285AE6" w:rsidRPr="00516E05">
        <w:rPr>
          <w:rStyle w:val="FootnoteReference"/>
          <w:u w:val="single"/>
        </w:rPr>
        <w:footnoteReference w:id="6"/>
      </w:r>
      <w:r w:rsidR="00516E05">
        <w:rPr>
          <w:vertAlign w:val="superscript"/>
        </w:rPr>
        <w:t>/</w:t>
      </w:r>
      <w:r w:rsidR="00056C9F">
        <w:t xml:space="preserve">  As a result, the rights of non-company parties and the evidentiary record relied upon by the Commission are harmed.</w:t>
      </w:r>
    </w:p>
    <w:p w14:paraId="1AFBDD3B" w14:textId="5BDABFB7" w:rsidR="00EB74E5" w:rsidRDefault="00056C9F" w:rsidP="00EE5282">
      <w:pPr>
        <w:pStyle w:val="WUTCParagraph"/>
      </w:pPr>
      <w:r>
        <w:tab/>
        <w:t xml:space="preserve">The Commission </w:t>
      </w:r>
      <w:r w:rsidR="00670E11">
        <w:t xml:space="preserve">endeavors to develop </w:t>
      </w:r>
      <w:r>
        <w:t>a complete and accurate record from which to base its decision</w:t>
      </w:r>
      <w:r w:rsidR="00DB36C0">
        <w:t>s</w:t>
      </w:r>
      <w:r>
        <w:t>.</w:t>
      </w:r>
      <w:r w:rsidR="00670E11" w:rsidRPr="00516E05">
        <w:rPr>
          <w:rStyle w:val="FootnoteReference"/>
          <w:u w:val="single"/>
        </w:rPr>
        <w:footnoteReference w:id="7"/>
      </w:r>
      <w:r w:rsidR="00516E05">
        <w:rPr>
          <w:vertAlign w:val="superscript"/>
        </w:rPr>
        <w:t>/</w:t>
      </w:r>
      <w:r>
        <w:t xml:space="preserve"> </w:t>
      </w:r>
      <w:r w:rsidR="00670E11">
        <w:t xml:space="preserve"> Unfortunately, n</w:t>
      </w:r>
      <w:r w:rsidR="00ED37F7">
        <w:t xml:space="preserve">on-responsive rebuttal testimony </w:t>
      </w:r>
      <w:r w:rsidR="00670E11">
        <w:t xml:space="preserve">can leave the Commission with few procedural options to protect its record. </w:t>
      </w:r>
      <w:r w:rsidR="00516E05">
        <w:t xml:space="preserve"> </w:t>
      </w:r>
      <w:r w:rsidR="00670E11">
        <w:t>Generally, a se</w:t>
      </w:r>
      <w:r w:rsidR="001E40B4">
        <w:t xml:space="preserve">cond round of </w:t>
      </w:r>
      <w:r w:rsidR="00670E11">
        <w:t xml:space="preserve">cross-rebuttal testimony is discouraged, as the </w:t>
      </w:r>
      <w:r w:rsidR="00DB36C0">
        <w:t>usually</w:t>
      </w:r>
      <w:r w:rsidR="00670E11">
        <w:t xml:space="preserve"> tight procedural schedule has little room </w:t>
      </w:r>
      <w:r w:rsidR="00DB36C0">
        <w:t>for modification</w:t>
      </w:r>
      <w:r w:rsidR="00670E11">
        <w:t>.</w:t>
      </w:r>
      <w:r w:rsidR="00CE1DFD" w:rsidRPr="00516E05">
        <w:rPr>
          <w:rStyle w:val="FootnoteReference"/>
          <w:u w:val="single"/>
        </w:rPr>
        <w:footnoteReference w:id="8"/>
      </w:r>
      <w:r w:rsidR="00516E05">
        <w:rPr>
          <w:vertAlign w:val="superscript"/>
        </w:rPr>
        <w:t>/</w:t>
      </w:r>
      <w:r w:rsidR="00CE1DFD" w:rsidDel="00CE1DFD">
        <w:t xml:space="preserve"> </w:t>
      </w:r>
      <w:r w:rsidR="00670E11">
        <w:t xml:space="preserve"> </w:t>
      </w:r>
      <w:r w:rsidR="00EB74E5">
        <w:t xml:space="preserve">Without the timely opportunity to develop substantive cross-rebuttal testimony, a non-company party is left with its chances on cross-examination to explore </w:t>
      </w:r>
      <w:r w:rsidR="001E40B4">
        <w:t xml:space="preserve">the </w:t>
      </w:r>
      <w:r w:rsidR="00285AE6">
        <w:t xml:space="preserve">substantive </w:t>
      </w:r>
      <w:r w:rsidR="00EB74E5">
        <w:t xml:space="preserve">changes proposed by the company.  The Commission’s record </w:t>
      </w:r>
      <w:bookmarkStart w:id="2" w:name="_GoBack"/>
      <w:r w:rsidR="00EB74E5">
        <w:t>and</w:t>
      </w:r>
      <w:bookmarkEnd w:id="2"/>
      <w:r w:rsidR="001E40B4">
        <w:t xml:space="preserve"> the due process rights of non-company parties </w:t>
      </w:r>
      <w:r w:rsidR="00EB74E5">
        <w:t xml:space="preserve">suffer as a result.  </w:t>
      </w:r>
    </w:p>
    <w:p w14:paraId="4B62DBB4" w14:textId="11BC6321" w:rsidR="00EB74E5" w:rsidRDefault="00EB74E5" w:rsidP="00607F81">
      <w:pPr>
        <w:pStyle w:val="WUTCParagraph"/>
      </w:pPr>
      <w:r>
        <w:tab/>
      </w:r>
      <w:r w:rsidR="00670E11">
        <w:t xml:space="preserve">The Commission has, on occasion, provided a party the opportunity to present in-person, live cross-rebuttal testimony in response to a company’s late-filed testimony or evidence. However, this procedural tool is not a substitute for the </w:t>
      </w:r>
      <w:r>
        <w:t>in-depth</w:t>
      </w:r>
      <w:r w:rsidR="00EE3F6F">
        <w:t>,</w:t>
      </w:r>
      <w:r>
        <w:t xml:space="preserve"> </w:t>
      </w:r>
      <w:r w:rsidR="00670E11">
        <w:t xml:space="preserve">pre-filed testimony that </w:t>
      </w:r>
      <w:r>
        <w:t xml:space="preserve">would normally constitute substantive rebuttal. </w:t>
      </w:r>
    </w:p>
    <w:p w14:paraId="2A9355DE" w14:textId="77777777" w:rsidR="00E5756E" w:rsidRDefault="00EB74E5" w:rsidP="00607F81">
      <w:pPr>
        <w:pStyle w:val="WUTCParagraph"/>
      </w:pPr>
      <w:r>
        <w:tab/>
        <w:t xml:space="preserve">Under </w:t>
      </w:r>
      <w:r w:rsidR="00A26E28">
        <w:t xml:space="preserve">the </w:t>
      </w:r>
      <w:r>
        <w:t xml:space="preserve">examples presented above, the non-company party </w:t>
      </w:r>
      <w:r w:rsidR="001F7CE4">
        <w:t xml:space="preserve">would be </w:t>
      </w:r>
      <w:r>
        <w:t xml:space="preserve">denied the opportunity </w:t>
      </w:r>
      <w:r w:rsidR="00522173">
        <w:t xml:space="preserve">to </w:t>
      </w:r>
      <w:r>
        <w:t xml:space="preserve">present </w:t>
      </w:r>
      <w:r w:rsidR="00522173">
        <w:t xml:space="preserve">and defend </w:t>
      </w:r>
      <w:r>
        <w:t xml:space="preserve">its version of the newly-filed facts, or its </w:t>
      </w:r>
      <w:r w:rsidR="00522173">
        <w:t xml:space="preserve">expert’s </w:t>
      </w:r>
      <w:r>
        <w:t xml:space="preserve">opinion on </w:t>
      </w:r>
      <w:r>
        <w:lastRenderedPageBreak/>
        <w:t xml:space="preserve">the modified methodology or </w:t>
      </w:r>
      <w:r w:rsidR="00C25189">
        <w:t>new s</w:t>
      </w:r>
      <w:r>
        <w:t xml:space="preserve">tudy presented by the company. </w:t>
      </w:r>
      <w:r w:rsidR="008C51CC">
        <w:t xml:space="preserve"> </w:t>
      </w:r>
      <w:r w:rsidR="00E5756E">
        <w:t xml:space="preserve">This result leads to due process challenges </w:t>
      </w:r>
      <w:r w:rsidR="001F7CE4">
        <w:t xml:space="preserve">that </w:t>
      </w:r>
      <w:r w:rsidR="00E5756E">
        <w:t xml:space="preserve">could undermine the Commission’s decision. </w:t>
      </w:r>
      <w:r w:rsidR="000320E4">
        <w:t xml:space="preserve"> </w:t>
      </w:r>
      <w:r w:rsidR="00E5756E">
        <w:t xml:space="preserve">Again, the Commission seeks to develop the best record possible. </w:t>
      </w:r>
      <w:r w:rsidR="000320E4">
        <w:t xml:space="preserve"> </w:t>
      </w:r>
      <w:r w:rsidR="00E5756E">
        <w:t xml:space="preserve">A company’s non-responsive rebuttal testimony </w:t>
      </w:r>
      <w:r w:rsidR="008E44C6">
        <w:t xml:space="preserve">conflicts with </w:t>
      </w:r>
      <w:r w:rsidR="00E5756E">
        <w:t>th</w:t>
      </w:r>
      <w:r w:rsidR="008E44C6">
        <w:t xml:space="preserve">is objective, </w:t>
      </w:r>
      <w:r w:rsidR="00753078">
        <w:t xml:space="preserve">does damage to the record, </w:t>
      </w:r>
      <w:r w:rsidR="008E44C6">
        <w:t xml:space="preserve">and makes it difficult for the Commission to make fully informed decisions. </w:t>
      </w:r>
      <w:r w:rsidR="00E5756E">
        <w:t xml:space="preserve"> </w:t>
      </w:r>
    </w:p>
    <w:p w14:paraId="7151F871" w14:textId="77777777" w:rsidR="00E5756E" w:rsidRDefault="00E5756E" w:rsidP="00607F81">
      <w:pPr>
        <w:pStyle w:val="WUTCParagraph"/>
      </w:pPr>
      <w:r>
        <w:tab/>
        <w:t xml:space="preserve">ICNU recommends that the Commission address the issue of non-responsive rebuttal testimony in a new section of the rule. </w:t>
      </w:r>
      <w:r w:rsidR="008C51CC">
        <w:t xml:space="preserve"> </w:t>
      </w:r>
      <w:r>
        <w:t>Here, the Commission would state clearly that non-responsive rebuttal testimony by any party would not be allowed without the prior approval of the Commission.</w:t>
      </w:r>
      <w:r w:rsidR="00285AE6">
        <w:t xml:space="preserve"> </w:t>
      </w:r>
      <w:r>
        <w:t xml:space="preserve"> Such approval would </w:t>
      </w:r>
      <w:r w:rsidR="00753078">
        <w:t xml:space="preserve">only </w:t>
      </w:r>
      <w:r>
        <w:t xml:space="preserve">be granted when the Commission finds that other parties have a reasonable period to </w:t>
      </w:r>
      <w:r w:rsidR="00C25189">
        <w:t xml:space="preserve">meaningfully </w:t>
      </w:r>
      <w:r>
        <w:t xml:space="preserve">respond without unreasonably disrupting the </w:t>
      </w:r>
      <w:r w:rsidR="00C25189">
        <w:t xml:space="preserve">docket’s </w:t>
      </w:r>
      <w:r>
        <w:t xml:space="preserve">procedural schedule. </w:t>
      </w:r>
      <w:r w:rsidR="006C3634">
        <w:t xml:space="preserve"> To this end, ICNU proposes that draft rule 480.07.510 (1)</w:t>
      </w:r>
      <w:r w:rsidR="00CE1DFD">
        <w:t xml:space="preserve"> be modified as follows</w:t>
      </w:r>
      <w:r w:rsidR="006C3634">
        <w:t xml:space="preserve">:  </w:t>
      </w:r>
    </w:p>
    <w:p w14:paraId="70B4FC3C" w14:textId="569FE43A" w:rsidR="00CC5B6B" w:rsidRPr="00711DDF" w:rsidRDefault="00522173" w:rsidP="00EE3F6F">
      <w:pPr>
        <w:pStyle w:val="ListParagraph"/>
        <w:widowControl w:val="0"/>
        <w:tabs>
          <w:tab w:val="left" w:pos="2117"/>
          <w:tab w:val="left" w:pos="5716"/>
          <w:tab w:val="left" w:pos="6436"/>
          <w:tab w:val="left" w:pos="6723"/>
          <w:tab w:val="left" w:pos="7733"/>
        </w:tabs>
        <w:autoSpaceDE w:val="0"/>
        <w:autoSpaceDN w:val="0"/>
        <w:ind w:right="720"/>
        <w:contextualSpacing w:val="0"/>
        <w:jc w:val="both"/>
        <w:rPr>
          <w:u w:val="single"/>
        </w:rPr>
      </w:pPr>
      <w:r>
        <w:rPr>
          <w:b/>
        </w:rPr>
        <w:t>Testimony</w:t>
      </w:r>
      <w:r>
        <w:rPr>
          <w:b/>
          <w:spacing w:val="-8"/>
        </w:rPr>
        <w:t xml:space="preserve"> </w:t>
      </w:r>
      <w:r>
        <w:rPr>
          <w:b/>
        </w:rPr>
        <w:t>and</w:t>
      </w:r>
      <w:r>
        <w:rPr>
          <w:b/>
          <w:spacing w:val="-8"/>
        </w:rPr>
        <w:t xml:space="preserve"> </w:t>
      </w:r>
      <w:r>
        <w:rPr>
          <w:b/>
        </w:rPr>
        <w:t xml:space="preserve">exhibits. </w:t>
      </w:r>
      <w:r w:rsidRPr="00AD71BF">
        <w:rPr>
          <w:u w:val="single"/>
        </w:rPr>
        <w:t>(a)</w:t>
      </w:r>
      <w:r w:rsidRPr="006C3634">
        <w:rPr>
          <w:b/>
        </w:rPr>
        <w:t xml:space="preserve"> </w:t>
      </w:r>
      <w:r w:rsidRPr="006C3634">
        <w:t>The</w:t>
      </w:r>
      <w:r w:rsidRPr="006C3634">
        <w:rPr>
          <w:spacing w:val="-9"/>
        </w:rPr>
        <w:t xml:space="preserve"> </w:t>
      </w:r>
      <w:r w:rsidRPr="004811A4">
        <w:t>company’s</w:t>
      </w:r>
      <w:r w:rsidRPr="004811A4">
        <w:rPr>
          <w:spacing w:val="-9"/>
        </w:rPr>
        <w:t xml:space="preserve"> </w:t>
      </w:r>
      <w:r w:rsidRPr="004811A4">
        <w:t>initial</w:t>
      </w:r>
      <w:r w:rsidRPr="004811A4">
        <w:rPr>
          <w:spacing w:val="-1"/>
        </w:rPr>
        <w:t xml:space="preserve"> </w:t>
      </w:r>
      <w:r w:rsidRPr="004811A4">
        <w:t>submission for filing must include a</w:t>
      </w:r>
      <w:r w:rsidRPr="006C3634">
        <w:t>ll testimony and exhibits</w:t>
      </w:r>
      <w:r w:rsidRPr="004A48F4">
        <w:t xml:space="preserve"> </w:t>
      </w:r>
      <w:r w:rsidRPr="006C3634">
        <w:t>the company intends to present as its direct case</w:t>
      </w:r>
      <w:r w:rsidRPr="004A48F4">
        <w:t xml:space="preserve"> if the commission suspends the tariff changes and commences an adjudication</w:t>
      </w:r>
      <w:r w:rsidRPr="006C3634">
        <w:t>. The company must</w:t>
      </w:r>
      <w:r w:rsidRPr="006C3634">
        <w:rPr>
          <w:spacing w:val="-15"/>
        </w:rPr>
        <w:t xml:space="preserve"> </w:t>
      </w:r>
      <w:r w:rsidRPr="006C3634">
        <w:t>serve</w:t>
      </w:r>
      <w:r w:rsidRPr="006C3634">
        <w:rPr>
          <w:spacing w:val="-5"/>
        </w:rPr>
        <w:t xml:space="preserve"> </w:t>
      </w:r>
      <w:r w:rsidRPr="006C3634">
        <w:t>a copy of the</w:t>
      </w:r>
      <w:r w:rsidRPr="004A48F4">
        <w:t xml:space="preserve"> submission </w:t>
      </w:r>
      <w:r w:rsidRPr="006C3634">
        <w:t>on</w:t>
      </w:r>
      <w:r w:rsidRPr="004A48F4">
        <w:t xml:space="preserve"> the</w:t>
      </w:r>
      <w:r w:rsidRPr="006C3634">
        <w:t xml:space="preserve"> public counsel</w:t>
      </w:r>
      <w:r w:rsidRPr="004A48F4">
        <w:t xml:space="preserve"> unit of the Attorney General’s Office </w:t>
      </w:r>
      <w:r w:rsidRPr="006C3634">
        <w:t>at the time</w:t>
      </w:r>
      <w:r w:rsidRPr="004A48F4">
        <w:t xml:space="preserve"> the company makes the submission to </w:t>
      </w:r>
      <w:r w:rsidRPr="006C3634">
        <w:t>the</w:t>
      </w:r>
      <w:r w:rsidRPr="006C3634">
        <w:rPr>
          <w:spacing w:val="-52"/>
        </w:rPr>
        <w:t xml:space="preserve">    </w:t>
      </w:r>
      <w:r w:rsidRPr="006C3634">
        <w:t>commission</w:t>
      </w:r>
      <w:r w:rsidR="006E0E58">
        <w:t xml:space="preserve"> </w:t>
      </w:r>
      <w:r w:rsidRPr="004A48F4">
        <w:t xml:space="preserve">if the </w:t>
      </w:r>
      <w:r w:rsidRPr="006C3634">
        <w:t xml:space="preserve">proceeding </w:t>
      </w:r>
      <w:r w:rsidRPr="004A48F4">
        <w:t xml:space="preserve">is the type </w:t>
      </w:r>
      <w:r w:rsidRPr="006C3634">
        <w:t xml:space="preserve">in which public counsel </w:t>
      </w:r>
      <w:r w:rsidRPr="004A48F4">
        <w:t xml:space="preserve">generally appears or has </w:t>
      </w:r>
      <w:r w:rsidRPr="006C3634">
        <w:t>appear</w:t>
      </w:r>
      <w:r w:rsidRPr="004A48F4">
        <w:t>ed in</w:t>
      </w:r>
      <w:r w:rsidRPr="004A48F4">
        <w:rPr>
          <w:spacing w:val="-30"/>
        </w:rPr>
        <w:t xml:space="preserve"> </w:t>
      </w:r>
      <w:r w:rsidRPr="004A48F4">
        <w:t>the</w:t>
      </w:r>
      <w:r w:rsidRPr="004A48F4">
        <w:rPr>
          <w:spacing w:val="-6"/>
        </w:rPr>
        <w:t xml:space="preserve"> </w:t>
      </w:r>
      <w:r w:rsidRPr="004A48F4">
        <w:t>past</w:t>
      </w:r>
      <w:r w:rsidRPr="006C3634">
        <w:t>. The</w:t>
      </w:r>
      <w:r w:rsidRPr="006C3634">
        <w:rPr>
          <w:spacing w:val="-9"/>
        </w:rPr>
        <w:t xml:space="preserve"> </w:t>
      </w:r>
      <w:r w:rsidRPr="004A48F4">
        <w:t xml:space="preserve">submission </w:t>
      </w:r>
      <w:r w:rsidRPr="006C3634">
        <w:t xml:space="preserve">must </w:t>
      </w:r>
      <w:r w:rsidRPr="004A48F4">
        <w:t xml:space="preserve">include </w:t>
      </w:r>
      <w:r w:rsidRPr="006C3634">
        <w:t>a results-of-operations statement showing test year actual</w:t>
      </w:r>
      <w:r w:rsidR="005E6BA8">
        <w:t xml:space="preserve"> </w:t>
      </w:r>
      <w:r w:rsidRPr="006C3634">
        <w:rPr>
          <w:spacing w:val="-55"/>
        </w:rPr>
        <w:t xml:space="preserve"> </w:t>
      </w:r>
      <w:r w:rsidR="005E6BA8">
        <w:rPr>
          <w:spacing w:val="-55"/>
        </w:rPr>
        <w:t xml:space="preserve"> </w:t>
      </w:r>
      <w:r w:rsidRPr="006C3634">
        <w:t xml:space="preserve">results and </w:t>
      </w:r>
      <w:r w:rsidRPr="004A48F4">
        <w:t xml:space="preserve">any </w:t>
      </w:r>
      <w:r w:rsidRPr="006C3634">
        <w:t>restating and pro forma adjustments in columnar format supporting its general</w:t>
      </w:r>
      <w:r w:rsidRPr="006C3634">
        <w:rPr>
          <w:spacing w:val="-26"/>
        </w:rPr>
        <w:t xml:space="preserve"> </w:t>
      </w:r>
      <w:r w:rsidRPr="006C3634">
        <w:t>rate</w:t>
      </w:r>
      <w:r w:rsidRPr="006C3634">
        <w:rPr>
          <w:spacing w:val="-7"/>
        </w:rPr>
        <w:t xml:space="preserve"> </w:t>
      </w:r>
      <w:r w:rsidRPr="006C3634">
        <w:t>request. The</w:t>
      </w:r>
      <w:r w:rsidRPr="006C3634">
        <w:rPr>
          <w:spacing w:val="-14"/>
        </w:rPr>
        <w:t xml:space="preserve"> </w:t>
      </w:r>
      <w:r w:rsidRPr="004A48F4">
        <w:t xml:space="preserve">company </w:t>
      </w:r>
      <w:r w:rsidRPr="006C3634">
        <w:t xml:space="preserve">must also </w:t>
      </w:r>
      <w:r w:rsidRPr="004A48F4">
        <w:t xml:space="preserve">identify </w:t>
      </w:r>
      <w:r w:rsidRPr="006C3634">
        <w:t xml:space="preserve">each restating and pro forma adjustment and </w:t>
      </w:r>
      <w:r w:rsidRPr="004A48F4">
        <w:t xml:space="preserve">the </w:t>
      </w:r>
      <w:r w:rsidRPr="006C3634">
        <w:t xml:space="preserve">effect </w:t>
      </w:r>
      <w:r w:rsidRPr="004A48F4">
        <w:t xml:space="preserve">of that adjustment </w:t>
      </w:r>
      <w:r w:rsidRPr="006C3634">
        <w:t xml:space="preserve">on the </w:t>
      </w:r>
      <w:r w:rsidRPr="004A48F4">
        <w:t xml:space="preserve">company’s </w:t>
      </w:r>
      <w:r w:rsidRPr="006C3634">
        <w:t>operations</w:t>
      </w:r>
      <w:r w:rsidRPr="004A48F4">
        <w:t xml:space="preserve"> and rate</w:t>
      </w:r>
      <w:r w:rsidRPr="004A48F4">
        <w:rPr>
          <w:spacing w:val="-16"/>
        </w:rPr>
        <w:t xml:space="preserve"> </w:t>
      </w:r>
      <w:r w:rsidRPr="004A48F4">
        <w:t>of</w:t>
      </w:r>
      <w:r w:rsidRPr="004A48F4">
        <w:rPr>
          <w:spacing w:val="-6"/>
        </w:rPr>
        <w:t xml:space="preserve"> </w:t>
      </w:r>
      <w:r w:rsidRPr="004A48F4">
        <w:t>return</w:t>
      </w:r>
      <w:r w:rsidRPr="006C3634">
        <w:t>. The testimony must</w:t>
      </w:r>
      <w:r w:rsidRPr="006C3634">
        <w:rPr>
          <w:spacing w:val="-18"/>
        </w:rPr>
        <w:t xml:space="preserve"> </w:t>
      </w:r>
      <w:r w:rsidRPr="006C3634">
        <w:t>include</w:t>
      </w:r>
      <w:r w:rsidRPr="006C3634">
        <w:rPr>
          <w:spacing w:val="-6"/>
        </w:rPr>
        <w:t xml:space="preserve"> </w:t>
      </w:r>
      <w:r w:rsidRPr="006C3634">
        <w:t>a written description of each proposed restating and pro forma adjustment describing the reason, theory, and calculation of</w:t>
      </w:r>
      <w:r w:rsidRPr="006C3634">
        <w:rPr>
          <w:spacing w:val="-53"/>
        </w:rPr>
        <w:t xml:space="preserve"> </w:t>
      </w:r>
      <w:r w:rsidRPr="006C3634">
        <w:t xml:space="preserve">the adjustment. </w:t>
      </w:r>
      <w:r w:rsidR="00F957D7">
        <w:br/>
      </w:r>
      <w:r w:rsidR="00CC5B6B" w:rsidRPr="00CC5B6B">
        <w:t xml:space="preserve">(b) </w:t>
      </w:r>
      <w:r w:rsidR="00CC5B6B" w:rsidRPr="00711DDF">
        <w:rPr>
          <w:u w:val="single"/>
        </w:rPr>
        <w:t xml:space="preserve">Testimony and exhibits filed in response to the company’s initial filing or to the responsive filings of the parties must address the evidence and testimony previously filed in the docket.  Any party seeking to </w:t>
      </w:r>
      <w:r w:rsidR="00753078" w:rsidRPr="00711DDF">
        <w:rPr>
          <w:u w:val="single"/>
        </w:rPr>
        <w:t>amend</w:t>
      </w:r>
      <w:r w:rsidR="00AD71BF">
        <w:rPr>
          <w:u w:val="single"/>
        </w:rPr>
        <w:t xml:space="preserve">, </w:t>
      </w:r>
      <w:r w:rsidR="00481B43">
        <w:rPr>
          <w:u w:val="single"/>
        </w:rPr>
        <w:t>supplant, or</w:t>
      </w:r>
      <w:r w:rsidR="00AD71BF">
        <w:rPr>
          <w:u w:val="single"/>
        </w:rPr>
        <w:t xml:space="preserve"> augment</w:t>
      </w:r>
      <w:r w:rsidR="00CC5B6B" w:rsidRPr="00711DDF">
        <w:rPr>
          <w:u w:val="single"/>
        </w:rPr>
        <w:t xml:space="preserve"> its previously filed testimony </w:t>
      </w:r>
      <w:r w:rsidR="00753078">
        <w:rPr>
          <w:u w:val="single"/>
        </w:rPr>
        <w:t>and exhibits</w:t>
      </w:r>
      <w:r w:rsidR="00AD71BF">
        <w:rPr>
          <w:u w:val="single"/>
        </w:rPr>
        <w:t>,</w:t>
      </w:r>
      <w:r w:rsidR="00753078">
        <w:rPr>
          <w:u w:val="single"/>
        </w:rPr>
        <w:t xml:space="preserve"> or to </w:t>
      </w:r>
      <w:r w:rsidR="00753078" w:rsidRPr="00711DDF">
        <w:rPr>
          <w:u w:val="single"/>
        </w:rPr>
        <w:t xml:space="preserve">expand the substantive issues </w:t>
      </w:r>
      <w:r w:rsidR="00753078">
        <w:rPr>
          <w:u w:val="single"/>
        </w:rPr>
        <w:t>set forth in the docket</w:t>
      </w:r>
      <w:r w:rsidR="00AD71BF">
        <w:rPr>
          <w:u w:val="single"/>
        </w:rPr>
        <w:t>’</w:t>
      </w:r>
      <w:r w:rsidR="00753078">
        <w:rPr>
          <w:u w:val="single"/>
        </w:rPr>
        <w:t>s filed testimony</w:t>
      </w:r>
      <w:r w:rsidR="00481B43">
        <w:rPr>
          <w:u w:val="single"/>
        </w:rPr>
        <w:t>,</w:t>
      </w:r>
      <w:r w:rsidR="00753078">
        <w:rPr>
          <w:u w:val="single"/>
        </w:rPr>
        <w:t xml:space="preserve"> </w:t>
      </w:r>
      <w:r w:rsidR="00CC5B6B" w:rsidRPr="00711DDF">
        <w:rPr>
          <w:u w:val="single"/>
        </w:rPr>
        <w:t>must fi</w:t>
      </w:r>
      <w:r w:rsidR="00AD71BF">
        <w:rPr>
          <w:u w:val="single"/>
        </w:rPr>
        <w:t xml:space="preserve">rst obtain Commission approval, and </w:t>
      </w:r>
      <w:r w:rsidR="00CC5B6B" w:rsidRPr="00711DDF">
        <w:rPr>
          <w:u w:val="single"/>
        </w:rPr>
        <w:t>demonstrat</w:t>
      </w:r>
      <w:r w:rsidR="00AD71BF">
        <w:rPr>
          <w:u w:val="single"/>
        </w:rPr>
        <w:t xml:space="preserve">e </w:t>
      </w:r>
      <w:r w:rsidR="00CC5B6B" w:rsidRPr="00711DDF">
        <w:rPr>
          <w:u w:val="single"/>
        </w:rPr>
        <w:lastRenderedPageBreak/>
        <w:t>that the proposed  modification</w:t>
      </w:r>
      <w:r w:rsidR="00AD71BF">
        <w:rPr>
          <w:u w:val="single"/>
        </w:rPr>
        <w:t xml:space="preserve"> or expansion</w:t>
      </w:r>
      <w:r w:rsidR="00CC5B6B" w:rsidRPr="00711DDF">
        <w:rPr>
          <w:u w:val="single"/>
        </w:rPr>
        <w:t xml:space="preserve"> of the evidence will not materially affect the docket’s procedural schedule or the due process rights of the parties. </w:t>
      </w:r>
    </w:p>
    <w:p w14:paraId="6A3D8D4B" w14:textId="77777777" w:rsidR="00CC5B6B" w:rsidRPr="00CC5B6B" w:rsidRDefault="00CC5B6B" w:rsidP="00CC5B6B">
      <w:pPr>
        <w:pStyle w:val="WUTCParagraph"/>
        <w:numPr>
          <w:ilvl w:val="0"/>
          <w:numId w:val="0"/>
        </w:numPr>
        <w:spacing w:line="240" w:lineRule="auto"/>
      </w:pPr>
    </w:p>
    <w:bookmarkEnd w:id="1"/>
    <w:p w14:paraId="56626E0E" w14:textId="45AD512D" w:rsidR="00F6104F" w:rsidRPr="00635BD1" w:rsidRDefault="00553637" w:rsidP="00CC5B6B">
      <w:pPr>
        <w:pStyle w:val="WUTCParagraph"/>
      </w:pPr>
      <w:r w:rsidRPr="00635BD1">
        <w:rPr>
          <w:b/>
        </w:rPr>
        <w:tab/>
      </w:r>
      <w:r w:rsidR="00F6104F">
        <w:t xml:space="preserve">In sum, ICNU recommends that the Commission </w:t>
      </w:r>
      <w:r w:rsidR="0066344B">
        <w:t xml:space="preserve">adopt the </w:t>
      </w:r>
      <w:r w:rsidR="006269EF">
        <w:t xml:space="preserve">proposed </w:t>
      </w:r>
      <w:r w:rsidR="00753078">
        <w:t>new section in this rulemaking</w:t>
      </w:r>
      <w:r w:rsidR="00B24454">
        <w:t xml:space="preserve">. </w:t>
      </w:r>
      <w:r w:rsidR="00903487">
        <w:t>Should the Commission agree, i</w:t>
      </w:r>
      <w:r w:rsidR="00B24454">
        <w:t>t w</w:t>
      </w:r>
      <w:r w:rsidR="006269EF">
        <w:t xml:space="preserve">ould add an effective tool </w:t>
      </w:r>
      <w:r w:rsidR="000B0DC3">
        <w:t xml:space="preserve">to </w:t>
      </w:r>
      <w:r w:rsidR="00903487">
        <w:t xml:space="preserve">address the procedural problems and due process challenges associated with </w:t>
      </w:r>
      <w:r w:rsidR="00F6104F">
        <w:t xml:space="preserve">the introduction of new or materially different testimony during the rebuttal phases of general rate cases. </w:t>
      </w:r>
      <w:r w:rsidR="00E62AB8">
        <w:t xml:space="preserve"> </w:t>
      </w:r>
      <w:r w:rsidR="000B0DC3">
        <w:t xml:space="preserve">The first sentence in new section (b) sets forth the Commission’s expectation for rebuttal testimony. </w:t>
      </w:r>
      <w:r w:rsidR="00E62AB8">
        <w:t xml:space="preserve"> </w:t>
      </w:r>
      <w:r w:rsidR="008E44C6">
        <w:t xml:space="preserve">The </w:t>
      </w:r>
      <w:r w:rsidR="00F01062">
        <w:t>pre-a</w:t>
      </w:r>
      <w:r w:rsidR="008E44C6">
        <w:t xml:space="preserve">pproval requirement set forth in the second sentence will ensure that non-responsive testimony </w:t>
      </w:r>
      <w:r w:rsidR="00F01062">
        <w:t xml:space="preserve">is limited to those occasions when the </w:t>
      </w:r>
      <w:r w:rsidR="008E44C6">
        <w:t xml:space="preserve">Commission’s procedural schedule and the due process rights of the parties are addressed and </w:t>
      </w:r>
      <w:r w:rsidR="00F01062">
        <w:t>protected.</w:t>
      </w:r>
      <w:r w:rsidR="008E44C6">
        <w:t xml:space="preserve">  </w:t>
      </w:r>
      <w:r w:rsidR="00F01062">
        <w:t>If adopted, t</w:t>
      </w:r>
      <w:r w:rsidR="00F6104F">
        <w:t>his new language will result in a better and more complete record f</w:t>
      </w:r>
      <w:r w:rsidR="00F01062">
        <w:t xml:space="preserve">rom which to base </w:t>
      </w:r>
      <w:r w:rsidR="00F6104F">
        <w:t>Commission</w:t>
      </w:r>
      <w:r w:rsidR="00F01062">
        <w:t xml:space="preserve"> decisions. </w:t>
      </w:r>
      <w:r w:rsidR="00F6104F">
        <w:t xml:space="preserve">  </w:t>
      </w:r>
    </w:p>
    <w:p w14:paraId="1924F9F0" w14:textId="27CA2CA2" w:rsidR="00673D3A" w:rsidRPr="00E62AB8" w:rsidRDefault="00E62AB8" w:rsidP="00E62AB8">
      <w:pPr>
        <w:rPr>
          <w:b/>
        </w:rPr>
      </w:pPr>
      <w:r w:rsidRPr="00E62AB8">
        <w:rPr>
          <w:b/>
        </w:rPr>
        <w:tab/>
      </w:r>
      <w:r w:rsidR="00553637" w:rsidRPr="00E62AB8">
        <w:rPr>
          <w:b/>
        </w:rPr>
        <w:t>480-07-510(3) Work Papers</w:t>
      </w:r>
      <w:r w:rsidR="00AB1FA2" w:rsidRPr="00E62AB8">
        <w:rPr>
          <w:b/>
        </w:rPr>
        <w:tab/>
      </w:r>
    </w:p>
    <w:p w14:paraId="654748C9" w14:textId="776670C7" w:rsidR="0086464B" w:rsidRDefault="0086464B" w:rsidP="0086464B">
      <w:pPr>
        <w:pStyle w:val="WUTCParagraph"/>
        <w:tabs>
          <w:tab w:val="clear" w:pos="1440"/>
        </w:tabs>
      </w:pPr>
      <w:r>
        <w:tab/>
      </w:r>
      <w:r>
        <w:tab/>
        <w:t>ICNU generally supports the Commission’s modification to the rules regarding workpapers.  Notwithstanding, ICNU recommends that the paragraph on workpaper requirements</w:t>
      </w:r>
      <w:r w:rsidR="00B546AF">
        <w:t>,</w:t>
      </w:r>
      <w:r>
        <w:t xml:space="preserve"> 480-07-510(3)(d)</w:t>
      </w:r>
      <w:r w:rsidR="00B546AF">
        <w:t>,</w:t>
      </w:r>
      <w:r>
        <w:t xml:space="preserve"> be more specific to ensure that parties provide workpapers in formats which are usable and auditable to parties.  The tight procedural schedules in proceedings often do not allow for multiple rounds of discovery to request workpapers that should have been included in the initial filing of a utility.  In addition, it is possible for a party to break links and hard-code values in a spreadsheet in order to obfuscate data or make it difficult for parties to perform a meaningful review of the workpapers.  To avoid this sort of gamesmanship, ICNU supports adding the following sentence to 480-07-510(3)(d): “Spreadsheet files may not include </w:t>
      </w:r>
      <w:r>
        <w:lastRenderedPageBreak/>
        <w:t xml:space="preserve">hard-coded numbers, except where the source of the hard-coded number is plainly identified and the source has been made available to parties.” </w:t>
      </w:r>
    </w:p>
    <w:p w14:paraId="06094D24" w14:textId="41B6A12E" w:rsidR="00C409CD" w:rsidRPr="00B546AF" w:rsidRDefault="001F35B8" w:rsidP="00B546AF">
      <w:pPr>
        <w:spacing w:after="240"/>
        <w:rPr>
          <w:b/>
        </w:rPr>
      </w:pPr>
      <w:r>
        <w:t xml:space="preserve"> </w:t>
      </w:r>
      <w:r w:rsidR="00B546AF">
        <w:tab/>
      </w:r>
      <w:r w:rsidR="00C409CD" w:rsidRPr="00B546AF">
        <w:rPr>
          <w:b/>
        </w:rPr>
        <w:t>480-07-</w:t>
      </w:r>
      <w:r w:rsidR="00673D3A" w:rsidRPr="00B546AF">
        <w:rPr>
          <w:b/>
        </w:rPr>
        <w:t>515</w:t>
      </w:r>
      <w:r w:rsidR="00607F81" w:rsidRPr="00B546AF">
        <w:rPr>
          <w:b/>
        </w:rPr>
        <w:t xml:space="preserve"> Limited Rate Proceeding </w:t>
      </w:r>
    </w:p>
    <w:p w14:paraId="2DE10E42" w14:textId="5930517D" w:rsidR="007A6336" w:rsidRPr="007A6336" w:rsidRDefault="00711DDF" w:rsidP="00711DDF">
      <w:pPr>
        <w:pStyle w:val="WUTCParagraph"/>
        <w:rPr>
          <w:szCs w:val="24"/>
        </w:rPr>
      </w:pPr>
      <w:r>
        <w:t xml:space="preserve">                        </w:t>
      </w:r>
      <w:r w:rsidR="00412E92">
        <w:t>It appears that the</w:t>
      </w:r>
      <w:r>
        <w:t xml:space="preserve"> </w:t>
      </w:r>
      <w:r w:rsidR="00412E92">
        <w:t xml:space="preserve">proposed </w:t>
      </w:r>
      <w:r w:rsidR="00E86563">
        <w:t xml:space="preserve">Limited Rate Proceeding (“LRP”) </w:t>
      </w:r>
      <w:r>
        <w:t xml:space="preserve">rule is intended to </w:t>
      </w:r>
      <w:r w:rsidR="00F01EEB">
        <w:t>replace</w:t>
      </w:r>
      <w:r w:rsidR="008F4B93">
        <w:t xml:space="preserve"> the</w:t>
      </w:r>
      <w:r w:rsidR="00F01EEB">
        <w:t xml:space="preserve"> recent</w:t>
      </w:r>
      <w:r w:rsidR="008F4B93">
        <w:t>ly conceived</w:t>
      </w:r>
      <w:r>
        <w:t xml:space="preserve"> Expedited Rate Filing (“ERF”) process. </w:t>
      </w:r>
      <w:r w:rsidR="002D43B0">
        <w:t xml:space="preserve"> </w:t>
      </w:r>
      <w:r w:rsidR="00B15CBF">
        <w:t>In the limited sense that the rule may decrease certain ambiguity which has surrounded ERF process</w:t>
      </w:r>
      <w:r>
        <w:t xml:space="preserve">, </w:t>
      </w:r>
      <w:r w:rsidR="00B15CBF">
        <w:t>the proposal could be viewed as a</w:t>
      </w:r>
      <w:r>
        <w:t xml:space="preserve"> step in the right direction. </w:t>
      </w:r>
      <w:r w:rsidR="002D43B0">
        <w:t xml:space="preserve"> </w:t>
      </w:r>
      <w:r>
        <w:t xml:space="preserve">However, the </w:t>
      </w:r>
      <w:r w:rsidR="002F57D6">
        <w:t xml:space="preserve">proposed rule </w:t>
      </w:r>
      <w:r w:rsidR="00412E92">
        <w:t xml:space="preserve">offers little to </w:t>
      </w:r>
      <w:r w:rsidR="004045C8">
        <w:t xml:space="preserve">encourage the </w:t>
      </w:r>
      <w:r w:rsidR="00B15CBF">
        <w:t xml:space="preserve">ultimate </w:t>
      </w:r>
      <w:r w:rsidR="004045C8">
        <w:t xml:space="preserve">support of non-company parties.  </w:t>
      </w:r>
    </w:p>
    <w:p w14:paraId="2DECCBF3" w14:textId="0C3CAC67" w:rsidR="00D84A87" w:rsidRPr="006269EF" w:rsidRDefault="007A6336" w:rsidP="00BC5CA0">
      <w:pPr>
        <w:pStyle w:val="WUTCParagraph"/>
        <w:rPr>
          <w:szCs w:val="24"/>
        </w:rPr>
      </w:pPr>
      <w:r>
        <w:tab/>
      </w:r>
      <w:r w:rsidR="00B15CBF">
        <w:t>Most notably, t</w:t>
      </w:r>
      <w:r w:rsidR="00412E92">
        <w:t xml:space="preserve">he proposed rule </w:t>
      </w:r>
      <w:r w:rsidR="004045C8">
        <w:t xml:space="preserve">would </w:t>
      </w:r>
      <w:r w:rsidR="00412E92">
        <w:t xml:space="preserve">expand the </w:t>
      </w:r>
      <w:r w:rsidR="004045C8">
        <w:t xml:space="preserve">ERF’s limited </w:t>
      </w:r>
      <w:r w:rsidR="00412E92">
        <w:t xml:space="preserve">scope </w:t>
      </w:r>
      <w:r w:rsidR="004045C8">
        <w:t xml:space="preserve">to </w:t>
      </w:r>
      <w:r w:rsidR="00412E92">
        <w:t xml:space="preserve">include most </w:t>
      </w:r>
      <w:r>
        <w:t xml:space="preserve">operating costs now </w:t>
      </w:r>
      <w:r w:rsidR="004045C8">
        <w:t xml:space="preserve">covered by </w:t>
      </w:r>
      <w:r w:rsidR="006269EF">
        <w:t xml:space="preserve">a </w:t>
      </w:r>
      <w:r w:rsidR="004045C8">
        <w:t xml:space="preserve">general rate case </w:t>
      </w:r>
      <w:r w:rsidR="00A8210F">
        <w:t xml:space="preserve">(“GRC”) </w:t>
      </w:r>
      <w:r w:rsidR="004045C8">
        <w:t>f</w:t>
      </w:r>
      <w:r w:rsidR="00412E92">
        <w:t>iling</w:t>
      </w:r>
      <w:r>
        <w:t xml:space="preserve">. </w:t>
      </w:r>
      <w:r w:rsidR="00C04CE6">
        <w:t xml:space="preserve"> </w:t>
      </w:r>
      <w:r>
        <w:t xml:space="preserve">Excluded from review </w:t>
      </w:r>
      <w:r w:rsidR="006269EF">
        <w:t xml:space="preserve">are </w:t>
      </w:r>
      <w:r>
        <w:t xml:space="preserve">power costs, revenue attributable to power costs, </w:t>
      </w:r>
      <w:r w:rsidR="0084566E">
        <w:t xml:space="preserve">costs associated with </w:t>
      </w:r>
      <w:r>
        <w:t xml:space="preserve">operation of generation rate base, </w:t>
      </w:r>
      <w:r w:rsidR="004045C8">
        <w:t>rate of return and capital structure</w:t>
      </w:r>
      <w:r w:rsidR="00D84A87">
        <w:t>, and rate spread and rate design</w:t>
      </w:r>
      <w:r w:rsidR="0084566E">
        <w:t xml:space="preserve">. </w:t>
      </w:r>
      <w:r w:rsidR="00C04CE6">
        <w:t xml:space="preserve"> </w:t>
      </w:r>
      <w:r w:rsidR="00D84A87">
        <w:t xml:space="preserve">The rule also calls for a six-month procedural schedule – nearly halving the suspension period for a </w:t>
      </w:r>
      <w:r w:rsidR="00D13D95">
        <w:t>GRC</w:t>
      </w:r>
      <w:r w:rsidR="00D84A87">
        <w:t xml:space="preserve">. </w:t>
      </w:r>
    </w:p>
    <w:p w14:paraId="7058F82D" w14:textId="3ED2FD22" w:rsidR="00215B50" w:rsidRPr="00215B50" w:rsidRDefault="00D84A87" w:rsidP="00BC5CA0">
      <w:pPr>
        <w:pStyle w:val="WUTCParagraph"/>
        <w:rPr>
          <w:szCs w:val="24"/>
        </w:rPr>
      </w:pPr>
      <w:r>
        <w:tab/>
      </w:r>
      <w:r w:rsidR="004F6DD3">
        <w:t xml:space="preserve">Finally, the proposed rule would allow a company to “stack” three rate proceedings into </w:t>
      </w:r>
      <w:r>
        <w:t xml:space="preserve">less than </w:t>
      </w:r>
      <w:r w:rsidR="004F6DD3">
        <w:t xml:space="preserve">three years – opening with a </w:t>
      </w:r>
      <w:r w:rsidR="00D13D95">
        <w:t>GRC</w:t>
      </w:r>
      <w:r w:rsidR="004F6DD3">
        <w:t xml:space="preserve"> and following with two LRPs. </w:t>
      </w:r>
      <w:r w:rsidR="00C04CE6">
        <w:t xml:space="preserve"> </w:t>
      </w:r>
      <w:r>
        <w:t>It appears to ICNU that the proposed rule offers</w:t>
      </w:r>
      <w:r w:rsidR="00215B50">
        <w:t xml:space="preserve"> companies </w:t>
      </w:r>
      <w:r w:rsidR="00711DDF">
        <w:t>what is effectively a three-year rate plan</w:t>
      </w:r>
      <w:r w:rsidR="000F1423">
        <w:t xml:space="preserve"> </w:t>
      </w:r>
      <w:r w:rsidR="00711DDF">
        <w:t xml:space="preserve">after the conclusion of each </w:t>
      </w:r>
      <w:r w:rsidR="00D13D95">
        <w:t>GRC</w:t>
      </w:r>
      <w:r w:rsidR="00711DDF">
        <w:t>.</w:t>
      </w:r>
      <w:r w:rsidR="000F1423" w:rsidRPr="00C04CE6">
        <w:rPr>
          <w:rStyle w:val="FootnoteReference"/>
          <w:u w:val="single"/>
        </w:rPr>
        <w:footnoteReference w:id="9"/>
      </w:r>
      <w:r w:rsidR="00C04CE6">
        <w:rPr>
          <w:vertAlign w:val="superscript"/>
        </w:rPr>
        <w:t>/</w:t>
      </w:r>
      <w:r w:rsidR="000F1423">
        <w:t xml:space="preserve"> </w:t>
      </w:r>
      <w:r w:rsidR="00711DDF">
        <w:t xml:space="preserve"> ICNU opposes giving </w:t>
      </w:r>
      <w:r w:rsidR="00215B50">
        <w:t xml:space="preserve">them </w:t>
      </w:r>
      <w:r w:rsidR="00711DDF">
        <w:t>this procedural advantage.</w:t>
      </w:r>
    </w:p>
    <w:p w14:paraId="2035BA74" w14:textId="77777777" w:rsidR="00711DDF" w:rsidRPr="00215B50" w:rsidRDefault="00215B50" w:rsidP="00BC5CA0">
      <w:pPr>
        <w:pStyle w:val="WUTCParagraph"/>
        <w:rPr>
          <w:szCs w:val="24"/>
        </w:rPr>
      </w:pPr>
      <w:r>
        <w:lastRenderedPageBreak/>
        <w:tab/>
        <w:t>ICNU begin</w:t>
      </w:r>
      <w:r w:rsidR="000F1423">
        <w:t>s</w:t>
      </w:r>
      <w:r>
        <w:t xml:space="preserve"> its comments on the proposed rule with a brief history of the ERF and its purpose. The rule’s details </w:t>
      </w:r>
      <w:r w:rsidR="008479EA">
        <w:t xml:space="preserve">and possible impacts </w:t>
      </w:r>
      <w:r>
        <w:t xml:space="preserve">will then be discussed.  </w:t>
      </w:r>
      <w:r w:rsidR="00711DDF">
        <w:t xml:space="preserve">   </w:t>
      </w:r>
    </w:p>
    <w:p w14:paraId="483EC164" w14:textId="518C293B" w:rsidR="00A0017E" w:rsidRPr="002D43B0" w:rsidRDefault="00711DDF" w:rsidP="00BC5CA0">
      <w:pPr>
        <w:pStyle w:val="WUTCParagraph"/>
        <w:rPr>
          <w:szCs w:val="24"/>
        </w:rPr>
      </w:pPr>
      <w:r>
        <w:tab/>
      </w:r>
      <w:bookmarkStart w:id="3" w:name="_Hlk482353206"/>
      <w:r w:rsidR="002C7703">
        <w:t xml:space="preserve">When </w:t>
      </w:r>
      <w:r w:rsidR="00701397">
        <w:t xml:space="preserve">first approved </w:t>
      </w:r>
      <w:r w:rsidR="00D453B2">
        <w:t xml:space="preserve">by Commission, the ERF had no particular structure or governing directives. </w:t>
      </w:r>
      <w:r w:rsidR="00DD00EB">
        <w:t xml:space="preserve"> </w:t>
      </w:r>
      <w:r w:rsidR="00D453B2">
        <w:t xml:space="preserve">Rather, </w:t>
      </w:r>
      <w:r w:rsidR="002C7703">
        <w:t xml:space="preserve">the </w:t>
      </w:r>
      <w:r w:rsidR="00D453B2">
        <w:t xml:space="preserve">Commission </w:t>
      </w:r>
      <w:r w:rsidR="004B0562">
        <w:t xml:space="preserve">allowed the </w:t>
      </w:r>
      <w:r w:rsidR="00BA034B">
        <w:t xml:space="preserve">ERF </w:t>
      </w:r>
      <w:r w:rsidR="004B0562">
        <w:t>to be used to set rates</w:t>
      </w:r>
      <w:r w:rsidR="00BA034B">
        <w:t xml:space="preserve">, along with its thoughts on how an ERF should be used. </w:t>
      </w:r>
      <w:r w:rsidR="00701397">
        <w:t xml:space="preserve"> </w:t>
      </w:r>
      <w:r w:rsidR="00C60C0F">
        <w:t xml:space="preserve">The ERF was </w:t>
      </w:r>
      <w:r>
        <w:t xml:space="preserve">never meant to act as a substitute for a </w:t>
      </w:r>
      <w:r w:rsidR="00EF0573">
        <w:t xml:space="preserve">full </w:t>
      </w:r>
      <w:r w:rsidR="004B6987">
        <w:t>GRC</w:t>
      </w:r>
      <w:r>
        <w:t>.</w:t>
      </w:r>
      <w:r w:rsidR="00B315AC">
        <w:t xml:space="preserve"> </w:t>
      </w:r>
      <w:r w:rsidR="00C60C0F">
        <w:t xml:space="preserve"> It was intended</w:t>
      </w:r>
      <w:r w:rsidR="00A81788">
        <w:t>,</w:t>
      </w:r>
      <w:r w:rsidR="00C60C0F">
        <w:t xml:space="preserve"> instead</w:t>
      </w:r>
      <w:r w:rsidR="00A81788">
        <w:t>,</w:t>
      </w:r>
      <w:r w:rsidR="00C60C0F">
        <w:t xml:space="preserve"> to be a “</w:t>
      </w:r>
      <w:r w:rsidR="00C60C0F" w:rsidRPr="007112C9">
        <w:rPr>
          <w:color w:val="auto"/>
          <w:szCs w:val="24"/>
        </w:rPr>
        <w:t xml:space="preserve">simple and straight-forward process to </w:t>
      </w:r>
      <w:r w:rsidR="00C60C0F" w:rsidRPr="002D43B0">
        <w:rPr>
          <w:i/>
          <w:color w:val="auto"/>
          <w:szCs w:val="24"/>
        </w:rPr>
        <w:t>update</w:t>
      </w:r>
      <w:r w:rsidR="00C60C0F" w:rsidRPr="007112C9">
        <w:rPr>
          <w:color w:val="auto"/>
          <w:szCs w:val="24"/>
        </w:rPr>
        <w:t xml:space="preserve"> the test period relationships between rate base and net operating income.”</w:t>
      </w:r>
      <w:r w:rsidR="00C60C0F" w:rsidRPr="00DA5A0B">
        <w:rPr>
          <w:rStyle w:val="FootnoteReference"/>
          <w:color w:val="auto"/>
          <w:szCs w:val="24"/>
          <w:u w:val="single"/>
        </w:rPr>
        <w:footnoteReference w:id="10"/>
      </w:r>
      <w:r w:rsidR="00E86563" w:rsidRPr="007112C9">
        <w:rPr>
          <w:color w:val="auto"/>
          <w:szCs w:val="24"/>
          <w:vertAlign w:val="superscript"/>
        </w:rPr>
        <w:t>/</w:t>
      </w:r>
      <w:r w:rsidR="002D43B0">
        <w:rPr>
          <w:color w:val="auto"/>
          <w:szCs w:val="24"/>
        </w:rPr>
        <w:t xml:space="preserve">  </w:t>
      </w:r>
      <w:r w:rsidR="00E86563">
        <w:rPr>
          <w:color w:val="auto"/>
          <w:szCs w:val="24"/>
        </w:rPr>
        <w:t>The</w:t>
      </w:r>
      <w:r w:rsidR="00B315AC">
        <w:rPr>
          <w:color w:val="auto"/>
          <w:szCs w:val="24"/>
        </w:rPr>
        <w:t xml:space="preserve"> Commission has also described the ERF </w:t>
      </w:r>
      <w:r w:rsidR="00B315AC">
        <w:rPr>
          <w:szCs w:val="24"/>
        </w:rPr>
        <w:t xml:space="preserve">as </w:t>
      </w:r>
      <w:r w:rsidR="00B315AC" w:rsidRPr="00F87663">
        <w:rPr>
          <w:szCs w:val="24"/>
        </w:rPr>
        <w:t xml:space="preserve">“a </w:t>
      </w:r>
      <w:r w:rsidR="00B315AC" w:rsidRPr="002D43B0">
        <w:rPr>
          <w:i/>
          <w:szCs w:val="24"/>
        </w:rPr>
        <w:t>one-time true up</w:t>
      </w:r>
      <w:r w:rsidR="00B315AC" w:rsidRPr="00F87663">
        <w:rPr>
          <w:szCs w:val="24"/>
        </w:rPr>
        <w:t xml:space="preserve"> for changes to delivery expenses </w:t>
      </w:r>
      <w:r w:rsidR="00AC57B3">
        <w:rPr>
          <w:szCs w:val="24"/>
        </w:rPr>
        <w:t>and revenues from the test year</w:t>
      </w:r>
      <w:r w:rsidR="00B315AC" w:rsidRPr="00F87663">
        <w:rPr>
          <w:szCs w:val="24"/>
        </w:rPr>
        <w:t>….”</w:t>
      </w:r>
      <w:r w:rsidR="00B315AC" w:rsidRPr="002D43B0">
        <w:rPr>
          <w:rStyle w:val="FootnoteReference"/>
          <w:szCs w:val="24"/>
          <w:u w:val="single"/>
        </w:rPr>
        <w:footnoteReference w:id="11"/>
      </w:r>
      <w:r w:rsidR="002D43B0">
        <w:rPr>
          <w:szCs w:val="24"/>
          <w:vertAlign w:val="superscript"/>
        </w:rPr>
        <w:t>/</w:t>
      </w:r>
      <w:r w:rsidR="00B315AC">
        <w:rPr>
          <w:szCs w:val="24"/>
        </w:rPr>
        <w:t xml:space="preserve"> </w:t>
      </w:r>
      <w:r w:rsidR="002D43B0">
        <w:rPr>
          <w:szCs w:val="24"/>
        </w:rPr>
        <w:t xml:space="preserve"> </w:t>
      </w:r>
      <w:r w:rsidR="00C60C0F">
        <w:rPr>
          <w:color w:val="auto"/>
          <w:szCs w:val="24"/>
        </w:rPr>
        <w:t xml:space="preserve">Hence, </w:t>
      </w:r>
      <w:r w:rsidR="00B315AC">
        <w:rPr>
          <w:color w:val="auto"/>
          <w:szCs w:val="24"/>
        </w:rPr>
        <w:t xml:space="preserve">an ERF filing is bound to the </w:t>
      </w:r>
      <w:r w:rsidR="00E758E9">
        <w:rPr>
          <w:color w:val="auto"/>
          <w:szCs w:val="24"/>
        </w:rPr>
        <w:t>GRC</w:t>
      </w:r>
      <w:r w:rsidR="00B315AC">
        <w:rPr>
          <w:color w:val="auto"/>
          <w:szCs w:val="24"/>
        </w:rPr>
        <w:t xml:space="preserve"> that precedes it, and can </w:t>
      </w:r>
      <w:r w:rsidR="00B315AC">
        <w:t xml:space="preserve">be </w:t>
      </w:r>
      <w:r>
        <w:t xml:space="preserve">simply viewed as another “chapter” of the </w:t>
      </w:r>
      <w:r w:rsidR="00B315AC">
        <w:t xml:space="preserve">“parent” </w:t>
      </w:r>
      <w:r>
        <w:t xml:space="preserve">case. </w:t>
      </w:r>
    </w:p>
    <w:p w14:paraId="2A8DFD95" w14:textId="50A1D357" w:rsidR="008F2217" w:rsidRPr="008F2217" w:rsidRDefault="00A0017E" w:rsidP="008F2217">
      <w:pPr>
        <w:pStyle w:val="WUTCParagraph"/>
        <w:rPr>
          <w:szCs w:val="24"/>
        </w:rPr>
      </w:pPr>
      <w:r>
        <w:tab/>
      </w:r>
      <w:r w:rsidR="00D26DAC">
        <w:rPr>
          <w:szCs w:val="24"/>
        </w:rPr>
        <w:t xml:space="preserve">Consistent with this intent, the Commission </w:t>
      </w:r>
      <w:r>
        <w:rPr>
          <w:szCs w:val="24"/>
        </w:rPr>
        <w:t>made clear t</w:t>
      </w:r>
      <w:r w:rsidR="00D26DAC">
        <w:rPr>
          <w:szCs w:val="24"/>
        </w:rPr>
        <w:t xml:space="preserve">hat </w:t>
      </w:r>
      <w:r w:rsidR="00711DDF">
        <w:t xml:space="preserve">an ERF must be filed near in time to </w:t>
      </w:r>
      <w:r w:rsidR="005D7F70">
        <w:t xml:space="preserve">its “parent” </w:t>
      </w:r>
      <w:r w:rsidR="00711DDF">
        <w:t>rate case</w:t>
      </w:r>
      <w:r w:rsidR="005D7F70">
        <w:t>.</w:t>
      </w:r>
      <w:r w:rsidR="00A060D7" w:rsidRPr="00AC57B3">
        <w:rPr>
          <w:rStyle w:val="FootnoteReference"/>
          <w:u w:val="single"/>
        </w:rPr>
        <w:footnoteReference w:id="12"/>
      </w:r>
      <w:r w:rsidR="00AC57B3">
        <w:rPr>
          <w:vertAlign w:val="superscript"/>
        </w:rPr>
        <w:t>/</w:t>
      </w:r>
      <w:r w:rsidR="005D7F70">
        <w:t xml:space="preserve"> </w:t>
      </w:r>
      <w:r w:rsidR="00AC57B3">
        <w:t xml:space="preserve"> </w:t>
      </w:r>
      <w:r w:rsidR="005D7F70">
        <w:t xml:space="preserve">This guideline was intended to </w:t>
      </w:r>
      <w:r w:rsidR="00711DDF">
        <w:t xml:space="preserve">maintain </w:t>
      </w:r>
      <w:r w:rsidR="005D7F70">
        <w:t xml:space="preserve">a reasonable relationship between </w:t>
      </w:r>
      <w:r w:rsidR="00711DDF">
        <w:t xml:space="preserve">the </w:t>
      </w:r>
      <w:r w:rsidR="005D7F70">
        <w:t>evidence relied upon by the Commission in its rate order and the costs asked to be recognized in the ERF filing.</w:t>
      </w:r>
      <w:r w:rsidR="00D26DAC" w:rsidRPr="00AC57B3">
        <w:rPr>
          <w:rStyle w:val="FootnoteReference"/>
          <w:u w:val="single"/>
        </w:rPr>
        <w:footnoteReference w:id="13"/>
      </w:r>
      <w:r w:rsidR="00AC57B3">
        <w:rPr>
          <w:vertAlign w:val="superscript"/>
        </w:rPr>
        <w:t>/</w:t>
      </w:r>
      <w:r w:rsidR="00EB2524">
        <w:t xml:space="preserve"> </w:t>
      </w:r>
      <w:r w:rsidR="00AC57B3">
        <w:t xml:space="preserve"> </w:t>
      </w:r>
      <w:r w:rsidR="00647F1B">
        <w:t xml:space="preserve">In other words, a “true up” or an “update” using the foundation of a recent rate case </w:t>
      </w:r>
      <w:r w:rsidR="00312FBA">
        <w:t xml:space="preserve">would be </w:t>
      </w:r>
      <w:r w:rsidR="00647F1B">
        <w:t xml:space="preserve">more likely to result in “fair, just, reasonable, and </w:t>
      </w:r>
      <w:r w:rsidR="002F57D6">
        <w:t xml:space="preserve">sufficient </w:t>
      </w:r>
      <w:r w:rsidR="00647F1B">
        <w:t>rates</w:t>
      </w:r>
      <w:r w:rsidR="002F57D6">
        <w:t>.”</w:t>
      </w:r>
      <w:r w:rsidR="004B0562" w:rsidRPr="00C97567">
        <w:rPr>
          <w:rStyle w:val="FootnoteReference"/>
          <w:u w:val="single"/>
        </w:rPr>
        <w:footnoteReference w:id="14"/>
      </w:r>
      <w:r w:rsidR="00C97567">
        <w:rPr>
          <w:vertAlign w:val="superscript"/>
        </w:rPr>
        <w:t>/</w:t>
      </w:r>
      <w:r w:rsidR="00647F1B">
        <w:t xml:space="preserve"> </w:t>
      </w:r>
      <w:r w:rsidR="00D947D9">
        <w:t xml:space="preserve"> </w:t>
      </w:r>
    </w:p>
    <w:p w14:paraId="2141F3DD" w14:textId="77000025" w:rsidR="00DA712D" w:rsidRDefault="008F2217" w:rsidP="00DA712D">
      <w:pPr>
        <w:pStyle w:val="WUTCParagraph"/>
        <w:rPr>
          <w:szCs w:val="24"/>
        </w:rPr>
      </w:pPr>
      <w:r>
        <w:lastRenderedPageBreak/>
        <w:t xml:space="preserve">                        </w:t>
      </w:r>
      <w:r w:rsidR="009820F1">
        <w:t>The Commission was attracted to the ERF because it h</w:t>
      </w:r>
      <w:r w:rsidR="000F1423">
        <w:t xml:space="preserve">eld </w:t>
      </w:r>
      <w:r w:rsidR="009820F1">
        <w:t xml:space="preserve">the promise of </w:t>
      </w:r>
      <w:r w:rsidR="000F1423">
        <w:t xml:space="preserve">deferring rate cases, thus </w:t>
      </w:r>
      <w:r w:rsidR="009820F1">
        <w:t xml:space="preserve">relieving the pressures </w:t>
      </w:r>
      <w:r w:rsidR="000F1423">
        <w:t>p</w:t>
      </w:r>
      <w:r w:rsidR="009820F1">
        <w:t xml:space="preserve">laced upon Commission </w:t>
      </w:r>
      <w:r w:rsidR="008F4B93">
        <w:t>Staff</w:t>
      </w:r>
      <w:r w:rsidR="009820F1">
        <w:t xml:space="preserve"> and parties </w:t>
      </w:r>
      <w:r w:rsidR="00F05754">
        <w:t>by recurring</w:t>
      </w:r>
      <w:r w:rsidR="009820F1">
        <w:t xml:space="preserve"> rate case filings.</w:t>
      </w:r>
      <w:r w:rsidR="000B7249" w:rsidRPr="007855E5">
        <w:rPr>
          <w:rStyle w:val="FootnoteReference"/>
          <w:u w:val="single"/>
        </w:rPr>
        <w:footnoteReference w:id="15"/>
      </w:r>
      <w:r w:rsidR="00312FBA" w:rsidRPr="008F2217">
        <w:rPr>
          <w:vertAlign w:val="superscript"/>
        </w:rPr>
        <w:t>/</w:t>
      </w:r>
      <w:r w:rsidR="00312FBA">
        <w:t xml:space="preserve"> </w:t>
      </w:r>
      <w:r w:rsidR="0002730D">
        <w:t xml:space="preserve"> </w:t>
      </w:r>
      <w:r w:rsidR="00312FBA">
        <w:t xml:space="preserve">If this is still the Commission’s concern, the proposed rule is not the answer. </w:t>
      </w:r>
      <w:r w:rsidR="00DA712D">
        <w:t xml:space="preserve"> </w:t>
      </w:r>
      <w:r w:rsidR="00312FBA">
        <w:t xml:space="preserve">ICNU believes that rule language permitting the stacking of two post-rate case LRPs would </w:t>
      </w:r>
      <w:r w:rsidR="00F80038">
        <w:t>only exacerbate</w:t>
      </w:r>
      <w:r w:rsidR="00312FBA">
        <w:t xml:space="preserve"> the pressures on</w:t>
      </w:r>
      <w:r w:rsidR="00E758E9">
        <w:t xml:space="preserve"> the Commission and its </w:t>
      </w:r>
      <w:r w:rsidR="008F4B93">
        <w:t>Staff</w:t>
      </w:r>
      <w:r w:rsidR="00E758E9">
        <w:t xml:space="preserve"> – </w:t>
      </w:r>
      <w:r w:rsidR="00312FBA">
        <w:t xml:space="preserve">not relieve them. </w:t>
      </w:r>
    </w:p>
    <w:p w14:paraId="6AF97135" w14:textId="00D2D8D3" w:rsidR="00E63684" w:rsidRDefault="00DA712D" w:rsidP="00E63684">
      <w:pPr>
        <w:pStyle w:val="WUTCParagraph"/>
        <w:rPr>
          <w:szCs w:val="24"/>
        </w:rPr>
      </w:pPr>
      <w:r>
        <w:rPr>
          <w:szCs w:val="24"/>
        </w:rPr>
        <w:t xml:space="preserve">                        </w:t>
      </w:r>
      <w:r w:rsidR="00312FBA">
        <w:t xml:space="preserve">The rule would allow a company to file a LRP within one year of the rate effective date of </w:t>
      </w:r>
      <w:r w:rsidR="00E706E5">
        <w:t xml:space="preserve">its last </w:t>
      </w:r>
      <w:r w:rsidR="00D103C1">
        <w:t>GRC</w:t>
      </w:r>
      <w:r w:rsidR="00312FBA">
        <w:t xml:space="preserve"> or </w:t>
      </w:r>
      <w:r w:rsidR="00E706E5">
        <w:t xml:space="preserve">its </w:t>
      </w:r>
      <w:r w:rsidR="00312FBA">
        <w:t>first LRP.</w:t>
      </w:r>
      <w:r w:rsidR="00E706E5" w:rsidRPr="00D91675">
        <w:rPr>
          <w:rStyle w:val="FootnoteReference"/>
          <w:u w:val="single"/>
        </w:rPr>
        <w:footnoteReference w:id="16"/>
      </w:r>
      <w:r w:rsidR="00D91675">
        <w:rPr>
          <w:vertAlign w:val="superscript"/>
        </w:rPr>
        <w:t>/</w:t>
      </w:r>
      <w:r w:rsidR="00312FBA">
        <w:t xml:space="preserve"> </w:t>
      </w:r>
      <w:r w:rsidR="00D91675">
        <w:t xml:space="preserve"> </w:t>
      </w:r>
      <w:r w:rsidR="00E706E5">
        <w:t>There is no “stay out” or “cooling” period stated in the rule.</w:t>
      </w:r>
      <w:r w:rsidR="00F80038" w:rsidRPr="00FE3D71">
        <w:rPr>
          <w:rStyle w:val="FootnoteReference"/>
          <w:u w:val="single"/>
        </w:rPr>
        <w:footnoteReference w:id="17"/>
      </w:r>
      <w:r w:rsidR="00FE3D71">
        <w:rPr>
          <w:vertAlign w:val="superscript"/>
        </w:rPr>
        <w:t>/</w:t>
      </w:r>
      <w:r w:rsidR="00E706E5">
        <w:t xml:space="preserve"> </w:t>
      </w:r>
      <w:r w:rsidR="00FE3D71">
        <w:t xml:space="preserve"> </w:t>
      </w:r>
      <w:r w:rsidR="00E706E5">
        <w:t xml:space="preserve">Therefore, a company could file its first LRP within ninety days of the entry of the order in its last </w:t>
      </w:r>
      <w:r w:rsidR="00D103C1">
        <w:t>GRC</w:t>
      </w:r>
      <w:r w:rsidR="00E706E5">
        <w:t xml:space="preserve">. </w:t>
      </w:r>
      <w:r w:rsidR="00FE3D71">
        <w:t xml:space="preserve"> The six-month count</w:t>
      </w:r>
      <w:r w:rsidR="00E706E5">
        <w:t>down to a final order would then begin.</w:t>
      </w:r>
      <w:r w:rsidR="00E706E5" w:rsidRPr="00FE3D71">
        <w:rPr>
          <w:rStyle w:val="FootnoteReference"/>
          <w:u w:val="single"/>
        </w:rPr>
        <w:footnoteReference w:id="18"/>
      </w:r>
      <w:r w:rsidR="00FE3D71">
        <w:rPr>
          <w:vertAlign w:val="superscript"/>
        </w:rPr>
        <w:t>/</w:t>
      </w:r>
      <w:r w:rsidR="00E706E5">
        <w:t xml:space="preserve"> </w:t>
      </w:r>
      <w:r w:rsidR="00FE3D71">
        <w:t xml:space="preserve"> </w:t>
      </w:r>
      <w:r w:rsidR="00D30775">
        <w:t xml:space="preserve">Assuming </w:t>
      </w:r>
      <w:r w:rsidR="00237862">
        <w:t>a Commission order within the six-month period and a second LRP filing shor</w:t>
      </w:r>
      <w:r w:rsidR="00787875">
        <w:t>tly thereafter, the Commission c</w:t>
      </w:r>
      <w:r w:rsidR="00237862">
        <w:t xml:space="preserve">ould be required to process two LRP rate case filings within a year after </w:t>
      </w:r>
      <w:r w:rsidR="00787875">
        <w:t xml:space="preserve">a </w:t>
      </w:r>
      <w:r w:rsidR="00237862">
        <w:t>company</w:t>
      </w:r>
      <w:r w:rsidR="00787875">
        <w:t>’s</w:t>
      </w:r>
      <w:r w:rsidR="00237862">
        <w:t xml:space="preserve"> last </w:t>
      </w:r>
      <w:r w:rsidR="00D103C1">
        <w:t>GRC</w:t>
      </w:r>
      <w:r w:rsidR="00237862">
        <w:t xml:space="preserve">. </w:t>
      </w:r>
      <w:r w:rsidR="0040259F">
        <w:t xml:space="preserve"> </w:t>
      </w:r>
      <w:r w:rsidR="00237862">
        <w:t xml:space="preserve">Under this hypothetical, the Commission could be asked to issue rate orders and change customer rates </w:t>
      </w:r>
      <w:r w:rsidR="00787875">
        <w:t xml:space="preserve">three times in less than eighteen months. </w:t>
      </w:r>
      <w:r w:rsidR="002B1835">
        <w:t xml:space="preserve"> </w:t>
      </w:r>
      <w:r w:rsidR="00787875">
        <w:t xml:space="preserve">The company could then file a new </w:t>
      </w:r>
      <w:r w:rsidR="00964DF2">
        <w:t>GRC</w:t>
      </w:r>
      <w:r w:rsidR="00787875">
        <w:t xml:space="preserve"> immediately after the second </w:t>
      </w:r>
      <w:r w:rsidR="0013719B">
        <w:t>LRP, and</w:t>
      </w:r>
      <w:r w:rsidR="00787875">
        <w:t xml:space="preserve"> start a new LRP clock. </w:t>
      </w:r>
    </w:p>
    <w:p w14:paraId="2892AECD" w14:textId="77777777" w:rsidR="000B6C90" w:rsidRPr="000B6C90" w:rsidRDefault="00E63684" w:rsidP="0051795F">
      <w:pPr>
        <w:pStyle w:val="WUTCParagraph"/>
        <w:rPr>
          <w:szCs w:val="24"/>
        </w:rPr>
      </w:pPr>
      <w:r>
        <w:rPr>
          <w:szCs w:val="24"/>
        </w:rPr>
        <w:t xml:space="preserve">                        </w:t>
      </w:r>
      <w:r w:rsidR="00787875">
        <w:t xml:space="preserve">This hypothetical may seem unlikely, but the rule would certainly permit </w:t>
      </w:r>
      <w:r w:rsidR="0013719B">
        <w:t xml:space="preserve">a company to cluster rate case filings </w:t>
      </w:r>
      <w:r w:rsidR="00287EB4">
        <w:t xml:space="preserve">in this way, which </w:t>
      </w:r>
      <w:r w:rsidR="00787875">
        <w:t xml:space="preserve">will feel </w:t>
      </w:r>
      <w:r w:rsidR="008479EA">
        <w:t xml:space="preserve">very </w:t>
      </w:r>
      <w:r w:rsidR="00787875">
        <w:t xml:space="preserve">much like </w:t>
      </w:r>
      <w:r w:rsidR="00287EB4">
        <w:t>GRCs</w:t>
      </w:r>
      <w:r w:rsidR="00787875">
        <w:t xml:space="preserve"> to ratepayers and the Commission. </w:t>
      </w:r>
      <w:r w:rsidR="008E0E92">
        <w:t xml:space="preserve"> </w:t>
      </w:r>
      <w:r w:rsidR="0013719B">
        <w:t>The Commission has long-favored rate stability</w:t>
      </w:r>
      <w:r w:rsidR="00D74B3C">
        <w:t xml:space="preserve">, but the new </w:t>
      </w:r>
      <w:r w:rsidR="0013719B">
        <w:t xml:space="preserve">rule would </w:t>
      </w:r>
      <w:r w:rsidR="00D74B3C">
        <w:t xml:space="preserve">encourage </w:t>
      </w:r>
      <w:r w:rsidR="0013719B">
        <w:t xml:space="preserve">the </w:t>
      </w:r>
      <w:r w:rsidR="00D74B3C">
        <w:t>antithesis of this principle</w:t>
      </w:r>
      <w:r w:rsidR="0013719B">
        <w:t xml:space="preserve">. </w:t>
      </w:r>
      <w:r w:rsidR="008E0E92">
        <w:t xml:space="preserve"> </w:t>
      </w:r>
    </w:p>
    <w:p w14:paraId="6780BC9E" w14:textId="0F1B349F" w:rsidR="00EE0EB9" w:rsidRPr="000B6C90" w:rsidRDefault="000B6C90" w:rsidP="000B6C90">
      <w:pPr>
        <w:pStyle w:val="WUTCParagraph"/>
        <w:rPr>
          <w:szCs w:val="24"/>
        </w:rPr>
      </w:pPr>
      <w:r>
        <w:lastRenderedPageBreak/>
        <w:t xml:space="preserve">                        </w:t>
      </w:r>
      <w:r w:rsidR="00D74B3C">
        <w:t>Nor will the rule lead to</w:t>
      </w:r>
      <w:r w:rsidR="0051795F">
        <w:t xml:space="preserve"> the conservation of resources. </w:t>
      </w:r>
      <w:r>
        <w:t xml:space="preserve"> </w:t>
      </w:r>
      <w:r w:rsidR="0013719B">
        <w:t>Th</w:t>
      </w:r>
      <w:r w:rsidR="008479EA">
        <w:t>e potential increase in rate filings in an abbreviated period will only increase the existing burdens already felt b</w:t>
      </w:r>
      <w:r w:rsidR="00350760">
        <w:t xml:space="preserve">y the Commission and its </w:t>
      </w:r>
      <w:r w:rsidR="008F4B93">
        <w:t>Staff</w:t>
      </w:r>
      <w:r w:rsidR="00350760">
        <w:t xml:space="preserve"> –</w:t>
      </w:r>
      <w:r w:rsidR="008479EA">
        <w:t xml:space="preserve"> not ameliorate them. </w:t>
      </w:r>
      <w:r w:rsidR="00350760">
        <w:t xml:space="preserve"> </w:t>
      </w:r>
      <w:r w:rsidR="00787875">
        <w:t xml:space="preserve">For ICNU and other like parties, the costs to participate in </w:t>
      </w:r>
      <w:r w:rsidR="00D74B3C">
        <w:t xml:space="preserve">the </w:t>
      </w:r>
      <w:r w:rsidR="00F231B1">
        <w:t>GRC</w:t>
      </w:r>
      <w:r w:rsidR="00787875">
        <w:t>/LRP</w:t>
      </w:r>
      <w:r w:rsidR="00D74B3C">
        <w:t>/LRP</w:t>
      </w:r>
      <w:r w:rsidR="00787875">
        <w:t xml:space="preserve"> </w:t>
      </w:r>
      <w:r w:rsidR="00D74B3C">
        <w:t xml:space="preserve">sequence of </w:t>
      </w:r>
      <w:r w:rsidR="00787875">
        <w:t xml:space="preserve">cases would be considerable. </w:t>
      </w:r>
      <w:r w:rsidR="00736D35">
        <w:t xml:space="preserve"> </w:t>
      </w:r>
      <w:r w:rsidR="008479EA">
        <w:t xml:space="preserve">When examined from </w:t>
      </w:r>
      <w:r w:rsidR="00787875">
        <w:t>a resource allocation perspective, the proposed rule would only benefit the companies</w:t>
      </w:r>
      <w:r w:rsidR="00F80038">
        <w:t xml:space="preserve"> by expediting and clustering their opportunities for rate increases</w:t>
      </w:r>
      <w:r w:rsidR="00787875">
        <w:t xml:space="preserve">. </w:t>
      </w:r>
      <w:r w:rsidR="00736D35">
        <w:t xml:space="preserve"> </w:t>
      </w:r>
      <w:r w:rsidR="00787875">
        <w:t xml:space="preserve">It would </w:t>
      </w:r>
      <w:r w:rsidR="00B61506">
        <w:t>provide</w:t>
      </w:r>
      <w:r w:rsidR="009B7837">
        <w:t xml:space="preserve"> no benefits</w:t>
      </w:r>
      <w:r w:rsidR="00787875">
        <w:t xml:space="preserve"> for the Commission</w:t>
      </w:r>
      <w:r w:rsidR="00F80038">
        <w:t xml:space="preserve">, ratepayers, </w:t>
      </w:r>
      <w:r w:rsidR="00787875">
        <w:t xml:space="preserve">and non-company parties. </w:t>
      </w:r>
      <w:bookmarkEnd w:id="3"/>
    </w:p>
    <w:p w14:paraId="28EF8E9D" w14:textId="01F4FEED" w:rsidR="00EA0660" w:rsidRPr="00EA0660" w:rsidRDefault="00EE0EB9" w:rsidP="00EA0660">
      <w:pPr>
        <w:pStyle w:val="WUTCParagraph"/>
        <w:rPr>
          <w:szCs w:val="24"/>
        </w:rPr>
      </w:pPr>
      <w:r>
        <w:rPr>
          <w:szCs w:val="24"/>
        </w:rPr>
        <w:t xml:space="preserve">                        </w:t>
      </w:r>
      <w:r w:rsidR="00D74B3C">
        <w:t xml:space="preserve">Turning </w:t>
      </w:r>
      <w:r w:rsidR="00523D9C">
        <w:t xml:space="preserve">away from the rule’s procedural elements, </w:t>
      </w:r>
      <w:r w:rsidR="00D74B3C">
        <w:t xml:space="preserve">these comments now address </w:t>
      </w:r>
      <w:r w:rsidR="00523D9C">
        <w:t xml:space="preserve">its substantive provisions. </w:t>
      </w:r>
      <w:r w:rsidR="00FD2DBC">
        <w:t xml:space="preserve"> In sum, </w:t>
      </w:r>
      <w:r w:rsidR="000B7249">
        <w:t>ICNU</w:t>
      </w:r>
      <w:r w:rsidR="00523D9C">
        <w:t xml:space="preserve"> </w:t>
      </w:r>
      <w:r w:rsidR="00FD2DBC">
        <w:t xml:space="preserve">strongly </w:t>
      </w:r>
      <w:r w:rsidR="00523D9C">
        <w:t xml:space="preserve">opposes the </w:t>
      </w:r>
      <w:r w:rsidR="00F80038">
        <w:t>limited review called for the proposed rule.</w:t>
      </w:r>
      <w:r w:rsidR="00523D9C" w:rsidRPr="00132A5E">
        <w:rPr>
          <w:rStyle w:val="FootnoteReference"/>
          <w:u w:val="single"/>
        </w:rPr>
        <w:footnoteReference w:id="19"/>
      </w:r>
      <w:r w:rsidR="00132A5E">
        <w:rPr>
          <w:vertAlign w:val="superscript"/>
        </w:rPr>
        <w:t>/</w:t>
      </w:r>
      <w:r w:rsidR="00EA0660">
        <w:t xml:space="preserve"> </w:t>
      </w:r>
    </w:p>
    <w:p w14:paraId="379EF858" w14:textId="4DB36E9B" w:rsidR="00B34584" w:rsidRDefault="00EA0660" w:rsidP="00B34584">
      <w:pPr>
        <w:pStyle w:val="WUTCParagraph"/>
        <w:rPr>
          <w:szCs w:val="24"/>
        </w:rPr>
      </w:pPr>
      <w:r>
        <w:t xml:space="preserve">                        </w:t>
      </w:r>
      <w:r w:rsidR="00835931">
        <w:t>The legislature’s basic charge to the Commi</w:t>
      </w:r>
      <w:r w:rsidR="00B21848">
        <w:t xml:space="preserve">ssion is to set rates that are </w:t>
      </w:r>
      <w:r w:rsidR="00835931">
        <w:t>fair, just, reasonable, and sufficient.</w:t>
      </w:r>
      <w:r w:rsidR="00835931" w:rsidRPr="005B37B6">
        <w:rPr>
          <w:rStyle w:val="FootnoteReference"/>
          <w:u w:val="single"/>
        </w:rPr>
        <w:footnoteReference w:id="20"/>
      </w:r>
      <w:r w:rsidR="005B37B6">
        <w:rPr>
          <w:vertAlign w:val="superscript"/>
        </w:rPr>
        <w:t>/</w:t>
      </w:r>
      <w:r w:rsidR="00835931">
        <w:t xml:space="preserve"> </w:t>
      </w:r>
      <w:r w:rsidR="005B37B6">
        <w:t xml:space="preserve"> </w:t>
      </w:r>
      <w:r w:rsidR="00835931">
        <w:t xml:space="preserve">When performing this duty, </w:t>
      </w:r>
      <w:r w:rsidR="00523D9C">
        <w:t xml:space="preserve">ICNU urges the </w:t>
      </w:r>
      <w:r w:rsidR="000639AE">
        <w:t xml:space="preserve">Commission </w:t>
      </w:r>
      <w:r w:rsidR="00523D9C">
        <w:t>to u</w:t>
      </w:r>
      <w:r w:rsidR="000B7249">
        <w:t xml:space="preserve">ndertake </w:t>
      </w:r>
      <w:r w:rsidR="000639AE">
        <w:t xml:space="preserve">a comprehensive review of a </w:t>
      </w:r>
      <w:r w:rsidR="00523D9C">
        <w:t>c</w:t>
      </w:r>
      <w:r w:rsidR="000639AE">
        <w:t>ompany’s rate base, charges, expenses</w:t>
      </w:r>
      <w:r w:rsidR="00523D9C">
        <w:t>, capital structure, and return on equity</w:t>
      </w:r>
      <w:r w:rsidR="000B7249">
        <w:t xml:space="preserve"> </w:t>
      </w:r>
      <w:r w:rsidR="004B0562">
        <w:t>when</w:t>
      </w:r>
      <w:r w:rsidR="00835931">
        <w:t xml:space="preserve"> general </w:t>
      </w:r>
      <w:r w:rsidR="000B7249">
        <w:t>rates are implicated</w:t>
      </w:r>
      <w:r w:rsidR="00CB0DD9">
        <w:t>, as it long has</w:t>
      </w:r>
      <w:r w:rsidR="000639AE">
        <w:t>.</w:t>
      </w:r>
      <w:r w:rsidR="000639AE" w:rsidRPr="00892DBD">
        <w:rPr>
          <w:rStyle w:val="FootnoteReference"/>
          <w:u w:val="single"/>
        </w:rPr>
        <w:footnoteReference w:id="21"/>
      </w:r>
      <w:r w:rsidR="00892DBD" w:rsidRPr="00EA0660">
        <w:rPr>
          <w:vertAlign w:val="superscript"/>
        </w:rPr>
        <w:t>/</w:t>
      </w:r>
      <w:r w:rsidR="00E410F7">
        <w:t xml:space="preserve"> </w:t>
      </w:r>
      <w:r w:rsidR="0007250F">
        <w:t xml:space="preserve"> </w:t>
      </w:r>
      <w:r w:rsidR="00CB0DD9">
        <w:t xml:space="preserve">It is absolutely necessary to pay close attention to the full complexity of ratemaking in every proceeding, given that </w:t>
      </w:r>
      <w:r w:rsidR="00F17123">
        <w:t xml:space="preserve">the smallest of details contribute to establishing rates that are </w:t>
      </w:r>
      <w:r w:rsidR="00835931">
        <w:t>indeed “fair, just, reasonable, and sufficient.”</w:t>
      </w:r>
      <w:r w:rsidR="000B7249" w:rsidRPr="00E410F7">
        <w:rPr>
          <w:rStyle w:val="FootnoteReference"/>
          <w:u w:val="single"/>
        </w:rPr>
        <w:footnoteReference w:id="22"/>
      </w:r>
      <w:r w:rsidR="00E410F7" w:rsidRPr="00EA0660">
        <w:rPr>
          <w:vertAlign w:val="superscript"/>
        </w:rPr>
        <w:t>/</w:t>
      </w:r>
      <w:r w:rsidR="000B7249">
        <w:t xml:space="preserve"> </w:t>
      </w:r>
      <w:r w:rsidR="00E410F7">
        <w:t xml:space="preserve"> </w:t>
      </w:r>
    </w:p>
    <w:p w14:paraId="1A466DB2" w14:textId="4E66AE02" w:rsidR="00694262" w:rsidRPr="00694262" w:rsidRDefault="00B34584" w:rsidP="00694262">
      <w:pPr>
        <w:pStyle w:val="WUTCParagraph"/>
        <w:rPr>
          <w:szCs w:val="24"/>
        </w:rPr>
      </w:pPr>
      <w:r>
        <w:rPr>
          <w:szCs w:val="24"/>
        </w:rPr>
        <w:lastRenderedPageBreak/>
        <w:t xml:space="preserve">                        </w:t>
      </w:r>
      <w:r w:rsidR="005C1923">
        <w:t xml:space="preserve">ICNU </w:t>
      </w:r>
      <w:r w:rsidR="000F3B29">
        <w:t xml:space="preserve">sees the limited review called for by the proposed rule as problematic; perhaps leading to rate decisions </w:t>
      </w:r>
      <w:r w:rsidR="009838D3">
        <w:t xml:space="preserve">that </w:t>
      </w:r>
      <w:r w:rsidR="000F3B29">
        <w:t xml:space="preserve">do not reflect the </w:t>
      </w:r>
      <w:r w:rsidR="000F3B29" w:rsidRPr="00B34584">
        <w:rPr>
          <w:color w:val="auto"/>
          <w:szCs w:val="24"/>
        </w:rPr>
        <w:t>“high degree of analytical rigor” generally provided by a full record developed over a longer period of review.</w:t>
      </w:r>
      <w:r w:rsidR="000F3B29" w:rsidRPr="00A83261">
        <w:rPr>
          <w:rStyle w:val="FootnoteReference"/>
          <w:color w:val="auto"/>
          <w:szCs w:val="24"/>
          <w:u w:val="single"/>
        </w:rPr>
        <w:footnoteReference w:id="23"/>
      </w:r>
      <w:r w:rsidR="000F3B29" w:rsidRPr="00B34584">
        <w:rPr>
          <w:color w:val="auto"/>
          <w:szCs w:val="24"/>
          <w:vertAlign w:val="superscript"/>
        </w:rPr>
        <w:t>/</w:t>
      </w:r>
      <w:r w:rsidR="000F3B29" w:rsidRPr="00B34584">
        <w:rPr>
          <w:color w:val="auto"/>
          <w:szCs w:val="24"/>
        </w:rPr>
        <w:t xml:space="preserve"> </w:t>
      </w:r>
      <w:r w:rsidR="009838D3">
        <w:rPr>
          <w:color w:val="auto"/>
          <w:szCs w:val="24"/>
        </w:rPr>
        <w:t xml:space="preserve"> </w:t>
      </w:r>
      <w:r w:rsidR="000F3B29" w:rsidRPr="00B34584">
        <w:rPr>
          <w:color w:val="auto"/>
          <w:szCs w:val="24"/>
        </w:rPr>
        <w:t>The proposed rule expressly calls for a streamlined and less invasive review by the Commission</w:t>
      </w:r>
      <w:r w:rsidR="004016E0">
        <w:rPr>
          <w:color w:val="auto"/>
          <w:szCs w:val="24"/>
        </w:rPr>
        <w:t xml:space="preserve"> in LRPs, </w:t>
      </w:r>
      <w:r w:rsidR="004505D4" w:rsidRPr="00B34584">
        <w:rPr>
          <w:color w:val="auto"/>
          <w:szCs w:val="24"/>
        </w:rPr>
        <w:t xml:space="preserve">having excluded </w:t>
      </w:r>
      <w:r w:rsidR="0067051F" w:rsidRPr="00B34584">
        <w:rPr>
          <w:color w:val="auto"/>
          <w:szCs w:val="24"/>
        </w:rPr>
        <w:t xml:space="preserve">from review a company’s </w:t>
      </w:r>
      <w:r w:rsidR="000F3B29" w:rsidRPr="00B34584">
        <w:rPr>
          <w:color w:val="auto"/>
          <w:szCs w:val="24"/>
        </w:rPr>
        <w:t xml:space="preserve">return on equity, capital structure, and </w:t>
      </w:r>
      <w:r w:rsidR="004505D4" w:rsidRPr="00B34584">
        <w:rPr>
          <w:color w:val="auto"/>
          <w:szCs w:val="24"/>
        </w:rPr>
        <w:t>generation-resource rate base</w:t>
      </w:r>
      <w:r w:rsidR="0067051F" w:rsidRPr="00B34584">
        <w:rPr>
          <w:color w:val="auto"/>
          <w:szCs w:val="24"/>
        </w:rPr>
        <w:t>, among other things</w:t>
      </w:r>
      <w:r w:rsidR="004505D4" w:rsidRPr="00B34584">
        <w:rPr>
          <w:color w:val="auto"/>
          <w:szCs w:val="24"/>
        </w:rPr>
        <w:t>.</w:t>
      </w:r>
      <w:r w:rsidR="004505D4" w:rsidRPr="00D72328">
        <w:rPr>
          <w:rStyle w:val="FootnoteReference"/>
          <w:color w:val="auto"/>
          <w:szCs w:val="24"/>
          <w:u w:val="single"/>
        </w:rPr>
        <w:footnoteReference w:id="24"/>
      </w:r>
      <w:r w:rsidR="00D72328">
        <w:rPr>
          <w:color w:val="auto"/>
          <w:szCs w:val="24"/>
          <w:vertAlign w:val="superscript"/>
        </w:rPr>
        <w:t>/</w:t>
      </w:r>
      <w:r w:rsidR="004505D4" w:rsidRPr="00B34584">
        <w:rPr>
          <w:color w:val="auto"/>
          <w:szCs w:val="24"/>
        </w:rPr>
        <w:t xml:space="preserve"> </w:t>
      </w:r>
      <w:r w:rsidR="00D72328">
        <w:rPr>
          <w:color w:val="auto"/>
          <w:szCs w:val="24"/>
        </w:rPr>
        <w:t xml:space="preserve"> </w:t>
      </w:r>
      <w:r w:rsidR="004505D4" w:rsidRPr="00B34584">
        <w:rPr>
          <w:color w:val="auto"/>
          <w:szCs w:val="24"/>
        </w:rPr>
        <w:t>The</w:t>
      </w:r>
      <w:r w:rsidR="0067051F" w:rsidRPr="00B34584">
        <w:rPr>
          <w:color w:val="auto"/>
          <w:szCs w:val="24"/>
        </w:rPr>
        <w:t>se</w:t>
      </w:r>
      <w:r w:rsidR="004505D4" w:rsidRPr="00B34584">
        <w:rPr>
          <w:color w:val="auto"/>
          <w:szCs w:val="24"/>
        </w:rPr>
        <w:t xml:space="preserve"> rate components can have a significant impact on rates – up or down. </w:t>
      </w:r>
      <w:r w:rsidR="009A157F">
        <w:rPr>
          <w:color w:val="auto"/>
          <w:szCs w:val="24"/>
        </w:rPr>
        <w:t xml:space="preserve"> </w:t>
      </w:r>
      <w:r w:rsidR="00C87770" w:rsidRPr="00B34584">
        <w:rPr>
          <w:color w:val="auto"/>
          <w:szCs w:val="24"/>
        </w:rPr>
        <w:t xml:space="preserve">If, for example, they are excluded, the Commission is less likely to understand the relationships between revenues and return or system operations and the allocation of costs. </w:t>
      </w:r>
      <w:r w:rsidR="003C55CB">
        <w:rPr>
          <w:color w:val="auto"/>
          <w:szCs w:val="24"/>
        </w:rPr>
        <w:t xml:space="preserve"> </w:t>
      </w:r>
      <w:r w:rsidR="00C87770" w:rsidRPr="00B34584">
        <w:rPr>
          <w:color w:val="auto"/>
          <w:szCs w:val="24"/>
        </w:rPr>
        <w:t>These alone are critical components of ratemaking that should not be ignored when a company seeks to change rates.</w:t>
      </w:r>
      <w:r w:rsidR="00975D68" w:rsidRPr="003C55CB">
        <w:rPr>
          <w:rStyle w:val="FootnoteReference"/>
          <w:color w:val="auto"/>
          <w:szCs w:val="24"/>
          <w:u w:val="single"/>
        </w:rPr>
        <w:footnoteReference w:id="25"/>
      </w:r>
    </w:p>
    <w:p w14:paraId="02FEE634" w14:textId="77777777" w:rsidR="00694262" w:rsidRDefault="00694262" w:rsidP="00694262">
      <w:pPr>
        <w:pStyle w:val="WUTCParagraph"/>
        <w:rPr>
          <w:szCs w:val="24"/>
        </w:rPr>
      </w:pPr>
      <w:r>
        <w:rPr>
          <w:szCs w:val="24"/>
        </w:rPr>
        <w:t xml:space="preserve">                        </w:t>
      </w:r>
      <w:r w:rsidR="00975D68" w:rsidRPr="00694262">
        <w:rPr>
          <w:color w:val="auto"/>
          <w:szCs w:val="24"/>
        </w:rPr>
        <w:t xml:space="preserve">ICNU is also concerned that mechanisms like an LRP would lead to a cursory review of a company’s filing. </w:t>
      </w:r>
      <w:r w:rsidR="008D514A" w:rsidRPr="00694262">
        <w:rPr>
          <w:color w:val="auto"/>
          <w:szCs w:val="24"/>
        </w:rPr>
        <w:t xml:space="preserve"> </w:t>
      </w:r>
      <w:r w:rsidR="00975D68" w:rsidRPr="00694262">
        <w:rPr>
          <w:color w:val="auto"/>
          <w:szCs w:val="24"/>
        </w:rPr>
        <w:t xml:space="preserve">This danger is exacerbated by the shortened period of review called for by the rule. </w:t>
      </w:r>
      <w:r w:rsidR="008D514A" w:rsidRPr="00694262">
        <w:rPr>
          <w:color w:val="auto"/>
          <w:szCs w:val="24"/>
        </w:rPr>
        <w:t xml:space="preserve"> </w:t>
      </w:r>
      <w:r w:rsidR="00245E1D" w:rsidRPr="00694262">
        <w:rPr>
          <w:color w:val="auto"/>
          <w:szCs w:val="24"/>
        </w:rPr>
        <w:t>And unlike the ERF, the rule demands more than an “update” or “true up” of the Company costs and rates.</w:t>
      </w:r>
      <w:r w:rsidR="006322D3" w:rsidRPr="008D514A">
        <w:rPr>
          <w:rStyle w:val="FootnoteReference"/>
          <w:color w:val="auto"/>
          <w:szCs w:val="24"/>
          <w:u w:val="single"/>
        </w:rPr>
        <w:footnoteReference w:id="26"/>
      </w:r>
      <w:r w:rsidR="008D514A" w:rsidRPr="00694262">
        <w:rPr>
          <w:color w:val="auto"/>
          <w:szCs w:val="24"/>
          <w:vertAlign w:val="superscript"/>
        </w:rPr>
        <w:t>/</w:t>
      </w:r>
      <w:r w:rsidR="00245E1D" w:rsidRPr="00694262">
        <w:rPr>
          <w:color w:val="auto"/>
          <w:szCs w:val="24"/>
        </w:rPr>
        <w:t xml:space="preserve"> </w:t>
      </w:r>
    </w:p>
    <w:p w14:paraId="5D01D559" w14:textId="1C5905C0" w:rsidR="00A34169" w:rsidRDefault="00694262" w:rsidP="00A34169">
      <w:pPr>
        <w:pStyle w:val="WUTCParagraph"/>
        <w:rPr>
          <w:szCs w:val="24"/>
        </w:rPr>
      </w:pPr>
      <w:r>
        <w:rPr>
          <w:szCs w:val="24"/>
        </w:rPr>
        <w:lastRenderedPageBreak/>
        <w:t xml:space="preserve">                        </w:t>
      </w:r>
      <w:r w:rsidR="00975D68" w:rsidRPr="00694262">
        <w:rPr>
          <w:color w:val="auto"/>
          <w:szCs w:val="24"/>
        </w:rPr>
        <w:t xml:space="preserve">Assuming the Commission will need four to six weeks to </w:t>
      </w:r>
      <w:r w:rsidR="00AD71BF" w:rsidRPr="00694262">
        <w:rPr>
          <w:color w:val="auto"/>
          <w:szCs w:val="24"/>
        </w:rPr>
        <w:t xml:space="preserve">conduct a hearing, </w:t>
      </w:r>
      <w:r w:rsidR="00975D68" w:rsidRPr="00694262">
        <w:rPr>
          <w:color w:val="auto"/>
          <w:szCs w:val="24"/>
        </w:rPr>
        <w:t>review the record</w:t>
      </w:r>
      <w:r w:rsidR="00AD71BF" w:rsidRPr="00694262">
        <w:rPr>
          <w:color w:val="auto"/>
          <w:szCs w:val="24"/>
        </w:rPr>
        <w:t>,</w:t>
      </w:r>
      <w:r w:rsidR="00975D68" w:rsidRPr="00694262">
        <w:rPr>
          <w:color w:val="auto"/>
          <w:szCs w:val="24"/>
        </w:rPr>
        <w:t xml:space="preserve"> and write a final order, non-company parties could have little </w:t>
      </w:r>
      <w:r w:rsidR="009B1DC5" w:rsidRPr="00694262">
        <w:rPr>
          <w:color w:val="auto"/>
          <w:szCs w:val="24"/>
        </w:rPr>
        <w:t xml:space="preserve">more than </w:t>
      </w:r>
      <w:r w:rsidR="00975D68" w:rsidRPr="00694262">
        <w:rPr>
          <w:color w:val="auto"/>
          <w:szCs w:val="24"/>
        </w:rPr>
        <w:t xml:space="preserve">four months to hire consultants, </w:t>
      </w:r>
      <w:r w:rsidR="00E9094B" w:rsidRPr="00694262">
        <w:rPr>
          <w:color w:val="auto"/>
          <w:szCs w:val="24"/>
        </w:rPr>
        <w:t>conduct discovery, file any procedural or substantive motions, and prepare for hearing.</w:t>
      </w:r>
      <w:r w:rsidR="00E9094B" w:rsidRPr="009B2682">
        <w:rPr>
          <w:rStyle w:val="FootnoteReference"/>
          <w:color w:val="auto"/>
          <w:szCs w:val="24"/>
          <w:u w:val="single"/>
        </w:rPr>
        <w:footnoteReference w:id="27"/>
      </w:r>
      <w:r w:rsidR="009B2682" w:rsidRPr="00694262">
        <w:rPr>
          <w:color w:val="auto"/>
          <w:szCs w:val="24"/>
          <w:vertAlign w:val="superscript"/>
        </w:rPr>
        <w:t>/</w:t>
      </w:r>
      <w:r w:rsidR="00E9094B" w:rsidRPr="00694262">
        <w:rPr>
          <w:color w:val="auto"/>
          <w:szCs w:val="24"/>
        </w:rPr>
        <w:t xml:space="preserve"> </w:t>
      </w:r>
      <w:r w:rsidR="009B2682" w:rsidRPr="00694262">
        <w:rPr>
          <w:color w:val="auto"/>
          <w:szCs w:val="24"/>
        </w:rPr>
        <w:t xml:space="preserve"> </w:t>
      </w:r>
      <w:r w:rsidR="00937592" w:rsidRPr="00694262">
        <w:rPr>
          <w:color w:val="auto"/>
          <w:szCs w:val="24"/>
        </w:rPr>
        <w:t xml:space="preserve">ICNU does not believe that this shortened period is sufficient to produce evidence supported by the same analytical rigor </w:t>
      </w:r>
      <w:r w:rsidR="00AD71BF" w:rsidRPr="00694262">
        <w:rPr>
          <w:color w:val="auto"/>
          <w:szCs w:val="24"/>
        </w:rPr>
        <w:t xml:space="preserve">as that </w:t>
      </w:r>
      <w:r w:rsidR="00937592" w:rsidRPr="00694262">
        <w:rPr>
          <w:color w:val="auto"/>
          <w:szCs w:val="24"/>
        </w:rPr>
        <w:t xml:space="preserve">afforded </w:t>
      </w:r>
      <w:r w:rsidR="00057D1C" w:rsidRPr="00694262">
        <w:rPr>
          <w:color w:val="auto"/>
          <w:szCs w:val="24"/>
        </w:rPr>
        <w:t>GRCs</w:t>
      </w:r>
      <w:r w:rsidR="00937592" w:rsidRPr="00694262">
        <w:rPr>
          <w:color w:val="auto"/>
          <w:szCs w:val="24"/>
        </w:rPr>
        <w:t xml:space="preserve">. </w:t>
      </w:r>
      <w:r w:rsidR="00EF1517" w:rsidRPr="00694262">
        <w:rPr>
          <w:color w:val="auto"/>
          <w:szCs w:val="24"/>
        </w:rPr>
        <w:t xml:space="preserve"> </w:t>
      </w:r>
      <w:r w:rsidR="00937592" w:rsidRPr="00694262">
        <w:rPr>
          <w:color w:val="auto"/>
          <w:szCs w:val="24"/>
        </w:rPr>
        <w:t xml:space="preserve">It is simply too short a time. </w:t>
      </w:r>
      <w:r w:rsidR="00EF1517" w:rsidRPr="00694262">
        <w:rPr>
          <w:color w:val="auto"/>
          <w:szCs w:val="24"/>
        </w:rPr>
        <w:t xml:space="preserve"> </w:t>
      </w:r>
      <w:r w:rsidR="00937592" w:rsidRPr="00694262">
        <w:rPr>
          <w:color w:val="auto"/>
          <w:szCs w:val="24"/>
        </w:rPr>
        <w:t xml:space="preserve">The Commission </w:t>
      </w:r>
      <w:r w:rsidR="00801A29" w:rsidRPr="00694262">
        <w:rPr>
          <w:color w:val="auto"/>
          <w:szCs w:val="24"/>
        </w:rPr>
        <w:t xml:space="preserve">can certainly </w:t>
      </w:r>
      <w:r w:rsidR="00937592" w:rsidRPr="00694262">
        <w:rPr>
          <w:color w:val="auto"/>
          <w:szCs w:val="24"/>
        </w:rPr>
        <w:t>acknowledge that a company controls the timing of its filing</w:t>
      </w:r>
      <w:r w:rsidR="00801A29" w:rsidRPr="00694262">
        <w:rPr>
          <w:color w:val="auto"/>
          <w:szCs w:val="24"/>
        </w:rPr>
        <w:t xml:space="preserve">, and it has up to one year to prepare its case. </w:t>
      </w:r>
      <w:r w:rsidR="003B355F" w:rsidRPr="00694262">
        <w:rPr>
          <w:color w:val="auto"/>
          <w:szCs w:val="24"/>
        </w:rPr>
        <w:t xml:space="preserve"> </w:t>
      </w:r>
      <w:r w:rsidR="00801A29" w:rsidRPr="00694262">
        <w:rPr>
          <w:color w:val="auto"/>
          <w:szCs w:val="24"/>
        </w:rPr>
        <w:t xml:space="preserve">Commission </w:t>
      </w:r>
      <w:r w:rsidR="008F4B93">
        <w:rPr>
          <w:color w:val="auto"/>
          <w:szCs w:val="24"/>
        </w:rPr>
        <w:t>Staff</w:t>
      </w:r>
      <w:r w:rsidR="00801A29" w:rsidRPr="00694262">
        <w:rPr>
          <w:color w:val="auto"/>
          <w:szCs w:val="24"/>
        </w:rPr>
        <w:t xml:space="preserve">, ICNU, and other non-company parties will have a little over four months to prepare their cases. </w:t>
      </w:r>
      <w:r w:rsidRPr="00694262">
        <w:rPr>
          <w:color w:val="auto"/>
          <w:szCs w:val="24"/>
        </w:rPr>
        <w:t xml:space="preserve"> </w:t>
      </w:r>
      <w:r w:rsidR="00801A29" w:rsidRPr="00694262">
        <w:rPr>
          <w:color w:val="auto"/>
          <w:szCs w:val="24"/>
        </w:rPr>
        <w:t xml:space="preserve">The advantage to the company is both obvious and significant.  </w:t>
      </w:r>
    </w:p>
    <w:p w14:paraId="66908EEA" w14:textId="720AB9AD" w:rsidR="00245E1D" w:rsidRPr="00A34169" w:rsidRDefault="00A34169" w:rsidP="00A34169">
      <w:pPr>
        <w:pStyle w:val="WUTCParagraph"/>
        <w:rPr>
          <w:szCs w:val="24"/>
        </w:rPr>
      </w:pPr>
      <w:r>
        <w:rPr>
          <w:szCs w:val="24"/>
        </w:rPr>
        <w:t xml:space="preserve">                        </w:t>
      </w:r>
      <w:r w:rsidR="00E9094B" w:rsidRPr="00A34169">
        <w:rPr>
          <w:color w:val="auto"/>
          <w:szCs w:val="24"/>
        </w:rPr>
        <w:t>Th</w:t>
      </w:r>
      <w:r w:rsidR="00801A29" w:rsidRPr="00A34169">
        <w:rPr>
          <w:color w:val="auto"/>
          <w:szCs w:val="24"/>
        </w:rPr>
        <w:t xml:space="preserve">e </w:t>
      </w:r>
      <w:r w:rsidR="00E9094B" w:rsidRPr="00A34169">
        <w:rPr>
          <w:color w:val="auto"/>
          <w:szCs w:val="24"/>
        </w:rPr>
        <w:t xml:space="preserve">time crunch </w:t>
      </w:r>
      <w:r w:rsidR="00801A29" w:rsidRPr="00A34169">
        <w:rPr>
          <w:color w:val="auto"/>
          <w:szCs w:val="24"/>
        </w:rPr>
        <w:t xml:space="preserve">imposed upon non-company parties </w:t>
      </w:r>
      <w:r w:rsidR="00E9094B" w:rsidRPr="00A34169">
        <w:rPr>
          <w:color w:val="auto"/>
          <w:szCs w:val="24"/>
        </w:rPr>
        <w:t>could be mitigated by requiring a company to fi</w:t>
      </w:r>
      <w:r w:rsidR="00DA13CA">
        <w:rPr>
          <w:color w:val="auto"/>
          <w:szCs w:val="24"/>
        </w:rPr>
        <w:t>le a notice of intent to file an</w:t>
      </w:r>
      <w:r w:rsidR="00E9094B" w:rsidRPr="00A34169">
        <w:rPr>
          <w:color w:val="auto"/>
          <w:szCs w:val="24"/>
        </w:rPr>
        <w:t xml:space="preserve"> LRP </w:t>
      </w:r>
      <w:r w:rsidR="004016E0">
        <w:rPr>
          <w:color w:val="auto"/>
          <w:szCs w:val="24"/>
        </w:rPr>
        <w:t>sixt</w:t>
      </w:r>
      <w:r w:rsidR="00E9094B" w:rsidRPr="00A34169">
        <w:rPr>
          <w:color w:val="auto"/>
          <w:szCs w:val="24"/>
        </w:rPr>
        <w:t xml:space="preserve">y days prior to its intended filing date, along with a detailed description of the cost and revenue factors to be addressed in its filing. </w:t>
      </w:r>
      <w:r w:rsidR="0016209E">
        <w:rPr>
          <w:color w:val="auto"/>
          <w:szCs w:val="24"/>
        </w:rPr>
        <w:t xml:space="preserve"> </w:t>
      </w:r>
      <w:r w:rsidR="00E9094B" w:rsidRPr="00A34169">
        <w:rPr>
          <w:color w:val="auto"/>
          <w:szCs w:val="24"/>
        </w:rPr>
        <w:t xml:space="preserve">This would allow the non-company parties to muster resources and hire necessary consultants. </w:t>
      </w:r>
      <w:r w:rsidR="0016209E">
        <w:rPr>
          <w:color w:val="auto"/>
          <w:szCs w:val="24"/>
        </w:rPr>
        <w:t xml:space="preserve"> </w:t>
      </w:r>
      <w:r w:rsidR="009B1DC5" w:rsidRPr="00A34169">
        <w:rPr>
          <w:color w:val="auto"/>
          <w:szCs w:val="24"/>
        </w:rPr>
        <w:t xml:space="preserve">However, even with the extra </w:t>
      </w:r>
      <w:r w:rsidR="004016E0">
        <w:rPr>
          <w:color w:val="auto"/>
          <w:szCs w:val="24"/>
        </w:rPr>
        <w:t>sixty</w:t>
      </w:r>
      <w:r w:rsidR="004016E0" w:rsidRPr="00A34169">
        <w:rPr>
          <w:color w:val="auto"/>
          <w:szCs w:val="24"/>
        </w:rPr>
        <w:t xml:space="preserve"> </w:t>
      </w:r>
      <w:r w:rsidR="009B1DC5" w:rsidRPr="00A34169">
        <w:rPr>
          <w:color w:val="auto"/>
          <w:szCs w:val="24"/>
        </w:rPr>
        <w:t xml:space="preserve">days, the non-company parties would be unlikely to produce a record with the analytical rigor of evidence produced over the length of a general rate case. </w:t>
      </w:r>
      <w:r w:rsidR="0016209E">
        <w:rPr>
          <w:color w:val="auto"/>
          <w:szCs w:val="24"/>
        </w:rPr>
        <w:t xml:space="preserve"> </w:t>
      </w:r>
      <w:r w:rsidR="00E9094B" w:rsidRPr="00A34169">
        <w:rPr>
          <w:color w:val="auto"/>
          <w:szCs w:val="24"/>
        </w:rPr>
        <w:t xml:space="preserve">In the end, </w:t>
      </w:r>
      <w:r w:rsidR="009B1DC5" w:rsidRPr="00A34169">
        <w:rPr>
          <w:color w:val="auto"/>
          <w:szCs w:val="24"/>
        </w:rPr>
        <w:t xml:space="preserve">it is </w:t>
      </w:r>
      <w:r w:rsidR="00E9094B" w:rsidRPr="00A34169">
        <w:rPr>
          <w:color w:val="auto"/>
          <w:szCs w:val="24"/>
        </w:rPr>
        <w:t xml:space="preserve">the Commission </w:t>
      </w:r>
      <w:r w:rsidR="009B1DC5" w:rsidRPr="00A34169">
        <w:rPr>
          <w:color w:val="auto"/>
          <w:szCs w:val="24"/>
        </w:rPr>
        <w:t xml:space="preserve">that </w:t>
      </w:r>
      <w:r w:rsidR="00245E1D" w:rsidRPr="00A34169">
        <w:rPr>
          <w:color w:val="auto"/>
          <w:szCs w:val="24"/>
        </w:rPr>
        <w:t>benefit</w:t>
      </w:r>
      <w:r w:rsidR="009B1DC5" w:rsidRPr="00A34169">
        <w:rPr>
          <w:color w:val="auto"/>
          <w:szCs w:val="24"/>
        </w:rPr>
        <w:t xml:space="preserve">s </w:t>
      </w:r>
      <w:r w:rsidR="00245E1D" w:rsidRPr="00A34169">
        <w:rPr>
          <w:color w:val="auto"/>
          <w:szCs w:val="24"/>
        </w:rPr>
        <w:t>from a thorough</w:t>
      </w:r>
      <w:r w:rsidR="009B1DC5" w:rsidRPr="00A34169">
        <w:rPr>
          <w:color w:val="auto"/>
          <w:szCs w:val="24"/>
        </w:rPr>
        <w:t xml:space="preserve"> and rigorous review</w:t>
      </w:r>
      <w:r w:rsidR="00245E1D" w:rsidRPr="00A34169">
        <w:rPr>
          <w:color w:val="auto"/>
          <w:szCs w:val="24"/>
        </w:rPr>
        <w:t xml:space="preserve"> of the</w:t>
      </w:r>
      <w:r w:rsidR="009B1DC5" w:rsidRPr="00A34169">
        <w:rPr>
          <w:color w:val="auto"/>
          <w:szCs w:val="24"/>
        </w:rPr>
        <w:t xml:space="preserve"> company’s</w:t>
      </w:r>
      <w:r w:rsidR="00245E1D" w:rsidRPr="00A34169">
        <w:rPr>
          <w:color w:val="auto"/>
          <w:szCs w:val="24"/>
        </w:rPr>
        <w:t xml:space="preserve"> evidence</w:t>
      </w:r>
      <w:r w:rsidR="009B1DC5" w:rsidRPr="00A34169">
        <w:rPr>
          <w:color w:val="auto"/>
          <w:szCs w:val="24"/>
        </w:rPr>
        <w:t xml:space="preserve">. </w:t>
      </w:r>
      <w:r w:rsidR="0016209E">
        <w:rPr>
          <w:color w:val="auto"/>
          <w:szCs w:val="24"/>
        </w:rPr>
        <w:t xml:space="preserve"> </w:t>
      </w:r>
      <w:r w:rsidR="009B1DC5" w:rsidRPr="00A34169">
        <w:rPr>
          <w:color w:val="auto"/>
          <w:szCs w:val="24"/>
        </w:rPr>
        <w:t xml:space="preserve">This </w:t>
      </w:r>
      <w:r w:rsidR="00AD71BF" w:rsidRPr="00A34169">
        <w:rPr>
          <w:color w:val="auto"/>
          <w:szCs w:val="24"/>
        </w:rPr>
        <w:t xml:space="preserve">effort </w:t>
      </w:r>
      <w:r w:rsidR="009B1DC5" w:rsidRPr="00A34169">
        <w:rPr>
          <w:color w:val="auto"/>
          <w:szCs w:val="24"/>
        </w:rPr>
        <w:t xml:space="preserve">creates the full and </w:t>
      </w:r>
      <w:r w:rsidR="00245E1D" w:rsidRPr="00A34169">
        <w:rPr>
          <w:color w:val="auto"/>
          <w:szCs w:val="24"/>
        </w:rPr>
        <w:t>complete record</w:t>
      </w:r>
      <w:r w:rsidR="009B1DC5" w:rsidRPr="00A34169">
        <w:rPr>
          <w:color w:val="auto"/>
          <w:szCs w:val="24"/>
        </w:rPr>
        <w:t xml:space="preserve"> from which a reasoned decision will be based. </w:t>
      </w:r>
      <w:r w:rsidR="0016209E">
        <w:rPr>
          <w:color w:val="auto"/>
          <w:szCs w:val="24"/>
        </w:rPr>
        <w:t xml:space="preserve"> </w:t>
      </w:r>
      <w:r w:rsidR="009B1DC5" w:rsidRPr="00A34169">
        <w:rPr>
          <w:color w:val="auto"/>
          <w:szCs w:val="24"/>
        </w:rPr>
        <w:t xml:space="preserve">The LRP’s shortened period of review is unlikely to produce such a record for the Commission. </w:t>
      </w:r>
      <w:r w:rsidR="00245E1D" w:rsidRPr="00A34169">
        <w:rPr>
          <w:color w:val="auto"/>
          <w:szCs w:val="24"/>
        </w:rPr>
        <w:t xml:space="preserve"> </w:t>
      </w:r>
    </w:p>
    <w:p w14:paraId="4C3384A8" w14:textId="15B453DD" w:rsidR="00DF7F83" w:rsidRDefault="001F35B8" w:rsidP="00DF7F83">
      <w:pPr>
        <w:pStyle w:val="WUTCParagraph"/>
        <w:rPr>
          <w:szCs w:val="24"/>
        </w:rPr>
      </w:pPr>
      <w:r>
        <w:lastRenderedPageBreak/>
        <w:t xml:space="preserve">                        </w:t>
      </w:r>
      <w:r w:rsidR="00BC5CA0">
        <w:t xml:space="preserve">Finally, </w:t>
      </w:r>
      <w:r w:rsidR="001E1EAA">
        <w:t xml:space="preserve">ICNU </w:t>
      </w:r>
      <w:r w:rsidR="0039513A">
        <w:rPr>
          <w:color w:val="auto"/>
          <w:szCs w:val="24"/>
        </w:rPr>
        <w:t xml:space="preserve">would like to caution the Commission </w:t>
      </w:r>
      <w:r w:rsidR="00BC5CA0">
        <w:rPr>
          <w:color w:val="auto"/>
          <w:szCs w:val="24"/>
        </w:rPr>
        <w:t xml:space="preserve">about </w:t>
      </w:r>
      <w:r w:rsidR="0039513A">
        <w:rPr>
          <w:color w:val="auto"/>
          <w:szCs w:val="24"/>
        </w:rPr>
        <w:t>adopting rules that may lead to the dangers of single-issue ratemaking.</w:t>
      </w:r>
      <w:r w:rsidR="00BC5CA0" w:rsidRPr="00F76B8B">
        <w:rPr>
          <w:rStyle w:val="FootnoteReference"/>
          <w:color w:val="auto"/>
          <w:szCs w:val="24"/>
          <w:u w:val="single"/>
        </w:rPr>
        <w:footnoteReference w:id="28"/>
      </w:r>
      <w:r w:rsidR="00F76B8B">
        <w:rPr>
          <w:color w:val="auto"/>
          <w:szCs w:val="24"/>
          <w:vertAlign w:val="superscript"/>
        </w:rPr>
        <w:t>/</w:t>
      </w:r>
      <w:r w:rsidR="0039513A">
        <w:rPr>
          <w:color w:val="auto"/>
          <w:szCs w:val="24"/>
        </w:rPr>
        <w:t xml:space="preserve">  </w:t>
      </w:r>
      <w:r w:rsidR="004D1958">
        <w:rPr>
          <w:color w:val="auto"/>
          <w:szCs w:val="24"/>
        </w:rPr>
        <w:t>T</w:t>
      </w:r>
      <w:r w:rsidR="0039513A">
        <w:rPr>
          <w:color w:val="auto"/>
          <w:szCs w:val="24"/>
        </w:rPr>
        <w:t>he Commission has</w:t>
      </w:r>
      <w:r w:rsidR="004D1958">
        <w:rPr>
          <w:color w:val="auto"/>
          <w:szCs w:val="24"/>
        </w:rPr>
        <w:t xml:space="preserve"> often</w:t>
      </w:r>
      <w:r w:rsidR="0039513A">
        <w:rPr>
          <w:color w:val="auto"/>
          <w:szCs w:val="24"/>
        </w:rPr>
        <w:t xml:space="preserve"> stated that such single issue or limited rate making is against the public </w:t>
      </w:r>
      <w:r w:rsidR="0039513A" w:rsidRPr="00F31461">
        <w:rPr>
          <w:color w:val="auto"/>
          <w:szCs w:val="24"/>
        </w:rPr>
        <w:t>interest.</w:t>
      </w:r>
      <w:r w:rsidR="0039513A" w:rsidRPr="00F725AA">
        <w:rPr>
          <w:rStyle w:val="FootnoteReference"/>
          <w:color w:val="auto"/>
          <w:szCs w:val="24"/>
          <w:u w:val="single"/>
        </w:rPr>
        <w:footnoteReference w:id="29"/>
      </w:r>
      <w:r w:rsidR="00F725AA">
        <w:rPr>
          <w:color w:val="auto"/>
          <w:szCs w:val="24"/>
          <w:vertAlign w:val="superscript"/>
        </w:rPr>
        <w:t>/</w:t>
      </w:r>
      <w:r w:rsidR="00502963">
        <w:rPr>
          <w:color w:val="auto"/>
          <w:szCs w:val="24"/>
        </w:rPr>
        <w:t xml:space="preserve">  Such piecemeal, limited, or single issue ratemaking has the potential danger of producing rates and charges that are not</w:t>
      </w:r>
      <w:r w:rsidR="004D1958">
        <w:rPr>
          <w:color w:val="auto"/>
          <w:szCs w:val="24"/>
        </w:rPr>
        <w:t xml:space="preserve"> </w:t>
      </w:r>
      <w:r w:rsidR="00502963">
        <w:rPr>
          <w:color w:val="auto"/>
          <w:szCs w:val="24"/>
        </w:rPr>
        <w:t xml:space="preserve">just, reasonable, and sufficient, </w:t>
      </w:r>
      <w:r w:rsidR="00BA018A">
        <w:rPr>
          <w:color w:val="auto"/>
          <w:szCs w:val="24"/>
        </w:rPr>
        <w:t>since appropriate rates</w:t>
      </w:r>
      <w:r w:rsidR="00502963">
        <w:rPr>
          <w:color w:val="auto"/>
          <w:szCs w:val="24"/>
        </w:rPr>
        <w:t xml:space="preserve"> </w:t>
      </w:r>
      <w:r w:rsidR="004D1958">
        <w:rPr>
          <w:color w:val="auto"/>
          <w:szCs w:val="24"/>
        </w:rPr>
        <w:t>are</w:t>
      </w:r>
      <w:r w:rsidR="00502963">
        <w:rPr>
          <w:color w:val="auto"/>
          <w:szCs w:val="24"/>
        </w:rPr>
        <w:t xml:space="preserve"> best </w:t>
      </w:r>
      <w:r w:rsidR="004D1958">
        <w:rPr>
          <w:color w:val="auto"/>
          <w:szCs w:val="24"/>
        </w:rPr>
        <w:t xml:space="preserve">determined </w:t>
      </w:r>
      <w:r w:rsidR="00502963">
        <w:rPr>
          <w:color w:val="auto"/>
          <w:szCs w:val="24"/>
        </w:rPr>
        <w:t>“by a comprehensive review of [a] company’s” rate base, charges, and expenses.</w:t>
      </w:r>
      <w:r w:rsidR="00502963" w:rsidRPr="00F725AA">
        <w:rPr>
          <w:rStyle w:val="FootnoteReference"/>
          <w:color w:val="auto"/>
          <w:szCs w:val="24"/>
          <w:u w:val="single"/>
        </w:rPr>
        <w:footnoteReference w:id="30"/>
      </w:r>
      <w:r w:rsidR="00F725AA">
        <w:rPr>
          <w:color w:val="auto"/>
          <w:szCs w:val="24"/>
          <w:vertAlign w:val="superscript"/>
        </w:rPr>
        <w:t>/</w:t>
      </w:r>
      <w:r w:rsidR="00502963">
        <w:rPr>
          <w:color w:val="auto"/>
          <w:szCs w:val="24"/>
        </w:rPr>
        <w:t xml:space="preserve"> </w:t>
      </w:r>
      <w:r w:rsidR="00E250BB">
        <w:rPr>
          <w:color w:val="auto"/>
          <w:szCs w:val="24"/>
        </w:rPr>
        <w:t xml:space="preserve"> </w:t>
      </w:r>
      <w:r w:rsidR="00E250BB" w:rsidRPr="00E250BB">
        <w:rPr>
          <w:szCs w:val="24"/>
        </w:rPr>
        <w:t xml:space="preserve">Even though the Commission has alleged that </w:t>
      </w:r>
      <w:r w:rsidR="00F05754">
        <w:rPr>
          <w:szCs w:val="24"/>
        </w:rPr>
        <w:t xml:space="preserve">mechanisms like the ERF (and perhaps the LRP) are intended </w:t>
      </w:r>
      <w:r w:rsidR="00E250BB" w:rsidRPr="00E250BB">
        <w:rPr>
          <w:szCs w:val="24"/>
        </w:rPr>
        <w:t>to prevent regulatory lag and prevent overtaxi</w:t>
      </w:r>
      <w:r w:rsidR="00E250BB">
        <w:rPr>
          <w:szCs w:val="24"/>
        </w:rPr>
        <w:t>ng of resources by the parties</w:t>
      </w:r>
      <w:r w:rsidR="00E250BB" w:rsidRPr="00E250BB">
        <w:rPr>
          <w:szCs w:val="24"/>
        </w:rPr>
        <w:t>,</w:t>
      </w:r>
      <w:r w:rsidR="00E250BB" w:rsidRPr="00F725AA">
        <w:rPr>
          <w:rStyle w:val="FootnoteReference"/>
          <w:szCs w:val="24"/>
          <w:u w:val="single"/>
        </w:rPr>
        <w:footnoteReference w:id="31"/>
      </w:r>
      <w:r w:rsidR="00F725AA">
        <w:rPr>
          <w:szCs w:val="24"/>
          <w:vertAlign w:val="superscript"/>
        </w:rPr>
        <w:t>/</w:t>
      </w:r>
      <w:r w:rsidR="00E250BB" w:rsidRPr="00E250BB">
        <w:rPr>
          <w:szCs w:val="24"/>
        </w:rPr>
        <w:t xml:space="preserve"> the Commission has also clearly stated that single-issue ratemaking is “not</w:t>
      </w:r>
      <w:r w:rsidR="00F05754">
        <w:rPr>
          <w:szCs w:val="24"/>
        </w:rPr>
        <w:t xml:space="preserve"> … </w:t>
      </w:r>
      <w:r w:rsidR="00E250BB" w:rsidRPr="00E250BB">
        <w:rPr>
          <w:szCs w:val="24"/>
        </w:rPr>
        <w:t>a productive use of the Commission’s resources.”</w:t>
      </w:r>
      <w:r w:rsidR="00E250BB" w:rsidRPr="00F725AA">
        <w:rPr>
          <w:rStyle w:val="FootnoteReference"/>
          <w:szCs w:val="24"/>
          <w:u w:val="single"/>
        </w:rPr>
        <w:footnoteReference w:id="32"/>
      </w:r>
      <w:r w:rsidR="00F725AA">
        <w:rPr>
          <w:szCs w:val="24"/>
          <w:vertAlign w:val="superscript"/>
        </w:rPr>
        <w:t>/</w:t>
      </w:r>
      <w:r w:rsidR="00E250BB" w:rsidRPr="00E250BB">
        <w:rPr>
          <w:szCs w:val="24"/>
        </w:rPr>
        <w:t xml:space="preserve"> </w:t>
      </w:r>
      <w:r w:rsidR="00DF7F83">
        <w:rPr>
          <w:szCs w:val="24"/>
        </w:rPr>
        <w:t xml:space="preserve"> </w:t>
      </w:r>
    </w:p>
    <w:p w14:paraId="6F750129" w14:textId="77777777" w:rsidR="00977EF0" w:rsidRDefault="00DF7F83" w:rsidP="00714959">
      <w:pPr>
        <w:pStyle w:val="WUTCParagraph"/>
        <w:rPr>
          <w:szCs w:val="24"/>
        </w:rPr>
      </w:pPr>
      <w:r>
        <w:rPr>
          <w:szCs w:val="24"/>
        </w:rPr>
        <w:t xml:space="preserve">                        </w:t>
      </w:r>
      <w:r w:rsidRPr="00DF7F83">
        <w:rPr>
          <w:szCs w:val="24"/>
        </w:rPr>
        <w:t>The Commission has historically strongly favored the benefits associated with “a full review of revenue and expenses” and has been skeptical of approving any mechanism that does not implement such a full review.</w:t>
      </w:r>
      <w:r w:rsidRPr="00DF7F83">
        <w:rPr>
          <w:szCs w:val="24"/>
          <w:u w:val="single"/>
          <w:vertAlign w:val="superscript"/>
        </w:rPr>
        <w:footnoteReference w:id="33"/>
      </w:r>
      <w:r w:rsidRPr="00DF7F83">
        <w:rPr>
          <w:szCs w:val="24"/>
          <w:vertAlign w:val="superscript"/>
        </w:rPr>
        <w:t>/</w:t>
      </w:r>
      <w:r w:rsidRPr="00DF7F83">
        <w:rPr>
          <w:szCs w:val="24"/>
        </w:rPr>
        <w:t xml:space="preserve"> </w:t>
      </w:r>
      <w:r w:rsidR="00F05754">
        <w:rPr>
          <w:szCs w:val="24"/>
        </w:rPr>
        <w:t xml:space="preserve"> For the reasons stated above, ICNU opposes the adoption of the LRP, and remains skeptical that any alternative ratemaking mechanism, whether the ERF or the LRP, would result in “fair, just, reasonable, and sufficient” rates. </w:t>
      </w:r>
    </w:p>
    <w:p w14:paraId="36516ACE" w14:textId="77777777" w:rsidR="003471BB" w:rsidRPr="00B64EF8" w:rsidRDefault="00B64EF8" w:rsidP="00B64EF8">
      <w:pPr>
        <w:spacing w:line="480" w:lineRule="auto"/>
        <w:jc w:val="center"/>
        <w:rPr>
          <w:b/>
        </w:rPr>
      </w:pPr>
      <w:r>
        <w:rPr>
          <w:b/>
        </w:rPr>
        <w:lastRenderedPageBreak/>
        <w:t>III.</w:t>
      </w:r>
      <w:r>
        <w:rPr>
          <w:b/>
        </w:rPr>
        <w:tab/>
        <w:t>CONCLUSION</w:t>
      </w:r>
    </w:p>
    <w:p w14:paraId="6C7B367A" w14:textId="77777777" w:rsidR="003471BB" w:rsidRPr="004355F2" w:rsidRDefault="00B67AF1" w:rsidP="004355F2">
      <w:pPr>
        <w:pStyle w:val="WUTCParagraph"/>
      </w:pPr>
      <w:r>
        <w:tab/>
      </w:r>
      <w:r w:rsidR="00CD7D7D" w:rsidRPr="004355F2">
        <w:t xml:space="preserve">ICNU appreciates the opportunity to submit </w:t>
      </w:r>
      <w:r w:rsidR="009E07D0">
        <w:t>these c</w:t>
      </w:r>
      <w:r w:rsidR="00F622D5">
        <w:t xml:space="preserve">omments regarding </w:t>
      </w:r>
      <w:r w:rsidR="009E07D0" w:rsidRPr="009E07D0">
        <w:t xml:space="preserve">proposed revisions to </w:t>
      </w:r>
      <w:r w:rsidR="00755EBA">
        <w:t>the Commission’s procedural rules within</w:t>
      </w:r>
      <w:r w:rsidR="00CD7D7D" w:rsidRPr="004355F2">
        <w:t xml:space="preserve"> WAC</w:t>
      </w:r>
      <w:r w:rsidR="00B642FC">
        <w:t xml:space="preserve"> </w:t>
      </w:r>
      <w:r w:rsidR="009E07D0">
        <w:t>Chapter</w:t>
      </w:r>
      <w:r w:rsidR="00FC628D">
        <w:t xml:space="preserve"> 480-07.</w:t>
      </w:r>
      <w:r w:rsidR="00CD7D7D" w:rsidRPr="004355F2">
        <w:t xml:space="preserve"> </w:t>
      </w:r>
      <w:r w:rsidR="00B07778">
        <w:t xml:space="preserve"> </w:t>
      </w:r>
      <w:r w:rsidR="009F1088">
        <w:t>ICNU respectfully requests that the Commission and Staff consider making further modifications to the proposed ruled based on the points discussed</w:t>
      </w:r>
      <w:r w:rsidR="00EF308D">
        <w:t>.</w:t>
      </w:r>
      <w:r w:rsidR="009E07D0">
        <w:t xml:space="preserve"> </w:t>
      </w:r>
    </w:p>
    <w:p w14:paraId="4DE5D7C3" w14:textId="77777777" w:rsidR="00176110" w:rsidRDefault="002355C8" w:rsidP="00EE36C9">
      <w:pPr>
        <w:keepNext/>
        <w:spacing w:line="480" w:lineRule="auto"/>
        <w:ind w:firstLine="1426"/>
        <w:rPr>
          <w:szCs w:val="24"/>
        </w:rPr>
      </w:pPr>
      <w:r>
        <w:rPr>
          <w:szCs w:val="24"/>
        </w:rPr>
        <w:tab/>
      </w:r>
      <w:r>
        <w:rPr>
          <w:szCs w:val="24"/>
        </w:rPr>
        <w:tab/>
      </w:r>
      <w:r w:rsidR="009D55AD">
        <w:rPr>
          <w:szCs w:val="24"/>
        </w:rPr>
        <w:t xml:space="preserve">Dated this </w:t>
      </w:r>
      <w:r w:rsidR="00A40AC4">
        <w:rPr>
          <w:szCs w:val="24"/>
        </w:rPr>
        <w:t>1</w:t>
      </w:r>
      <w:r w:rsidR="00A34A83">
        <w:rPr>
          <w:szCs w:val="24"/>
        </w:rPr>
        <w:t>5</w:t>
      </w:r>
      <w:r w:rsidR="00CB0C0C">
        <w:rPr>
          <w:szCs w:val="24"/>
        </w:rPr>
        <w:t>th</w:t>
      </w:r>
      <w:r w:rsidR="009D55AD" w:rsidRPr="009D55AD">
        <w:rPr>
          <w:szCs w:val="24"/>
        </w:rPr>
        <w:t xml:space="preserve"> day of </w:t>
      </w:r>
      <w:r w:rsidR="00A34A83">
        <w:rPr>
          <w:szCs w:val="24"/>
        </w:rPr>
        <w:t>May</w:t>
      </w:r>
      <w:r w:rsidR="009D55AD" w:rsidRPr="009D55AD">
        <w:rPr>
          <w:szCs w:val="24"/>
        </w:rPr>
        <w:t>,</w:t>
      </w:r>
      <w:r w:rsidR="00A40AC4">
        <w:rPr>
          <w:szCs w:val="24"/>
        </w:rPr>
        <w:t xml:space="preserve"> 2017</w:t>
      </w:r>
      <w:r w:rsidR="009D55AD" w:rsidRPr="009D55AD">
        <w:rPr>
          <w:szCs w:val="24"/>
        </w:rPr>
        <w:t>.</w:t>
      </w:r>
    </w:p>
    <w:p w14:paraId="7A57BD5D" w14:textId="23517DD0" w:rsidR="00B666CF" w:rsidRPr="00BA018A" w:rsidRDefault="00A34F75" w:rsidP="00BA018A">
      <w:pPr>
        <w:spacing w:line="480" w:lineRule="auto"/>
        <w:ind w:left="2880" w:firstLine="720"/>
        <w:rPr>
          <w:szCs w:val="24"/>
        </w:rPr>
      </w:pPr>
      <w:r>
        <w:rPr>
          <w:szCs w:val="24"/>
        </w:rPr>
        <w:t>R</w:t>
      </w:r>
      <w:r w:rsidR="009D55AD" w:rsidRPr="009D55AD">
        <w:rPr>
          <w:szCs w:val="24"/>
        </w:rPr>
        <w:t>espectfully submitted,</w:t>
      </w:r>
      <w:r w:rsidR="009D55AD" w:rsidRPr="009D55AD">
        <w:rPr>
          <w:szCs w:val="24"/>
        </w:rPr>
        <w:tab/>
      </w:r>
      <w:r w:rsidR="009D55AD" w:rsidRPr="009D55AD">
        <w:rPr>
          <w:szCs w:val="24"/>
        </w:rPr>
        <w:tab/>
      </w:r>
      <w:r w:rsidR="009D55AD" w:rsidRPr="009D55AD">
        <w:rPr>
          <w:szCs w:val="24"/>
        </w:rPr>
        <w:tab/>
      </w:r>
      <w:r w:rsidR="009D55AD" w:rsidRPr="009D55AD">
        <w:rPr>
          <w:szCs w:val="24"/>
        </w:rPr>
        <w:tab/>
        <w:t>DAVISON VAN CLEVE, P.C.</w:t>
      </w:r>
    </w:p>
    <w:p w14:paraId="41130384" w14:textId="77777777" w:rsidR="00BA018A" w:rsidRPr="005C78A2" w:rsidRDefault="00BA018A" w:rsidP="00BA018A">
      <w:pPr>
        <w:keepNext/>
        <w:ind w:left="3600"/>
        <w:rPr>
          <w:i/>
          <w:u w:val="single"/>
        </w:rPr>
      </w:pPr>
      <w:r w:rsidRPr="005C78A2">
        <w:rPr>
          <w:i/>
          <w:u w:val="single"/>
        </w:rPr>
        <w:t>/s/ Patrick J. Oshie</w:t>
      </w:r>
    </w:p>
    <w:p w14:paraId="117AA457" w14:textId="77777777" w:rsidR="00BA018A" w:rsidRDefault="00BA018A" w:rsidP="00BA018A">
      <w:pPr>
        <w:keepNext/>
        <w:ind w:left="3600"/>
      </w:pPr>
      <w:r>
        <w:t>Patrick J. Oshie</w:t>
      </w:r>
    </w:p>
    <w:p w14:paraId="28FF58BA" w14:textId="77777777" w:rsidR="00BA018A" w:rsidRDefault="00BA018A" w:rsidP="00BA018A">
      <w:pPr>
        <w:keepNext/>
        <w:ind w:left="3600"/>
      </w:pPr>
      <w:r>
        <w:t>Davison Van Cleve, P.C.</w:t>
      </w:r>
    </w:p>
    <w:p w14:paraId="66FB971C" w14:textId="77777777" w:rsidR="00BA018A" w:rsidRDefault="00BA018A" w:rsidP="00BA018A">
      <w:pPr>
        <w:keepNext/>
        <w:ind w:left="3600"/>
      </w:pPr>
      <w:r>
        <w:t>507 Ballard Rd.</w:t>
      </w:r>
    </w:p>
    <w:p w14:paraId="5CE0E835" w14:textId="77777777" w:rsidR="00BA018A" w:rsidRDefault="00BA018A" w:rsidP="00BA018A">
      <w:pPr>
        <w:keepNext/>
        <w:ind w:left="3600"/>
      </w:pPr>
      <w:r>
        <w:t>Zillah, WA 98953</w:t>
      </w:r>
    </w:p>
    <w:p w14:paraId="3B392DB1" w14:textId="77777777" w:rsidR="00BA018A" w:rsidRDefault="00BA018A" w:rsidP="00BA018A">
      <w:pPr>
        <w:keepNext/>
        <w:ind w:left="3600"/>
      </w:pPr>
      <w:r>
        <w:t>Telephone: (360) 870-2218</w:t>
      </w:r>
    </w:p>
    <w:p w14:paraId="1B9AC37C" w14:textId="77777777" w:rsidR="00BA018A" w:rsidRDefault="00BA018A" w:rsidP="00BA018A">
      <w:pPr>
        <w:keepNext/>
        <w:ind w:left="3600"/>
      </w:pPr>
      <w:r>
        <w:t>Facsimile: (503) 241-8160</w:t>
      </w:r>
    </w:p>
    <w:p w14:paraId="1B4A19E8" w14:textId="77777777" w:rsidR="00BA018A" w:rsidRDefault="00BA018A" w:rsidP="00BA018A">
      <w:pPr>
        <w:keepNext/>
        <w:ind w:left="3600"/>
      </w:pPr>
      <w:r>
        <w:t>E-Mail: pjo@dvclaw.com</w:t>
      </w:r>
    </w:p>
    <w:p w14:paraId="04D0930E" w14:textId="77777777" w:rsidR="00BA018A" w:rsidRDefault="00BA018A" w:rsidP="00BA018A">
      <w:pPr>
        <w:keepNext/>
        <w:ind w:left="3600"/>
      </w:pPr>
      <w:r>
        <w:t xml:space="preserve">Of Counsel for Industrial Customers of Northwest Utilities </w:t>
      </w:r>
    </w:p>
    <w:p w14:paraId="438A4227" w14:textId="77777777" w:rsidR="00257819" w:rsidRDefault="00257819" w:rsidP="003471BB">
      <w:pPr>
        <w:spacing w:line="480" w:lineRule="auto"/>
      </w:pPr>
    </w:p>
    <w:sectPr w:rsidR="00257819" w:rsidSect="003675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98728" w14:textId="77777777" w:rsidR="00CD2374" w:rsidRDefault="00CD2374" w:rsidP="003471BB">
      <w:r>
        <w:separator/>
      </w:r>
    </w:p>
  </w:endnote>
  <w:endnote w:type="continuationSeparator" w:id="0">
    <w:p w14:paraId="4FF1EEE2" w14:textId="77777777" w:rsidR="00CD2374" w:rsidRDefault="00CD2374" w:rsidP="003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653F" w14:textId="77777777" w:rsidR="00BC5CA0" w:rsidRPr="003471BB" w:rsidRDefault="00BC5CA0" w:rsidP="003471BB">
    <w:pPr>
      <w:pStyle w:val="Footer"/>
    </w:pPr>
  </w:p>
  <w:p w14:paraId="411C0F95" w14:textId="5C98F14F" w:rsidR="00BC5CA0" w:rsidRPr="006F3E31" w:rsidRDefault="00BC5CA0" w:rsidP="003471BB">
    <w:pPr>
      <w:pStyle w:val="Footer"/>
    </w:pPr>
    <w:r w:rsidRPr="006F3E31">
      <w:t xml:space="preserve">PAGE </w:t>
    </w:r>
    <w:r w:rsidRPr="006F3E31">
      <w:rPr>
        <w:rStyle w:val="PageNumber"/>
      </w:rPr>
      <w:fldChar w:fldCharType="begin"/>
    </w:r>
    <w:r w:rsidRPr="006F3E31">
      <w:rPr>
        <w:rStyle w:val="PageNumber"/>
      </w:rPr>
      <w:instrText xml:space="preserve"> PAGE </w:instrText>
    </w:r>
    <w:r w:rsidRPr="006F3E31">
      <w:rPr>
        <w:rStyle w:val="PageNumber"/>
      </w:rPr>
      <w:fldChar w:fldCharType="separate"/>
    </w:r>
    <w:r w:rsidR="008F4B93">
      <w:rPr>
        <w:rStyle w:val="PageNumber"/>
        <w:noProof/>
      </w:rPr>
      <w:t>4</w:t>
    </w:r>
    <w:r w:rsidRPr="006F3E31">
      <w:rPr>
        <w:rStyle w:val="PageNumber"/>
      </w:rPr>
      <w:fldChar w:fldCharType="end"/>
    </w:r>
    <w:r w:rsidRPr="006F3E31">
      <w:t xml:space="preserve"> – ICNU COMMENTS </w:t>
    </w:r>
  </w:p>
  <w:p w14:paraId="6C8E9DF8" w14:textId="77777777" w:rsidR="00BC5CA0" w:rsidRPr="006F3E31" w:rsidRDefault="00BC5CA0" w:rsidP="003471BB">
    <w:pPr>
      <w:pStyle w:val="Footer"/>
    </w:pPr>
  </w:p>
  <w:p w14:paraId="364F20F1" w14:textId="77777777" w:rsidR="00BC5CA0" w:rsidRPr="006F3E31" w:rsidRDefault="00BC5CA0" w:rsidP="003471BB">
    <w:pPr>
      <w:jc w:val="center"/>
      <w:rPr>
        <w:sz w:val="14"/>
      </w:rPr>
    </w:pPr>
    <w:r w:rsidRPr="006F3E31">
      <w:rPr>
        <w:sz w:val="14"/>
      </w:rPr>
      <w:t>DAVISON VAN CLEVE, P.C.</w:t>
    </w:r>
  </w:p>
  <w:p w14:paraId="14AF7C1E" w14:textId="77777777" w:rsidR="00BC5CA0" w:rsidRPr="006F3E31" w:rsidRDefault="00BC5CA0" w:rsidP="003471BB">
    <w:pPr>
      <w:tabs>
        <w:tab w:val="center" w:pos="4680"/>
      </w:tabs>
      <w:rPr>
        <w:sz w:val="14"/>
      </w:rPr>
    </w:pPr>
    <w:r w:rsidRPr="006F3E31">
      <w:rPr>
        <w:sz w:val="14"/>
      </w:rPr>
      <w:tab/>
      <w:t>333 S.W. Taylor, Suite 400</w:t>
    </w:r>
  </w:p>
  <w:p w14:paraId="2B395814" w14:textId="77777777" w:rsidR="00BC5CA0" w:rsidRPr="006F3E31" w:rsidRDefault="00BC5CA0" w:rsidP="003471BB">
    <w:pPr>
      <w:tabs>
        <w:tab w:val="center" w:pos="4680"/>
      </w:tabs>
      <w:rPr>
        <w:sz w:val="14"/>
      </w:rPr>
    </w:pPr>
    <w:r w:rsidRPr="006F3E31">
      <w:rPr>
        <w:sz w:val="14"/>
      </w:rPr>
      <w:tab/>
      <w:t>Portland, OR 97204</w:t>
    </w:r>
  </w:p>
  <w:p w14:paraId="51F4AE30" w14:textId="77777777" w:rsidR="00BC5CA0" w:rsidRPr="006F3E31" w:rsidRDefault="00BC5CA0" w:rsidP="003471BB">
    <w:pPr>
      <w:pStyle w:val="Footer"/>
      <w:jc w:val="center"/>
      <w:rPr>
        <w:sz w:val="14"/>
      </w:rPr>
    </w:pPr>
    <w:r w:rsidRPr="006F3E31">
      <w:rPr>
        <w:sz w:val="14"/>
      </w:rPr>
      <w:t>Telephone</w:t>
    </w:r>
    <w:r>
      <w:rPr>
        <w:sz w:val="14"/>
      </w:rPr>
      <w:t>:</w:t>
    </w:r>
    <w:r w:rsidRPr="006F3E31">
      <w:rPr>
        <w:sz w:val="14"/>
      </w:rPr>
      <w:t xml:space="preserve"> (503) 241-7242</w:t>
    </w:r>
  </w:p>
  <w:p w14:paraId="32CB46BF" w14:textId="77777777" w:rsidR="00BC5CA0" w:rsidRDefault="00BC5CA0" w:rsidP="003471BB">
    <w:pPr>
      <w:pStyle w:val="Footer"/>
    </w:pPr>
  </w:p>
  <w:p w14:paraId="3B65E906" w14:textId="77777777" w:rsidR="00BC5CA0" w:rsidRDefault="00BC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89D6" w14:textId="77777777" w:rsidR="00CD2374" w:rsidRDefault="00CD2374" w:rsidP="003471BB">
      <w:r>
        <w:separator/>
      </w:r>
    </w:p>
  </w:footnote>
  <w:footnote w:type="continuationSeparator" w:id="0">
    <w:p w14:paraId="34D0E0FB" w14:textId="77777777" w:rsidR="00CD2374" w:rsidRDefault="00CD2374" w:rsidP="003471BB">
      <w:r>
        <w:continuationSeparator/>
      </w:r>
    </w:p>
  </w:footnote>
  <w:footnote w:id="1">
    <w:p w14:paraId="37C5949A" w14:textId="6A29C0E7" w:rsidR="00BC5CA0" w:rsidRDefault="00BC5CA0">
      <w:pPr>
        <w:pStyle w:val="FootnoteText"/>
      </w:pPr>
      <w:r w:rsidRPr="003503E5">
        <w:rPr>
          <w:rStyle w:val="FootnoteReference"/>
          <w:u w:val="single"/>
        </w:rPr>
        <w:footnoteRef/>
      </w:r>
      <w:r>
        <w:rPr>
          <w:vertAlign w:val="superscript"/>
        </w:rPr>
        <w:t>/</w:t>
      </w:r>
      <w:r>
        <w:t xml:space="preserve"> </w:t>
      </w:r>
      <w:r>
        <w:tab/>
      </w:r>
      <w:r w:rsidRPr="003503E5">
        <w:rPr>
          <w:u w:val="single"/>
        </w:rPr>
        <w:t>See</w:t>
      </w:r>
      <w:r w:rsidR="00964C41">
        <w:t xml:space="preserve"> WAC 480-07, sections</w:t>
      </w:r>
      <w:r>
        <w:t xml:space="preserve"> 300-498.</w:t>
      </w:r>
    </w:p>
  </w:footnote>
  <w:footnote w:id="2">
    <w:p w14:paraId="31E29BE8" w14:textId="77777777" w:rsidR="00BC5CA0" w:rsidRDefault="00BC5CA0">
      <w:pPr>
        <w:pStyle w:val="FootnoteText"/>
      </w:pPr>
      <w:r w:rsidRPr="003503E5">
        <w:rPr>
          <w:rStyle w:val="FootnoteReference"/>
          <w:u w:val="single"/>
        </w:rPr>
        <w:footnoteRef/>
      </w:r>
      <w:r>
        <w:rPr>
          <w:vertAlign w:val="superscript"/>
        </w:rPr>
        <w:t>/</w:t>
      </w:r>
      <w:r>
        <w:t xml:space="preserve"> </w:t>
      </w:r>
      <w:r>
        <w:tab/>
        <w:t>This docket was opened in 2013, and now spans a four-year period.</w:t>
      </w:r>
    </w:p>
  </w:footnote>
  <w:footnote w:id="3">
    <w:p w14:paraId="5D83E374" w14:textId="77777777" w:rsidR="00BC5CA0" w:rsidRDefault="00BC5CA0" w:rsidP="003503E5">
      <w:pPr>
        <w:pStyle w:val="FootnoteText"/>
        <w:ind w:left="720" w:hanging="720"/>
      </w:pPr>
      <w:r w:rsidRPr="003503E5">
        <w:rPr>
          <w:rStyle w:val="FootnoteReference"/>
          <w:u w:val="single"/>
        </w:rPr>
        <w:footnoteRef/>
      </w:r>
      <w:r>
        <w:rPr>
          <w:vertAlign w:val="superscript"/>
        </w:rPr>
        <w:t>/</w:t>
      </w:r>
      <w:r>
        <w:t xml:space="preserve"> </w:t>
      </w:r>
      <w:r>
        <w:tab/>
        <w:t xml:space="preserve">The comments made herein address certain issues that ICNU hopes the Commission will consider prior to the stakeholder workshop on June 12, 2017. </w:t>
      </w:r>
    </w:p>
  </w:footnote>
  <w:footnote w:id="4">
    <w:p w14:paraId="27B9C09E" w14:textId="4C8E6D38" w:rsidR="00BC5CA0" w:rsidRDefault="00BC5CA0" w:rsidP="00516E05">
      <w:pPr>
        <w:pStyle w:val="FootnoteText"/>
        <w:ind w:left="720" w:hanging="720"/>
      </w:pPr>
      <w:r w:rsidRPr="00516E05">
        <w:rPr>
          <w:rStyle w:val="FootnoteReference"/>
          <w:u w:val="single"/>
        </w:rPr>
        <w:footnoteRef/>
      </w:r>
      <w:r>
        <w:rPr>
          <w:vertAlign w:val="superscript"/>
        </w:rPr>
        <w:t>/</w:t>
      </w:r>
      <w:r>
        <w:t xml:space="preserve"> </w:t>
      </w:r>
      <w:r>
        <w:tab/>
      </w:r>
      <w:r>
        <w:rPr>
          <w:color w:val="000000" w:themeColor="text1"/>
        </w:rPr>
        <w:t>The Commission has ruled that a company could not introduce revised figures in rebuttal testimony</w:t>
      </w:r>
      <w:r w:rsidRPr="00050FDD">
        <w:t xml:space="preserve">. </w:t>
      </w:r>
      <w:r w:rsidRPr="00E726E5">
        <w:rPr>
          <w:u w:val="single"/>
        </w:rPr>
        <w:t>WUTC v. Harbor Water Co., Inc.</w:t>
      </w:r>
      <w:r w:rsidRPr="00E726E5">
        <w:t>, Docket No. U-87-1054-T, 3</w:t>
      </w:r>
      <w:r w:rsidRPr="00E726E5">
        <w:rPr>
          <w:vertAlign w:val="superscript"/>
        </w:rPr>
        <w:t>rd</w:t>
      </w:r>
      <w:r w:rsidRPr="00E726E5">
        <w:t xml:space="preserve"> Suppl. Order, 1988 Wash. UTC LEXIS 68 at *3</w:t>
      </w:r>
      <w:r>
        <w:t xml:space="preserve">7, *65–66 (May 7, 1988). </w:t>
      </w:r>
      <w:r>
        <w:rPr>
          <w:color w:val="000000" w:themeColor="text1"/>
        </w:rPr>
        <w:t xml:space="preserve"> The Commission views the purpose of the rebuttal round of testimony as an opportunity </w:t>
      </w:r>
      <w:r w:rsidR="000E4CB4">
        <w:rPr>
          <w:color w:val="000000" w:themeColor="text1"/>
        </w:rPr>
        <w:t>“</w:t>
      </w:r>
      <w:r>
        <w:rPr>
          <w:color w:val="000000" w:themeColor="text1"/>
        </w:rPr>
        <w:t>to rebut evidence presented by other parties in their response testimonies.”</w:t>
      </w:r>
      <w:r w:rsidRPr="00D3400D">
        <w:t xml:space="preserve">  </w:t>
      </w:r>
      <w:r w:rsidR="00B31B68">
        <w:rPr>
          <w:u w:val="single"/>
        </w:rPr>
        <w:t>WUTC</w:t>
      </w:r>
      <w:r w:rsidRPr="00896C61">
        <w:rPr>
          <w:u w:val="single"/>
        </w:rPr>
        <w:t xml:space="preserve"> v. Pacific Power &amp; Light</w:t>
      </w:r>
      <w:r w:rsidRPr="00896C61">
        <w:t xml:space="preserve">, </w:t>
      </w:r>
      <w:r>
        <w:t xml:space="preserve">Dockets </w:t>
      </w:r>
      <w:r w:rsidR="002A0D9B">
        <w:t xml:space="preserve">UE-140094 </w:t>
      </w:r>
      <w:r w:rsidR="00B31B68">
        <w:rPr>
          <w:u w:val="single"/>
        </w:rPr>
        <w:t>et seq</w:t>
      </w:r>
      <w:r w:rsidR="00B31B68">
        <w:t xml:space="preserve"> </w:t>
      </w:r>
      <w:r>
        <w:t>(</w:t>
      </w:r>
      <w:r w:rsidRPr="00C3603A">
        <w:rPr>
          <w:u w:val="single"/>
        </w:rPr>
        <w:t>consolidated</w:t>
      </w:r>
      <w:r>
        <w:t xml:space="preserve">), Order 08 </w:t>
      </w:r>
      <w:r>
        <w:rPr>
          <w:rFonts w:ascii="Arial" w:hAnsi="Arial" w:cs="Arial"/>
          <w:color w:val="222222"/>
          <w:shd w:val="clear" w:color="auto" w:fill="FFFFFF"/>
        </w:rPr>
        <w:t>¶</w:t>
      </w:r>
      <w:r>
        <w:t xml:space="preserve"> 80 (Mar. 25, 2015). </w:t>
      </w:r>
    </w:p>
  </w:footnote>
  <w:footnote w:id="5">
    <w:p w14:paraId="1C1F4152" w14:textId="77777777" w:rsidR="00BC5CA0" w:rsidRDefault="00BC5CA0" w:rsidP="00516E05">
      <w:pPr>
        <w:pStyle w:val="FootnoteText"/>
        <w:ind w:left="720" w:hanging="720"/>
      </w:pPr>
      <w:r w:rsidRPr="00516E05">
        <w:rPr>
          <w:rStyle w:val="FootnoteReference"/>
          <w:u w:val="single"/>
        </w:rPr>
        <w:footnoteRef/>
      </w:r>
      <w:r>
        <w:rPr>
          <w:vertAlign w:val="superscript"/>
        </w:rPr>
        <w:t>/</w:t>
      </w:r>
      <w:r>
        <w:t xml:space="preserve"> </w:t>
      </w:r>
      <w:r>
        <w:tab/>
        <w:t xml:space="preserve">New evidence presented on rebuttal should only be allowed when “extraordinary circumstances” create a need and excluding it would cause a “severe hardship for the moving party.” </w:t>
      </w:r>
      <w:r w:rsidRPr="00E726E5">
        <w:rPr>
          <w:u w:val="single"/>
        </w:rPr>
        <w:t>WUTC v. Harbor Water Co., Inc.</w:t>
      </w:r>
      <w:r w:rsidRPr="00E726E5">
        <w:t>, Docket No. U-87-1054-T, 3</w:t>
      </w:r>
      <w:r w:rsidRPr="00E726E5">
        <w:rPr>
          <w:vertAlign w:val="superscript"/>
        </w:rPr>
        <w:t>rd</w:t>
      </w:r>
      <w:r w:rsidRPr="00E726E5">
        <w:t xml:space="preserve"> Suppl. Order, 1988 Wash. UTC LEXIS 68 at *3</w:t>
      </w:r>
      <w:r>
        <w:t xml:space="preserve">7 (May 7, 1988). </w:t>
      </w:r>
    </w:p>
  </w:footnote>
  <w:footnote w:id="6">
    <w:p w14:paraId="7619AB0C" w14:textId="0F3BD33F" w:rsidR="00BC5CA0" w:rsidRPr="00437609" w:rsidRDefault="00BC5CA0" w:rsidP="00437609">
      <w:pPr>
        <w:pStyle w:val="FootnoteText"/>
        <w:ind w:left="720" w:hanging="720"/>
        <w:rPr>
          <w:color w:val="000000" w:themeColor="text1"/>
        </w:rPr>
      </w:pPr>
      <w:r w:rsidRPr="00516E05">
        <w:rPr>
          <w:rStyle w:val="FootnoteReference"/>
          <w:u w:val="single"/>
        </w:rPr>
        <w:footnoteRef/>
      </w:r>
      <w:r>
        <w:rPr>
          <w:vertAlign w:val="superscript"/>
        </w:rPr>
        <w:t>/</w:t>
      </w:r>
      <w:r>
        <w:t xml:space="preserve"> </w:t>
      </w:r>
      <w:r>
        <w:tab/>
      </w:r>
      <w:r>
        <w:rPr>
          <w:color w:val="000000" w:themeColor="text1"/>
        </w:rPr>
        <w:t>I</w:t>
      </w:r>
      <w:r w:rsidRPr="00896C61">
        <w:rPr>
          <w:color w:val="000000" w:themeColor="text1"/>
        </w:rPr>
        <w:t xml:space="preserve">mproper rebuttal evidence </w:t>
      </w:r>
      <w:r>
        <w:rPr>
          <w:color w:val="000000" w:themeColor="text1"/>
        </w:rPr>
        <w:t xml:space="preserve">is evidence that addresses new issues that are not raised by opposing parties, which </w:t>
      </w:r>
      <w:r w:rsidRPr="00896C61">
        <w:rPr>
          <w:color w:val="000000" w:themeColor="text1"/>
        </w:rPr>
        <w:t xml:space="preserve">is </w:t>
      </w:r>
      <w:r>
        <w:rPr>
          <w:color w:val="000000" w:themeColor="text1"/>
        </w:rPr>
        <w:t>“</w:t>
      </w:r>
      <w:r w:rsidRPr="00896C61">
        <w:rPr>
          <w:color w:val="000000" w:themeColor="text1"/>
        </w:rPr>
        <w:t>outside the scope of the prudence review.”</w:t>
      </w:r>
      <w:r>
        <w:rPr>
          <w:color w:val="000000" w:themeColor="text1"/>
        </w:rPr>
        <w:t xml:space="preserve"> </w:t>
      </w:r>
      <w:r w:rsidRPr="00617BEA">
        <w:t xml:space="preserve"> </w:t>
      </w:r>
      <w:r w:rsidR="00B31B68">
        <w:rPr>
          <w:u w:val="single"/>
        </w:rPr>
        <w:t>WUTC</w:t>
      </w:r>
      <w:r w:rsidRPr="00516E05">
        <w:rPr>
          <w:u w:val="single"/>
        </w:rPr>
        <w:t xml:space="preserve"> v. Puget Sound &amp; Light Co.</w:t>
      </w:r>
      <w:r>
        <w:t>,</w:t>
      </w:r>
      <w:r w:rsidRPr="00896C61">
        <w:t xml:space="preserve"> </w:t>
      </w:r>
      <w:r>
        <w:t>Docket UE-920433</w:t>
      </w:r>
      <w:r w:rsidR="00B31B68">
        <w:t xml:space="preserve"> </w:t>
      </w:r>
      <w:r w:rsidR="00B31B68">
        <w:rPr>
          <w:u w:val="single"/>
        </w:rPr>
        <w:t>et seq</w:t>
      </w:r>
      <w:r>
        <w:t xml:space="preserve"> (</w:t>
      </w:r>
      <w:r w:rsidRPr="00C3603A">
        <w:rPr>
          <w:u w:val="single"/>
        </w:rPr>
        <w:t>consolidated</w:t>
      </w:r>
      <w:r>
        <w:t>), Order 19 Supplemental p. 38 (</w:t>
      </w:r>
      <w:r w:rsidRPr="00896C61">
        <w:t>Sept. 27, 1994)</w:t>
      </w:r>
      <w:r>
        <w:t xml:space="preserve">. </w:t>
      </w:r>
      <w:r>
        <w:rPr>
          <w:color w:val="000000" w:themeColor="text1"/>
        </w:rPr>
        <w:t xml:space="preserve"> </w:t>
      </w:r>
    </w:p>
  </w:footnote>
  <w:footnote w:id="7">
    <w:p w14:paraId="51C3D768" w14:textId="48298CDF" w:rsidR="00BC5CA0" w:rsidRPr="00FC699D" w:rsidRDefault="00BC5CA0" w:rsidP="00FC699D">
      <w:pPr>
        <w:pStyle w:val="FootnoteText"/>
        <w:ind w:left="720" w:hanging="720"/>
        <w:rPr>
          <w:u w:val="single"/>
        </w:rPr>
      </w:pPr>
      <w:r w:rsidRPr="004F67FC">
        <w:rPr>
          <w:rStyle w:val="FootnoteReference"/>
          <w:u w:val="single"/>
        </w:rPr>
        <w:footnoteRef/>
      </w:r>
      <w:r>
        <w:rPr>
          <w:vertAlign w:val="superscript"/>
        </w:rPr>
        <w:t>/</w:t>
      </w:r>
      <w:r>
        <w:t xml:space="preserve"> </w:t>
      </w:r>
      <w:r>
        <w:tab/>
        <w:t xml:space="preserve">The Commission has </w:t>
      </w:r>
      <w:r w:rsidRPr="00FC699D">
        <w:t>given</w:t>
      </w:r>
      <w:r>
        <w:t xml:space="preserve"> weight to</w:t>
      </w:r>
      <w:r w:rsidRPr="00FC699D">
        <w:t xml:space="preserve"> the </w:t>
      </w:r>
      <w:r>
        <w:t>“</w:t>
      </w:r>
      <w:r w:rsidRPr="00FC699D">
        <w:t>importance of a full and complete record</w:t>
      </w:r>
      <w:r>
        <w:t xml:space="preserve">.”  </w:t>
      </w:r>
      <w:r w:rsidR="00B31B68">
        <w:rPr>
          <w:u w:val="single"/>
        </w:rPr>
        <w:t>WUTC</w:t>
      </w:r>
      <w:r>
        <w:rPr>
          <w:u w:val="single"/>
        </w:rPr>
        <w:t xml:space="preserve"> v. Puget Sound Energy</w:t>
      </w:r>
      <w:r w:rsidRPr="00FC699D">
        <w:rPr>
          <w:u w:val="single"/>
        </w:rPr>
        <w:t xml:space="preserve">, </w:t>
      </w:r>
      <w:r w:rsidRPr="00FC699D">
        <w:t xml:space="preserve">Dockets No. UE-111048 and UG-111049 </w:t>
      </w:r>
      <w:r>
        <w:t>(</w:t>
      </w:r>
      <w:r w:rsidRPr="00C3603A">
        <w:rPr>
          <w:u w:val="single"/>
        </w:rPr>
        <w:t>consolidated</w:t>
      </w:r>
      <w:r w:rsidRPr="00FC699D">
        <w:t>) Order 07</w:t>
      </w:r>
      <w:r>
        <w:t xml:space="preserve"> </w:t>
      </w:r>
      <w:r w:rsidRPr="00437609">
        <w:t>¶</w:t>
      </w:r>
      <w:r>
        <w:t xml:space="preserve"> 5</w:t>
      </w:r>
      <w:r w:rsidRPr="00FC699D">
        <w:t xml:space="preserve"> (Jan. 27, 2012)</w:t>
      </w:r>
      <w:r>
        <w:t xml:space="preserve">. </w:t>
      </w:r>
    </w:p>
  </w:footnote>
  <w:footnote w:id="8">
    <w:p w14:paraId="612B87EC" w14:textId="0F2EFD34" w:rsidR="00BC5CA0" w:rsidRDefault="00BC5CA0" w:rsidP="00437609">
      <w:pPr>
        <w:pStyle w:val="FootnoteText"/>
        <w:ind w:left="720" w:hanging="720"/>
      </w:pPr>
      <w:r w:rsidRPr="004F67FC">
        <w:rPr>
          <w:rStyle w:val="FootnoteReference"/>
          <w:u w:val="single"/>
        </w:rPr>
        <w:footnoteRef/>
      </w:r>
      <w:r>
        <w:rPr>
          <w:vertAlign w:val="superscript"/>
        </w:rPr>
        <w:t>/</w:t>
      </w:r>
      <w:r>
        <w:t xml:space="preserve"> </w:t>
      </w:r>
      <w:r>
        <w:tab/>
      </w:r>
      <w:r>
        <w:rPr>
          <w:color w:val="000000" w:themeColor="text1"/>
        </w:rPr>
        <w:t xml:space="preserve">New evidence offered during rebuttal testimony “can be unsettling to the parties and potentially can disrupt a carefully planned procedural schedule close in time to a planned evidentiary hearing.”  </w:t>
      </w:r>
      <w:r w:rsidR="004D1958">
        <w:rPr>
          <w:u w:val="single"/>
        </w:rPr>
        <w:t>WUTC</w:t>
      </w:r>
      <w:r w:rsidRPr="00896C61">
        <w:rPr>
          <w:u w:val="single"/>
        </w:rPr>
        <w:t xml:space="preserve"> v. Pacific Power &amp; Light</w:t>
      </w:r>
      <w:r w:rsidRPr="00896C61">
        <w:t xml:space="preserve">, </w:t>
      </w:r>
      <w:r>
        <w:t>Docket No</w:t>
      </w:r>
      <w:r w:rsidR="002A0D9B">
        <w:t xml:space="preserve">. </w:t>
      </w:r>
      <w:r>
        <w:t>UE-140094 (</w:t>
      </w:r>
      <w:r w:rsidRPr="00C3603A">
        <w:rPr>
          <w:u w:val="single"/>
        </w:rPr>
        <w:t>consolidated</w:t>
      </w:r>
      <w:r>
        <w:t xml:space="preserve">), Order 08 </w:t>
      </w:r>
      <w:r w:rsidRPr="00437609">
        <w:t>¶</w:t>
      </w:r>
      <w:r>
        <w:t xml:space="preserve"> 79 (Mar. 25, 2015). </w:t>
      </w:r>
      <w:r>
        <w:rPr>
          <w:color w:val="000000" w:themeColor="text1"/>
        </w:rPr>
        <w:t xml:space="preserve"> </w:t>
      </w:r>
    </w:p>
  </w:footnote>
  <w:footnote w:id="9">
    <w:p w14:paraId="5E0A4C16" w14:textId="63BC8EEA" w:rsidR="00BC5CA0" w:rsidRDefault="00BC5CA0" w:rsidP="00DE6C2D">
      <w:pPr>
        <w:pStyle w:val="FootnoteText"/>
        <w:ind w:left="720" w:hanging="720"/>
      </w:pPr>
      <w:r w:rsidRPr="0070398F">
        <w:rPr>
          <w:rStyle w:val="FootnoteReference"/>
          <w:u w:val="single"/>
        </w:rPr>
        <w:footnoteRef/>
      </w:r>
      <w:r w:rsidR="0070398F">
        <w:rPr>
          <w:vertAlign w:val="superscript"/>
        </w:rPr>
        <w:t>/</w:t>
      </w:r>
      <w:r>
        <w:t xml:space="preserve"> </w:t>
      </w:r>
      <w:r w:rsidR="00DE6C2D">
        <w:tab/>
      </w:r>
      <w:r>
        <w:t xml:space="preserve">Here, the term “rate plan” means the Commission’s pre-approval to present evidence representing some, but not all, components of its operations costs and revenues when seeking to change rates.   </w:t>
      </w:r>
    </w:p>
  </w:footnote>
  <w:footnote w:id="10">
    <w:p w14:paraId="4C15E2A6" w14:textId="54CFE187" w:rsidR="00BC5CA0" w:rsidRDefault="00BC5CA0" w:rsidP="00C60C0F">
      <w:pPr>
        <w:pStyle w:val="FootnoteText"/>
        <w:ind w:left="720" w:hanging="720"/>
      </w:pPr>
      <w:r w:rsidRPr="003503E5">
        <w:rPr>
          <w:rStyle w:val="FootnoteReference"/>
          <w:u w:val="single"/>
        </w:rPr>
        <w:footnoteRef/>
      </w:r>
      <w:r>
        <w:rPr>
          <w:vertAlign w:val="superscript"/>
        </w:rPr>
        <w:t>/</w:t>
      </w:r>
      <w:r>
        <w:t xml:space="preserve"> </w:t>
      </w:r>
      <w:r>
        <w:tab/>
      </w:r>
      <w:r w:rsidRPr="005E65EA">
        <w:rPr>
          <w:u w:val="single"/>
        </w:rPr>
        <w:t>WUTC v. Puget Sound Energy</w:t>
      </w:r>
      <w:r w:rsidRPr="005E65EA">
        <w:t>, Docket No. UE-130137</w:t>
      </w:r>
      <w:r w:rsidR="007E7C55">
        <w:t>,</w:t>
      </w:r>
      <w:r w:rsidRPr="005E65EA">
        <w:t xml:space="preserve"> </w:t>
      </w:r>
      <w:r w:rsidR="008F4B93">
        <w:rPr>
          <w:u w:val="single"/>
        </w:rPr>
        <w:t>et seq</w:t>
      </w:r>
      <w:r w:rsidR="008F4B93">
        <w:t xml:space="preserve"> </w:t>
      </w:r>
      <w:r w:rsidRPr="005E65EA">
        <w:t>(</w:t>
      </w:r>
      <w:r w:rsidRPr="008F4B93">
        <w:rPr>
          <w:u w:val="single"/>
        </w:rPr>
        <w:t>consolidated</w:t>
      </w:r>
      <w:r w:rsidRPr="005E65EA">
        <w:t>) Order 07 ¶ 33 (June 25, 2013)</w:t>
      </w:r>
      <w:r w:rsidR="007E7C55">
        <w:t xml:space="preserve"> (emphasis added)</w:t>
      </w:r>
      <w:r w:rsidRPr="005E65EA">
        <w:t>.</w:t>
      </w:r>
    </w:p>
  </w:footnote>
  <w:footnote w:id="11">
    <w:p w14:paraId="7EA4E167" w14:textId="4A9CD069" w:rsidR="00BC5CA0" w:rsidRPr="005A7C78" w:rsidRDefault="00BC5CA0" w:rsidP="005A7C78">
      <w:pPr>
        <w:tabs>
          <w:tab w:val="center" w:pos="4320"/>
          <w:tab w:val="right" w:pos="8460"/>
        </w:tabs>
        <w:ind w:left="720" w:hanging="720"/>
        <w:rPr>
          <w:b/>
          <w:sz w:val="20"/>
        </w:rPr>
      </w:pPr>
      <w:r w:rsidRPr="00D947D9">
        <w:rPr>
          <w:rStyle w:val="FootnoteReference"/>
          <w:sz w:val="20"/>
          <w:u w:val="single"/>
        </w:rPr>
        <w:footnoteRef/>
      </w:r>
      <w:r>
        <w:rPr>
          <w:sz w:val="20"/>
          <w:vertAlign w:val="superscript"/>
        </w:rPr>
        <w:t>/</w:t>
      </w:r>
      <w:r w:rsidRPr="005A7C78">
        <w:rPr>
          <w:sz w:val="20"/>
        </w:rPr>
        <w:t xml:space="preserve"> </w:t>
      </w:r>
      <w:r w:rsidRPr="005A7C78">
        <w:rPr>
          <w:sz w:val="20"/>
        </w:rPr>
        <w:tab/>
      </w:r>
      <w:r w:rsidR="007E7C55" w:rsidRPr="00C3603A">
        <w:rPr>
          <w:bCs/>
          <w:sz w:val="20"/>
          <w:u w:val="single"/>
        </w:rPr>
        <w:t>Id</w:t>
      </w:r>
      <w:r w:rsidR="007E7C55" w:rsidRPr="00C3603A">
        <w:rPr>
          <w:bCs/>
          <w:sz w:val="20"/>
        </w:rPr>
        <w:t>. at</w:t>
      </w:r>
      <w:r w:rsidRPr="005A7C78">
        <w:rPr>
          <w:bCs/>
          <w:sz w:val="20"/>
        </w:rPr>
        <w:t xml:space="preserve"> ¶</w:t>
      </w:r>
      <w:r w:rsidRPr="005A7C78">
        <w:rPr>
          <w:sz w:val="20"/>
        </w:rPr>
        <w:t xml:space="preserve"> </w:t>
      </w:r>
      <w:r w:rsidR="007E7C55">
        <w:rPr>
          <w:sz w:val="20"/>
        </w:rPr>
        <w:t xml:space="preserve">80 </w:t>
      </w:r>
      <w:r w:rsidRPr="005A7C78">
        <w:rPr>
          <w:sz w:val="20"/>
        </w:rPr>
        <w:t>(emphasis added)</w:t>
      </w:r>
      <w:r>
        <w:rPr>
          <w:sz w:val="20"/>
        </w:rPr>
        <w:t xml:space="preserve">. </w:t>
      </w:r>
    </w:p>
  </w:footnote>
  <w:footnote w:id="12">
    <w:p w14:paraId="16682A3A" w14:textId="1E25E199" w:rsidR="00BC5CA0" w:rsidRDefault="00BC5CA0" w:rsidP="00FC1EAE">
      <w:pPr>
        <w:pStyle w:val="FootnoteText"/>
        <w:ind w:left="720" w:hanging="720"/>
      </w:pPr>
      <w:r w:rsidRPr="00D947D9">
        <w:rPr>
          <w:rStyle w:val="FootnoteReference"/>
          <w:u w:val="single"/>
        </w:rPr>
        <w:footnoteRef/>
      </w:r>
      <w:r>
        <w:rPr>
          <w:szCs w:val="24"/>
          <w:vertAlign w:val="superscript"/>
        </w:rPr>
        <w:t>/</w:t>
      </w:r>
      <w:r w:rsidRPr="00D947D9">
        <w:rPr>
          <w:szCs w:val="24"/>
        </w:rPr>
        <w:t xml:space="preserve"> </w:t>
      </w:r>
      <w:r>
        <w:rPr>
          <w:szCs w:val="24"/>
        </w:rPr>
        <w:tab/>
        <w:t xml:space="preserve">The ERF is </w:t>
      </w:r>
      <w:r w:rsidRPr="00CF676B">
        <w:rPr>
          <w:szCs w:val="24"/>
        </w:rPr>
        <w:t xml:space="preserve">“a process that would allow a company’s rates to be </w:t>
      </w:r>
      <w:r w:rsidRPr="000714B9">
        <w:rPr>
          <w:i/>
          <w:szCs w:val="24"/>
        </w:rPr>
        <w:t>updated shortly after a GRC</w:t>
      </w:r>
      <w:r w:rsidRPr="00CF676B">
        <w:rPr>
          <w:szCs w:val="24"/>
        </w:rPr>
        <w:t xml:space="preserve"> to address cost recovery issues arising from the regulatory lag that is an inherent part of the ten month GRC process in which rates are based on audited data from an historic test year.”</w:t>
      </w:r>
      <w:r>
        <w:rPr>
          <w:szCs w:val="24"/>
        </w:rPr>
        <w:t xml:space="preserve">  </w:t>
      </w:r>
      <w:r w:rsidR="007E7C55" w:rsidRPr="00C3603A">
        <w:rPr>
          <w:szCs w:val="24"/>
          <w:u w:val="single"/>
        </w:rPr>
        <w:t>Id</w:t>
      </w:r>
      <w:r w:rsidR="007E7C55" w:rsidRPr="00C3603A">
        <w:rPr>
          <w:szCs w:val="24"/>
        </w:rPr>
        <w:t>.</w:t>
      </w:r>
      <w:r>
        <w:rPr>
          <w:szCs w:val="24"/>
        </w:rPr>
        <w:t xml:space="preserve"> </w:t>
      </w:r>
      <w:r w:rsidR="007E7C55">
        <w:rPr>
          <w:szCs w:val="24"/>
        </w:rPr>
        <w:t xml:space="preserve">at </w:t>
      </w:r>
      <w:r w:rsidR="007E7C55" w:rsidRPr="005A7C78">
        <w:rPr>
          <w:bCs/>
        </w:rPr>
        <w:t>¶</w:t>
      </w:r>
      <w:r w:rsidR="007E7C55">
        <w:rPr>
          <w:szCs w:val="24"/>
        </w:rPr>
        <w:t xml:space="preserve"> 80 </w:t>
      </w:r>
      <w:r>
        <w:rPr>
          <w:szCs w:val="24"/>
        </w:rPr>
        <w:t xml:space="preserve">(emphasis added). </w:t>
      </w:r>
    </w:p>
  </w:footnote>
  <w:footnote w:id="13">
    <w:p w14:paraId="3528A5A6" w14:textId="016D5BC5" w:rsidR="00BC5CA0" w:rsidRDefault="00BC5CA0" w:rsidP="00D947D9">
      <w:pPr>
        <w:pStyle w:val="FootnoteText"/>
        <w:ind w:left="720" w:hanging="720"/>
      </w:pPr>
      <w:r w:rsidRPr="00D947D9">
        <w:rPr>
          <w:rStyle w:val="FootnoteReference"/>
          <w:u w:val="single"/>
        </w:rPr>
        <w:footnoteRef/>
      </w:r>
      <w:r>
        <w:rPr>
          <w:vertAlign w:val="superscript"/>
        </w:rPr>
        <w:t>/</w:t>
      </w:r>
      <w:r>
        <w:t xml:space="preserve"> </w:t>
      </w:r>
      <w:r>
        <w:tab/>
      </w:r>
      <w:r w:rsidR="007E7C55">
        <w:rPr>
          <w:u w:val="single"/>
        </w:rPr>
        <w:t>Id</w:t>
      </w:r>
      <w:r w:rsidR="007E7C55">
        <w:t>. at</w:t>
      </w:r>
      <w:r w:rsidRPr="005E65EA">
        <w:t xml:space="preserve"> ¶ 3</w:t>
      </w:r>
      <w:r>
        <w:t>3-36</w:t>
      </w:r>
      <w:r w:rsidRPr="005E65EA">
        <w:t>.</w:t>
      </w:r>
    </w:p>
  </w:footnote>
  <w:footnote w:id="14">
    <w:p w14:paraId="73679C15" w14:textId="668F24CC" w:rsidR="00BC5CA0" w:rsidRDefault="00BC5CA0" w:rsidP="00555898">
      <w:pPr>
        <w:pStyle w:val="FootnoteText"/>
        <w:ind w:left="720" w:hanging="720"/>
      </w:pPr>
      <w:r w:rsidRPr="00555898">
        <w:rPr>
          <w:rStyle w:val="FootnoteReference"/>
          <w:u w:val="single"/>
        </w:rPr>
        <w:footnoteRef/>
      </w:r>
      <w:r w:rsidR="00555898">
        <w:rPr>
          <w:vertAlign w:val="superscript"/>
        </w:rPr>
        <w:t>/</w:t>
      </w:r>
      <w:r>
        <w:t xml:space="preserve"> </w:t>
      </w:r>
      <w:r w:rsidR="00555898">
        <w:tab/>
      </w:r>
      <w:r>
        <w:t>This assumes of course that one still accepts as fact that costs, revenues, rate base, capital ratios and other fiscal indicia become less representative of actual costs over time.</w:t>
      </w:r>
    </w:p>
  </w:footnote>
  <w:footnote w:id="15">
    <w:p w14:paraId="68DBB61B" w14:textId="33BD2394" w:rsidR="00BC5CA0" w:rsidRDefault="00BC5CA0" w:rsidP="00A63C62">
      <w:pPr>
        <w:pStyle w:val="FootnoteText"/>
        <w:ind w:left="720" w:hanging="720"/>
      </w:pPr>
      <w:r w:rsidRPr="000825FE">
        <w:rPr>
          <w:rStyle w:val="FootnoteReference"/>
          <w:u w:val="single"/>
        </w:rPr>
        <w:footnoteRef/>
      </w:r>
      <w:r>
        <w:rPr>
          <w:vertAlign w:val="superscript"/>
        </w:rPr>
        <w:t>/</w:t>
      </w:r>
      <w:r>
        <w:tab/>
      </w:r>
      <w:r w:rsidR="007E7C55">
        <w:rPr>
          <w:bCs/>
          <w:u w:val="single"/>
        </w:rPr>
        <w:t>Id</w:t>
      </w:r>
      <w:r w:rsidR="007E7C55">
        <w:rPr>
          <w:bCs/>
        </w:rPr>
        <w:t>. at</w:t>
      </w:r>
      <w:r w:rsidRPr="005A7C78">
        <w:rPr>
          <w:bCs/>
        </w:rPr>
        <w:t xml:space="preserve"> ¶</w:t>
      </w:r>
      <w:r w:rsidRPr="005A7C78">
        <w:t xml:space="preserve"> 80</w:t>
      </w:r>
      <w:r>
        <w:t xml:space="preserve">. </w:t>
      </w:r>
    </w:p>
  </w:footnote>
  <w:footnote w:id="16">
    <w:p w14:paraId="4FE619FA" w14:textId="7A0AC02D" w:rsidR="00BC5CA0" w:rsidRDefault="00BC5CA0">
      <w:pPr>
        <w:pStyle w:val="FootnoteText"/>
      </w:pPr>
      <w:r w:rsidRPr="005D79A6">
        <w:rPr>
          <w:rStyle w:val="FootnoteReference"/>
          <w:u w:val="single"/>
        </w:rPr>
        <w:footnoteRef/>
      </w:r>
      <w:r w:rsidR="005D79A6">
        <w:rPr>
          <w:vertAlign w:val="superscript"/>
        </w:rPr>
        <w:t>/</w:t>
      </w:r>
      <w:r>
        <w:t xml:space="preserve"> </w:t>
      </w:r>
      <w:r w:rsidR="005D79A6">
        <w:tab/>
      </w:r>
      <w:r w:rsidRPr="005D79A6">
        <w:rPr>
          <w:u w:val="single"/>
        </w:rPr>
        <w:t>See</w:t>
      </w:r>
      <w:r w:rsidR="005D79A6">
        <w:t xml:space="preserve"> P</w:t>
      </w:r>
      <w:r>
        <w:t>roposed</w:t>
      </w:r>
      <w:r w:rsidR="005D79A6">
        <w:t xml:space="preserve"> Rule</w:t>
      </w:r>
      <w:r>
        <w:t xml:space="preserve"> 480.07.515(1)(a)</w:t>
      </w:r>
      <w:r w:rsidR="005F47C6">
        <w:t xml:space="preserve"> (March 29, 2017).</w:t>
      </w:r>
    </w:p>
  </w:footnote>
  <w:footnote w:id="17">
    <w:p w14:paraId="497F6270" w14:textId="68DED103" w:rsidR="00BC5CA0" w:rsidRDefault="00BC5CA0" w:rsidP="003F4807">
      <w:pPr>
        <w:pStyle w:val="FootnoteText"/>
        <w:ind w:left="720" w:hanging="720"/>
      </w:pPr>
      <w:r w:rsidRPr="003F4807">
        <w:rPr>
          <w:rStyle w:val="FootnoteReference"/>
          <w:u w:val="single"/>
        </w:rPr>
        <w:footnoteRef/>
      </w:r>
      <w:r w:rsidR="003F4807">
        <w:rPr>
          <w:vertAlign w:val="superscript"/>
        </w:rPr>
        <w:t>/</w:t>
      </w:r>
      <w:r>
        <w:t xml:space="preserve"> </w:t>
      </w:r>
      <w:r w:rsidR="003F4807">
        <w:tab/>
      </w:r>
      <w:r>
        <w:t xml:space="preserve">This is also true for general rate cases, but in such circumstances the period of review is nearly twice as long. </w:t>
      </w:r>
    </w:p>
  </w:footnote>
  <w:footnote w:id="18">
    <w:p w14:paraId="36F03BA1" w14:textId="5F68535A" w:rsidR="00BC5CA0" w:rsidRDefault="00BC5CA0" w:rsidP="003F4807">
      <w:pPr>
        <w:pStyle w:val="FootnoteText"/>
        <w:ind w:left="720" w:hanging="720"/>
      </w:pPr>
      <w:r w:rsidRPr="003F4807">
        <w:rPr>
          <w:rStyle w:val="FootnoteReference"/>
          <w:u w:val="single"/>
        </w:rPr>
        <w:footnoteRef/>
      </w:r>
      <w:r w:rsidR="003F4807">
        <w:rPr>
          <w:vertAlign w:val="superscript"/>
        </w:rPr>
        <w:t>/</w:t>
      </w:r>
      <w:r w:rsidR="00D13EFF">
        <w:t xml:space="preserve"> </w:t>
      </w:r>
      <w:r w:rsidR="003F4807">
        <w:tab/>
      </w:r>
      <w:r w:rsidR="00D13EFF" w:rsidRPr="00C3603A">
        <w:rPr>
          <w:u w:val="single"/>
        </w:rPr>
        <w:t>See</w:t>
      </w:r>
      <w:r w:rsidR="00D13EFF">
        <w:t xml:space="preserve"> P</w:t>
      </w:r>
      <w:r>
        <w:t xml:space="preserve">roposed </w:t>
      </w:r>
      <w:r w:rsidR="004E488F">
        <w:t>R</w:t>
      </w:r>
      <w:r w:rsidR="00D13EFF">
        <w:t xml:space="preserve">ule WAC </w:t>
      </w:r>
      <w:r>
        <w:t>480</w:t>
      </w:r>
      <w:r w:rsidR="004449CC">
        <w:t>-</w:t>
      </w:r>
      <w:r>
        <w:t>07</w:t>
      </w:r>
      <w:r w:rsidR="004449CC">
        <w:t>-</w:t>
      </w:r>
      <w:r>
        <w:t>515(3)(a)</w:t>
      </w:r>
      <w:r w:rsidR="00137D3C">
        <w:t xml:space="preserve"> (</w:t>
      </w:r>
      <w:r w:rsidR="005F47C6">
        <w:t xml:space="preserve"> March 29, </w:t>
      </w:r>
      <w:r w:rsidR="00137D3C">
        <w:t>2017)</w:t>
      </w:r>
      <w:r>
        <w:t>.</w:t>
      </w:r>
    </w:p>
  </w:footnote>
  <w:footnote w:id="19">
    <w:p w14:paraId="392C5A44" w14:textId="38225CE2" w:rsidR="00BC5CA0" w:rsidRDefault="00BC5CA0" w:rsidP="00001F5A">
      <w:pPr>
        <w:pStyle w:val="FootnoteText"/>
        <w:ind w:left="720" w:hanging="720"/>
      </w:pPr>
      <w:r w:rsidRPr="00E34393">
        <w:rPr>
          <w:rStyle w:val="FootnoteReference"/>
          <w:u w:val="single"/>
        </w:rPr>
        <w:footnoteRef/>
      </w:r>
      <w:r w:rsidR="00E34393">
        <w:rPr>
          <w:vertAlign w:val="superscript"/>
        </w:rPr>
        <w:t>/</w:t>
      </w:r>
      <w:r>
        <w:t xml:space="preserve"> </w:t>
      </w:r>
      <w:r w:rsidR="00001F5A">
        <w:tab/>
      </w:r>
      <w:r w:rsidRPr="00422B44">
        <w:rPr>
          <w:u w:val="single"/>
        </w:rPr>
        <w:t>See</w:t>
      </w:r>
      <w:r w:rsidR="004E488F">
        <w:t xml:space="preserve"> P</w:t>
      </w:r>
      <w:r>
        <w:t xml:space="preserve">roposed </w:t>
      </w:r>
      <w:r w:rsidR="004E488F">
        <w:t>R</w:t>
      </w:r>
      <w:r w:rsidR="0005650C">
        <w:t xml:space="preserve">ule WAC </w:t>
      </w:r>
      <w:r>
        <w:t>480</w:t>
      </w:r>
      <w:r w:rsidR="004449CC">
        <w:t>-</w:t>
      </w:r>
      <w:r>
        <w:t>07</w:t>
      </w:r>
      <w:r w:rsidR="004449CC">
        <w:t>-</w:t>
      </w:r>
      <w:r>
        <w:t>515(1)(b-i)</w:t>
      </w:r>
      <w:r w:rsidR="002D467F">
        <w:t xml:space="preserve"> (</w:t>
      </w:r>
      <w:r w:rsidR="004449CC">
        <w:t xml:space="preserve">March 29, </w:t>
      </w:r>
      <w:r w:rsidR="002D467F">
        <w:t xml:space="preserve">2017). </w:t>
      </w:r>
    </w:p>
  </w:footnote>
  <w:footnote w:id="20">
    <w:p w14:paraId="758FC72E" w14:textId="7B992FFE" w:rsidR="00BC5CA0" w:rsidRDefault="00BC5CA0" w:rsidP="00001F5A">
      <w:pPr>
        <w:pStyle w:val="FootnoteText"/>
        <w:ind w:left="720" w:hanging="720"/>
      </w:pPr>
      <w:r w:rsidRPr="006A7932">
        <w:rPr>
          <w:rStyle w:val="FootnoteReference"/>
          <w:u w:val="single"/>
        </w:rPr>
        <w:footnoteRef/>
      </w:r>
      <w:r w:rsidR="00E34393" w:rsidRPr="006A7932">
        <w:rPr>
          <w:vertAlign w:val="superscript"/>
        </w:rPr>
        <w:t>/</w:t>
      </w:r>
      <w:r w:rsidRPr="006A7932">
        <w:t xml:space="preserve"> </w:t>
      </w:r>
      <w:r w:rsidR="00001F5A" w:rsidRPr="006A7932">
        <w:tab/>
      </w:r>
      <w:r w:rsidR="00212189">
        <w:t>RCW</w:t>
      </w:r>
      <w:r w:rsidR="006A7932" w:rsidRPr="006A7932">
        <w:t xml:space="preserve"> </w:t>
      </w:r>
      <w:r w:rsidR="004449CC">
        <w:t xml:space="preserve">§ </w:t>
      </w:r>
      <w:r w:rsidR="006A7932" w:rsidRPr="006A7932">
        <w:t>80</w:t>
      </w:r>
      <w:r w:rsidR="00F17123">
        <w:t>-</w:t>
      </w:r>
      <w:r w:rsidR="006A7932" w:rsidRPr="006A7932">
        <w:t>28</w:t>
      </w:r>
      <w:r w:rsidR="00F17123">
        <w:t>-</w:t>
      </w:r>
      <w:r w:rsidR="006A7932" w:rsidRPr="006A7932">
        <w:t>020</w:t>
      </w:r>
      <w:r w:rsidR="009A27D1">
        <w:t xml:space="preserve">. </w:t>
      </w:r>
    </w:p>
  </w:footnote>
  <w:footnote w:id="21">
    <w:p w14:paraId="27D91FCE" w14:textId="3ED3176A" w:rsidR="00BC5CA0" w:rsidRPr="000639AE" w:rsidRDefault="00BC5CA0" w:rsidP="000639AE">
      <w:pPr>
        <w:pStyle w:val="FootnoteText"/>
        <w:ind w:left="720" w:hanging="720"/>
      </w:pPr>
      <w:r w:rsidRPr="000639AE">
        <w:rPr>
          <w:rStyle w:val="FootnoteReference"/>
          <w:u w:val="single"/>
        </w:rPr>
        <w:footnoteRef/>
      </w:r>
      <w:r>
        <w:rPr>
          <w:vertAlign w:val="superscript"/>
        </w:rPr>
        <w:t>/</w:t>
      </w:r>
      <w:r w:rsidRPr="000639AE">
        <w:t xml:space="preserve"> </w:t>
      </w:r>
      <w:r>
        <w:tab/>
      </w:r>
      <w:r w:rsidR="00CB0DD9">
        <w:rPr>
          <w:u w:val="single"/>
        </w:rPr>
        <w:t>See, e.g.</w:t>
      </w:r>
      <w:r w:rsidR="00CB0DD9" w:rsidRPr="00C3603A">
        <w:t xml:space="preserve"> </w:t>
      </w:r>
      <w:r w:rsidRPr="000639AE">
        <w:rPr>
          <w:u w:val="single"/>
        </w:rPr>
        <w:t>MCI Telecomm. Corp. v. GTE Nw. Inc</w:t>
      </w:r>
      <w:r w:rsidRPr="000639AE">
        <w:t>., Docket No. UT-970653, Second Supplemental Order p. 6 (Oct. 22, 1997).</w:t>
      </w:r>
    </w:p>
  </w:footnote>
  <w:footnote w:id="22">
    <w:p w14:paraId="4FA5F17C" w14:textId="31827C1B" w:rsidR="00BC5CA0" w:rsidRDefault="00BC5CA0" w:rsidP="00485125">
      <w:pPr>
        <w:pStyle w:val="FootnoteText"/>
        <w:ind w:left="720" w:hanging="720"/>
      </w:pPr>
      <w:r w:rsidRPr="00295F14">
        <w:rPr>
          <w:rStyle w:val="FootnoteReference"/>
          <w:u w:val="single"/>
        </w:rPr>
        <w:footnoteRef/>
      </w:r>
      <w:r>
        <w:rPr>
          <w:vertAlign w:val="superscript"/>
        </w:rPr>
        <w:t>/</w:t>
      </w:r>
      <w:r>
        <w:t xml:space="preserve"> </w:t>
      </w:r>
      <w:r>
        <w:tab/>
      </w:r>
      <w:r w:rsidR="00CB0DD9" w:rsidRPr="00C3603A">
        <w:rPr>
          <w:u w:val="single"/>
        </w:rPr>
        <w:t>Id</w:t>
      </w:r>
      <w:r w:rsidR="00CB0DD9">
        <w:t xml:space="preserve">., </w:t>
      </w:r>
      <w:r w:rsidR="00CB0DD9" w:rsidRPr="00C3603A">
        <w:rPr>
          <w:u w:val="single"/>
        </w:rPr>
        <w:t>citing</w:t>
      </w:r>
      <w:r w:rsidR="00CB0DD9">
        <w:t xml:space="preserve"> RCW § 80</w:t>
      </w:r>
      <w:r w:rsidR="00F17123">
        <w:t>-</w:t>
      </w:r>
      <w:r w:rsidR="00CB0DD9">
        <w:t>36</w:t>
      </w:r>
      <w:r w:rsidR="00F17123">
        <w:t>-</w:t>
      </w:r>
      <w:r w:rsidR="00CB0DD9">
        <w:t xml:space="preserve">140. </w:t>
      </w:r>
      <w:r w:rsidR="00F17123">
        <w:t xml:space="preserve">The Commission has previously recognized that even rules designed to “speed and simplify” must be understood to allow for highly involved and complex proceedings. </w:t>
      </w:r>
      <w:r w:rsidRPr="00C61522">
        <w:rPr>
          <w:u w:val="single"/>
        </w:rPr>
        <w:t>See</w:t>
      </w:r>
      <w:r>
        <w:t xml:space="preserve"> </w:t>
      </w:r>
      <w:r>
        <w:rPr>
          <w:u w:val="single"/>
        </w:rPr>
        <w:t>WUTC v. Puget Sound Energy</w:t>
      </w:r>
      <w:r w:rsidRPr="00485125">
        <w:t xml:space="preserve">, </w:t>
      </w:r>
      <w:r>
        <w:t>Dockets No. UE-121697</w:t>
      </w:r>
      <w:r w:rsidR="00506FF7">
        <w:t xml:space="preserve"> </w:t>
      </w:r>
      <w:r w:rsidR="00506FF7">
        <w:rPr>
          <w:u w:val="single"/>
        </w:rPr>
        <w:t>et al.</w:t>
      </w:r>
      <w:r w:rsidR="00F17123">
        <w:t>,</w:t>
      </w:r>
      <w:r>
        <w:t xml:space="preserve"> Order </w:t>
      </w:r>
      <w:r w:rsidRPr="00485125">
        <w:t>07</w:t>
      </w:r>
      <w:r>
        <w:t xml:space="preserve"> </w:t>
      </w:r>
      <w:r w:rsidRPr="005C1923">
        <w:t>¶</w:t>
      </w:r>
      <w:r>
        <w:t xml:space="preserve"> 185</w:t>
      </w:r>
      <w:r w:rsidRPr="00485125">
        <w:t xml:space="preserve"> (June 25, 2013)</w:t>
      </w:r>
      <w:r>
        <w:t xml:space="preserve"> (</w:t>
      </w:r>
      <w:r w:rsidRPr="00C3603A">
        <w:rPr>
          <w:u w:val="single"/>
        </w:rPr>
        <w:t>citing</w:t>
      </w:r>
      <w:r>
        <w:t xml:space="preserve"> WAC 480</w:t>
      </w:r>
      <w:r w:rsidR="00F17123">
        <w:t>-</w:t>
      </w:r>
      <w:r>
        <w:t>07</w:t>
      </w:r>
      <w:r w:rsidR="00F17123">
        <w:t>-</w:t>
      </w:r>
      <w:r>
        <w:t>500(3)) (“</w:t>
      </w:r>
      <w:r w:rsidRPr="00485125">
        <w:t>The efficiencies promoted by these special rules are important in the context of a tariff filing that opens the utility to a comprehensive and detailed review of all of its rates, terms and conditions of service, raising a host of complex issues including cost of capital and capital structure, numerous restating adjustments and pro forma adjustments, rate spread and rate design, prudence reviews of significant resource acquisition decisions, and others.</w:t>
      </w:r>
      <w:r>
        <w:t>”)</w:t>
      </w:r>
      <w:r w:rsidR="009838D3">
        <w:t>.</w:t>
      </w:r>
    </w:p>
  </w:footnote>
  <w:footnote w:id="23">
    <w:p w14:paraId="2C2DFF1C" w14:textId="11A9C7BC" w:rsidR="00BC5CA0" w:rsidRDefault="00BC5CA0" w:rsidP="000F3B29">
      <w:pPr>
        <w:pStyle w:val="FootnoteText"/>
        <w:ind w:left="720" w:hanging="720"/>
      </w:pPr>
      <w:r w:rsidRPr="005C1923">
        <w:rPr>
          <w:rStyle w:val="FootnoteReference"/>
          <w:u w:val="single"/>
        </w:rPr>
        <w:footnoteRef/>
      </w:r>
      <w:r>
        <w:rPr>
          <w:vertAlign w:val="superscript"/>
        </w:rPr>
        <w:t>/</w:t>
      </w:r>
      <w:r>
        <w:t xml:space="preserve"> </w:t>
      </w:r>
      <w:r>
        <w:tab/>
      </w:r>
      <w:r w:rsidRPr="005C1923">
        <w:rPr>
          <w:u w:val="single"/>
        </w:rPr>
        <w:t>WUTC v. Pacific Power</w:t>
      </w:r>
      <w:r w:rsidRPr="005C1923">
        <w:t xml:space="preserve">, Dockets </w:t>
      </w:r>
      <w:r w:rsidR="002872EA">
        <w:t xml:space="preserve">No. </w:t>
      </w:r>
      <w:r w:rsidRPr="005C1923">
        <w:t xml:space="preserve">UE-140762 </w:t>
      </w:r>
      <w:r w:rsidRPr="00C3603A">
        <w:rPr>
          <w:u w:val="single"/>
        </w:rPr>
        <w:t>et al.</w:t>
      </w:r>
      <w:r w:rsidRPr="005C1923">
        <w:t>, Order 08 at ¶ 167</w:t>
      </w:r>
      <w:r w:rsidR="00097AAA">
        <w:t xml:space="preserve"> (March 25, 2015)</w:t>
      </w:r>
      <w:r w:rsidRPr="005C1923">
        <w:t xml:space="preserve"> (</w:t>
      </w:r>
      <w:r w:rsidRPr="005C1923">
        <w:rPr>
          <w:u w:val="single"/>
        </w:rPr>
        <w:t>quoting</w:t>
      </w:r>
      <w:r w:rsidRPr="005C1923">
        <w:t xml:space="preserve"> </w:t>
      </w:r>
      <w:r w:rsidRPr="005C1923">
        <w:rPr>
          <w:u w:val="single"/>
        </w:rPr>
        <w:t>WUTC v. Puget Sound Energy, Inc.</w:t>
      </w:r>
      <w:r w:rsidRPr="005C1923">
        <w:t>, Dockets</w:t>
      </w:r>
      <w:r w:rsidR="00093A81">
        <w:t xml:space="preserve"> No.</w:t>
      </w:r>
      <w:r w:rsidRPr="005C1923">
        <w:t xml:space="preserve"> UE-090704 and UG-090705, </w:t>
      </w:r>
      <w:r w:rsidRPr="005C1923">
        <w:fldChar w:fldCharType="begin"/>
      </w:r>
      <w:r w:rsidRPr="005C1923">
        <w:instrText xml:space="preserve"> ADDIN BA \xc &lt;@reg&gt; \xl 29 \s KBKQKB000059 \l "Order 11 ¶ 154 (Apr. 2, 2010)" </w:instrText>
      </w:r>
      <w:r w:rsidRPr="005C1923">
        <w:fldChar w:fldCharType="end"/>
      </w:r>
      <w:r w:rsidRPr="005C1923">
        <w:t>Order 11 ¶ 26</w:t>
      </w:r>
      <w:r w:rsidR="00097AAA">
        <w:t xml:space="preserve"> (April 10, 2010)</w:t>
      </w:r>
      <w:r w:rsidRPr="005C1923">
        <w:t xml:space="preserve">); </w:t>
      </w:r>
      <w:r w:rsidRPr="005C1923">
        <w:rPr>
          <w:u w:val="single"/>
        </w:rPr>
        <w:t>accord</w:t>
      </w:r>
      <w:r w:rsidRPr="005C1923">
        <w:t xml:space="preserve"> </w:t>
      </w:r>
      <w:r w:rsidRPr="005C1923">
        <w:rPr>
          <w:u w:val="single"/>
        </w:rPr>
        <w:t>WUTC v. Avista</w:t>
      </w:r>
      <w:r w:rsidRPr="005C1923">
        <w:t xml:space="preserve">, Dockets </w:t>
      </w:r>
      <w:r w:rsidR="00790F44">
        <w:t xml:space="preserve">No. </w:t>
      </w:r>
      <w:r w:rsidRPr="005C1923">
        <w:t>UE-150204 and UG-150205 (</w:t>
      </w:r>
      <w:r w:rsidRPr="00C3603A">
        <w:rPr>
          <w:u w:val="single"/>
        </w:rPr>
        <w:t>consolidated</w:t>
      </w:r>
      <w:r w:rsidRPr="005C1923">
        <w:t>), Order 05 at ¶ 238</w:t>
      </w:r>
      <w:r w:rsidR="00097AAA">
        <w:t xml:space="preserve"> (Jan. 6, 2016)</w:t>
      </w:r>
      <w:r w:rsidRPr="005C1923">
        <w:t>.</w:t>
      </w:r>
    </w:p>
  </w:footnote>
  <w:footnote w:id="24">
    <w:p w14:paraId="7BA09F93" w14:textId="27834A4D" w:rsidR="00BC5CA0" w:rsidRDefault="00BC5CA0" w:rsidP="00C31481">
      <w:pPr>
        <w:pStyle w:val="FootnoteText"/>
        <w:ind w:left="720" w:hanging="720"/>
      </w:pPr>
      <w:r w:rsidRPr="001976BF">
        <w:rPr>
          <w:rStyle w:val="FootnoteReference"/>
          <w:u w:val="single"/>
        </w:rPr>
        <w:footnoteRef/>
      </w:r>
      <w:r w:rsidR="001976BF">
        <w:rPr>
          <w:vertAlign w:val="superscript"/>
        </w:rPr>
        <w:t>/</w:t>
      </w:r>
      <w:r w:rsidR="00C31481">
        <w:t xml:space="preserve"> </w:t>
      </w:r>
      <w:r w:rsidR="00C31481">
        <w:tab/>
      </w:r>
      <w:r w:rsidR="004016E0" w:rsidRPr="00C61522">
        <w:rPr>
          <w:u w:val="single"/>
        </w:rPr>
        <w:t>See</w:t>
      </w:r>
      <w:r w:rsidR="004016E0">
        <w:t xml:space="preserve"> </w:t>
      </w:r>
      <w:r w:rsidR="0066589A" w:rsidRPr="00C61522">
        <w:t>Proposed</w:t>
      </w:r>
      <w:r w:rsidR="0066589A">
        <w:t xml:space="preserve"> R</w:t>
      </w:r>
      <w:r w:rsidR="002F7078">
        <w:t>ule WAC 480</w:t>
      </w:r>
      <w:r w:rsidR="004449CC">
        <w:t>-</w:t>
      </w:r>
      <w:r w:rsidR="002F7078">
        <w:t>07</w:t>
      </w:r>
      <w:r w:rsidR="004449CC">
        <w:t>-</w:t>
      </w:r>
      <w:r w:rsidR="002F7078">
        <w:t>515(1)(a)-(i) (</w:t>
      </w:r>
      <w:r w:rsidR="004016E0">
        <w:t xml:space="preserve">March 27, </w:t>
      </w:r>
      <w:r w:rsidR="002F7078">
        <w:t>2017)</w:t>
      </w:r>
      <w:r w:rsidR="00257E5D">
        <w:t xml:space="preserve">. </w:t>
      </w:r>
    </w:p>
  </w:footnote>
  <w:footnote w:id="25">
    <w:p w14:paraId="5C16B267" w14:textId="72C644E9" w:rsidR="00BC5CA0" w:rsidRDefault="00BC5CA0" w:rsidP="00C31481">
      <w:pPr>
        <w:pStyle w:val="FootnoteText"/>
        <w:ind w:left="720" w:hanging="720"/>
      </w:pPr>
      <w:r w:rsidRPr="001976BF">
        <w:rPr>
          <w:rStyle w:val="FootnoteReference"/>
          <w:u w:val="single"/>
        </w:rPr>
        <w:footnoteRef/>
      </w:r>
      <w:r w:rsidR="001976BF">
        <w:rPr>
          <w:vertAlign w:val="superscript"/>
        </w:rPr>
        <w:t>/</w:t>
      </w:r>
      <w:r>
        <w:t xml:space="preserve"> </w:t>
      </w:r>
      <w:r w:rsidR="00C31481">
        <w:rPr>
          <w:szCs w:val="24"/>
        </w:rPr>
        <w:tab/>
      </w:r>
      <w:r w:rsidR="002934A7">
        <w:rPr>
          <w:szCs w:val="24"/>
        </w:rPr>
        <w:t>ICNU believes that rates should be determined through a thorough review of a company’s filing.</w:t>
      </w:r>
    </w:p>
  </w:footnote>
  <w:footnote w:id="26">
    <w:p w14:paraId="6DC6F7C0" w14:textId="78BA398D" w:rsidR="00BC5CA0" w:rsidRPr="00C61522" w:rsidRDefault="00BC5CA0" w:rsidP="00C31481">
      <w:pPr>
        <w:pStyle w:val="FootnoteText"/>
        <w:ind w:left="720" w:hanging="720"/>
      </w:pPr>
      <w:r w:rsidRPr="001976BF">
        <w:rPr>
          <w:rStyle w:val="FootnoteReference"/>
          <w:u w:val="single"/>
        </w:rPr>
        <w:footnoteRef/>
      </w:r>
      <w:r w:rsidR="001976BF">
        <w:rPr>
          <w:vertAlign w:val="superscript"/>
        </w:rPr>
        <w:t>/</w:t>
      </w:r>
      <w:r>
        <w:t xml:space="preserve"> </w:t>
      </w:r>
      <w:r w:rsidR="00A04664">
        <w:tab/>
      </w:r>
      <w:r>
        <w:t xml:space="preserve">For example, the proposed rule requires the filing of a new test year and certain costs of operations.  </w:t>
      </w:r>
      <w:r w:rsidR="004016E0">
        <w:rPr>
          <w:u w:val="single"/>
        </w:rPr>
        <w:t>Id</w:t>
      </w:r>
      <w:r w:rsidR="004016E0" w:rsidRPr="00C3603A">
        <w:t>.</w:t>
      </w:r>
      <w:r w:rsidR="004016E0">
        <w:t xml:space="preserve"> at 480-07-515)(1)(b). </w:t>
      </w:r>
    </w:p>
  </w:footnote>
  <w:footnote w:id="27">
    <w:p w14:paraId="051B74E5" w14:textId="3FB9CD01" w:rsidR="00BC5CA0" w:rsidRDefault="00BC5CA0" w:rsidP="00A04664">
      <w:pPr>
        <w:pStyle w:val="FootnoteText"/>
        <w:ind w:left="720" w:hanging="720"/>
      </w:pPr>
      <w:r w:rsidRPr="001976BF">
        <w:rPr>
          <w:rStyle w:val="FootnoteReference"/>
          <w:u w:val="single"/>
        </w:rPr>
        <w:footnoteRef/>
      </w:r>
      <w:r w:rsidR="001976BF">
        <w:rPr>
          <w:vertAlign w:val="superscript"/>
        </w:rPr>
        <w:t>/</w:t>
      </w:r>
      <w:r>
        <w:t xml:space="preserve"> </w:t>
      </w:r>
      <w:r w:rsidR="00A04664">
        <w:tab/>
      </w:r>
      <w:r>
        <w:t xml:space="preserve">The four-month estimate includes the time it would take staff to review the filing for compliance with the rule, the Commission to suspend the filing, and the time it will take to hear the case.  </w:t>
      </w:r>
    </w:p>
  </w:footnote>
  <w:footnote w:id="28">
    <w:p w14:paraId="466A17CC" w14:textId="2F85CF81" w:rsidR="00BC5CA0" w:rsidRDefault="00BC5CA0" w:rsidP="001A5511">
      <w:pPr>
        <w:pStyle w:val="FootnoteText"/>
        <w:ind w:left="720" w:hanging="720"/>
      </w:pPr>
      <w:r w:rsidRPr="007168FE">
        <w:rPr>
          <w:rStyle w:val="FootnoteReference"/>
          <w:u w:val="single"/>
        </w:rPr>
        <w:footnoteRef/>
      </w:r>
      <w:r w:rsidR="007168FE">
        <w:rPr>
          <w:vertAlign w:val="superscript"/>
        </w:rPr>
        <w:t>/</w:t>
      </w:r>
      <w:r>
        <w:t xml:space="preserve"> </w:t>
      </w:r>
      <w:r w:rsidR="001A5511">
        <w:tab/>
      </w:r>
      <w:r>
        <w:t xml:space="preserve">While the LRP rule’s filing requirements seem to address ICNU’s general concerns about single issue ratemaking, the issue remains pertinent when the Commission is considering alternative ratemaking mechanisms.  </w:t>
      </w:r>
    </w:p>
  </w:footnote>
  <w:footnote w:id="29">
    <w:p w14:paraId="6F1FC380" w14:textId="4FEEF6A6" w:rsidR="00BC5CA0" w:rsidRDefault="00BC5CA0" w:rsidP="0039513A">
      <w:pPr>
        <w:pStyle w:val="FootnoteText"/>
        <w:ind w:left="720" w:hanging="720"/>
      </w:pPr>
      <w:r w:rsidRPr="00F945C7">
        <w:rPr>
          <w:rStyle w:val="FootnoteReference"/>
          <w:u w:val="single"/>
        </w:rPr>
        <w:footnoteRef/>
      </w:r>
      <w:r>
        <w:rPr>
          <w:vertAlign w:val="superscript"/>
        </w:rPr>
        <w:t>/</w:t>
      </w:r>
      <w:r>
        <w:t xml:space="preserve"> </w:t>
      </w:r>
      <w:r>
        <w:tab/>
      </w:r>
      <w:r w:rsidRPr="0039513A">
        <w:rPr>
          <w:u w:val="single"/>
        </w:rPr>
        <w:t>See</w:t>
      </w:r>
      <w:r w:rsidRPr="0039513A">
        <w:t xml:space="preserve"> </w:t>
      </w:r>
      <w:r w:rsidRPr="0039513A">
        <w:rPr>
          <w:u w:val="single"/>
        </w:rPr>
        <w:t>Re US West Commc’ns., Inc.</w:t>
      </w:r>
      <w:r w:rsidRPr="0039513A">
        <w:t>, Docket No. UT-920085, Third Supplemental Order p. 8 (April 15, 1993)</w:t>
      </w:r>
      <w:r>
        <w:t xml:space="preserve"> </w:t>
      </w:r>
      <w:r w:rsidRPr="00E91B4C">
        <w:t xml:space="preserve">(concluding that “authorization of the </w:t>
      </w:r>
      <w:r w:rsidR="003E2F3E">
        <w:t>[equal life group]</w:t>
      </w:r>
      <w:r w:rsidRPr="00E91B4C">
        <w:t xml:space="preserve"> method for computing intrastate depreciation is not in the public interest, as it amounts to single issue ratemaking.”).</w:t>
      </w:r>
    </w:p>
  </w:footnote>
  <w:footnote w:id="30">
    <w:p w14:paraId="309BEFE6" w14:textId="77777777" w:rsidR="00BC5CA0" w:rsidRDefault="00BC5CA0" w:rsidP="00502963">
      <w:pPr>
        <w:pStyle w:val="FootnoteText"/>
        <w:ind w:left="720" w:hanging="720"/>
      </w:pPr>
      <w:r w:rsidRPr="00F945C7">
        <w:rPr>
          <w:rStyle w:val="FootnoteReference"/>
          <w:u w:val="single"/>
        </w:rPr>
        <w:footnoteRef/>
      </w:r>
      <w:r>
        <w:rPr>
          <w:vertAlign w:val="superscript"/>
        </w:rPr>
        <w:t>/</w:t>
      </w:r>
      <w:r>
        <w:t xml:space="preserve"> </w:t>
      </w:r>
      <w:r>
        <w:tab/>
      </w:r>
      <w:r w:rsidRPr="00502963">
        <w:rPr>
          <w:u w:val="single"/>
        </w:rPr>
        <w:t>MCI Telecomm. Corp. v. GTE Nw. Inc</w:t>
      </w:r>
      <w:r w:rsidRPr="00502963">
        <w:t>., Docket No. UT-970653, Second Supplemental Order pg. 6 (Oct. 22, 1997).</w:t>
      </w:r>
    </w:p>
  </w:footnote>
  <w:footnote w:id="31">
    <w:p w14:paraId="694F21B2" w14:textId="1D7915F9" w:rsidR="00BC5CA0" w:rsidRDefault="00BC5CA0" w:rsidP="00E250BB">
      <w:pPr>
        <w:pStyle w:val="FootnoteText"/>
        <w:ind w:left="720" w:hanging="720"/>
      </w:pPr>
      <w:r w:rsidRPr="00F945C7">
        <w:rPr>
          <w:rStyle w:val="FootnoteReference"/>
          <w:u w:val="single"/>
        </w:rPr>
        <w:footnoteRef/>
      </w:r>
      <w:r>
        <w:rPr>
          <w:vertAlign w:val="superscript"/>
        </w:rPr>
        <w:t>/</w:t>
      </w:r>
      <w:r>
        <w:t xml:space="preserve"> </w:t>
      </w:r>
      <w:r>
        <w:tab/>
      </w:r>
      <w:r w:rsidRPr="00E250BB">
        <w:rPr>
          <w:szCs w:val="24"/>
          <w:u w:val="single"/>
        </w:rPr>
        <w:t>WUTC v. Puget Sound Energy</w:t>
      </w:r>
      <w:r w:rsidRPr="00E250BB">
        <w:rPr>
          <w:szCs w:val="24"/>
        </w:rPr>
        <w:t>, Dockets No. UE-</w:t>
      </w:r>
      <w:r w:rsidR="004D1958">
        <w:rPr>
          <w:szCs w:val="24"/>
        </w:rPr>
        <w:t>130137</w:t>
      </w:r>
      <w:r w:rsidR="003E2F3E">
        <w:rPr>
          <w:szCs w:val="24"/>
        </w:rPr>
        <w:t xml:space="preserve"> </w:t>
      </w:r>
      <w:r w:rsidR="003E2F3E">
        <w:rPr>
          <w:szCs w:val="24"/>
          <w:u w:val="single"/>
        </w:rPr>
        <w:t>et seq</w:t>
      </w:r>
      <w:r w:rsidRPr="00E250BB">
        <w:rPr>
          <w:szCs w:val="24"/>
        </w:rPr>
        <w:t xml:space="preserve"> (</w:t>
      </w:r>
      <w:r w:rsidRPr="00C3603A">
        <w:rPr>
          <w:szCs w:val="24"/>
          <w:u w:val="single"/>
        </w:rPr>
        <w:t>consolidated</w:t>
      </w:r>
      <w:r w:rsidRPr="00E250BB">
        <w:rPr>
          <w:szCs w:val="24"/>
        </w:rPr>
        <w:t>) Order 07 ¶ 32 (June 25, 2013)</w:t>
      </w:r>
      <w:r>
        <w:rPr>
          <w:szCs w:val="24"/>
        </w:rPr>
        <w:t xml:space="preserve">. </w:t>
      </w:r>
    </w:p>
  </w:footnote>
  <w:footnote w:id="32">
    <w:p w14:paraId="1BCC8D06" w14:textId="1F5CD419" w:rsidR="00BC5CA0" w:rsidRDefault="00BC5CA0" w:rsidP="00E250BB">
      <w:pPr>
        <w:pStyle w:val="FootnoteText"/>
        <w:ind w:left="720" w:hanging="720"/>
      </w:pPr>
      <w:r w:rsidRPr="00F945C7">
        <w:rPr>
          <w:rStyle w:val="FootnoteReference"/>
          <w:u w:val="single"/>
        </w:rPr>
        <w:footnoteRef/>
      </w:r>
      <w:r>
        <w:rPr>
          <w:vertAlign w:val="superscript"/>
        </w:rPr>
        <w:t>/</w:t>
      </w:r>
      <w:r>
        <w:t xml:space="preserve"> </w:t>
      </w:r>
      <w:r>
        <w:tab/>
      </w:r>
      <w:r w:rsidRPr="00E250BB">
        <w:rPr>
          <w:szCs w:val="24"/>
          <w:u w:val="single"/>
        </w:rPr>
        <w:t>MCI Telecomm. Corp. v. GTE Nw. Inc.</w:t>
      </w:r>
      <w:r w:rsidRPr="00E250BB">
        <w:rPr>
          <w:szCs w:val="24"/>
        </w:rPr>
        <w:t xml:space="preserve">, Docket No. UT-970653, Second Supplemental Order p. </w:t>
      </w:r>
      <w:r w:rsidR="00D40EB2">
        <w:rPr>
          <w:szCs w:val="24"/>
        </w:rPr>
        <w:t>7</w:t>
      </w:r>
      <w:r w:rsidRPr="00E250BB">
        <w:rPr>
          <w:szCs w:val="24"/>
        </w:rPr>
        <w:t xml:space="preserve"> (Oct. 22, 1997).</w:t>
      </w:r>
    </w:p>
  </w:footnote>
  <w:footnote w:id="33">
    <w:p w14:paraId="114ACD1D" w14:textId="47418671" w:rsidR="00BC5CA0" w:rsidRDefault="00BC5CA0" w:rsidP="00DF7F83">
      <w:pPr>
        <w:pStyle w:val="FootnoteText"/>
        <w:ind w:left="720" w:hanging="720"/>
      </w:pPr>
      <w:r w:rsidRPr="00E862EE">
        <w:rPr>
          <w:rStyle w:val="FootnoteReference"/>
          <w:u w:val="single"/>
        </w:rPr>
        <w:footnoteRef/>
      </w:r>
      <w:r>
        <w:rPr>
          <w:vertAlign w:val="superscript"/>
        </w:rPr>
        <w:t>/</w:t>
      </w:r>
      <w:r>
        <w:t xml:space="preserve"> </w:t>
      </w:r>
      <w:r>
        <w:tab/>
      </w:r>
      <w:r w:rsidR="004D1958">
        <w:rPr>
          <w:u w:val="single"/>
        </w:rPr>
        <w:t>WUTC</w:t>
      </w:r>
      <w:r w:rsidRPr="00E26E01">
        <w:rPr>
          <w:u w:val="single"/>
        </w:rPr>
        <w:t xml:space="preserve"> v. Puget Sound Energy, Inc.</w:t>
      </w:r>
      <w:r>
        <w:t>, Docket Nos. UE-060266 and UG-060267 (</w:t>
      </w:r>
      <w:r w:rsidRPr="00C3603A">
        <w:rPr>
          <w:u w:val="single"/>
        </w:rPr>
        <w:t>consolidated</w:t>
      </w:r>
      <w:r>
        <w:t xml:space="preserve">) Order 08 </w:t>
      </w:r>
      <w:r w:rsidRPr="00966D0C">
        <w:t>¶</w:t>
      </w:r>
      <w:r>
        <w:t xml:space="preserve"> 42 (Jan. 5, 2007).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662D8"/>
    <w:multiLevelType w:val="hybridMultilevel"/>
    <w:tmpl w:val="A0DA39B4"/>
    <w:lvl w:ilvl="0" w:tplc="279E24E0">
      <w:start w:val="140"/>
      <w:numFmt w:val="decimal"/>
      <w:lvlText w:val="%1."/>
      <w:lvlJc w:val="left"/>
      <w:pPr>
        <w:ind w:left="820" w:hanging="864"/>
      </w:pPr>
      <w:rPr>
        <w:rFonts w:hint="default"/>
        <w:spacing w:val="-1"/>
        <w:u w:val="single" w:color="B5082D"/>
      </w:rPr>
    </w:lvl>
    <w:lvl w:ilvl="1" w:tplc="F6EA0E36">
      <w:start w:val="1"/>
      <w:numFmt w:val="decimal"/>
      <w:lvlText w:val="(%2)"/>
      <w:lvlJc w:val="left"/>
      <w:pPr>
        <w:ind w:left="820" w:hanging="576"/>
      </w:pPr>
      <w:rPr>
        <w:rFonts w:ascii="Courier New" w:eastAsia="Courier New" w:hAnsi="Courier New" w:cs="Courier New" w:hint="default"/>
        <w:spacing w:val="-1"/>
        <w:w w:val="100"/>
        <w:sz w:val="24"/>
        <w:szCs w:val="24"/>
      </w:rPr>
    </w:lvl>
    <w:lvl w:ilvl="2" w:tplc="7AF69754">
      <w:start w:val="1"/>
      <w:numFmt w:val="lowerLetter"/>
      <w:lvlText w:val="(%3)"/>
      <w:lvlJc w:val="left"/>
      <w:pPr>
        <w:ind w:left="820" w:hanging="576"/>
      </w:pPr>
      <w:rPr>
        <w:rFonts w:hint="default"/>
        <w:spacing w:val="-1"/>
        <w:u w:val="single" w:color="B5082D"/>
      </w:rPr>
    </w:lvl>
    <w:lvl w:ilvl="3" w:tplc="003C55D2">
      <w:numFmt w:val="bullet"/>
      <w:lvlText w:val="•"/>
      <w:lvlJc w:val="left"/>
      <w:pPr>
        <w:ind w:left="3616" w:hanging="576"/>
      </w:pPr>
      <w:rPr>
        <w:rFonts w:hint="default"/>
      </w:rPr>
    </w:lvl>
    <w:lvl w:ilvl="4" w:tplc="E6723A02">
      <w:numFmt w:val="bullet"/>
      <w:lvlText w:val="•"/>
      <w:lvlJc w:val="left"/>
      <w:pPr>
        <w:ind w:left="4548" w:hanging="576"/>
      </w:pPr>
      <w:rPr>
        <w:rFonts w:hint="default"/>
      </w:rPr>
    </w:lvl>
    <w:lvl w:ilvl="5" w:tplc="CD06F1CE">
      <w:numFmt w:val="bullet"/>
      <w:lvlText w:val="•"/>
      <w:lvlJc w:val="left"/>
      <w:pPr>
        <w:ind w:left="5480" w:hanging="576"/>
      </w:pPr>
      <w:rPr>
        <w:rFonts w:hint="default"/>
      </w:rPr>
    </w:lvl>
    <w:lvl w:ilvl="6" w:tplc="EA9856D6">
      <w:numFmt w:val="bullet"/>
      <w:lvlText w:val="•"/>
      <w:lvlJc w:val="left"/>
      <w:pPr>
        <w:ind w:left="6412" w:hanging="576"/>
      </w:pPr>
      <w:rPr>
        <w:rFonts w:hint="default"/>
      </w:rPr>
    </w:lvl>
    <w:lvl w:ilvl="7" w:tplc="DD22218A">
      <w:numFmt w:val="bullet"/>
      <w:lvlText w:val="•"/>
      <w:lvlJc w:val="left"/>
      <w:pPr>
        <w:ind w:left="7344" w:hanging="576"/>
      </w:pPr>
      <w:rPr>
        <w:rFonts w:hint="default"/>
      </w:rPr>
    </w:lvl>
    <w:lvl w:ilvl="8" w:tplc="F168B1A0">
      <w:numFmt w:val="bullet"/>
      <w:lvlText w:val="•"/>
      <w:lvlJc w:val="left"/>
      <w:pPr>
        <w:ind w:left="8276" w:hanging="576"/>
      </w:pPr>
      <w:rPr>
        <w:rFonts w:hint="default"/>
      </w:rPr>
    </w:lvl>
  </w:abstractNum>
  <w:abstractNum w:abstractNumId="1" w15:restartNumberingAfterBreak="0">
    <w:nsid w:val="68931D5B"/>
    <w:multiLevelType w:val="hybridMultilevel"/>
    <w:tmpl w:val="E74621DA"/>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4D01A6"/>
    <w:multiLevelType w:val="hybridMultilevel"/>
    <w:tmpl w:val="C32CF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6A"/>
    <w:rsid w:val="00001F5A"/>
    <w:rsid w:val="00012677"/>
    <w:rsid w:val="00026FD5"/>
    <w:rsid w:val="0002730D"/>
    <w:rsid w:val="00031B19"/>
    <w:rsid w:val="00031DAC"/>
    <w:rsid w:val="000320E4"/>
    <w:rsid w:val="00032DB6"/>
    <w:rsid w:val="000336B7"/>
    <w:rsid w:val="000342E0"/>
    <w:rsid w:val="0004086D"/>
    <w:rsid w:val="00041D32"/>
    <w:rsid w:val="0004208B"/>
    <w:rsid w:val="00043765"/>
    <w:rsid w:val="00050FDD"/>
    <w:rsid w:val="0005650C"/>
    <w:rsid w:val="00056C9F"/>
    <w:rsid w:val="00057D1C"/>
    <w:rsid w:val="000639AE"/>
    <w:rsid w:val="00066E79"/>
    <w:rsid w:val="00067C04"/>
    <w:rsid w:val="00071103"/>
    <w:rsid w:val="000714B9"/>
    <w:rsid w:val="0007250F"/>
    <w:rsid w:val="00074411"/>
    <w:rsid w:val="000825FE"/>
    <w:rsid w:val="00082D5D"/>
    <w:rsid w:val="00084999"/>
    <w:rsid w:val="00093A81"/>
    <w:rsid w:val="00097AAA"/>
    <w:rsid w:val="000A2711"/>
    <w:rsid w:val="000B0DC3"/>
    <w:rsid w:val="000B6C90"/>
    <w:rsid w:val="000B7249"/>
    <w:rsid w:val="000C0275"/>
    <w:rsid w:val="000C55AF"/>
    <w:rsid w:val="000D4259"/>
    <w:rsid w:val="000D4D17"/>
    <w:rsid w:val="000E004A"/>
    <w:rsid w:val="000E05E4"/>
    <w:rsid w:val="000E4CB4"/>
    <w:rsid w:val="000F1423"/>
    <w:rsid w:val="000F3B29"/>
    <w:rsid w:val="000F64E1"/>
    <w:rsid w:val="000F79AF"/>
    <w:rsid w:val="001044F3"/>
    <w:rsid w:val="001078D9"/>
    <w:rsid w:val="00107CA6"/>
    <w:rsid w:val="0011722B"/>
    <w:rsid w:val="0012164B"/>
    <w:rsid w:val="00123BF1"/>
    <w:rsid w:val="001314C5"/>
    <w:rsid w:val="00132A5E"/>
    <w:rsid w:val="0013719B"/>
    <w:rsid w:val="00137D3C"/>
    <w:rsid w:val="00142CD7"/>
    <w:rsid w:val="00145046"/>
    <w:rsid w:val="0015712D"/>
    <w:rsid w:val="001575D1"/>
    <w:rsid w:val="00161929"/>
    <w:rsid w:val="0016209E"/>
    <w:rsid w:val="00163F06"/>
    <w:rsid w:val="0017420D"/>
    <w:rsid w:val="00176110"/>
    <w:rsid w:val="00190FF9"/>
    <w:rsid w:val="001941AC"/>
    <w:rsid w:val="001976BF"/>
    <w:rsid w:val="001A0328"/>
    <w:rsid w:val="001A5511"/>
    <w:rsid w:val="001A7B97"/>
    <w:rsid w:val="001B02F8"/>
    <w:rsid w:val="001B2717"/>
    <w:rsid w:val="001B2BD1"/>
    <w:rsid w:val="001B342B"/>
    <w:rsid w:val="001B3640"/>
    <w:rsid w:val="001B67AB"/>
    <w:rsid w:val="001C3EE4"/>
    <w:rsid w:val="001C4E0E"/>
    <w:rsid w:val="001C6714"/>
    <w:rsid w:val="001D031F"/>
    <w:rsid w:val="001D38C9"/>
    <w:rsid w:val="001E1EAA"/>
    <w:rsid w:val="001E40B4"/>
    <w:rsid w:val="001F35B8"/>
    <w:rsid w:val="001F56BE"/>
    <w:rsid w:val="001F7945"/>
    <w:rsid w:val="001F7CE4"/>
    <w:rsid w:val="002007AE"/>
    <w:rsid w:val="0020722D"/>
    <w:rsid w:val="00211734"/>
    <w:rsid w:val="00212189"/>
    <w:rsid w:val="00212492"/>
    <w:rsid w:val="00215B50"/>
    <w:rsid w:val="002164E5"/>
    <w:rsid w:val="00216B2D"/>
    <w:rsid w:val="00220D38"/>
    <w:rsid w:val="00226D2A"/>
    <w:rsid w:val="00230CE1"/>
    <w:rsid w:val="002355C8"/>
    <w:rsid w:val="0023699F"/>
    <w:rsid w:val="00237862"/>
    <w:rsid w:val="00245E1D"/>
    <w:rsid w:val="00251B67"/>
    <w:rsid w:val="00252E27"/>
    <w:rsid w:val="002533C8"/>
    <w:rsid w:val="002547A4"/>
    <w:rsid w:val="00255C2E"/>
    <w:rsid w:val="00256C2F"/>
    <w:rsid w:val="00257410"/>
    <w:rsid w:val="00257819"/>
    <w:rsid w:val="00257C3E"/>
    <w:rsid w:val="00257D5D"/>
    <w:rsid w:val="00257E5D"/>
    <w:rsid w:val="00260F82"/>
    <w:rsid w:val="0026128E"/>
    <w:rsid w:val="002645E7"/>
    <w:rsid w:val="00264890"/>
    <w:rsid w:val="002674E9"/>
    <w:rsid w:val="002777ED"/>
    <w:rsid w:val="00277EAC"/>
    <w:rsid w:val="00280394"/>
    <w:rsid w:val="002812B2"/>
    <w:rsid w:val="002846E4"/>
    <w:rsid w:val="00285AE6"/>
    <w:rsid w:val="002872EA"/>
    <w:rsid w:val="002876C9"/>
    <w:rsid w:val="00287EB4"/>
    <w:rsid w:val="00291FD2"/>
    <w:rsid w:val="00292DE4"/>
    <w:rsid w:val="002934A7"/>
    <w:rsid w:val="00293667"/>
    <w:rsid w:val="00295F14"/>
    <w:rsid w:val="002975B0"/>
    <w:rsid w:val="002A0D9B"/>
    <w:rsid w:val="002B0CFF"/>
    <w:rsid w:val="002B1835"/>
    <w:rsid w:val="002B40E8"/>
    <w:rsid w:val="002C2058"/>
    <w:rsid w:val="002C40C0"/>
    <w:rsid w:val="002C7703"/>
    <w:rsid w:val="002C7A44"/>
    <w:rsid w:val="002D0CE2"/>
    <w:rsid w:val="002D43B0"/>
    <w:rsid w:val="002D467F"/>
    <w:rsid w:val="002E0C11"/>
    <w:rsid w:val="002E0C5A"/>
    <w:rsid w:val="002E1E42"/>
    <w:rsid w:val="002E7512"/>
    <w:rsid w:val="002F05C1"/>
    <w:rsid w:val="002F4951"/>
    <w:rsid w:val="002F4A22"/>
    <w:rsid w:val="002F57D6"/>
    <w:rsid w:val="002F7078"/>
    <w:rsid w:val="003053ED"/>
    <w:rsid w:val="00310F1E"/>
    <w:rsid w:val="00312FBA"/>
    <w:rsid w:val="00313FAB"/>
    <w:rsid w:val="00320E75"/>
    <w:rsid w:val="00321429"/>
    <w:rsid w:val="003255BA"/>
    <w:rsid w:val="0032672E"/>
    <w:rsid w:val="00326E36"/>
    <w:rsid w:val="003334B0"/>
    <w:rsid w:val="003457A8"/>
    <w:rsid w:val="003471BB"/>
    <w:rsid w:val="003503E5"/>
    <w:rsid w:val="00350760"/>
    <w:rsid w:val="00353371"/>
    <w:rsid w:val="00360AE6"/>
    <w:rsid w:val="0036116F"/>
    <w:rsid w:val="00362119"/>
    <w:rsid w:val="00362F71"/>
    <w:rsid w:val="003631E3"/>
    <w:rsid w:val="0036387C"/>
    <w:rsid w:val="00366C7C"/>
    <w:rsid w:val="00367567"/>
    <w:rsid w:val="00367CAC"/>
    <w:rsid w:val="0037105B"/>
    <w:rsid w:val="00371573"/>
    <w:rsid w:val="003748FE"/>
    <w:rsid w:val="00384E62"/>
    <w:rsid w:val="00386ADD"/>
    <w:rsid w:val="00387357"/>
    <w:rsid w:val="00393CF6"/>
    <w:rsid w:val="0039513A"/>
    <w:rsid w:val="00397538"/>
    <w:rsid w:val="003A0A48"/>
    <w:rsid w:val="003A4048"/>
    <w:rsid w:val="003B1D54"/>
    <w:rsid w:val="003B355F"/>
    <w:rsid w:val="003B3D24"/>
    <w:rsid w:val="003C34D4"/>
    <w:rsid w:val="003C55CB"/>
    <w:rsid w:val="003C62BF"/>
    <w:rsid w:val="003C6528"/>
    <w:rsid w:val="003D75A5"/>
    <w:rsid w:val="003D796F"/>
    <w:rsid w:val="003E19AF"/>
    <w:rsid w:val="003E2F3E"/>
    <w:rsid w:val="003E6C79"/>
    <w:rsid w:val="003F3BD2"/>
    <w:rsid w:val="003F4807"/>
    <w:rsid w:val="003F6DA0"/>
    <w:rsid w:val="004016E0"/>
    <w:rsid w:val="0040259F"/>
    <w:rsid w:val="00402F14"/>
    <w:rsid w:val="004045C8"/>
    <w:rsid w:val="00404F09"/>
    <w:rsid w:val="00412E92"/>
    <w:rsid w:val="004158D8"/>
    <w:rsid w:val="0041595D"/>
    <w:rsid w:val="004173CB"/>
    <w:rsid w:val="00421E44"/>
    <w:rsid w:val="00422B44"/>
    <w:rsid w:val="00431E31"/>
    <w:rsid w:val="00431F3F"/>
    <w:rsid w:val="004355F2"/>
    <w:rsid w:val="00437609"/>
    <w:rsid w:val="004423D5"/>
    <w:rsid w:val="00442C21"/>
    <w:rsid w:val="00442E6D"/>
    <w:rsid w:val="004449CC"/>
    <w:rsid w:val="00445DB3"/>
    <w:rsid w:val="004476F2"/>
    <w:rsid w:val="00450328"/>
    <w:rsid w:val="004505D4"/>
    <w:rsid w:val="00452D9D"/>
    <w:rsid w:val="004579C8"/>
    <w:rsid w:val="00465CCC"/>
    <w:rsid w:val="00466713"/>
    <w:rsid w:val="00472642"/>
    <w:rsid w:val="00477395"/>
    <w:rsid w:val="00480A00"/>
    <w:rsid w:val="004811A4"/>
    <w:rsid w:val="00481625"/>
    <w:rsid w:val="00481B43"/>
    <w:rsid w:val="00483657"/>
    <w:rsid w:val="00483BDA"/>
    <w:rsid w:val="00485125"/>
    <w:rsid w:val="00493092"/>
    <w:rsid w:val="004A05EF"/>
    <w:rsid w:val="004A12B8"/>
    <w:rsid w:val="004A3FFF"/>
    <w:rsid w:val="004A42EE"/>
    <w:rsid w:val="004A48F4"/>
    <w:rsid w:val="004B0562"/>
    <w:rsid w:val="004B2AFD"/>
    <w:rsid w:val="004B3830"/>
    <w:rsid w:val="004B6987"/>
    <w:rsid w:val="004B6FCA"/>
    <w:rsid w:val="004C7139"/>
    <w:rsid w:val="004D1958"/>
    <w:rsid w:val="004D65E5"/>
    <w:rsid w:val="004D6E0D"/>
    <w:rsid w:val="004E268B"/>
    <w:rsid w:val="004E488F"/>
    <w:rsid w:val="004E64C6"/>
    <w:rsid w:val="004F06B5"/>
    <w:rsid w:val="004F67FC"/>
    <w:rsid w:val="004F6DD3"/>
    <w:rsid w:val="00502963"/>
    <w:rsid w:val="0050375B"/>
    <w:rsid w:val="00505265"/>
    <w:rsid w:val="00506FF7"/>
    <w:rsid w:val="0051309F"/>
    <w:rsid w:val="00516E05"/>
    <w:rsid w:val="00517742"/>
    <w:rsid w:val="0051795F"/>
    <w:rsid w:val="00521CF6"/>
    <w:rsid w:val="00522173"/>
    <w:rsid w:val="00522BCE"/>
    <w:rsid w:val="00523D9C"/>
    <w:rsid w:val="0052733D"/>
    <w:rsid w:val="00527D43"/>
    <w:rsid w:val="00530E0C"/>
    <w:rsid w:val="00535593"/>
    <w:rsid w:val="00535B67"/>
    <w:rsid w:val="005364A3"/>
    <w:rsid w:val="00536622"/>
    <w:rsid w:val="00537BFF"/>
    <w:rsid w:val="00546596"/>
    <w:rsid w:val="00550549"/>
    <w:rsid w:val="00550FE4"/>
    <w:rsid w:val="00553637"/>
    <w:rsid w:val="00553ECD"/>
    <w:rsid w:val="00555898"/>
    <w:rsid w:val="00560B57"/>
    <w:rsid w:val="00561C81"/>
    <w:rsid w:val="00575F5E"/>
    <w:rsid w:val="005760F3"/>
    <w:rsid w:val="00581D69"/>
    <w:rsid w:val="00584E7B"/>
    <w:rsid w:val="0059129B"/>
    <w:rsid w:val="00596E11"/>
    <w:rsid w:val="005A17C2"/>
    <w:rsid w:val="005A441A"/>
    <w:rsid w:val="005A4726"/>
    <w:rsid w:val="005A7C78"/>
    <w:rsid w:val="005B37B6"/>
    <w:rsid w:val="005B411D"/>
    <w:rsid w:val="005B6FE5"/>
    <w:rsid w:val="005C0188"/>
    <w:rsid w:val="005C0AFD"/>
    <w:rsid w:val="005C1923"/>
    <w:rsid w:val="005C55DE"/>
    <w:rsid w:val="005C744B"/>
    <w:rsid w:val="005D02C0"/>
    <w:rsid w:val="005D79A6"/>
    <w:rsid w:val="005D7F70"/>
    <w:rsid w:val="005E1C56"/>
    <w:rsid w:val="005E65EA"/>
    <w:rsid w:val="005E6BA8"/>
    <w:rsid w:val="005E7540"/>
    <w:rsid w:val="005F2633"/>
    <w:rsid w:val="005F3916"/>
    <w:rsid w:val="005F47C6"/>
    <w:rsid w:val="005F6243"/>
    <w:rsid w:val="00600047"/>
    <w:rsid w:val="006001D9"/>
    <w:rsid w:val="00600499"/>
    <w:rsid w:val="00600C0F"/>
    <w:rsid w:val="0060363E"/>
    <w:rsid w:val="0060505D"/>
    <w:rsid w:val="00605D97"/>
    <w:rsid w:val="00607F81"/>
    <w:rsid w:val="00610A96"/>
    <w:rsid w:val="00611D3A"/>
    <w:rsid w:val="00612212"/>
    <w:rsid w:val="00617BEA"/>
    <w:rsid w:val="00621A57"/>
    <w:rsid w:val="00622B1D"/>
    <w:rsid w:val="006269EF"/>
    <w:rsid w:val="00630074"/>
    <w:rsid w:val="006322D3"/>
    <w:rsid w:val="00633BB7"/>
    <w:rsid w:val="00635BD1"/>
    <w:rsid w:val="006362D1"/>
    <w:rsid w:val="00636AE7"/>
    <w:rsid w:val="006408E3"/>
    <w:rsid w:val="0064478C"/>
    <w:rsid w:val="00647F1B"/>
    <w:rsid w:val="00654FDC"/>
    <w:rsid w:val="00656CE5"/>
    <w:rsid w:val="0066344B"/>
    <w:rsid w:val="006648E4"/>
    <w:rsid w:val="0066589A"/>
    <w:rsid w:val="00666214"/>
    <w:rsid w:val="0067051F"/>
    <w:rsid w:val="00670E11"/>
    <w:rsid w:val="00673D3A"/>
    <w:rsid w:val="00674B00"/>
    <w:rsid w:val="006840F4"/>
    <w:rsid w:val="00686348"/>
    <w:rsid w:val="00686743"/>
    <w:rsid w:val="00687073"/>
    <w:rsid w:val="00691A42"/>
    <w:rsid w:val="00692C5B"/>
    <w:rsid w:val="00694262"/>
    <w:rsid w:val="0069502C"/>
    <w:rsid w:val="006A1848"/>
    <w:rsid w:val="006A51E4"/>
    <w:rsid w:val="006A6767"/>
    <w:rsid w:val="006A7932"/>
    <w:rsid w:val="006B0846"/>
    <w:rsid w:val="006B591A"/>
    <w:rsid w:val="006B668F"/>
    <w:rsid w:val="006C2873"/>
    <w:rsid w:val="006C3634"/>
    <w:rsid w:val="006C6B62"/>
    <w:rsid w:val="006C7BB4"/>
    <w:rsid w:val="006D3E4E"/>
    <w:rsid w:val="006D703D"/>
    <w:rsid w:val="006D7708"/>
    <w:rsid w:val="006D7821"/>
    <w:rsid w:val="006E05E3"/>
    <w:rsid w:val="006E0E58"/>
    <w:rsid w:val="006E4460"/>
    <w:rsid w:val="006F3E31"/>
    <w:rsid w:val="006F4ACF"/>
    <w:rsid w:val="006F5D68"/>
    <w:rsid w:val="006F68A6"/>
    <w:rsid w:val="007000E9"/>
    <w:rsid w:val="0070050B"/>
    <w:rsid w:val="00701397"/>
    <w:rsid w:val="00701AB6"/>
    <w:rsid w:val="0070398F"/>
    <w:rsid w:val="007055D7"/>
    <w:rsid w:val="00706094"/>
    <w:rsid w:val="00706137"/>
    <w:rsid w:val="00707082"/>
    <w:rsid w:val="00711DDF"/>
    <w:rsid w:val="00713BF7"/>
    <w:rsid w:val="007148FF"/>
    <w:rsid w:val="00714959"/>
    <w:rsid w:val="0071572C"/>
    <w:rsid w:val="007168FE"/>
    <w:rsid w:val="00717ECF"/>
    <w:rsid w:val="00720910"/>
    <w:rsid w:val="0072581E"/>
    <w:rsid w:val="00735AFB"/>
    <w:rsid w:val="00736D35"/>
    <w:rsid w:val="00741BB1"/>
    <w:rsid w:val="00741E55"/>
    <w:rsid w:val="00742116"/>
    <w:rsid w:val="00743C5A"/>
    <w:rsid w:val="00744A25"/>
    <w:rsid w:val="00753078"/>
    <w:rsid w:val="007540F7"/>
    <w:rsid w:val="00755EBA"/>
    <w:rsid w:val="007613B2"/>
    <w:rsid w:val="00764B5C"/>
    <w:rsid w:val="00771DB9"/>
    <w:rsid w:val="00772572"/>
    <w:rsid w:val="007732B3"/>
    <w:rsid w:val="00777CFD"/>
    <w:rsid w:val="00783761"/>
    <w:rsid w:val="007855E5"/>
    <w:rsid w:val="00787875"/>
    <w:rsid w:val="00787C2C"/>
    <w:rsid w:val="00790F44"/>
    <w:rsid w:val="007A101F"/>
    <w:rsid w:val="007A390C"/>
    <w:rsid w:val="007A6336"/>
    <w:rsid w:val="007A7D0E"/>
    <w:rsid w:val="007B1B7B"/>
    <w:rsid w:val="007B2A35"/>
    <w:rsid w:val="007C14D6"/>
    <w:rsid w:val="007C6054"/>
    <w:rsid w:val="007C6B5A"/>
    <w:rsid w:val="007D3A22"/>
    <w:rsid w:val="007D6612"/>
    <w:rsid w:val="007E361D"/>
    <w:rsid w:val="007E51A4"/>
    <w:rsid w:val="007E5A1E"/>
    <w:rsid w:val="007E61F3"/>
    <w:rsid w:val="007E7C55"/>
    <w:rsid w:val="007F0371"/>
    <w:rsid w:val="007F7D68"/>
    <w:rsid w:val="00801A29"/>
    <w:rsid w:val="008037BB"/>
    <w:rsid w:val="008117B4"/>
    <w:rsid w:val="00817405"/>
    <w:rsid w:val="00817D4D"/>
    <w:rsid w:val="00826465"/>
    <w:rsid w:val="008274D9"/>
    <w:rsid w:val="00832E6A"/>
    <w:rsid w:val="008344FE"/>
    <w:rsid w:val="00835931"/>
    <w:rsid w:val="0084094C"/>
    <w:rsid w:val="008425FF"/>
    <w:rsid w:val="00842FB2"/>
    <w:rsid w:val="0084566E"/>
    <w:rsid w:val="00846BB8"/>
    <w:rsid w:val="008479EA"/>
    <w:rsid w:val="008533E8"/>
    <w:rsid w:val="008560CF"/>
    <w:rsid w:val="008577CF"/>
    <w:rsid w:val="0086103B"/>
    <w:rsid w:val="0086464B"/>
    <w:rsid w:val="00866BC4"/>
    <w:rsid w:val="00867619"/>
    <w:rsid w:val="0087100B"/>
    <w:rsid w:val="008730E2"/>
    <w:rsid w:val="0089225B"/>
    <w:rsid w:val="00892DBD"/>
    <w:rsid w:val="0089321B"/>
    <w:rsid w:val="0089364D"/>
    <w:rsid w:val="008936D0"/>
    <w:rsid w:val="00894885"/>
    <w:rsid w:val="008A005B"/>
    <w:rsid w:val="008A3694"/>
    <w:rsid w:val="008A49F1"/>
    <w:rsid w:val="008B3ED9"/>
    <w:rsid w:val="008B40E5"/>
    <w:rsid w:val="008C51CC"/>
    <w:rsid w:val="008D0743"/>
    <w:rsid w:val="008D2AFF"/>
    <w:rsid w:val="008D514A"/>
    <w:rsid w:val="008E0E92"/>
    <w:rsid w:val="008E32B0"/>
    <w:rsid w:val="008E44C6"/>
    <w:rsid w:val="008F0AD7"/>
    <w:rsid w:val="008F2217"/>
    <w:rsid w:val="008F3D09"/>
    <w:rsid w:val="008F4B93"/>
    <w:rsid w:val="008F5791"/>
    <w:rsid w:val="008F7EB5"/>
    <w:rsid w:val="0090044C"/>
    <w:rsid w:val="009007C4"/>
    <w:rsid w:val="00902203"/>
    <w:rsid w:val="00903487"/>
    <w:rsid w:val="00903D2E"/>
    <w:rsid w:val="00904CFA"/>
    <w:rsid w:val="00905569"/>
    <w:rsid w:val="00915C46"/>
    <w:rsid w:val="009211E5"/>
    <w:rsid w:val="0092342C"/>
    <w:rsid w:val="00923FA6"/>
    <w:rsid w:val="00933B16"/>
    <w:rsid w:val="00937592"/>
    <w:rsid w:val="0095279B"/>
    <w:rsid w:val="00955664"/>
    <w:rsid w:val="00957AAA"/>
    <w:rsid w:val="0096354B"/>
    <w:rsid w:val="00964C41"/>
    <w:rsid w:val="00964DF2"/>
    <w:rsid w:val="009712A7"/>
    <w:rsid w:val="009718B3"/>
    <w:rsid w:val="00971A04"/>
    <w:rsid w:val="0097482B"/>
    <w:rsid w:val="00974A28"/>
    <w:rsid w:val="00975D68"/>
    <w:rsid w:val="00977EF0"/>
    <w:rsid w:val="00980CAE"/>
    <w:rsid w:val="009820F1"/>
    <w:rsid w:val="009838D3"/>
    <w:rsid w:val="009869F0"/>
    <w:rsid w:val="00994BEB"/>
    <w:rsid w:val="009A01FB"/>
    <w:rsid w:val="009A157F"/>
    <w:rsid w:val="009A2391"/>
    <w:rsid w:val="009A27D1"/>
    <w:rsid w:val="009A7F73"/>
    <w:rsid w:val="009B0461"/>
    <w:rsid w:val="009B1DC5"/>
    <w:rsid w:val="009B2682"/>
    <w:rsid w:val="009B38AA"/>
    <w:rsid w:val="009B6BDE"/>
    <w:rsid w:val="009B7837"/>
    <w:rsid w:val="009C4A5C"/>
    <w:rsid w:val="009C58B9"/>
    <w:rsid w:val="009C6038"/>
    <w:rsid w:val="009D2C25"/>
    <w:rsid w:val="009D3FC3"/>
    <w:rsid w:val="009D4D78"/>
    <w:rsid w:val="009D55AD"/>
    <w:rsid w:val="009D5F65"/>
    <w:rsid w:val="009E07D0"/>
    <w:rsid w:val="009E605D"/>
    <w:rsid w:val="009F1088"/>
    <w:rsid w:val="00A0017E"/>
    <w:rsid w:val="00A004E0"/>
    <w:rsid w:val="00A0315D"/>
    <w:rsid w:val="00A033EC"/>
    <w:rsid w:val="00A04664"/>
    <w:rsid w:val="00A05D3C"/>
    <w:rsid w:val="00A060D7"/>
    <w:rsid w:val="00A14ED7"/>
    <w:rsid w:val="00A16A40"/>
    <w:rsid w:val="00A1729D"/>
    <w:rsid w:val="00A17D6A"/>
    <w:rsid w:val="00A21816"/>
    <w:rsid w:val="00A24AC6"/>
    <w:rsid w:val="00A26E28"/>
    <w:rsid w:val="00A34169"/>
    <w:rsid w:val="00A34A83"/>
    <w:rsid w:val="00A34F75"/>
    <w:rsid w:val="00A40AC4"/>
    <w:rsid w:val="00A46616"/>
    <w:rsid w:val="00A47798"/>
    <w:rsid w:val="00A5005E"/>
    <w:rsid w:val="00A60B61"/>
    <w:rsid w:val="00A6116D"/>
    <w:rsid w:val="00A61F2A"/>
    <w:rsid w:val="00A63882"/>
    <w:rsid w:val="00A63C62"/>
    <w:rsid w:val="00A66EFF"/>
    <w:rsid w:val="00A735DF"/>
    <w:rsid w:val="00A75A52"/>
    <w:rsid w:val="00A77FEF"/>
    <w:rsid w:val="00A81788"/>
    <w:rsid w:val="00A8210F"/>
    <w:rsid w:val="00A83261"/>
    <w:rsid w:val="00A87E05"/>
    <w:rsid w:val="00A943F9"/>
    <w:rsid w:val="00AA30D6"/>
    <w:rsid w:val="00AA52F8"/>
    <w:rsid w:val="00AA576D"/>
    <w:rsid w:val="00AA5995"/>
    <w:rsid w:val="00AA659F"/>
    <w:rsid w:val="00AB1FA2"/>
    <w:rsid w:val="00AC080C"/>
    <w:rsid w:val="00AC21EC"/>
    <w:rsid w:val="00AC57B3"/>
    <w:rsid w:val="00AC756C"/>
    <w:rsid w:val="00AD2064"/>
    <w:rsid w:val="00AD370D"/>
    <w:rsid w:val="00AD71BF"/>
    <w:rsid w:val="00AE2213"/>
    <w:rsid w:val="00AE3249"/>
    <w:rsid w:val="00AE4439"/>
    <w:rsid w:val="00AE444B"/>
    <w:rsid w:val="00AE5D2C"/>
    <w:rsid w:val="00AE611B"/>
    <w:rsid w:val="00AF039B"/>
    <w:rsid w:val="00AF5BE8"/>
    <w:rsid w:val="00B0598A"/>
    <w:rsid w:val="00B07778"/>
    <w:rsid w:val="00B1008F"/>
    <w:rsid w:val="00B129C5"/>
    <w:rsid w:val="00B15CBF"/>
    <w:rsid w:val="00B21848"/>
    <w:rsid w:val="00B23273"/>
    <w:rsid w:val="00B24454"/>
    <w:rsid w:val="00B315AC"/>
    <w:rsid w:val="00B31B68"/>
    <w:rsid w:val="00B34584"/>
    <w:rsid w:val="00B353D8"/>
    <w:rsid w:val="00B355F7"/>
    <w:rsid w:val="00B4047B"/>
    <w:rsid w:val="00B43F01"/>
    <w:rsid w:val="00B532AA"/>
    <w:rsid w:val="00B546AF"/>
    <w:rsid w:val="00B61506"/>
    <w:rsid w:val="00B642FC"/>
    <w:rsid w:val="00B64EF8"/>
    <w:rsid w:val="00B666CF"/>
    <w:rsid w:val="00B67AF1"/>
    <w:rsid w:val="00B67BBA"/>
    <w:rsid w:val="00B814B6"/>
    <w:rsid w:val="00B8286D"/>
    <w:rsid w:val="00B84E34"/>
    <w:rsid w:val="00B90180"/>
    <w:rsid w:val="00B95CCD"/>
    <w:rsid w:val="00B97BCD"/>
    <w:rsid w:val="00BA018A"/>
    <w:rsid w:val="00BA034B"/>
    <w:rsid w:val="00BA2C8E"/>
    <w:rsid w:val="00BA2E85"/>
    <w:rsid w:val="00BA47C4"/>
    <w:rsid w:val="00BA4911"/>
    <w:rsid w:val="00BA557E"/>
    <w:rsid w:val="00BC5CA0"/>
    <w:rsid w:val="00BC6CDF"/>
    <w:rsid w:val="00BD3734"/>
    <w:rsid w:val="00BE2D98"/>
    <w:rsid w:val="00BE6812"/>
    <w:rsid w:val="00BF61AD"/>
    <w:rsid w:val="00BF6DD7"/>
    <w:rsid w:val="00C03466"/>
    <w:rsid w:val="00C04CE6"/>
    <w:rsid w:val="00C05AFD"/>
    <w:rsid w:val="00C05DF1"/>
    <w:rsid w:val="00C07345"/>
    <w:rsid w:val="00C0793A"/>
    <w:rsid w:val="00C1012D"/>
    <w:rsid w:val="00C1125A"/>
    <w:rsid w:val="00C12D6D"/>
    <w:rsid w:val="00C16EA1"/>
    <w:rsid w:val="00C21B4D"/>
    <w:rsid w:val="00C25189"/>
    <w:rsid w:val="00C27998"/>
    <w:rsid w:val="00C310F1"/>
    <w:rsid w:val="00C31481"/>
    <w:rsid w:val="00C3603A"/>
    <w:rsid w:val="00C36B7D"/>
    <w:rsid w:val="00C377C0"/>
    <w:rsid w:val="00C409CD"/>
    <w:rsid w:val="00C420C3"/>
    <w:rsid w:val="00C45121"/>
    <w:rsid w:val="00C5126B"/>
    <w:rsid w:val="00C51D95"/>
    <w:rsid w:val="00C53888"/>
    <w:rsid w:val="00C539F6"/>
    <w:rsid w:val="00C54714"/>
    <w:rsid w:val="00C5698E"/>
    <w:rsid w:val="00C60C0F"/>
    <w:rsid w:val="00C61522"/>
    <w:rsid w:val="00C63C4B"/>
    <w:rsid w:val="00C66EBC"/>
    <w:rsid w:val="00C735C3"/>
    <w:rsid w:val="00C741F8"/>
    <w:rsid w:val="00C76972"/>
    <w:rsid w:val="00C80C37"/>
    <w:rsid w:val="00C83BED"/>
    <w:rsid w:val="00C864A2"/>
    <w:rsid w:val="00C86E23"/>
    <w:rsid w:val="00C87770"/>
    <w:rsid w:val="00C97567"/>
    <w:rsid w:val="00CA2A2F"/>
    <w:rsid w:val="00CA6E54"/>
    <w:rsid w:val="00CB0C0C"/>
    <w:rsid w:val="00CB0DD9"/>
    <w:rsid w:val="00CB2A75"/>
    <w:rsid w:val="00CB5779"/>
    <w:rsid w:val="00CC5B6B"/>
    <w:rsid w:val="00CD2374"/>
    <w:rsid w:val="00CD3F6A"/>
    <w:rsid w:val="00CD7D7D"/>
    <w:rsid w:val="00CE1DFD"/>
    <w:rsid w:val="00CE5E11"/>
    <w:rsid w:val="00CE5FC4"/>
    <w:rsid w:val="00CE6893"/>
    <w:rsid w:val="00CF0BCB"/>
    <w:rsid w:val="00D00F61"/>
    <w:rsid w:val="00D032C7"/>
    <w:rsid w:val="00D103C1"/>
    <w:rsid w:val="00D10660"/>
    <w:rsid w:val="00D13D95"/>
    <w:rsid w:val="00D13EFF"/>
    <w:rsid w:val="00D17D03"/>
    <w:rsid w:val="00D20EA6"/>
    <w:rsid w:val="00D23313"/>
    <w:rsid w:val="00D23456"/>
    <w:rsid w:val="00D26DAC"/>
    <w:rsid w:val="00D30775"/>
    <w:rsid w:val="00D33CA1"/>
    <w:rsid w:val="00D3400D"/>
    <w:rsid w:val="00D37DA6"/>
    <w:rsid w:val="00D40EB2"/>
    <w:rsid w:val="00D453B2"/>
    <w:rsid w:val="00D46FE3"/>
    <w:rsid w:val="00D5011E"/>
    <w:rsid w:val="00D528DC"/>
    <w:rsid w:val="00D549E5"/>
    <w:rsid w:val="00D5565F"/>
    <w:rsid w:val="00D60F13"/>
    <w:rsid w:val="00D64F52"/>
    <w:rsid w:val="00D6700F"/>
    <w:rsid w:val="00D700B3"/>
    <w:rsid w:val="00D72328"/>
    <w:rsid w:val="00D74B3C"/>
    <w:rsid w:val="00D76312"/>
    <w:rsid w:val="00D76B27"/>
    <w:rsid w:val="00D777FE"/>
    <w:rsid w:val="00D838EF"/>
    <w:rsid w:val="00D84A87"/>
    <w:rsid w:val="00D85034"/>
    <w:rsid w:val="00D91675"/>
    <w:rsid w:val="00D94556"/>
    <w:rsid w:val="00D947D9"/>
    <w:rsid w:val="00D966BA"/>
    <w:rsid w:val="00D97D21"/>
    <w:rsid w:val="00DA13CA"/>
    <w:rsid w:val="00DA2921"/>
    <w:rsid w:val="00DA4882"/>
    <w:rsid w:val="00DA5A0B"/>
    <w:rsid w:val="00DA677D"/>
    <w:rsid w:val="00DA712D"/>
    <w:rsid w:val="00DA7684"/>
    <w:rsid w:val="00DA7687"/>
    <w:rsid w:val="00DB03E8"/>
    <w:rsid w:val="00DB36C0"/>
    <w:rsid w:val="00DC2A33"/>
    <w:rsid w:val="00DD00EB"/>
    <w:rsid w:val="00DE28F3"/>
    <w:rsid w:val="00DE6C2D"/>
    <w:rsid w:val="00DF0620"/>
    <w:rsid w:val="00DF0FA2"/>
    <w:rsid w:val="00DF31EC"/>
    <w:rsid w:val="00DF4BC9"/>
    <w:rsid w:val="00DF7F83"/>
    <w:rsid w:val="00E03E49"/>
    <w:rsid w:val="00E11F25"/>
    <w:rsid w:val="00E14BD4"/>
    <w:rsid w:val="00E15482"/>
    <w:rsid w:val="00E250BB"/>
    <w:rsid w:val="00E26D5E"/>
    <w:rsid w:val="00E30E89"/>
    <w:rsid w:val="00E3284E"/>
    <w:rsid w:val="00E329B4"/>
    <w:rsid w:val="00E33B8F"/>
    <w:rsid w:val="00E34393"/>
    <w:rsid w:val="00E3471D"/>
    <w:rsid w:val="00E40417"/>
    <w:rsid w:val="00E410F7"/>
    <w:rsid w:val="00E51EF8"/>
    <w:rsid w:val="00E57102"/>
    <w:rsid w:val="00E5756E"/>
    <w:rsid w:val="00E602A3"/>
    <w:rsid w:val="00E62AB8"/>
    <w:rsid w:val="00E63684"/>
    <w:rsid w:val="00E706E5"/>
    <w:rsid w:val="00E758E9"/>
    <w:rsid w:val="00E75B47"/>
    <w:rsid w:val="00E76F27"/>
    <w:rsid w:val="00E778A7"/>
    <w:rsid w:val="00E77C50"/>
    <w:rsid w:val="00E81E9A"/>
    <w:rsid w:val="00E86563"/>
    <w:rsid w:val="00E9094B"/>
    <w:rsid w:val="00E91B4C"/>
    <w:rsid w:val="00E9536F"/>
    <w:rsid w:val="00EA0660"/>
    <w:rsid w:val="00EB2524"/>
    <w:rsid w:val="00EB5540"/>
    <w:rsid w:val="00EB73F0"/>
    <w:rsid w:val="00EB74E5"/>
    <w:rsid w:val="00EC0165"/>
    <w:rsid w:val="00EC193E"/>
    <w:rsid w:val="00ED37F7"/>
    <w:rsid w:val="00ED3E86"/>
    <w:rsid w:val="00EE04AE"/>
    <w:rsid w:val="00EE09D6"/>
    <w:rsid w:val="00EE0EB9"/>
    <w:rsid w:val="00EE36C9"/>
    <w:rsid w:val="00EE3F6F"/>
    <w:rsid w:val="00EE4D30"/>
    <w:rsid w:val="00EE5282"/>
    <w:rsid w:val="00EF0573"/>
    <w:rsid w:val="00EF1517"/>
    <w:rsid w:val="00EF1A9E"/>
    <w:rsid w:val="00EF308D"/>
    <w:rsid w:val="00EF3237"/>
    <w:rsid w:val="00F01029"/>
    <w:rsid w:val="00F01062"/>
    <w:rsid w:val="00F01EEB"/>
    <w:rsid w:val="00F026CC"/>
    <w:rsid w:val="00F0285A"/>
    <w:rsid w:val="00F05754"/>
    <w:rsid w:val="00F06E2D"/>
    <w:rsid w:val="00F07A2A"/>
    <w:rsid w:val="00F07D41"/>
    <w:rsid w:val="00F13A99"/>
    <w:rsid w:val="00F17123"/>
    <w:rsid w:val="00F231B1"/>
    <w:rsid w:val="00F37B2A"/>
    <w:rsid w:val="00F40E6C"/>
    <w:rsid w:val="00F513CE"/>
    <w:rsid w:val="00F55755"/>
    <w:rsid w:val="00F6104F"/>
    <w:rsid w:val="00F61737"/>
    <w:rsid w:val="00F622D5"/>
    <w:rsid w:val="00F725AA"/>
    <w:rsid w:val="00F74B7D"/>
    <w:rsid w:val="00F76B8B"/>
    <w:rsid w:val="00F80038"/>
    <w:rsid w:val="00F80EF3"/>
    <w:rsid w:val="00F84F43"/>
    <w:rsid w:val="00F852AC"/>
    <w:rsid w:val="00F858E5"/>
    <w:rsid w:val="00F85D09"/>
    <w:rsid w:val="00F900ED"/>
    <w:rsid w:val="00F945C7"/>
    <w:rsid w:val="00F957D7"/>
    <w:rsid w:val="00FA20B3"/>
    <w:rsid w:val="00FA3483"/>
    <w:rsid w:val="00FB1098"/>
    <w:rsid w:val="00FB3CA1"/>
    <w:rsid w:val="00FB63DB"/>
    <w:rsid w:val="00FC1EAE"/>
    <w:rsid w:val="00FC24EF"/>
    <w:rsid w:val="00FC2B6E"/>
    <w:rsid w:val="00FC6221"/>
    <w:rsid w:val="00FC628D"/>
    <w:rsid w:val="00FC699D"/>
    <w:rsid w:val="00FD2B86"/>
    <w:rsid w:val="00FD2DBC"/>
    <w:rsid w:val="00FE010C"/>
    <w:rsid w:val="00FE1A24"/>
    <w:rsid w:val="00FE3535"/>
    <w:rsid w:val="00FE3D71"/>
    <w:rsid w:val="00FE52C5"/>
    <w:rsid w:val="00FE7892"/>
    <w:rsid w:val="00FF26D6"/>
    <w:rsid w:val="00FF354F"/>
    <w:rsid w:val="00FF79B5"/>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9F69F4"/>
  <w15:docId w15:val="{515EC518-44FD-4612-AD57-B3174366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unhideWhenUsed/>
    <w:rsid w:val="003471BB"/>
    <w:pPr>
      <w:tabs>
        <w:tab w:val="center" w:pos="4680"/>
        <w:tab w:val="right" w:pos="9360"/>
      </w:tabs>
    </w:pPr>
  </w:style>
  <w:style w:type="character" w:customStyle="1" w:styleId="HeaderChar">
    <w:name w:val="Header Char"/>
    <w:basedOn w:val="DefaultParagraphFont"/>
    <w:link w:val="Header"/>
    <w:uiPriority w:val="99"/>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qFormat/>
    <w:rsid w:val="00BA4911"/>
    <w:pPr>
      <w:numPr>
        <w:numId w:val="4"/>
      </w:numPr>
      <w:tabs>
        <w:tab w:val="left" w:pos="1440"/>
      </w:tabs>
      <w:spacing w:line="480" w:lineRule="auto"/>
    </w:pPr>
    <w:rPr>
      <w:color w:val="000000"/>
    </w:rPr>
  </w:style>
  <w:style w:type="paragraph" w:styleId="FootnoteText">
    <w:name w:val="footnote text"/>
    <w:basedOn w:val="Normal"/>
    <w:link w:val="FootnoteTextChar"/>
    <w:uiPriority w:val="99"/>
    <w:unhideWhenUsed/>
    <w:rsid w:val="00666214"/>
    <w:rPr>
      <w:sz w:val="20"/>
    </w:rPr>
  </w:style>
  <w:style w:type="character" w:customStyle="1" w:styleId="FootnoteTextChar">
    <w:name w:val="Footnote Text Char"/>
    <w:basedOn w:val="DefaultParagraphFont"/>
    <w:link w:val="FootnoteText"/>
    <w:uiPriority w:val="99"/>
    <w:rsid w:val="00666214"/>
    <w:rPr>
      <w:rFonts w:eastAsia="Times New Roman" w:cs="Times New Roman"/>
      <w:sz w:val="20"/>
      <w:szCs w:val="20"/>
    </w:rPr>
  </w:style>
  <w:style w:type="character" w:styleId="FootnoteReference">
    <w:name w:val="footnote reference"/>
    <w:basedOn w:val="DefaultParagraphFont"/>
    <w:unhideWhenUsed/>
    <w:rsid w:val="00666214"/>
    <w:rPr>
      <w:vertAlign w:val="superscript"/>
    </w:rPr>
  </w:style>
  <w:style w:type="character" w:styleId="CommentReference">
    <w:name w:val="annotation reference"/>
    <w:basedOn w:val="DefaultParagraphFont"/>
    <w:uiPriority w:val="99"/>
    <w:semiHidden/>
    <w:unhideWhenUsed/>
    <w:rsid w:val="00610A96"/>
    <w:rPr>
      <w:sz w:val="16"/>
      <w:szCs w:val="16"/>
    </w:rPr>
  </w:style>
  <w:style w:type="paragraph" w:styleId="CommentText">
    <w:name w:val="annotation text"/>
    <w:basedOn w:val="Normal"/>
    <w:link w:val="CommentTextChar"/>
    <w:uiPriority w:val="99"/>
    <w:semiHidden/>
    <w:unhideWhenUsed/>
    <w:rsid w:val="00610A96"/>
    <w:rPr>
      <w:sz w:val="20"/>
    </w:rPr>
  </w:style>
  <w:style w:type="character" w:customStyle="1" w:styleId="CommentTextChar">
    <w:name w:val="Comment Text Char"/>
    <w:basedOn w:val="DefaultParagraphFont"/>
    <w:link w:val="CommentText"/>
    <w:uiPriority w:val="99"/>
    <w:semiHidden/>
    <w:rsid w:val="00610A9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A96"/>
    <w:rPr>
      <w:b/>
      <w:bCs/>
    </w:rPr>
  </w:style>
  <w:style w:type="character" w:customStyle="1" w:styleId="CommentSubjectChar">
    <w:name w:val="Comment Subject Char"/>
    <w:basedOn w:val="CommentTextChar"/>
    <w:link w:val="CommentSubject"/>
    <w:uiPriority w:val="99"/>
    <w:semiHidden/>
    <w:rsid w:val="00610A96"/>
    <w:rPr>
      <w:rFonts w:eastAsia="Times New Roman" w:cs="Times New Roman"/>
      <w:b/>
      <w:bCs/>
      <w:sz w:val="20"/>
      <w:szCs w:val="20"/>
    </w:rPr>
  </w:style>
  <w:style w:type="paragraph" w:styleId="ListParagraph">
    <w:name w:val="List Paragraph"/>
    <w:basedOn w:val="Normal"/>
    <w:uiPriority w:val="1"/>
    <w:qFormat/>
    <w:rsid w:val="0036387C"/>
    <w:pPr>
      <w:ind w:left="720"/>
      <w:contextualSpacing/>
    </w:pPr>
  </w:style>
  <w:style w:type="paragraph" w:styleId="BodyText">
    <w:name w:val="Body Text"/>
    <w:basedOn w:val="Normal"/>
    <w:link w:val="BodyTextChar"/>
    <w:uiPriority w:val="99"/>
    <w:unhideWhenUsed/>
    <w:rsid w:val="00522173"/>
    <w:pPr>
      <w:spacing w:after="120"/>
    </w:pPr>
  </w:style>
  <w:style w:type="character" w:customStyle="1" w:styleId="BodyTextChar">
    <w:name w:val="Body Text Char"/>
    <w:basedOn w:val="DefaultParagraphFont"/>
    <w:link w:val="BodyText"/>
    <w:uiPriority w:val="99"/>
    <w:rsid w:val="00522173"/>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0821">
      <w:bodyDiv w:val="1"/>
      <w:marLeft w:val="0"/>
      <w:marRight w:val="0"/>
      <w:marTop w:val="0"/>
      <w:marBottom w:val="0"/>
      <w:divBdr>
        <w:top w:val="none" w:sz="0" w:space="0" w:color="auto"/>
        <w:left w:val="none" w:sz="0" w:space="0" w:color="auto"/>
        <w:bottom w:val="none" w:sz="0" w:space="0" w:color="auto"/>
        <w:right w:val="none" w:sz="0" w:space="0" w:color="auto"/>
      </w:divBdr>
      <w:divsChild>
        <w:div w:id="836189969">
          <w:marLeft w:val="0"/>
          <w:marRight w:val="0"/>
          <w:marTop w:val="0"/>
          <w:marBottom w:val="0"/>
          <w:divBdr>
            <w:top w:val="none" w:sz="0" w:space="0" w:color="auto"/>
            <w:left w:val="none" w:sz="0" w:space="0" w:color="auto"/>
            <w:bottom w:val="none" w:sz="0" w:space="0" w:color="auto"/>
            <w:right w:val="none" w:sz="0" w:space="0" w:color="auto"/>
          </w:divBdr>
          <w:divsChild>
            <w:div w:id="18841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1446">
      <w:bodyDiv w:val="1"/>
      <w:marLeft w:val="0"/>
      <w:marRight w:val="0"/>
      <w:marTop w:val="0"/>
      <w:marBottom w:val="0"/>
      <w:divBdr>
        <w:top w:val="none" w:sz="0" w:space="0" w:color="auto"/>
        <w:left w:val="none" w:sz="0" w:space="0" w:color="auto"/>
        <w:bottom w:val="none" w:sz="0" w:space="0" w:color="auto"/>
        <w:right w:val="none" w:sz="0" w:space="0" w:color="auto"/>
      </w:divBdr>
      <w:divsChild>
        <w:div w:id="483815064">
          <w:marLeft w:val="0"/>
          <w:marRight w:val="0"/>
          <w:marTop w:val="0"/>
          <w:marBottom w:val="0"/>
          <w:divBdr>
            <w:top w:val="none" w:sz="0" w:space="0" w:color="auto"/>
            <w:left w:val="none" w:sz="0" w:space="0" w:color="auto"/>
            <w:bottom w:val="none" w:sz="0" w:space="0" w:color="auto"/>
            <w:right w:val="none" w:sz="0" w:space="0" w:color="auto"/>
          </w:divBdr>
        </w:div>
        <w:div w:id="1560362743">
          <w:marLeft w:val="0"/>
          <w:marRight w:val="0"/>
          <w:marTop w:val="0"/>
          <w:marBottom w:val="0"/>
          <w:divBdr>
            <w:top w:val="none" w:sz="0" w:space="0" w:color="auto"/>
            <w:left w:val="none" w:sz="0" w:space="0" w:color="auto"/>
            <w:bottom w:val="none" w:sz="0" w:space="0" w:color="auto"/>
            <w:right w:val="none" w:sz="0" w:space="0" w:color="auto"/>
          </w:divBdr>
        </w:div>
      </w:divsChild>
    </w:div>
    <w:div w:id="1109592538">
      <w:bodyDiv w:val="1"/>
      <w:marLeft w:val="0"/>
      <w:marRight w:val="0"/>
      <w:marTop w:val="0"/>
      <w:marBottom w:val="0"/>
      <w:divBdr>
        <w:top w:val="none" w:sz="0" w:space="0" w:color="auto"/>
        <w:left w:val="none" w:sz="0" w:space="0" w:color="auto"/>
        <w:bottom w:val="none" w:sz="0" w:space="0" w:color="auto"/>
        <w:right w:val="none" w:sz="0" w:space="0" w:color="auto"/>
      </w:divBdr>
      <w:divsChild>
        <w:div w:id="483008559">
          <w:marLeft w:val="0"/>
          <w:marRight w:val="0"/>
          <w:marTop w:val="0"/>
          <w:marBottom w:val="0"/>
          <w:divBdr>
            <w:top w:val="none" w:sz="0" w:space="0" w:color="auto"/>
            <w:left w:val="none" w:sz="0" w:space="0" w:color="auto"/>
            <w:bottom w:val="none" w:sz="0" w:space="0" w:color="auto"/>
            <w:right w:val="none" w:sz="0" w:space="0" w:color="auto"/>
          </w:divBdr>
          <w:divsChild>
            <w:div w:id="2166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7467">
      <w:bodyDiv w:val="1"/>
      <w:marLeft w:val="0"/>
      <w:marRight w:val="0"/>
      <w:marTop w:val="0"/>
      <w:marBottom w:val="0"/>
      <w:divBdr>
        <w:top w:val="none" w:sz="0" w:space="0" w:color="auto"/>
        <w:left w:val="none" w:sz="0" w:space="0" w:color="auto"/>
        <w:bottom w:val="none" w:sz="0" w:space="0" w:color="auto"/>
        <w:right w:val="none" w:sz="0" w:space="0" w:color="auto"/>
      </w:divBdr>
      <w:divsChild>
        <w:div w:id="1256095004">
          <w:marLeft w:val="0"/>
          <w:marRight w:val="0"/>
          <w:marTop w:val="0"/>
          <w:marBottom w:val="0"/>
          <w:divBdr>
            <w:top w:val="none" w:sz="0" w:space="0" w:color="auto"/>
            <w:left w:val="none" w:sz="0" w:space="0" w:color="auto"/>
            <w:bottom w:val="none" w:sz="0" w:space="0" w:color="auto"/>
            <w:right w:val="none" w:sz="0" w:space="0" w:color="auto"/>
          </w:divBdr>
          <w:divsChild>
            <w:div w:id="17733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10737">
      <w:bodyDiv w:val="1"/>
      <w:marLeft w:val="0"/>
      <w:marRight w:val="0"/>
      <w:marTop w:val="0"/>
      <w:marBottom w:val="0"/>
      <w:divBdr>
        <w:top w:val="none" w:sz="0" w:space="0" w:color="auto"/>
        <w:left w:val="none" w:sz="0" w:space="0" w:color="auto"/>
        <w:bottom w:val="none" w:sz="0" w:space="0" w:color="auto"/>
        <w:right w:val="none" w:sz="0" w:space="0" w:color="auto"/>
      </w:divBdr>
    </w:div>
    <w:div w:id="1812601226">
      <w:bodyDiv w:val="1"/>
      <w:marLeft w:val="0"/>
      <w:marRight w:val="0"/>
      <w:marTop w:val="0"/>
      <w:marBottom w:val="0"/>
      <w:divBdr>
        <w:top w:val="none" w:sz="0" w:space="0" w:color="auto"/>
        <w:left w:val="none" w:sz="0" w:space="0" w:color="auto"/>
        <w:bottom w:val="none" w:sz="0" w:space="0" w:color="auto"/>
        <w:right w:val="none" w:sz="0" w:space="0" w:color="auto"/>
      </w:divBdr>
    </w:div>
    <w:div w:id="1899125993">
      <w:bodyDiv w:val="1"/>
      <w:marLeft w:val="0"/>
      <w:marRight w:val="0"/>
      <w:marTop w:val="0"/>
      <w:marBottom w:val="0"/>
      <w:divBdr>
        <w:top w:val="none" w:sz="0" w:space="0" w:color="auto"/>
        <w:left w:val="none" w:sz="0" w:space="0" w:color="auto"/>
        <w:bottom w:val="none" w:sz="0" w:space="0" w:color="auto"/>
        <w:right w:val="none" w:sz="0" w:space="0" w:color="auto"/>
      </w:divBdr>
      <w:divsChild>
        <w:div w:id="1328940098">
          <w:marLeft w:val="0"/>
          <w:marRight w:val="0"/>
          <w:marTop w:val="0"/>
          <w:marBottom w:val="0"/>
          <w:divBdr>
            <w:top w:val="none" w:sz="0" w:space="0" w:color="auto"/>
            <w:left w:val="none" w:sz="0" w:space="0" w:color="auto"/>
            <w:bottom w:val="none" w:sz="0" w:space="0" w:color="auto"/>
            <w:right w:val="none" w:sz="0" w:space="0" w:color="auto"/>
          </w:divBdr>
          <w:divsChild>
            <w:div w:id="17422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2017-05-15T07:00:00+00:00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C64621-73A5-406B-BF30-A74F5D2FA204}">
  <ds:schemaRefs>
    <ds:schemaRef ds:uri="http://schemas.openxmlformats.org/officeDocument/2006/bibliography"/>
  </ds:schemaRefs>
</ds:datastoreItem>
</file>

<file path=customXml/itemProps2.xml><?xml version="1.0" encoding="utf-8"?>
<ds:datastoreItem xmlns:ds="http://schemas.openxmlformats.org/officeDocument/2006/customXml" ds:itemID="{567ADE80-6288-4F64-9516-B70648FC40FB}"/>
</file>

<file path=customXml/itemProps3.xml><?xml version="1.0" encoding="utf-8"?>
<ds:datastoreItem xmlns:ds="http://schemas.openxmlformats.org/officeDocument/2006/customXml" ds:itemID="{031AD0B9-3A2F-482E-A488-9B8E10303CFE}"/>
</file>

<file path=customXml/itemProps4.xml><?xml version="1.0" encoding="utf-8"?>
<ds:datastoreItem xmlns:ds="http://schemas.openxmlformats.org/officeDocument/2006/customXml" ds:itemID="{F25E153E-C3E9-4CC4-8EDF-106E07F330E0}"/>
</file>

<file path=customXml/itemProps5.xml><?xml version="1.0" encoding="utf-8"?>
<ds:datastoreItem xmlns:ds="http://schemas.openxmlformats.org/officeDocument/2006/customXml" ds:itemID="{47C40C9C-C2E3-4316-B7F8-B83DB283D951}"/>
</file>

<file path=docProps/app.xml><?xml version="1.0" encoding="utf-8"?>
<Properties xmlns="http://schemas.openxmlformats.org/officeDocument/2006/extended-properties" xmlns:vt="http://schemas.openxmlformats.org/officeDocument/2006/docPropsVTypes">
  <Template>Normal</Template>
  <TotalTime>0</TotalTime>
  <Pages>13</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Irion A. Sanger</dc:creator>
  <cp:lastModifiedBy>Riley G. Peck</cp:lastModifiedBy>
  <cp:revision>2</cp:revision>
  <cp:lastPrinted>2017-05-15T21:33:00Z</cp:lastPrinted>
  <dcterms:created xsi:type="dcterms:W3CDTF">2017-05-15T23:42:00Z</dcterms:created>
  <dcterms:modified xsi:type="dcterms:W3CDTF">2017-05-15T23:42:00Z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