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1F002" w14:textId="77777777" w:rsidR="006E3B58" w:rsidRDefault="00154718" w:rsidP="00BE5610">
      <w:r w:rsidRPr="00EB4CE3">
        <w:t xml:space="preserve">Agenda Date: </w:t>
      </w:r>
      <w:r w:rsidRPr="00EB4CE3">
        <w:tab/>
      </w:r>
      <w:r w:rsidRPr="00EB4CE3">
        <w:tab/>
      </w:r>
      <w:r w:rsidR="00BC18B9">
        <w:t>May 14</w:t>
      </w:r>
      <w:r w:rsidR="0030657A">
        <w:t>, 2015</w:t>
      </w:r>
      <w:r w:rsidR="004456FB">
        <w:tab/>
      </w:r>
      <w:r w:rsidR="004456FB">
        <w:tab/>
      </w:r>
    </w:p>
    <w:p w14:paraId="1E31F003" w14:textId="25CABFC0" w:rsidR="00154718" w:rsidRDefault="00154718" w:rsidP="00BE5610">
      <w:r w:rsidRPr="00EB4CE3">
        <w:t>Item Number:</w:t>
      </w:r>
      <w:r w:rsidRPr="00EB4CE3">
        <w:tab/>
      </w:r>
      <w:r w:rsidRPr="00EB4CE3">
        <w:tab/>
      </w:r>
      <w:r w:rsidR="005E4264" w:rsidRPr="004E589D">
        <w:t>A</w:t>
      </w:r>
      <w:r w:rsidR="00723480">
        <w:t>1</w:t>
      </w:r>
    </w:p>
    <w:p w14:paraId="1E31F004" w14:textId="77777777" w:rsidR="006E3B58" w:rsidRPr="00EB4CE3" w:rsidRDefault="006E3B58" w:rsidP="00BE5610"/>
    <w:p w14:paraId="1E31F005" w14:textId="77777777" w:rsidR="00154718" w:rsidRPr="00EB4CE3" w:rsidRDefault="00154718" w:rsidP="00BE5610">
      <w:r w:rsidRPr="00EB4CE3">
        <w:t xml:space="preserve">Docket: </w:t>
      </w:r>
      <w:r w:rsidRPr="00EB4CE3">
        <w:tab/>
      </w:r>
      <w:r w:rsidRPr="00EB4CE3">
        <w:tab/>
        <w:t>UW-</w:t>
      </w:r>
      <w:r w:rsidR="005E4264">
        <w:t>150537</w:t>
      </w:r>
    </w:p>
    <w:p w14:paraId="1E31F006" w14:textId="77777777" w:rsidR="00154718" w:rsidRPr="00EB4CE3" w:rsidRDefault="00A41C23" w:rsidP="00BE5610">
      <w:r w:rsidRPr="00EB4CE3">
        <w:t>Company Name:</w:t>
      </w:r>
      <w:r w:rsidRPr="00EB4CE3">
        <w:tab/>
      </w:r>
      <w:r w:rsidR="00002F08">
        <w:t>Burton Water Company</w:t>
      </w:r>
      <w:r w:rsidR="00187E0D">
        <w:t>, Inc.</w:t>
      </w:r>
    </w:p>
    <w:p w14:paraId="1E31F007" w14:textId="77777777" w:rsidR="00154718" w:rsidRPr="00EB4CE3" w:rsidRDefault="00154718" w:rsidP="00BE5610"/>
    <w:p w14:paraId="1E31F008" w14:textId="77777777" w:rsidR="000C2F30" w:rsidRDefault="00595023" w:rsidP="00BE5610">
      <w:r w:rsidRPr="00EB4CE3">
        <w:t xml:space="preserve">Staff: </w:t>
      </w:r>
      <w:r w:rsidRPr="00EB4CE3">
        <w:tab/>
      </w:r>
      <w:r w:rsidRPr="00EB4CE3">
        <w:tab/>
      </w:r>
      <w:r w:rsidRPr="00EB4CE3">
        <w:tab/>
      </w:r>
      <w:r w:rsidR="000C2F30">
        <w:t>Melissa Cheesman, Regulatory Analyst</w:t>
      </w:r>
    </w:p>
    <w:p w14:paraId="1E31F009" w14:textId="77777777" w:rsidR="00154718" w:rsidRDefault="00595023" w:rsidP="000C2F30">
      <w:pPr>
        <w:ind w:left="1440" w:firstLine="720"/>
      </w:pPr>
      <w:r w:rsidRPr="00EB4CE3">
        <w:t>Jim Ward</w:t>
      </w:r>
      <w:r w:rsidR="00154718" w:rsidRPr="00EB4CE3">
        <w:t>, Regulatory Analyst</w:t>
      </w:r>
    </w:p>
    <w:p w14:paraId="1E31F00A" w14:textId="77777777" w:rsidR="00154718" w:rsidRPr="00EB4CE3" w:rsidRDefault="000C2F30" w:rsidP="00705164">
      <w:pPr>
        <w:ind w:left="1440" w:firstLine="720"/>
      </w:pPr>
      <w:r>
        <w:t>John Cupp</w:t>
      </w:r>
      <w:r w:rsidR="00154718" w:rsidRPr="00EB4CE3">
        <w:t>, Consumer Protection Staff</w:t>
      </w:r>
    </w:p>
    <w:p w14:paraId="1E31F00B" w14:textId="77777777" w:rsidR="00154718" w:rsidRPr="00EB4CE3" w:rsidRDefault="00154718" w:rsidP="00BE5610"/>
    <w:p w14:paraId="1E31F00C" w14:textId="77777777" w:rsidR="00154718" w:rsidRPr="00935AF2" w:rsidRDefault="00154718" w:rsidP="00F32FEE">
      <w:pPr>
        <w:spacing w:after="120"/>
        <w:rPr>
          <w:b/>
          <w:u w:val="single"/>
        </w:rPr>
      </w:pPr>
      <w:r w:rsidRPr="00935AF2">
        <w:rPr>
          <w:b/>
          <w:u w:val="single"/>
        </w:rPr>
        <w:t>Recommendation</w:t>
      </w:r>
    </w:p>
    <w:p w14:paraId="1E31F00E" w14:textId="0A281FEC" w:rsidR="00BC18B9" w:rsidRPr="005B537A" w:rsidRDefault="00F32FEE" w:rsidP="00BC18B9">
      <w:pPr>
        <w:rPr>
          <w:rFonts w:eastAsiaTheme="minorHAnsi"/>
          <w:lang w:bidi="ar-SA"/>
        </w:rPr>
      </w:pPr>
      <w:r>
        <w:rPr>
          <w:rFonts w:eastAsiaTheme="minorHAnsi"/>
          <w:lang w:bidi="ar-SA"/>
        </w:rPr>
        <w:t>T</w:t>
      </w:r>
      <w:r w:rsidRPr="00C81151">
        <w:rPr>
          <w:rFonts w:eastAsiaTheme="minorHAnsi"/>
          <w:lang w:bidi="ar-SA"/>
        </w:rPr>
        <w:t xml:space="preserve">ake no action, allowing the rates </w:t>
      </w:r>
      <w:r>
        <w:rPr>
          <w:rFonts w:eastAsiaTheme="minorHAnsi"/>
          <w:lang w:bidi="ar-SA"/>
        </w:rPr>
        <w:t>filed</w:t>
      </w:r>
      <w:r w:rsidRPr="00CF517B">
        <w:rPr>
          <w:rFonts w:eastAsiaTheme="minorHAnsi"/>
          <w:lang w:bidi="ar-SA"/>
        </w:rPr>
        <w:t xml:space="preserve"> </w:t>
      </w:r>
      <w:r>
        <w:rPr>
          <w:rFonts w:eastAsiaTheme="minorHAnsi"/>
          <w:lang w:bidi="ar-SA"/>
        </w:rPr>
        <w:t xml:space="preserve">by Burton Water Company, Inc. </w:t>
      </w:r>
      <w:r w:rsidRPr="00CF517B">
        <w:rPr>
          <w:rFonts w:eastAsiaTheme="minorHAnsi"/>
          <w:lang w:bidi="ar-SA"/>
        </w:rPr>
        <w:t xml:space="preserve">on March 30, 2015, </w:t>
      </w:r>
      <w:r w:rsidRPr="00C81151">
        <w:rPr>
          <w:rFonts w:eastAsiaTheme="minorHAnsi"/>
          <w:lang w:bidi="ar-SA"/>
        </w:rPr>
        <w:t xml:space="preserve">as revised on </w:t>
      </w:r>
      <w:r w:rsidRPr="00545974">
        <w:rPr>
          <w:rFonts w:eastAsiaTheme="minorHAnsi"/>
          <w:lang w:bidi="ar-SA"/>
        </w:rPr>
        <w:t>May 7, 2015</w:t>
      </w:r>
      <w:r>
        <w:rPr>
          <w:rFonts w:eastAsiaTheme="minorHAnsi"/>
          <w:lang w:bidi="ar-SA"/>
        </w:rPr>
        <w:t xml:space="preserve">, </w:t>
      </w:r>
      <w:r w:rsidRPr="00C81151">
        <w:rPr>
          <w:rFonts w:eastAsiaTheme="minorHAnsi"/>
          <w:lang w:bidi="ar-SA"/>
        </w:rPr>
        <w:t xml:space="preserve">to become effective on </w:t>
      </w:r>
      <w:r>
        <w:rPr>
          <w:rFonts w:eastAsiaTheme="minorHAnsi"/>
          <w:lang w:bidi="ar-SA"/>
        </w:rPr>
        <w:t>May 15, 2015</w:t>
      </w:r>
      <w:r w:rsidRPr="00C81151">
        <w:rPr>
          <w:rFonts w:eastAsiaTheme="minorHAnsi"/>
          <w:lang w:bidi="ar-SA"/>
        </w:rPr>
        <w:t>, by operation of law.</w:t>
      </w:r>
    </w:p>
    <w:p w14:paraId="1E31F00F" w14:textId="77777777" w:rsidR="004D7E01" w:rsidRPr="004D7E01" w:rsidRDefault="006E3B58" w:rsidP="006E3B58">
      <w:pPr>
        <w:widowControl w:val="0"/>
        <w:autoSpaceDE w:val="0"/>
        <w:autoSpaceDN w:val="0"/>
        <w:adjustRightInd w:val="0"/>
        <w:ind w:left="360"/>
        <w:rPr>
          <w:color w:val="000000"/>
          <w:sz w:val="22"/>
          <w:szCs w:val="22"/>
          <w:lang w:bidi="ar-SA"/>
        </w:rPr>
      </w:pPr>
      <w:r w:rsidRPr="004D7E01">
        <w:rPr>
          <w:color w:val="000000"/>
          <w:sz w:val="22"/>
          <w:szCs w:val="22"/>
          <w:lang w:bidi="ar-SA"/>
        </w:rPr>
        <w:t xml:space="preserve"> </w:t>
      </w:r>
    </w:p>
    <w:p w14:paraId="1E31F010" w14:textId="77777777" w:rsidR="00154718" w:rsidRPr="00935AF2" w:rsidRDefault="00154718" w:rsidP="00F32FEE">
      <w:pPr>
        <w:spacing w:after="120"/>
        <w:rPr>
          <w:b/>
          <w:u w:val="single"/>
        </w:rPr>
      </w:pPr>
      <w:r w:rsidRPr="00935AF2">
        <w:rPr>
          <w:b/>
          <w:u w:val="single"/>
        </w:rPr>
        <w:t>Discussion</w:t>
      </w:r>
    </w:p>
    <w:p w14:paraId="1E31F012" w14:textId="05360A2D" w:rsidR="00AD3DD8" w:rsidRDefault="00DD65A6" w:rsidP="008C168F">
      <w:r>
        <w:rPr>
          <w:color w:val="000000"/>
        </w:rPr>
        <w:t xml:space="preserve">On </w:t>
      </w:r>
      <w:r w:rsidR="00910B20">
        <w:rPr>
          <w:color w:val="000000"/>
        </w:rPr>
        <w:t>March 30, 2015</w:t>
      </w:r>
      <w:r>
        <w:rPr>
          <w:color w:val="000000"/>
        </w:rPr>
        <w:t xml:space="preserve">, </w:t>
      </w:r>
      <w:r w:rsidR="00002F08">
        <w:t>Burton Water Company</w:t>
      </w:r>
      <w:r w:rsidR="00187E0D">
        <w:t xml:space="preserve">, </w:t>
      </w:r>
      <w:r w:rsidR="00C272A0">
        <w:t>Inc.</w:t>
      </w:r>
      <w:r>
        <w:t xml:space="preserve"> (</w:t>
      </w:r>
      <w:r w:rsidR="00002F08">
        <w:t>Burton</w:t>
      </w:r>
      <w:r w:rsidR="00187E0D">
        <w:t xml:space="preserve"> Water</w:t>
      </w:r>
      <w:r>
        <w:t xml:space="preserve"> or company</w:t>
      </w:r>
      <w:r w:rsidR="00A201C0">
        <w:t>)</w:t>
      </w:r>
      <w:r w:rsidR="00D0403B">
        <w:t>,</w:t>
      </w:r>
      <w:r w:rsidR="00A201C0">
        <w:t xml:space="preserve"> filed</w:t>
      </w:r>
      <w:r>
        <w:t xml:space="preserve"> </w:t>
      </w:r>
      <w:r w:rsidR="00B3307B">
        <w:t xml:space="preserve">a </w:t>
      </w:r>
      <w:r w:rsidR="008C168F">
        <w:t>t</w:t>
      </w:r>
      <w:r w:rsidR="008C168F" w:rsidRPr="008C168F">
        <w:rPr>
          <w:rFonts w:eastAsia="Times New Roman"/>
          <w:lang w:bidi="ar-SA"/>
        </w:rPr>
        <w:t xml:space="preserve">ariff revision to </w:t>
      </w:r>
      <w:r w:rsidR="00B84E56">
        <w:rPr>
          <w:rFonts w:eastAsia="Times New Roman"/>
          <w:lang w:bidi="ar-SA"/>
        </w:rPr>
        <w:t xml:space="preserve">its </w:t>
      </w:r>
      <w:r w:rsidR="006E3B58">
        <w:rPr>
          <w:rFonts w:eastAsia="Times New Roman"/>
          <w:lang w:bidi="ar-SA"/>
        </w:rPr>
        <w:t>currently effective tariff</w:t>
      </w:r>
      <w:r w:rsidR="00863543">
        <w:rPr>
          <w:rFonts w:eastAsia="Times New Roman"/>
          <w:lang w:bidi="ar-SA"/>
        </w:rPr>
        <w:t xml:space="preserve"> that </w:t>
      </w:r>
      <w:r w:rsidR="00863543" w:rsidRPr="00863543">
        <w:rPr>
          <w:rFonts w:eastAsia="Times New Roman"/>
          <w:lang w:bidi="ar-SA"/>
        </w:rPr>
        <w:t xml:space="preserve">would generate </w:t>
      </w:r>
      <w:r w:rsidR="00CC4FE2" w:rsidRPr="00407C80">
        <w:t>$</w:t>
      </w:r>
      <w:r w:rsidR="00910B20">
        <w:t>60,191</w:t>
      </w:r>
      <w:r w:rsidR="00CC4FE2" w:rsidRPr="00407C80">
        <w:t xml:space="preserve"> (</w:t>
      </w:r>
      <w:r w:rsidR="00910B20">
        <w:t>27.1</w:t>
      </w:r>
      <w:r w:rsidR="00CC4FE2" w:rsidRPr="00407C80">
        <w:t xml:space="preserve"> percent) </w:t>
      </w:r>
      <w:r w:rsidR="008B479D">
        <w:t xml:space="preserve">in </w:t>
      </w:r>
      <w:r w:rsidR="00863543">
        <w:t>additional annual revenue</w:t>
      </w:r>
      <w:r w:rsidR="00CC4FE2" w:rsidRPr="00407C80">
        <w:t xml:space="preserve">. </w:t>
      </w:r>
      <w:r w:rsidR="00451AF9">
        <w:t xml:space="preserve">The </w:t>
      </w:r>
      <w:r w:rsidR="00D96246">
        <w:t>stat</w:t>
      </w:r>
      <w:r w:rsidR="00451AF9">
        <w:t xml:space="preserve">ed effective date </w:t>
      </w:r>
      <w:r w:rsidR="00027B07">
        <w:t>was</w:t>
      </w:r>
      <w:r w:rsidR="00451AF9">
        <w:t xml:space="preserve"> </w:t>
      </w:r>
      <w:r w:rsidR="00910B20">
        <w:t>May 1, 2015</w:t>
      </w:r>
      <w:r w:rsidR="00451AF9">
        <w:t xml:space="preserve">. </w:t>
      </w:r>
      <w:r w:rsidR="00002F08">
        <w:t xml:space="preserve">The company </w:t>
      </w:r>
      <w:r w:rsidR="00002F08" w:rsidRPr="00DE3D12">
        <w:t xml:space="preserve">serves </w:t>
      </w:r>
      <w:r w:rsidR="00002F08">
        <w:t>415</w:t>
      </w:r>
      <w:r w:rsidR="00002F08" w:rsidRPr="00DE3D12">
        <w:t xml:space="preserve"> c</w:t>
      </w:r>
      <w:r w:rsidR="00002F08">
        <w:t>ustomer</w:t>
      </w:r>
      <w:r w:rsidR="00002F08" w:rsidRPr="00DE3D12">
        <w:t xml:space="preserve">s </w:t>
      </w:r>
      <w:r w:rsidR="00002F08">
        <w:t>on Vashon Island,</w:t>
      </w:r>
      <w:r w:rsidR="00002F08" w:rsidRPr="00DE3D12">
        <w:t xml:space="preserve"> in </w:t>
      </w:r>
      <w:r w:rsidR="00002F08">
        <w:t>King</w:t>
      </w:r>
      <w:r w:rsidR="00002F08" w:rsidRPr="00DE3D12">
        <w:t xml:space="preserve"> County.</w:t>
      </w:r>
      <w:r w:rsidR="00002F08" w:rsidRPr="00DE3D12">
        <w:rPr>
          <w:color w:val="000000"/>
        </w:rPr>
        <w:t xml:space="preserve"> </w:t>
      </w:r>
      <w:r w:rsidR="00545974">
        <w:t>Its</w:t>
      </w:r>
      <w:r w:rsidR="00002F08" w:rsidRPr="00DE3D12">
        <w:t xml:space="preserve"> </w:t>
      </w:r>
      <w:r w:rsidR="00002F08">
        <w:t xml:space="preserve">last general rate increase was February </w:t>
      </w:r>
      <w:r w:rsidR="00FE5559">
        <w:t>26, 2011</w:t>
      </w:r>
      <w:r w:rsidR="00002F08">
        <w:t>.</w:t>
      </w:r>
    </w:p>
    <w:p w14:paraId="1E31F013" w14:textId="77777777" w:rsidR="00C46208" w:rsidRDefault="00C46208" w:rsidP="008C168F"/>
    <w:p w14:paraId="1E31F016" w14:textId="566079B4" w:rsidR="002500F3" w:rsidRPr="002500F3" w:rsidRDefault="005B537A" w:rsidP="002500F3">
      <w:pPr>
        <w:rPr>
          <w:rFonts w:eastAsiaTheme="minorHAnsi"/>
          <w:lang w:bidi="ar-SA"/>
        </w:rPr>
      </w:pPr>
      <w:r>
        <w:t>According</w:t>
      </w:r>
      <w:r w:rsidR="00027B07">
        <w:t xml:space="preserve"> to the company t</w:t>
      </w:r>
      <w:r w:rsidR="00C46208">
        <w:t xml:space="preserve">he filing was prompted by </w:t>
      </w:r>
      <w:r w:rsidR="00C46208" w:rsidRPr="00910B20">
        <w:t xml:space="preserve">increased costs </w:t>
      </w:r>
      <w:r w:rsidR="00C46208">
        <w:t>related to</w:t>
      </w:r>
      <w:r w:rsidR="00C46208" w:rsidRPr="00910B20">
        <w:t xml:space="preserve"> wages, </w:t>
      </w:r>
      <w:r w:rsidR="00545974">
        <w:t xml:space="preserve">water </w:t>
      </w:r>
      <w:r w:rsidR="00C46208" w:rsidRPr="00910B20">
        <w:t>testing</w:t>
      </w:r>
      <w:r w:rsidR="00545974">
        <w:t xml:space="preserve"> and</w:t>
      </w:r>
      <w:r w:rsidR="00C46208" w:rsidRPr="00910B20">
        <w:t xml:space="preserve"> regulatory compliance,</w:t>
      </w:r>
      <w:r w:rsidR="00C46208">
        <w:t xml:space="preserve"> a</w:t>
      </w:r>
      <w:r w:rsidR="00027B07">
        <w:t>long with increased</w:t>
      </w:r>
      <w:r w:rsidR="00C46208" w:rsidRPr="00910B20">
        <w:t xml:space="preserve"> </w:t>
      </w:r>
      <w:r w:rsidR="00545974">
        <w:t>power costs</w:t>
      </w:r>
      <w:r w:rsidR="00C46208">
        <w:t xml:space="preserve">. The company proposes to increase base meter charges, usage rates and </w:t>
      </w:r>
      <w:r w:rsidR="00545974">
        <w:t>its</w:t>
      </w:r>
      <w:r w:rsidR="00C46208">
        <w:t xml:space="preserve"> ready-to-serve charge.</w:t>
      </w:r>
      <w:r w:rsidR="00E9696F">
        <w:t xml:space="preserve"> </w:t>
      </w:r>
      <w:r w:rsidR="002500F3">
        <w:t xml:space="preserve">On April 17, 2015, </w:t>
      </w:r>
      <w:r w:rsidR="002500F3" w:rsidRPr="002500F3">
        <w:rPr>
          <w:rFonts w:eastAsiaTheme="minorHAnsi"/>
          <w:lang w:bidi="ar-SA"/>
        </w:rPr>
        <w:t xml:space="preserve">the company filed to extend the effective date from </w:t>
      </w:r>
      <w:r w:rsidR="002500F3">
        <w:rPr>
          <w:rFonts w:eastAsiaTheme="minorHAnsi"/>
          <w:lang w:bidi="ar-SA"/>
        </w:rPr>
        <w:t>May 1, 2015,</w:t>
      </w:r>
      <w:r w:rsidR="002500F3" w:rsidRPr="002500F3">
        <w:rPr>
          <w:rFonts w:eastAsiaTheme="minorHAnsi"/>
          <w:lang w:bidi="ar-SA"/>
        </w:rPr>
        <w:t xml:space="preserve"> to </w:t>
      </w:r>
      <w:r w:rsidR="002500F3">
        <w:rPr>
          <w:rFonts w:eastAsiaTheme="minorHAnsi"/>
          <w:lang w:bidi="ar-SA"/>
        </w:rPr>
        <w:t>May 15, 2015</w:t>
      </w:r>
      <w:r w:rsidR="002500F3" w:rsidRPr="002500F3">
        <w:rPr>
          <w:rFonts w:eastAsiaTheme="minorHAnsi"/>
          <w:lang w:bidi="ar-SA"/>
        </w:rPr>
        <w:t>.</w:t>
      </w:r>
    </w:p>
    <w:p w14:paraId="1E31F017" w14:textId="77777777" w:rsidR="002500F3" w:rsidRDefault="002500F3" w:rsidP="008C168F"/>
    <w:p w14:paraId="1E31F018" w14:textId="56F6E2B0" w:rsidR="00123700" w:rsidRDefault="00123700" w:rsidP="00BE5610">
      <w:r w:rsidRPr="00123700">
        <w:t xml:space="preserve">Staff’s analysis of the company’s financial information showed the company’s proposed revenue requirement was excessive. </w:t>
      </w:r>
      <w:r>
        <w:t>Staff</w:t>
      </w:r>
      <w:r w:rsidR="004E589D">
        <w:t>’s</w:t>
      </w:r>
      <w:r>
        <w:t xml:space="preserve"> analysis </w:t>
      </w:r>
      <w:r w:rsidR="006B2FFF">
        <w:t>indicated</w:t>
      </w:r>
      <w:r>
        <w:t xml:space="preserve"> that </w:t>
      </w:r>
      <w:r w:rsidR="00027B07">
        <w:t xml:space="preserve">employee </w:t>
      </w:r>
      <w:r w:rsidR="004E589D">
        <w:t>compensation</w:t>
      </w:r>
      <w:r>
        <w:t xml:space="preserve"> </w:t>
      </w:r>
      <w:r w:rsidR="004E589D">
        <w:t>was</w:t>
      </w:r>
      <w:r>
        <w:t xml:space="preserve"> over-stated</w:t>
      </w:r>
      <w:r w:rsidR="00545974">
        <w:t xml:space="preserve"> result</w:t>
      </w:r>
      <w:r w:rsidR="006B2FFF">
        <w:t>ing</w:t>
      </w:r>
      <w:r w:rsidR="00027B07">
        <w:t xml:space="preserve"> </w:t>
      </w:r>
      <w:r w:rsidR="00545974">
        <w:t xml:space="preserve">in a </w:t>
      </w:r>
      <w:r w:rsidR="003B69E6">
        <w:t xml:space="preserve">Staff </w:t>
      </w:r>
      <w:r w:rsidR="00545974">
        <w:t xml:space="preserve">restatement </w:t>
      </w:r>
      <w:r w:rsidR="006B2FFF">
        <w:t xml:space="preserve">to </w:t>
      </w:r>
      <w:r w:rsidR="003B69E6">
        <w:t>reflect</w:t>
      </w:r>
      <w:r w:rsidR="003B69E6" w:rsidRPr="003B69E6">
        <w:t xml:space="preserve"> </w:t>
      </w:r>
      <w:r w:rsidR="004F14A6">
        <w:t xml:space="preserve">average </w:t>
      </w:r>
      <w:r w:rsidR="003B69E6" w:rsidRPr="003B69E6">
        <w:t xml:space="preserve">market </w:t>
      </w:r>
      <w:r w:rsidR="004F14A6">
        <w:t>compensation</w:t>
      </w:r>
      <w:r w:rsidR="003B69E6" w:rsidRPr="003B69E6">
        <w:t xml:space="preserve"> </w:t>
      </w:r>
      <w:r w:rsidR="006B2FFF">
        <w:t xml:space="preserve">for </w:t>
      </w:r>
      <w:r w:rsidR="004F14A6">
        <w:t>like employee duties</w:t>
      </w:r>
      <w:r w:rsidR="003B69E6" w:rsidRPr="003B69E6">
        <w:t>.</w:t>
      </w:r>
      <w:r w:rsidR="003B69E6">
        <w:t xml:space="preserve"> </w:t>
      </w:r>
      <w:r w:rsidR="006B2FFF">
        <w:t xml:space="preserve">However, </w:t>
      </w:r>
      <w:r>
        <w:t>Staff</w:t>
      </w:r>
      <w:r w:rsidR="004F14A6">
        <w:t>’s</w:t>
      </w:r>
      <w:r>
        <w:t xml:space="preserve"> </w:t>
      </w:r>
      <w:r w:rsidR="003B69E6">
        <w:t xml:space="preserve">pro forma </w:t>
      </w:r>
      <w:proofErr w:type="spellStart"/>
      <w:r w:rsidR="003B69E6">
        <w:t>adjustement</w:t>
      </w:r>
      <w:proofErr w:type="spellEnd"/>
      <w:r w:rsidR="003B69E6">
        <w:t xml:space="preserve"> </w:t>
      </w:r>
      <w:r w:rsidR="00545974">
        <w:t xml:space="preserve">to wages </w:t>
      </w:r>
      <w:r w:rsidR="006B2FFF">
        <w:t xml:space="preserve">also </w:t>
      </w:r>
      <w:r>
        <w:t xml:space="preserve">included a Cost-of-living </w:t>
      </w:r>
      <w:r w:rsidR="004F14A6">
        <w:t>Adjustment of 1.7 percent</w:t>
      </w:r>
      <w:r>
        <w:t>.</w:t>
      </w:r>
    </w:p>
    <w:p w14:paraId="1E31F019" w14:textId="77777777" w:rsidR="00123700" w:rsidRDefault="00123700" w:rsidP="00BE5610"/>
    <w:p w14:paraId="1E31F01A" w14:textId="6E2ADD92" w:rsidR="00DD65A6" w:rsidRDefault="00972F4A" w:rsidP="00BE5610">
      <w:r>
        <w:t xml:space="preserve">Staff and the company have agreed to </w:t>
      </w:r>
      <w:r w:rsidR="00545974">
        <w:t>a</w:t>
      </w:r>
      <w:r>
        <w:t xml:space="preserve"> lower revenue requirement</w:t>
      </w:r>
      <w:r w:rsidR="006B2FFF">
        <w:t xml:space="preserve"> than </w:t>
      </w:r>
      <w:proofErr w:type="spellStart"/>
      <w:r w:rsidR="006B2FFF">
        <w:t>orginially</w:t>
      </w:r>
      <w:proofErr w:type="spellEnd"/>
      <w:r w:rsidR="006B2FFF">
        <w:t xml:space="preserve"> filed</w:t>
      </w:r>
      <w:r w:rsidR="00DA4527">
        <w:t>.</w:t>
      </w:r>
      <w:r>
        <w:t xml:space="preserve"> </w:t>
      </w:r>
      <w:proofErr w:type="gramStart"/>
      <w:r>
        <w:t xml:space="preserve">On </w:t>
      </w:r>
      <w:r w:rsidR="005F04C1">
        <w:t xml:space="preserve"> </w:t>
      </w:r>
      <w:bookmarkStart w:id="0" w:name="_GoBack"/>
      <w:bookmarkEnd w:id="0"/>
      <w:r w:rsidR="00F72BDE" w:rsidRPr="00545974">
        <w:t>May</w:t>
      </w:r>
      <w:proofErr w:type="gramEnd"/>
      <w:r w:rsidR="00F72BDE" w:rsidRPr="00545974">
        <w:t xml:space="preserve"> </w:t>
      </w:r>
      <w:r w:rsidR="007D716D" w:rsidRPr="00545974">
        <w:t>7</w:t>
      </w:r>
      <w:r w:rsidRPr="00545974">
        <w:t>, 2015</w:t>
      </w:r>
      <w:r>
        <w:t>, Burton Water filed substitute pages</w:t>
      </w:r>
      <w:r w:rsidR="00DA4527">
        <w:t xml:space="preserve"> reflecting</w:t>
      </w:r>
      <w:r>
        <w:t xml:space="preserve"> revised rates </w:t>
      </w:r>
      <w:r w:rsidR="00DA4527">
        <w:t xml:space="preserve">which will produce </w:t>
      </w:r>
      <w:r w:rsidR="00DA4527" w:rsidRPr="004340AA">
        <w:t>$46,554 (22 percent)</w:t>
      </w:r>
      <w:r w:rsidR="00DA4527">
        <w:t xml:space="preserve"> of additional annual revenue. It is Staff’s opinion that the revised rates, as filed by the company</w:t>
      </w:r>
      <w:r w:rsidR="00355EE9">
        <w:t>,</w:t>
      </w:r>
      <w:r w:rsidR="00DA4527">
        <w:t xml:space="preserve"> are fair, just,</w:t>
      </w:r>
      <w:r w:rsidR="00355EE9">
        <w:t xml:space="preserve"> reasonable and </w:t>
      </w:r>
      <w:r w:rsidR="00160BF0" w:rsidRPr="00160BF0">
        <w:t>sufficient</w:t>
      </w:r>
      <w:r w:rsidR="00DA4527">
        <w:t xml:space="preserve"> and will allow the company to earn a fair return on its investment. </w:t>
      </w:r>
    </w:p>
    <w:p w14:paraId="1E31F01B" w14:textId="77777777" w:rsidR="00972F4A" w:rsidRDefault="00972F4A" w:rsidP="00BE5610"/>
    <w:p w14:paraId="1E31F01C" w14:textId="77777777" w:rsidR="00A8749C" w:rsidRDefault="00A8749C" w:rsidP="00F32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line="220" w:lineRule="auto"/>
        <w:rPr>
          <w:rFonts w:eastAsia="Times New Roman"/>
          <w:b/>
          <w:u w:val="single"/>
          <w:lang w:bidi="ar-SA"/>
        </w:rPr>
      </w:pPr>
      <w:r w:rsidRPr="00A8749C">
        <w:rPr>
          <w:rFonts w:eastAsia="Times New Roman"/>
          <w:b/>
          <w:u w:val="single"/>
          <w:lang w:bidi="ar-SA"/>
        </w:rPr>
        <w:t xml:space="preserve">Customer Comments </w:t>
      </w:r>
    </w:p>
    <w:p w14:paraId="1E31F01E" w14:textId="77777777" w:rsidR="002469F5" w:rsidRDefault="002469F5" w:rsidP="002469F5">
      <w:pPr>
        <w:rPr>
          <w:color w:val="000000"/>
          <w:szCs w:val="20"/>
          <w:lang w:bidi="ar-SA"/>
        </w:rPr>
      </w:pPr>
      <w:r>
        <w:rPr>
          <w:color w:val="000000"/>
        </w:rPr>
        <w:t>On March 31, 2015, the company notified its customers by mail of the proposed rate increase. Customers were notified that they may access relevant documents about this rate increase on the commission’s website, and that they may contact John Cupp at 1-888-333-9882 or jcupp@utc.wa.gov with questions or concerns. Staff received two comments, both in opposition to the proposed rate increase.</w:t>
      </w:r>
    </w:p>
    <w:p w14:paraId="1E31F01F" w14:textId="77777777" w:rsidR="002469F5" w:rsidRDefault="002469F5" w:rsidP="002469F5">
      <w:pPr>
        <w:rPr>
          <w:sz w:val="20"/>
        </w:rPr>
      </w:pPr>
    </w:p>
    <w:p w14:paraId="4E29D3C5" w14:textId="77777777" w:rsidR="005B537A" w:rsidRDefault="005B537A" w:rsidP="00F32FEE">
      <w:pPr>
        <w:spacing w:after="120"/>
        <w:rPr>
          <w:b/>
          <w:color w:val="000000"/>
        </w:rPr>
      </w:pPr>
    </w:p>
    <w:p w14:paraId="1E31F020" w14:textId="77777777" w:rsidR="002469F5" w:rsidRDefault="002469F5" w:rsidP="00F32FEE">
      <w:pPr>
        <w:spacing w:after="120"/>
      </w:pPr>
      <w:r>
        <w:rPr>
          <w:b/>
          <w:color w:val="000000"/>
        </w:rPr>
        <w:lastRenderedPageBreak/>
        <w:t>General Comments</w:t>
      </w:r>
    </w:p>
    <w:p w14:paraId="1E31F021" w14:textId="7724458E" w:rsidR="002469F5" w:rsidRPr="007F70C8" w:rsidRDefault="002469F5" w:rsidP="007F70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lang w:bidi="ar-SA"/>
        </w:rPr>
      </w:pPr>
      <w:r w:rsidRPr="007F70C8">
        <w:rPr>
          <w:rFonts w:eastAsia="Times New Roman"/>
          <w:lang w:bidi="ar-SA"/>
        </w:rPr>
        <w:t>A customer commented that the rates are already too high urg</w:t>
      </w:r>
      <w:r w:rsidR="006B2FFF" w:rsidRPr="007F70C8">
        <w:rPr>
          <w:rFonts w:eastAsia="Times New Roman"/>
          <w:lang w:bidi="ar-SA"/>
        </w:rPr>
        <w:t>ing</w:t>
      </w:r>
      <w:r w:rsidRPr="007F70C8">
        <w:rPr>
          <w:rFonts w:eastAsia="Times New Roman"/>
          <w:lang w:bidi="ar-SA"/>
        </w:rPr>
        <w:t xml:space="preserve"> the commission to set rates that are fair to customers. Customers also feel the amount of the increase is excessive.</w:t>
      </w:r>
    </w:p>
    <w:p w14:paraId="1E31F022" w14:textId="77777777" w:rsidR="002469F5" w:rsidRDefault="002469F5" w:rsidP="002469F5"/>
    <w:p w14:paraId="1E31F023" w14:textId="77777777" w:rsidR="002469F5" w:rsidRDefault="002469F5" w:rsidP="002469F5">
      <w:pPr>
        <w:ind w:left="719"/>
      </w:pPr>
      <w:r>
        <w:rPr>
          <w:b/>
          <w:color w:val="000000"/>
        </w:rPr>
        <w:t>Staff Response</w:t>
      </w:r>
    </w:p>
    <w:p w14:paraId="1E31F024" w14:textId="77777777" w:rsidR="002469F5" w:rsidRDefault="002469F5" w:rsidP="002469F5">
      <w:pPr>
        <w:ind w:left="719"/>
      </w:pPr>
      <w:r>
        <w:t>The customer was advised that state law requires rates to be fair, just, reasonable and sufficient to allow the company to recover reasonable operating expenses and the opportunity to earn a reasonable return on its investment. Regulatory staff reviews filings to ensure that all rates and fees are appropriate.</w:t>
      </w:r>
    </w:p>
    <w:p w14:paraId="6A6A89A5" w14:textId="77777777" w:rsidR="007F70C8" w:rsidRDefault="007F70C8" w:rsidP="007F70C8">
      <w:pPr>
        <w:spacing w:after="120"/>
        <w:rPr>
          <w:b/>
          <w:color w:val="000000"/>
        </w:rPr>
      </w:pPr>
    </w:p>
    <w:p w14:paraId="5434032C" w14:textId="4D495443" w:rsidR="007F70C8" w:rsidRDefault="007F70C8" w:rsidP="007F70C8">
      <w:pPr>
        <w:spacing w:after="120"/>
      </w:pPr>
      <w:r>
        <w:rPr>
          <w:b/>
          <w:color w:val="000000"/>
        </w:rPr>
        <w:t>Rate Impact</w:t>
      </w:r>
    </w:p>
    <w:p w14:paraId="1E31F027" w14:textId="34F76168" w:rsidR="0080117F" w:rsidRPr="0080117F" w:rsidRDefault="007F70C8" w:rsidP="008011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lang w:bidi="ar-SA"/>
        </w:rPr>
      </w:pPr>
      <w:r>
        <w:rPr>
          <w:rFonts w:eastAsia="Times New Roman"/>
          <w:lang w:bidi="ar-SA"/>
        </w:rPr>
        <w:t xml:space="preserve">The rate comparison table below reflects the current, proposed and revised rates requested by the company. </w:t>
      </w:r>
      <w:r w:rsidR="0080117F" w:rsidRPr="008F7696">
        <w:rPr>
          <w:rFonts w:eastAsia="Times New Roman"/>
          <w:lang w:bidi="ar-SA"/>
        </w:rPr>
        <w:t>A customer using</w:t>
      </w:r>
      <w:r w:rsidR="00992790" w:rsidRPr="008F7696">
        <w:rPr>
          <w:rFonts w:eastAsia="Times New Roman"/>
          <w:lang w:bidi="ar-SA"/>
        </w:rPr>
        <w:t xml:space="preserve"> </w:t>
      </w:r>
      <w:r w:rsidRPr="008F7696">
        <w:rPr>
          <w:rFonts w:eastAsia="Times New Roman"/>
          <w:lang w:bidi="ar-SA"/>
        </w:rPr>
        <w:t xml:space="preserve">the calculated company-wide average </w:t>
      </w:r>
      <w:r>
        <w:rPr>
          <w:rFonts w:eastAsia="Times New Roman"/>
          <w:lang w:bidi="ar-SA"/>
        </w:rPr>
        <w:t>monthly</w:t>
      </w:r>
      <w:r w:rsidRPr="008F7696">
        <w:rPr>
          <w:rFonts w:eastAsia="Times New Roman"/>
          <w:lang w:bidi="ar-SA"/>
        </w:rPr>
        <w:t xml:space="preserve"> water usage</w:t>
      </w:r>
      <w:r>
        <w:rPr>
          <w:rFonts w:eastAsia="Times New Roman"/>
          <w:lang w:bidi="ar-SA"/>
        </w:rPr>
        <w:t xml:space="preserve"> of </w:t>
      </w:r>
      <w:r w:rsidR="00973FDF">
        <w:rPr>
          <w:rFonts w:eastAsia="Times New Roman"/>
          <w:lang w:bidi="ar-SA"/>
        </w:rPr>
        <w:t>611</w:t>
      </w:r>
      <w:r w:rsidR="00114B3D" w:rsidRPr="008F7696">
        <w:rPr>
          <w:rFonts w:eastAsia="Times New Roman"/>
          <w:lang w:bidi="ar-SA"/>
        </w:rPr>
        <w:t xml:space="preserve"> cubic feet</w:t>
      </w:r>
      <w:r w:rsidR="0080117F" w:rsidRPr="008F7696">
        <w:rPr>
          <w:rFonts w:eastAsia="Times New Roman"/>
          <w:lang w:bidi="ar-SA"/>
        </w:rPr>
        <w:t xml:space="preserve"> of water per month would pay $</w:t>
      </w:r>
      <w:r w:rsidR="00C40231">
        <w:rPr>
          <w:rFonts w:eastAsia="Times New Roman"/>
          <w:lang w:bidi="ar-SA"/>
        </w:rPr>
        <w:t>9.</w:t>
      </w:r>
      <w:r w:rsidR="009B677C">
        <w:rPr>
          <w:rFonts w:eastAsia="Times New Roman"/>
          <w:lang w:bidi="ar-SA"/>
        </w:rPr>
        <w:t>02</w:t>
      </w:r>
      <w:r>
        <w:rPr>
          <w:rFonts w:eastAsia="Times New Roman"/>
          <w:lang w:bidi="ar-SA"/>
        </w:rPr>
        <w:t>,</w:t>
      </w:r>
      <w:r w:rsidR="00C40231">
        <w:rPr>
          <w:rFonts w:eastAsia="Times New Roman"/>
          <w:lang w:bidi="ar-SA"/>
        </w:rPr>
        <w:t xml:space="preserve"> </w:t>
      </w:r>
      <w:r>
        <w:rPr>
          <w:rFonts w:eastAsia="Times New Roman"/>
          <w:lang w:bidi="ar-SA"/>
        </w:rPr>
        <w:t xml:space="preserve">or </w:t>
      </w:r>
      <w:r w:rsidR="009B677C">
        <w:rPr>
          <w:rFonts w:eastAsia="Times New Roman"/>
          <w:lang w:bidi="ar-SA"/>
        </w:rPr>
        <w:t>24.8</w:t>
      </w:r>
      <w:r w:rsidR="00973FDF">
        <w:rPr>
          <w:rFonts w:eastAsia="Times New Roman"/>
          <w:lang w:bidi="ar-SA"/>
        </w:rPr>
        <w:t xml:space="preserve"> </w:t>
      </w:r>
      <w:r w:rsidR="0080117F" w:rsidRPr="008F7696">
        <w:rPr>
          <w:rFonts w:eastAsia="Times New Roman"/>
          <w:lang w:bidi="ar-SA"/>
        </w:rPr>
        <w:t xml:space="preserve">percent more per month using the </w:t>
      </w:r>
      <w:r w:rsidR="00C40231">
        <w:rPr>
          <w:rFonts w:eastAsia="Times New Roman"/>
          <w:lang w:bidi="ar-SA"/>
        </w:rPr>
        <w:t>revised</w:t>
      </w:r>
      <w:r w:rsidR="0080117F" w:rsidRPr="008F7696">
        <w:rPr>
          <w:rFonts w:eastAsia="Times New Roman"/>
          <w:lang w:bidi="ar-SA"/>
        </w:rPr>
        <w:t xml:space="preserve"> rates </w:t>
      </w:r>
      <w:r w:rsidR="00160BF0">
        <w:rPr>
          <w:rFonts w:eastAsia="Times New Roman"/>
          <w:lang w:bidi="ar-SA"/>
        </w:rPr>
        <w:t>as shown in the</w:t>
      </w:r>
      <w:r w:rsidR="0080117F" w:rsidRPr="008F7696">
        <w:rPr>
          <w:rFonts w:eastAsia="Times New Roman"/>
          <w:lang w:bidi="ar-SA"/>
        </w:rPr>
        <w:t xml:space="preserve"> </w:t>
      </w:r>
      <w:r>
        <w:rPr>
          <w:rFonts w:eastAsia="Times New Roman"/>
          <w:lang w:bidi="ar-SA"/>
        </w:rPr>
        <w:t>a</w:t>
      </w:r>
      <w:r w:rsidR="0080117F" w:rsidRPr="008F7696">
        <w:rPr>
          <w:rFonts w:eastAsia="Times New Roman"/>
          <w:lang w:bidi="ar-SA"/>
        </w:rPr>
        <w:t xml:space="preserve">verage </w:t>
      </w:r>
      <w:r>
        <w:rPr>
          <w:rFonts w:eastAsia="Times New Roman"/>
          <w:lang w:bidi="ar-SA"/>
        </w:rPr>
        <w:t>b</w:t>
      </w:r>
      <w:r w:rsidR="0080117F" w:rsidRPr="008F7696">
        <w:rPr>
          <w:rFonts w:eastAsia="Times New Roman"/>
          <w:lang w:bidi="ar-SA"/>
        </w:rPr>
        <w:t xml:space="preserve">ill </w:t>
      </w:r>
      <w:r>
        <w:rPr>
          <w:rFonts w:eastAsia="Times New Roman"/>
          <w:lang w:bidi="ar-SA"/>
        </w:rPr>
        <w:t>c</w:t>
      </w:r>
      <w:r w:rsidR="0080117F" w:rsidRPr="008F7696">
        <w:rPr>
          <w:rFonts w:eastAsia="Times New Roman"/>
          <w:lang w:bidi="ar-SA"/>
        </w:rPr>
        <w:t>omparison table below.</w:t>
      </w:r>
    </w:p>
    <w:p w14:paraId="1E31F028" w14:textId="77777777" w:rsidR="00645A0C" w:rsidRDefault="00645A0C" w:rsidP="0080117F">
      <w:pPr>
        <w:rPr>
          <w:b/>
          <w:u w:val="single"/>
        </w:rPr>
      </w:pPr>
    </w:p>
    <w:p w14:paraId="1E31F029" w14:textId="77777777" w:rsidR="009270B9" w:rsidRDefault="00832CE0" w:rsidP="009270B9">
      <w:pPr>
        <w:jc w:val="center"/>
        <w:rPr>
          <w:b/>
          <w:u w:val="single"/>
        </w:rPr>
      </w:pPr>
      <w:r w:rsidRPr="00450175">
        <w:rPr>
          <w:b/>
          <w:u w:val="single"/>
        </w:rPr>
        <w:t>Rate Comparison</w:t>
      </w:r>
    </w:p>
    <w:p w14:paraId="1E31F02A" w14:textId="77777777" w:rsidR="00CA3026" w:rsidRDefault="00CA3026" w:rsidP="009270B9">
      <w:pPr>
        <w:jc w:val="center"/>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2"/>
        <w:gridCol w:w="1834"/>
        <w:gridCol w:w="2212"/>
        <w:gridCol w:w="2212"/>
      </w:tblGrid>
      <w:tr w:rsidR="00E456CF" w:rsidRPr="009270B9" w14:paraId="1E31F02F" w14:textId="77777777" w:rsidTr="002D49F9">
        <w:trPr>
          <w:trHeight w:val="251"/>
        </w:trPr>
        <w:tc>
          <w:tcPr>
            <w:tcW w:w="1653" w:type="pct"/>
          </w:tcPr>
          <w:p w14:paraId="1E31F02B" w14:textId="77777777" w:rsidR="00E456CF" w:rsidRPr="009270B9" w:rsidRDefault="00E456CF" w:rsidP="002D49F9">
            <w:pPr>
              <w:keepNext/>
              <w:widowControl w:val="0"/>
              <w:autoSpaceDE w:val="0"/>
              <w:autoSpaceDN w:val="0"/>
              <w:adjustRightInd w:val="0"/>
              <w:jc w:val="center"/>
              <w:outlineLvl w:val="0"/>
              <w:rPr>
                <w:rFonts w:eastAsia="Times New Roman"/>
                <w:b/>
                <w:lang w:bidi="ar-SA"/>
              </w:rPr>
            </w:pPr>
            <w:r w:rsidRPr="009270B9">
              <w:rPr>
                <w:rFonts w:eastAsia="Times New Roman"/>
                <w:b/>
                <w:lang w:bidi="ar-SA"/>
              </w:rPr>
              <w:t>Monthly Rate</w:t>
            </w:r>
          </w:p>
        </w:tc>
        <w:tc>
          <w:tcPr>
            <w:tcW w:w="981" w:type="pct"/>
          </w:tcPr>
          <w:p w14:paraId="1E31F02C" w14:textId="77777777" w:rsidR="00E456CF" w:rsidRPr="009270B9" w:rsidRDefault="00E456CF" w:rsidP="002D49F9">
            <w:pPr>
              <w:widowControl w:val="0"/>
              <w:autoSpaceDE w:val="0"/>
              <w:autoSpaceDN w:val="0"/>
              <w:adjustRightInd w:val="0"/>
              <w:jc w:val="center"/>
              <w:rPr>
                <w:rFonts w:eastAsia="Times New Roman"/>
                <w:b/>
                <w:lang w:bidi="ar-SA"/>
              </w:rPr>
            </w:pPr>
            <w:r w:rsidRPr="009270B9">
              <w:rPr>
                <w:rFonts w:eastAsia="Times New Roman"/>
                <w:b/>
                <w:lang w:bidi="ar-SA"/>
              </w:rPr>
              <w:t>Current Rate</w:t>
            </w:r>
          </w:p>
        </w:tc>
        <w:tc>
          <w:tcPr>
            <w:tcW w:w="1183" w:type="pct"/>
          </w:tcPr>
          <w:p w14:paraId="1E31F02D" w14:textId="77777777" w:rsidR="00E456CF" w:rsidRPr="009270B9" w:rsidRDefault="00E456CF" w:rsidP="002D49F9">
            <w:pPr>
              <w:widowControl w:val="0"/>
              <w:autoSpaceDE w:val="0"/>
              <w:autoSpaceDN w:val="0"/>
              <w:adjustRightInd w:val="0"/>
              <w:jc w:val="center"/>
              <w:rPr>
                <w:rFonts w:eastAsia="Times New Roman"/>
                <w:b/>
                <w:lang w:bidi="ar-SA"/>
              </w:rPr>
            </w:pPr>
            <w:r w:rsidRPr="009270B9">
              <w:rPr>
                <w:rFonts w:eastAsia="Times New Roman"/>
                <w:b/>
                <w:lang w:bidi="ar-SA"/>
              </w:rPr>
              <w:t>Proposed Rate</w:t>
            </w:r>
          </w:p>
        </w:tc>
        <w:tc>
          <w:tcPr>
            <w:tcW w:w="1183" w:type="pct"/>
          </w:tcPr>
          <w:p w14:paraId="1E31F02E" w14:textId="77777777" w:rsidR="00E456CF" w:rsidRPr="00D3762B" w:rsidRDefault="00377CD3" w:rsidP="002D49F9">
            <w:pPr>
              <w:widowControl w:val="0"/>
              <w:autoSpaceDE w:val="0"/>
              <w:autoSpaceDN w:val="0"/>
              <w:adjustRightInd w:val="0"/>
              <w:jc w:val="center"/>
              <w:rPr>
                <w:rFonts w:eastAsia="Times New Roman"/>
                <w:b/>
                <w:highlight w:val="yellow"/>
                <w:lang w:bidi="ar-SA"/>
              </w:rPr>
            </w:pPr>
            <w:r w:rsidRPr="00377CD3">
              <w:rPr>
                <w:rFonts w:eastAsia="Times New Roman"/>
                <w:b/>
                <w:lang w:bidi="ar-SA"/>
              </w:rPr>
              <w:t>Revised</w:t>
            </w:r>
            <w:r w:rsidR="00E456CF" w:rsidRPr="00377CD3">
              <w:rPr>
                <w:rFonts w:eastAsia="Times New Roman"/>
                <w:b/>
                <w:lang w:bidi="ar-SA"/>
              </w:rPr>
              <w:t xml:space="preserve"> Rate</w:t>
            </w:r>
          </w:p>
        </w:tc>
      </w:tr>
      <w:tr w:rsidR="00E456CF" w:rsidRPr="009270B9" w14:paraId="1E31F034" w14:textId="77777777" w:rsidTr="00E456CF">
        <w:tc>
          <w:tcPr>
            <w:tcW w:w="1653" w:type="pct"/>
          </w:tcPr>
          <w:p w14:paraId="1E31F030" w14:textId="77777777" w:rsidR="00E456CF" w:rsidRDefault="00E456CF" w:rsidP="00B56E98">
            <w:pPr>
              <w:keepNext/>
              <w:widowControl w:val="0"/>
              <w:autoSpaceDE w:val="0"/>
              <w:autoSpaceDN w:val="0"/>
              <w:adjustRightInd w:val="0"/>
              <w:outlineLvl w:val="0"/>
              <w:rPr>
                <w:rFonts w:eastAsia="Times New Roman"/>
                <w:lang w:bidi="ar-SA"/>
              </w:rPr>
            </w:pPr>
            <w:r>
              <w:rPr>
                <w:rFonts w:eastAsia="Times New Roman"/>
                <w:lang w:bidi="ar-SA"/>
              </w:rPr>
              <w:t>Ready-to-Serve</w:t>
            </w:r>
          </w:p>
        </w:tc>
        <w:tc>
          <w:tcPr>
            <w:tcW w:w="981" w:type="pct"/>
          </w:tcPr>
          <w:p w14:paraId="1E31F031" w14:textId="77777777" w:rsidR="00E456CF" w:rsidRPr="009270B9" w:rsidRDefault="00E456CF" w:rsidP="00167054">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25.25</w:t>
            </w:r>
          </w:p>
        </w:tc>
        <w:tc>
          <w:tcPr>
            <w:tcW w:w="1183" w:type="pct"/>
          </w:tcPr>
          <w:p w14:paraId="1E31F032" w14:textId="77777777" w:rsidR="00E456CF" w:rsidRPr="009270B9" w:rsidRDefault="00E456CF" w:rsidP="00167054">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31.43</w:t>
            </w:r>
          </w:p>
        </w:tc>
        <w:tc>
          <w:tcPr>
            <w:tcW w:w="1183" w:type="pct"/>
          </w:tcPr>
          <w:p w14:paraId="1E31F033" w14:textId="1A9A7D53" w:rsidR="00E456CF" w:rsidRPr="004340AA" w:rsidRDefault="00D3762B" w:rsidP="004340AA">
            <w:pPr>
              <w:widowControl w:val="0"/>
              <w:autoSpaceDE w:val="0"/>
              <w:autoSpaceDN w:val="0"/>
              <w:adjustRightInd w:val="0"/>
              <w:jc w:val="center"/>
              <w:rPr>
                <w:rFonts w:eastAsia="Times New Roman"/>
                <w:lang w:bidi="ar-SA"/>
              </w:rPr>
            </w:pPr>
            <w:r w:rsidRPr="004340AA">
              <w:rPr>
                <w:rFonts w:eastAsia="Times New Roman"/>
                <w:lang w:bidi="ar-SA"/>
              </w:rPr>
              <w:t>$</w:t>
            </w:r>
            <w:r w:rsidR="004340AA">
              <w:rPr>
                <w:rFonts w:eastAsia="Times New Roman"/>
                <w:lang w:bidi="ar-SA"/>
              </w:rPr>
              <w:t>29.75</w:t>
            </w:r>
          </w:p>
        </w:tc>
      </w:tr>
      <w:tr w:rsidR="00E456CF" w:rsidRPr="009270B9" w14:paraId="1E31F039" w14:textId="77777777" w:rsidTr="00E456CF">
        <w:tc>
          <w:tcPr>
            <w:tcW w:w="1653" w:type="pct"/>
          </w:tcPr>
          <w:p w14:paraId="1E31F035" w14:textId="77777777" w:rsidR="00E456CF" w:rsidRPr="009270B9" w:rsidRDefault="00E456CF" w:rsidP="00C753C6">
            <w:pPr>
              <w:keepNext/>
              <w:widowControl w:val="0"/>
              <w:autoSpaceDE w:val="0"/>
              <w:autoSpaceDN w:val="0"/>
              <w:adjustRightInd w:val="0"/>
              <w:outlineLvl w:val="0"/>
              <w:rPr>
                <w:rFonts w:eastAsia="Times New Roman"/>
                <w:lang w:bidi="ar-SA"/>
              </w:rPr>
            </w:pPr>
            <w:r>
              <w:rPr>
                <w:rFonts w:eastAsia="Times New Roman"/>
                <w:lang w:bidi="ar-SA"/>
              </w:rPr>
              <w:t>Base Rate (3/4 I</w:t>
            </w:r>
            <w:r w:rsidRPr="009270B9">
              <w:rPr>
                <w:rFonts w:eastAsia="Times New Roman"/>
                <w:lang w:bidi="ar-SA"/>
              </w:rPr>
              <w:t xml:space="preserve">nch </w:t>
            </w:r>
            <w:r>
              <w:rPr>
                <w:rFonts w:eastAsia="Times New Roman"/>
                <w:lang w:bidi="ar-SA"/>
              </w:rPr>
              <w:t>M</w:t>
            </w:r>
            <w:r w:rsidRPr="009270B9">
              <w:rPr>
                <w:rFonts w:eastAsia="Times New Roman"/>
                <w:lang w:bidi="ar-SA"/>
              </w:rPr>
              <w:t>eter)</w:t>
            </w:r>
            <w:r w:rsidRPr="0050505B">
              <w:rPr>
                <w:vertAlign w:val="superscript"/>
              </w:rPr>
              <w:t xml:space="preserve"> 1</w:t>
            </w:r>
          </w:p>
        </w:tc>
        <w:tc>
          <w:tcPr>
            <w:tcW w:w="981" w:type="pct"/>
          </w:tcPr>
          <w:p w14:paraId="1E31F036" w14:textId="77777777" w:rsidR="00E456CF" w:rsidRPr="009270B9" w:rsidRDefault="00E456CF" w:rsidP="00167054">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25.25</w:t>
            </w:r>
          </w:p>
        </w:tc>
        <w:tc>
          <w:tcPr>
            <w:tcW w:w="1183" w:type="pct"/>
          </w:tcPr>
          <w:p w14:paraId="1E31F037" w14:textId="77777777" w:rsidR="00E456CF" w:rsidRPr="009270B9" w:rsidRDefault="00E456CF" w:rsidP="00167054">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31.43</w:t>
            </w:r>
          </w:p>
        </w:tc>
        <w:tc>
          <w:tcPr>
            <w:tcW w:w="1183" w:type="pct"/>
          </w:tcPr>
          <w:p w14:paraId="1E31F038" w14:textId="62DA107C" w:rsidR="00E456CF" w:rsidRPr="004340AA" w:rsidRDefault="00D3762B" w:rsidP="004340AA">
            <w:pPr>
              <w:widowControl w:val="0"/>
              <w:autoSpaceDE w:val="0"/>
              <w:autoSpaceDN w:val="0"/>
              <w:adjustRightInd w:val="0"/>
              <w:jc w:val="center"/>
              <w:rPr>
                <w:rFonts w:eastAsia="Times New Roman"/>
                <w:lang w:bidi="ar-SA"/>
              </w:rPr>
            </w:pPr>
            <w:r w:rsidRPr="004340AA">
              <w:rPr>
                <w:rFonts w:eastAsia="Times New Roman"/>
                <w:lang w:bidi="ar-SA"/>
              </w:rPr>
              <w:t>$</w:t>
            </w:r>
            <w:r w:rsidR="004340AA">
              <w:rPr>
                <w:rFonts w:eastAsia="Times New Roman"/>
                <w:lang w:bidi="ar-SA"/>
              </w:rPr>
              <w:t>29.75</w:t>
            </w:r>
          </w:p>
        </w:tc>
      </w:tr>
      <w:tr w:rsidR="00E456CF" w:rsidRPr="009270B9" w14:paraId="1E31F03E" w14:textId="77777777" w:rsidTr="00E456CF">
        <w:tc>
          <w:tcPr>
            <w:tcW w:w="1653" w:type="pct"/>
          </w:tcPr>
          <w:p w14:paraId="1E31F03A" w14:textId="77777777" w:rsidR="00E456CF" w:rsidRPr="009270B9" w:rsidRDefault="00E456CF" w:rsidP="00167054">
            <w:pPr>
              <w:widowControl w:val="0"/>
              <w:autoSpaceDE w:val="0"/>
              <w:autoSpaceDN w:val="0"/>
              <w:adjustRightInd w:val="0"/>
              <w:rPr>
                <w:rFonts w:eastAsia="Times New Roman"/>
                <w:lang w:bidi="ar-SA"/>
              </w:rPr>
            </w:pPr>
            <w:r>
              <w:t>Usage Block 0 – 1,000 Cubic Feet</w:t>
            </w:r>
            <w:r w:rsidRPr="0050505B">
              <w:rPr>
                <w:vertAlign w:val="superscript"/>
              </w:rPr>
              <w:t>1,2</w:t>
            </w:r>
          </w:p>
        </w:tc>
        <w:tc>
          <w:tcPr>
            <w:tcW w:w="981" w:type="pct"/>
          </w:tcPr>
          <w:p w14:paraId="1E31F03B" w14:textId="77777777" w:rsidR="00E456CF" w:rsidRPr="009270B9" w:rsidRDefault="00E456CF" w:rsidP="00177CFA">
            <w:pPr>
              <w:widowControl w:val="0"/>
              <w:autoSpaceDE w:val="0"/>
              <w:autoSpaceDN w:val="0"/>
              <w:adjustRightInd w:val="0"/>
              <w:jc w:val="center"/>
              <w:rPr>
                <w:rFonts w:eastAsia="Times New Roman"/>
                <w:lang w:bidi="ar-SA"/>
              </w:rPr>
            </w:pPr>
            <w:r>
              <w:rPr>
                <w:rFonts w:eastAsia="Times New Roman"/>
                <w:lang w:bidi="ar-SA"/>
              </w:rPr>
              <w:t>$1.83</w:t>
            </w:r>
          </w:p>
        </w:tc>
        <w:tc>
          <w:tcPr>
            <w:tcW w:w="1183" w:type="pct"/>
          </w:tcPr>
          <w:p w14:paraId="1E31F03C" w14:textId="77777777" w:rsidR="00E456CF" w:rsidRPr="009270B9" w:rsidRDefault="00E456CF" w:rsidP="00167054">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3.63</w:t>
            </w:r>
          </w:p>
        </w:tc>
        <w:tc>
          <w:tcPr>
            <w:tcW w:w="1183" w:type="pct"/>
          </w:tcPr>
          <w:p w14:paraId="1E31F03D" w14:textId="30411F19" w:rsidR="00E456CF" w:rsidRPr="004340AA" w:rsidRDefault="00D3762B" w:rsidP="00F72BDE">
            <w:pPr>
              <w:widowControl w:val="0"/>
              <w:autoSpaceDE w:val="0"/>
              <w:autoSpaceDN w:val="0"/>
              <w:adjustRightInd w:val="0"/>
              <w:jc w:val="center"/>
              <w:rPr>
                <w:rFonts w:eastAsia="Times New Roman"/>
                <w:lang w:bidi="ar-SA"/>
              </w:rPr>
            </w:pPr>
            <w:r w:rsidRPr="004340AA">
              <w:rPr>
                <w:rFonts w:eastAsia="Times New Roman"/>
                <w:lang w:bidi="ar-SA"/>
              </w:rPr>
              <w:t>$</w:t>
            </w:r>
            <w:r w:rsidR="004340AA">
              <w:rPr>
                <w:rFonts w:eastAsia="Times New Roman"/>
                <w:lang w:bidi="ar-SA"/>
              </w:rPr>
              <w:t>2.57</w:t>
            </w:r>
          </w:p>
        </w:tc>
      </w:tr>
      <w:tr w:rsidR="00E456CF" w:rsidRPr="009270B9" w14:paraId="1E31F043" w14:textId="77777777" w:rsidTr="00E456CF">
        <w:tc>
          <w:tcPr>
            <w:tcW w:w="1653" w:type="pct"/>
          </w:tcPr>
          <w:p w14:paraId="1E31F03F" w14:textId="77777777" w:rsidR="00E456CF" w:rsidRPr="009270B9" w:rsidRDefault="00E456CF" w:rsidP="00167054">
            <w:pPr>
              <w:widowControl w:val="0"/>
              <w:autoSpaceDE w:val="0"/>
              <w:autoSpaceDN w:val="0"/>
              <w:adjustRightInd w:val="0"/>
              <w:rPr>
                <w:rFonts w:eastAsia="Times New Roman"/>
                <w:lang w:bidi="ar-SA"/>
              </w:rPr>
            </w:pPr>
            <w:r>
              <w:t>Usage Block 1,001 – 1,700 Cubic Feet</w:t>
            </w:r>
            <w:r w:rsidRPr="0050505B">
              <w:rPr>
                <w:vertAlign w:val="superscript"/>
              </w:rPr>
              <w:t>1,2</w:t>
            </w:r>
          </w:p>
        </w:tc>
        <w:tc>
          <w:tcPr>
            <w:tcW w:w="981" w:type="pct"/>
          </w:tcPr>
          <w:p w14:paraId="1E31F040" w14:textId="77777777" w:rsidR="00E456CF" w:rsidRPr="009270B9" w:rsidRDefault="00E456CF" w:rsidP="005A1499">
            <w:pPr>
              <w:widowControl w:val="0"/>
              <w:autoSpaceDE w:val="0"/>
              <w:autoSpaceDN w:val="0"/>
              <w:adjustRightInd w:val="0"/>
              <w:jc w:val="center"/>
              <w:rPr>
                <w:rFonts w:eastAsia="Times New Roman"/>
                <w:lang w:bidi="ar-SA"/>
              </w:rPr>
            </w:pPr>
            <w:r>
              <w:rPr>
                <w:rFonts w:eastAsia="Times New Roman"/>
                <w:lang w:bidi="ar-SA"/>
              </w:rPr>
              <w:t>$4.71</w:t>
            </w:r>
          </w:p>
        </w:tc>
        <w:tc>
          <w:tcPr>
            <w:tcW w:w="1183" w:type="pct"/>
          </w:tcPr>
          <w:p w14:paraId="1E31F041" w14:textId="77777777" w:rsidR="00E456CF" w:rsidRPr="009270B9" w:rsidRDefault="00E456CF" w:rsidP="00EC4599">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4.71</w:t>
            </w:r>
          </w:p>
        </w:tc>
        <w:tc>
          <w:tcPr>
            <w:tcW w:w="1183" w:type="pct"/>
          </w:tcPr>
          <w:p w14:paraId="1E31F042" w14:textId="77777777" w:rsidR="00E456CF" w:rsidRPr="004340AA" w:rsidRDefault="00D3762B" w:rsidP="00F72BDE">
            <w:pPr>
              <w:widowControl w:val="0"/>
              <w:autoSpaceDE w:val="0"/>
              <w:autoSpaceDN w:val="0"/>
              <w:adjustRightInd w:val="0"/>
              <w:jc w:val="center"/>
              <w:rPr>
                <w:rFonts w:eastAsia="Times New Roman"/>
                <w:lang w:bidi="ar-SA"/>
              </w:rPr>
            </w:pPr>
            <w:r w:rsidRPr="004340AA">
              <w:rPr>
                <w:rFonts w:eastAsia="Times New Roman"/>
                <w:lang w:bidi="ar-SA"/>
              </w:rPr>
              <w:t>$</w:t>
            </w:r>
            <w:r w:rsidR="00F72BDE" w:rsidRPr="004340AA">
              <w:rPr>
                <w:rFonts w:eastAsia="Times New Roman"/>
                <w:lang w:bidi="ar-SA"/>
              </w:rPr>
              <w:t>4.75</w:t>
            </w:r>
          </w:p>
        </w:tc>
      </w:tr>
      <w:tr w:rsidR="00E456CF" w:rsidRPr="009270B9" w14:paraId="1E31F048" w14:textId="77777777" w:rsidTr="00E456CF">
        <w:tc>
          <w:tcPr>
            <w:tcW w:w="1653" w:type="pct"/>
          </w:tcPr>
          <w:p w14:paraId="1E31F044" w14:textId="77777777" w:rsidR="00E456CF" w:rsidRPr="009270B9" w:rsidRDefault="00E456CF" w:rsidP="00167054">
            <w:pPr>
              <w:widowControl w:val="0"/>
              <w:autoSpaceDE w:val="0"/>
              <w:autoSpaceDN w:val="0"/>
              <w:adjustRightInd w:val="0"/>
              <w:rPr>
                <w:rFonts w:eastAsia="Times New Roman"/>
                <w:lang w:bidi="ar-SA"/>
              </w:rPr>
            </w:pPr>
            <w:r>
              <w:t>Over 1,700 Cubic Feet</w:t>
            </w:r>
            <w:r w:rsidRPr="0050505B">
              <w:rPr>
                <w:vertAlign w:val="superscript"/>
              </w:rPr>
              <w:t>1,2</w:t>
            </w:r>
          </w:p>
        </w:tc>
        <w:tc>
          <w:tcPr>
            <w:tcW w:w="981" w:type="pct"/>
          </w:tcPr>
          <w:p w14:paraId="1E31F045" w14:textId="77777777" w:rsidR="00E456CF" w:rsidRPr="009270B9" w:rsidRDefault="00E456CF" w:rsidP="00EC4599">
            <w:pPr>
              <w:widowControl w:val="0"/>
              <w:autoSpaceDE w:val="0"/>
              <w:autoSpaceDN w:val="0"/>
              <w:adjustRightInd w:val="0"/>
              <w:jc w:val="center"/>
              <w:rPr>
                <w:rFonts w:eastAsia="Times New Roman"/>
                <w:lang w:bidi="ar-SA"/>
              </w:rPr>
            </w:pPr>
            <w:r>
              <w:rPr>
                <w:rFonts w:eastAsia="Times New Roman"/>
                <w:lang w:bidi="ar-SA"/>
              </w:rPr>
              <w:t>$6.00</w:t>
            </w:r>
          </w:p>
        </w:tc>
        <w:tc>
          <w:tcPr>
            <w:tcW w:w="1183" w:type="pct"/>
          </w:tcPr>
          <w:p w14:paraId="1E31F046" w14:textId="77777777" w:rsidR="00E456CF" w:rsidRPr="009270B9" w:rsidRDefault="00E456CF" w:rsidP="005A1499">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6.00</w:t>
            </w:r>
          </w:p>
        </w:tc>
        <w:tc>
          <w:tcPr>
            <w:tcW w:w="1183" w:type="pct"/>
          </w:tcPr>
          <w:p w14:paraId="1E31F047" w14:textId="77777777" w:rsidR="00E456CF" w:rsidRPr="004340AA" w:rsidRDefault="00D3762B" w:rsidP="00F72BDE">
            <w:pPr>
              <w:widowControl w:val="0"/>
              <w:autoSpaceDE w:val="0"/>
              <w:autoSpaceDN w:val="0"/>
              <w:adjustRightInd w:val="0"/>
              <w:jc w:val="center"/>
              <w:rPr>
                <w:rFonts w:eastAsia="Times New Roman"/>
                <w:lang w:bidi="ar-SA"/>
              </w:rPr>
            </w:pPr>
            <w:r w:rsidRPr="004340AA">
              <w:rPr>
                <w:rFonts w:eastAsia="Times New Roman"/>
                <w:lang w:bidi="ar-SA"/>
              </w:rPr>
              <w:t>$</w:t>
            </w:r>
            <w:r w:rsidR="00F72BDE" w:rsidRPr="004340AA">
              <w:rPr>
                <w:rFonts w:eastAsia="Times New Roman"/>
                <w:lang w:bidi="ar-SA"/>
              </w:rPr>
              <w:t>6.00</w:t>
            </w:r>
          </w:p>
        </w:tc>
      </w:tr>
    </w:tbl>
    <w:p w14:paraId="1E31F049" w14:textId="77777777" w:rsidR="00B3307B" w:rsidRDefault="00B3307B" w:rsidP="00466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vertAlign w:val="superscript"/>
        </w:rPr>
      </w:pPr>
    </w:p>
    <w:p w14:paraId="1E31F04A" w14:textId="77777777" w:rsidR="00466174" w:rsidRPr="0050505B" w:rsidRDefault="00466174" w:rsidP="00466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vertAlign w:val="superscript"/>
        </w:rPr>
      </w:pPr>
      <w:r w:rsidRPr="0050505B">
        <w:rPr>
          <w:vertAlign w:val="superscript"/>
        </w:rPr>
        <w:t>1 – Based on ¾-inch meter classification, see company’s tariff for upsize meter classification</w:t>
      </w:r>
      <w:r w:rsidR="00B3307B">
        <w:rPr>
          <w:vertAlign w:val="superscript"/>
        </w:rPr>
        <w:t>s</w:t>
      </w:r>
      <w:r w:rsidRPr="0050505B">
        <w:rPr>
          <w:vertAlign w:val="superscript"/>
        </w:rPr>
        <w:t>, usage blocks and rates.</w:t>
      </w:r>
    </w:p>
    <w:p w14:paraId="1E31F04B" w14:textId="77777777" w:rsidR="00466174" w:rsidRPr="0050505B" w:rsidRDefault="00466174" w:rsidP="00466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vertAlign w:val="superscript"/>
        </w:rPr>
      </w:pPr>
      <w:r w:rsidRPr="0050505B">
        <w:rPr>
          <w:vertAlign w:val="superscript"/>
        </w:rPr>
        <w:t>2 – Based on “per 100 cubic feet”.</w:t>
      </w:r>
    </w:p>
    <w:p w14:paraId="1E31F04C" w14:textId="77777777" w:rsidR="00F148CB" w:rsidRDefault="00F148CB" w:rsidP="003F0972">
      <w:pPr>
        <w:jc w:val="center"/>
        <w:rPr>
          <w:rFonts w:eastAsia="Times New Roman"/>
          <w:b/>
          <w:u w:val="single"/>
          <w:lang w:bidi="ar-SA"/>
        </w:rPr>
      </w:pPr>
    </w:p>
    <w:p w14:paraId="1E31F04D" w14:textId="77777777" w:rsidR="009270B9" w:rsidRPr="009270B9" w:rsidRDefault="009270B9" w:rsidP="003F0972">
      <w:pPr>
        <w:jc w:val="center"/>
        <w:rPr>
          <w:rFonts w:eastAsia="Times New Roman"/>
          <w:b/>
          <w:u w:val="single"/>
          <w:lang w:bidi="ar-SA"/>
        </w:rPr>
      </w:pPr>
      <w:r w:rsidRPr="009270B9">
        <w:rPr>
          <w:rFonts w:eastAsia="Times New Roman"/>
          <w:b/>
          <w:u w:val="single"/>
          <w:lang w:bidi="ar-SA"/>
        </w:rPr>
        <w:t>Average Bill Comparison</w:t>
      </w:r>
    </w:p>
    <w:p w14:paraId="1E31F04E" w14:textId="77777777" w:rsidR="009270B9" w:rsidRPr="009270B9" w:rsidRDefault="009270B9" w:rsidP="009270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8"/>
        <w:gridCol w:w="1907"/>
        <w:gridCol w:w="2154"/>
        <w:gridCol w:w="2151"/>
      </w:tblGrid>
      <w:tr w:rsidR="00377CD3" w:rsidRPr="009270B9" w14:paraId="1E31F054" w14:textId="77777777" w:rsidTr="002D49F9">
        <w:tc>
          <w:tcPr>
            <w:tcW w:w="1678" w:type="pct"/>
          </w:tcPr>
          <w:p w14:paraId="1E31F04F" w14:textId="77777777" w:rsidR="00377CD3" w:rsidRPr="009270B9" w:rsidRDefault="00377CD3" w:rsidP="002D49F9">
            <w:pPr>
              <w:keepNext/>
              <w:widowControl w:val="0"/>
              <w:autoSpaceDE w:val="0"/>
              <w:autoSpaceDN w:val="0"/>
              <w:adjustRightInd w:val="0"/>
              <w:jc w:val="center"/>
              <w:outlineLvl w:val="0"/>
              <w:rPr>
                <w:rFonts w:eastAsia="Times New Roman"/>
                <w:b/>
                <w:lang w:bidi="ar-SA"/>
              </w:rPr>
            </w:pPr>
            <w:r w:rsidRPr="009270B9">
              <w:rPr>
                <w:rFonts w:eastAsia="Times New Roman"/>
                <w:b/>
                <w:lang w:bidi="ar-SA"/>
              </w:rPr>
              <w:t>Average Monthly Usage</w:t>
            </w:r>
          </w:p>
          <w:p w14:paraId="1E31F050" w14:textId="77777777" w:rsidR="00377CD3" w:rsidRPr="009270B9" w:rsidRDefault="00377CD3" w:rsidP="002D49F9">
            <w:pPr>
              <w:keepNext/>
              <w:widowControl w:val="0"/>
              <w:autoSpaceDE w:val="0"/>
              <w:autoSpaceDN w:val="0"/>
              <w:adjustRightInd w:val="0"/>
              <w:jc w:val="center"/>
              <w:outlineLvl w:val="0"/>
              <w:rPr>
                <w:rFonts w:eastAsia="Times New Roman"/>
                <w:b/>
                <w:lang w:bidi="ar-SA"/>
              </w:rPr>
            </w:pPr>
            <w:r>
              <w:t>611</w:t>
            </w:r>
            <w:r w:rsidRPr="009442FC">
              <w:t xml:space="preserve"> </w:t>
            </w:r>
            <w:r>
              <w:t>Cubic Feet</w:t>
            </w:r>
            <w:r w:rsidRPr="00466174">
              <w:rPr>
                <w:vertAlign w:val="superscript"/>
              </w:rPr>
              <w:t>3</w:t>
            </w:r>
          </w:p>
        </w:tc>
        <w:tc>
          <w:tcPr>
            <w:tcW w:w="1020" w:type="pct"/>
          </w:tcPr>
          <w:p w14:paraId="1E31F051" w14:textId="77777777" w:rsidR="00377CD3" w:rsidRPr="009270B9" w:rsidRDefault="00377CD3" w:rsidP="002D49F9">
            <w:pPr>
              <w:widowControl w:val="0"/>
              <w:autoSpaceDE w:val="0"/>
              <w:autoSpaceDN w:val="0"/>
              <w:adjustRightInd w:val="0"/>
              <w:jc w:val="center"/>
              <w:rPr>
                <w:rFonts w:eastAsia="Times New Roman"/>
                <w:b/>
                <w:lang w:bidi="ar-SA"/>
              </w:rPr>
            </w:pPr>
            <w:r w:rsidRPr="009270B9">
              <w:rPr>
                <w:rFonts w:eastAsia="Times New Roman"/>
                <w:b/>
                <w:lang w:bidi="ar-SA"/>
              </w:rPr>
              <w:t>Current Rate</w:t>
            </w:r>
          </w:p>
        </w:tc>
        <w:tc>
          <w:tcPr>
            <w:tcW w:w="1152" w:type="pct"/>
          </w:tcPr>
          <w:p w14:paraId="1E31F052" w14:textId="77777777" w:rsidR="00377CD3" w:rsidRPr="009270B9" w:rsidRDefault="00377CD3" w:rsidP="002D49F9">
            <w:pPr>
              <w:widowControl w:val="0"/>
              <w:autoSpaceDE w:val="0"/>
              <w:autoSpaceDN w:val="0"/>
              <w:adjustRightInd w:val="0"/>
              <w:jc w:val="center"/>
              <w:rPr>
                <w:rFonts w:eastAsia="Times New Roman"/>
                <w:b/>
                <w:lang w:bidi="ar-SA"/>
              </w:rPr>
            </w:pPr>
            <w:r w:rsidRPr="009270B9">
              <w:rPr>
                <w:rFonts w:eastAsia="Times New Roman"/>
                <w:b/>
                <w:lang w:bidi="ar-SA"/>
              </w:rPr>
              <w:t>Proposed Rate</w:t>
            </w:r>
          </w:p>
        </w:tc>
        <w:tc>
          <w:tcPr>
            <w:tcW w:w="1150" w:type="pct"/>
          </w:tcPr>
          <w:p w14:paraId="1E31F053" w14:textId="77777777" w:rsidR="00377CD3" w:rsidRPr="00D3762B" w:rsidRDefault="00377CD3" w:rsidP="002D49F9">
            <w:pPr>
              <w:widowControl w:val="0"/>
              <w:autoSpaceDE w:val="0"/>
              <w:autoSpaceDN w:val="0"/>
              <w:adjustRightInd w:val="0"/>
              <w:jc w:val="center"/>
              <w:rPr>
                <w:rFonts w:eastAsia="Times New Roman"/>
                <w:b/>
                <w:highlight w:val="yellow"/>
                <w:lang w:bidi="ar-SA"/>
              </w:rPr>
            </w:pPr>
            <w:r w:rsidRPr="00377CD3">
              <w:rPr>
                <w:rFonts w:eastAsia="Times New Roman"/>
                <w:b/>
                <w:lang w:bidi="ar-SA"/>
              </w:rPr>
              <w:t>Revised Rate</w:t>
            </w:r>
          </w:p>
        </w:tc>
      </w:tr>
      <w:tr w:rsidR="00D3762B" w:rsidRPr="009270B9" w14:paraId="1E31F059" w14:textId="77777777" w:rsidTr="00D3762B">
        <w:tc>
          <w:tcPr>
            <w:tcW w:w="1678" w:type="pct"/>
          </w:tcPr>
          <w:p w14:paraId="1E31F055" w14:textId="77777777" w:rsidR="00D3762B" w:rsidRPr="009270B9" w:rsidRDefault="00D3762B" w:rsidP="00D3762B">
            <w:pPr>
              <w:keepNext/>
              <w:widowControl w:val="0"/>
              <w:autoSpaceDE w:val="0"/>
              <w:autoSpaceDN w:val="0"/>
              <w:adjustRightInd w:val="0"/>
              <w:outlineLvl w:val="0"/>
              <w:rPr>
                <w:rFonts w:eastAsia="Times New Roman"/>
                <w:lang w:bidi="ar-SA"/>
              </w:rPr>
            </w:pPr>
            <w:r>
              <w:rPr>
                <w:rFonts w:eastAsia="Times New Roman"/>
                <w:lang w:bidi="ar-SA"/>
              </w:rPr>
              <w:t>Base Rate (3/4 I</w:t>
            </w:r>
            <w:r w:rsidRPr="009270B9">
              <w:rPr>
                <w:rFonts w:eastAsia="Times New Roman"/>
                <w:lang w:bidi="ar-SA"/>
              </w:rPr>
              <w:t xml:space="preserve">nch </w:t>
            </w:r>
            <w:r>
              <w:rPr>
                <w:rFonts w:eastAsia="Times New Roman"/>
                <w:lang w:bidi="ar-SA"/>
              </w:rPr>
              <w:t>M</w:t>
            </w:r>
            <w:r w:rsidRPr="009270B9">
              <w:rPr>
                <w:rFonts w:eastAsia="Times New Roman"/>
                <w:lang w:bidi="ar-SA"/>
              </w:rPr>
              <w:t>eter)</w:t>
            </w:r>
          </w:p>
        </w:tc>
        <w:tc>
          <w:tcPr>
            <w:tcW w:w="1020" w:type="pct"/>
          </w:tcPr>
          <w:p w14:paraId="1E31F056" w14:textId="77777777" w:rsidR="00D3762B" w:rsidRPr="009270B9" w:rsidRDefault="00D3762B" w:rsidP="00D3762B">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25.25</w:t>
            </w:r>
          </w:p>
        </w:tc>
        <w:tc>
          <w:tcPr>
            <w:tcW w:w="1152" w:type="pct"/>
          </w:tcPr>
          <w:p w14:paraId="1E31F057" w14:textId="77777777" w:rsidR="00D3762B" w:rsidRPr="009270B9" w:rsidRDefault="00D3762B" w:rsidP="00D3762B">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31.43</w:t>
            </w:r>
          </w:p>
        </w:tc>
        <w:tc>
          <w:tcPr>
            <w:tcW w:w="1150" w:type="pct"/>
          </w:tcPr>
          <w:p w14:paraId="1E31F058" w14:textId="7AAFADBC" w:rsidR="00D3762B" w:rsidRPr="004340AA" w:rsidRDefault="00D3762B" w:rsidP="004340AA">
            <w:pPr>
              <w:widowControl w:val="0"/>
              <w:autoSpaceDE w:val="0"/>
              <w:autoSpaceDN w:val="0"/>
              <w:adjustRightInd w:val="0"/>
              <w:jc w:val="center"/>
              <w:rPr>
                <w:rFonts w:eastAsia="Times New Roman"/>
                <w:lang w:bidi="ar-SA"/>
              </w:rPr>
            </w:pPr>
            <w:r w:rsidRPr="004340AA">
              <w:rPr>
                <w:rFonts w:eastAsia="Times New Roman"/>
                <w:lang w:bidi="ar-SA"/>
              </w:rPr>
              <w:t>$</w:t>
            </w:r>
            <w:r w:rsidR="004340AA">
              <w:rPr>
                <w:rFonts w:eastAsia="Times New Roman"/>
                <w:lang w:bidi="ar-SA"/>
              </w:rPr>
              <w:t>29.75</w:t>
            </w:r>
          </w:p>
        </w:tc>
      </w:tr>
      <w:tr w:rsidR="00D3762B" w:rsidRPr="009270B9" w14:paraId="1E31F05E" w14:textId="77777777" w:rsidTr="00D3762B">
        <w:tc>
          <w:tcPr>
            <w:tcW w:w="1678" w:type="pct"/>
          </w:tcPr>
          <w:p w14:paraId="1E31F05A" w14:textId="77777777" w:rsidR="00D3762B" w:rsidRPr="009270B9" w:rsidRDefault="00D3762B" w:rsidP="00D3762B">
            <w:pPr>
              <w:widowControl w:val="0"/>
              <w:autoSpaceDE w:val="0"/>
              <w:autoSpaceDN w:val="0"/>
              <w:adjustRightInd w:val="0"/>
              <w:rPr>
                <w:rFonts w:eastAsia="Times New Roman"/>
                <w:lang w:bidi="ar-SA"/>
              </w:rPr>
            </w:pPr>
            <w:r>
              <w:rPr>
                <w:rFonts w:eastAsia="Times New Roman"/>
                <w:lang w:bidi="ar-SA"/>
              </w:rPr>
              <w:t>0 -  611 Cubic Feet</w:t>
            </w:r>
          </w:p>
        </w:tc>
        <w:tc>
          <w:tcPr>
            <w:tcW w:w="1020" w:type="pct"/>
          </w:tcPr>
          <w:p w14:paraId="1E31F05B" w14:textId="77777777" w:rsidR="00D3762B" w:rsidRPr="009270B9" w:rsidRDefault="00D3762B" w:rsidP="00D3762B">
            <w:pPr>
              <w:widowControl w:val="0"/>
              <w:autoSpaceDE w:val="0"/>
              <w:autoSpaceDN w:val="0"/>
              <w:adjustRightInd w:val="0"/>
              <w:jc w:val="center"/>
              <w:rPr>
                <w:rFonts w:eastAsia="Times New Roman"/>
                <w:lang w:bidi="ar-SA"/>
              </w:rPr>
            </w:pPr>
            <w:r>
              <w:rPr>
                <w:rFonts w:eastAsia="Times New Roman"/>
                <w:lang w:bidi="ar-SA"/>
              </w:rPr>
              <w:t>$11.18</w:t>
            </w:r>
          </w:p>
        </w:tc>
        <w:tc>
          <w:tcPr>
            <w:tcW w:w="1152" w:type="pct"/>
          </w:tcPr>
          <w:p w14:paraId="1E31F05C" w14:textId="77777777" w:rsidR="00D3762B" w:rsidRPr="009270B9" w:rsidRDefault="00D3762B" w:rsidP="00D3762B">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22.18</w:t>
            </w:r>
          </w:p>
        </w:tc>
        <w:tc>
          <w:tcPr>
            <w:tcW w:w="1150" w:type="pct"/>
          </w:tcPr>
          <w:p w14:paraId="1E31F05D" w14:textId="31053D13" w:rsidR="00D3762B" w:rsidRPr="004340AA" w:rsidRDefault="00D3762B" w:rsidP="004730C8">
            <w:pPr>
              <w:widowControl w:val="0"/>
              <w:autoSpaceDE w:val="0"/>
              <w:autoSpaceDN w:val="0"/>
              <w:adjustRightInd w:val="0"/>
              <w:jc w:val="center"/>
              <w:rPr>
                <w:rFonts w:eastAsia="Times New Roman"/>
                <w:lang w:bidi="ar-SA"/>
              </w:rPr>
            </w:pPr>
            <w:r w:rsidRPr="004340AA">
              <w:rPr>
                <w:rFonts w:eastAsia="Times New Roman"/>
                <w:lang w:bidi="ar-SA"/>
              </w:rPr>
              <w:t>$</w:t>
            </w:r>
            <w:r w:rsidR="004340AA">
              <w:rPr>
                <w:rFonts w:eastAsia="Times New Roman"/>
                <w:lang w:bidi="ar-SA"/>
              </w:rPr>
              <w:t>15.70</w:t>
            </w:r>
          </w:p>
        </w:tc>
      </w:tr>
      <w:tr w:rsidR="00D3762B" w:rsidRPr="009270B9" w14:paraId="1E31F063" w14:textId="77777777" w:rsidTr="00D3762B">
        <w:tc>
          <w:tcPr>
            <w:tcW w:w="1678" w:type="pct"/>
          </w:tcPr>
          <w:p w14:paraId="1E31F05F" w14:textId="77777777" w:rsidR="00D3762B" w:rsidRPr="009270B9" w:rsidRDefault="00D3762B" w:rsidP="00D3762B">
            <w:pPr>
              <w:widowControl w:val="0"/>
              <w:autoSpaceDE w:val="0"/>
              <w:autoSpaceDN w:val="0"/>
              <w:adjustRightInd w:val="0"/>
              <w:rPr>
                <w:rFonts w:eastAsia="Times New Roman"/>
                <w:lang w:bidi="ar-SA"/>
              </w:rPr>
            </w:pPr>
            <w:r w:rsidRPr="009270B9">
              <w:rPr>
                <w:rFonts w:eastAsia="Times New Roman"/>
                <w:lang w:bidi="ar-SA"/>
              </w:rPr>
              <w:t>Average Monthly Bill</w:t>
            </w:r>
          </w:p>
        </w:tc>
        <w:tc>
          <w:tcPr>
            <w:tcW w:w="1020" w:type="pct"/>
            <w:tcBorders>
              <w:top w:val="single" w:sz="18" w:space="0" w:color="auto"/>
              <w:bottom w:val="single" w:sz="18" w:space="0" w:color="auto"/>
            </w:tcBorders>
          </w:tcPr>
          <w:p w14:paraId="1E31F060" w14:textId="77777777" w:rsidR="00D3762B" w:rsidRPr="009270B9" w:rsidRDefault="00D3762B" w:rsidP="00D3762B">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36.43</w:t>
            </w:r>
          </w:p>
        </w:tc>
        <w:tc>
          <w:tcPr>
            <w:tcW w:w="1152" w:type="pct"/>
            <w:tcBorders>
              <w:top w:val="single" w:sz="18" w:space="0" w:color="auto"/>
              <w:bottom w:val="single" w:sz="18" w:space="0" w:color="auto"/>
            </w:tcBorders>
          </w:tcPr>
          <w:p w14:paraId="1E31F061" w14:textId="77777777" w:rsidR="00D3762B" w:rsidRPr="009270B9" w:rsidRDefault="00D3762B" w:rsidP="00D3762B">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53.61</w:t>
            </w:r>
          </w:p>
        </w:tc>
        <w:tc>
          <w:tcPr>
            <w:tcW w:w="1150" w:type="pct"/>
            <w:tcBorders>
              <w:top w:val="single" w:sz="18" w:space="0" w:color="auto"/>
              <w:bottom w:val="single" w:sz="18" w:space="0" w:color="auto"/>
            </w:tcBorders>
          </w:tcPr>
          <w:p w14:paraId="1E31F062" w14:textId="1F0DA0A0" w:rsidR="00D3762B" w:rsidRPr="004340AA" w:rsidRDefault="00D3762B" w:rsidP="009111D0">
            <w:pPr>
              <w:widowControl w:val="0"/>
              <w:autoSpaceDE w:val="0"/>
              <w:autoSpaceDN w:val="0"/>
              <w:adjustRightInd w:val="0"/>
              <w:jc w:val="center"/>
              <w:rPr>
                <w:rFonts w:eastAsia="Times New Roman"/>
                <w:lang w:bidi="ar-SA"/>
              </w:rPr>
            </w:pPr>
            <w:r w:rsidRPr="004340AA">
              <w:rPr>
                <w:rFonts w:eastAsia="Times New Roman"/>
                <w:lang w:bidi="ar-SA"/>
              </w:rPr>
              <w:t>$</w:t>
            </w:r>
            <w:r w:rsidR="004340AA">
              <w:rPr>
                <w:rFonts w:eastAsia="Times New Roman"/>
                <w:lang w:bidi="ar-SA"/>
              </w:rPr>
              <w:t>45.45</w:t>
            </w:r>
          </w:p>
        </w:tc>
      </w:tr>
      <w:tr w:rsidR="00D3762B" w:rsidRPr="009270B9" w14:paraId="1E31F068" w14:textId="77777777" w:rsidTr="00D3762B">
        <w:tc>
          <w:tcPr>
            <w:tcW w:w="1678" w:type="pct"/>
          </w:tcPr>
          <w:p w14:paraId="1E31F064" w14:textId="77777777" w:rsidR="00D3762B" w:rsidRPr="009270B9" w:rsidRDefault="00D3762B" w:rsidP="00D3762B">
            <w:pPr>
              <w:widowControl w:val="0"/>
              <w:autoSpaceDE w:val="0"/>
              <w:autoSpaceDN w:val="0"/>
              <w:adjustRightInd w:val="0"/>
              <w:rPr>
                <w:rFonts w:eastAsia="Times New Roman"/>
                <w:lang w:bidi="ar-SA"/>
              </w:rPr>
            </w:pPr>
            <w:r w:rsidRPr="007C07AE">
              <w:t>Increase From Current Rates</w:t>
            </w:r>
          </w:p>
        </w:tc>
        <w:tc>
          <w:tcPr>
            <w:tcW w:w="1020" w:type="pct"/>
            <w:tcBorders>
              <w:top w:val="single" w:sz="18" w:space="0" w:color="auto"/>
              <w:bottom w:val="double" w:sz="4" w:space="0" w:color="auto"/>
            </w:tcBorders>
          </w:tcPr>
          <w:p w14:paraId="1E31F065" w14:textId="77777777" w:rsidR="00D3762B" w:rsidRPr="009270B9" w:rsidRDefault="00D3762B" w:rsidP="00D3762B">
            <w:pPr>
              <w:widowControl w:val="0"/>
              <w:autoSpaceDE w:val="0"/>
              <w:autoSpaceDN w:val="0"/>
              <w:adjustRightInd w:val="0"/>
              <w:jc w:val="center"/>
              <w:rPr>
                <w:rFonts w:eastAsia="Times New Roman"/>
                <w:lang w:bidi="ar-SA"/>
              </w:rPr>
            </w:pPr>
          </w:p>
        </w:tc>
        <w:tc>
          <w:tcPr>
            <w:tcW w:w="1152" w:type="pct"/>
            <w:tcBorders>
              <w:top w:val="single" w:sz="18" w:space="0" w:color="auto"/>
              <w:bottom w:val="double" w:sz="4" w:space="0" w:color="auto"/>
            </w:tcBorders>
          </w:tcPr>
          <w:p w14:paraId="1E31F066" w14:textId="77777777" w:rsidR="00D3762B" w:rsidRPr="009270B9" w:rsidRDefault="00D3762B" w:rsidP="00D3762B">
            <w:pPr>
              <w:widowControl w:val="0"/>
              <w:autoSpaceDE w:val="0"/>
              <w:autoSpaceDN w:val="0"/>
              <w:adjustRightInd w:val="0"/>
              <w:jc w:val="center"/>
              <w:rPr>
                <w:rFonts w:eastAsia="Times New Roman"/>
                <w:lang w:bidi="ar-SA"/>
              </w:rPr>
            </w:pPr>
            <w:r>
              <w:rPr>
                <w:rFonts w:eastAsia="Times New Roman"/>
                <w:lang w:bidi="ar-SA"/>
              </w:rPr>
              <w:t>$17.18 (or 47.2 percent)</w:t>
            </w:r>
          </w:p>
        </w:tc>
        <w:tc>
          <w:tcPr>
            <w:tcW w:w="1150" w:type="pct"/>
            <w:tcBorders>
              <w:top w:val="single" w:sz="18" w:space="0" w:color="auto"/>
              <w:bottom w:val="double" w:sz="4" w:space="0" w:color="auto"/>
            </w:tcBorders>
          </w:tcPr>
          <w:p w14:paraId="1E31F067" w14:textId="49224110" w:rsidR="00D3762B" w:rsidRPr="004340AA" w:rsidRDefault="00D3762B" w:rsidP="004340AA">
            <w:pPr>
              <w:widowControl w:val="0"/>
              <w:autoSpaceDE w:val="0"/>
              <w:autoSpaceDN w:val="0"/>
              <w:adjustRightInd w:val="0"/>
              <w:jc w:val="center"/>
              <w:rPr>
                <w:rFonts w:eastAsia="Times New Roman"/>
                <w:lang w:bidi="ar-SA"/>
              </w:rPr>
            </w:pPr>
            <w:r w:rsidRPr="004340AA">
              <w:rPr>
                <w:rFonts w:eastAsia="Times New Roman"/>
                <w:lang w:bidi="ar-SA"/>
              </w:rPr>
              <w:t>$</w:t>
            </w:r>
            <w:r w:rsidR="004340AA">
              <w:rPr>
                <w:rFonts w:eastAsia="Times New Roman"/>
                <w:lang w:bidi="ar-SA"/>
              </w:rPr>
              <w:t>9.02</w:t>
            </w:r>
            <w:r w:rsidRPr="004340AA">
              <w:rPr>
                <w:rFonts w:eastAsia="Times New Roman"/>
                <w:lang w:bidi="ar-SA"/>
              </w:rPr>
              <w:t xml:space="preserve"> (or </w:t>
            </w:r>
            <w:r w:rsidR="004340AA">
              <w:rPr>
                <w:rFonts w:eastAsia="Times New Roman"/>
                <w:lang w:bidi="ar-SA"/>
              </w:rPr>
              <w:t>24.8</w:t>
            </w:r>
            <w:r w:rsidRPr="004340AA">
              <w:rPr>
                <w:rFonts w:eastAsia="Times New Roman"/>
                <w:lang w:bidi="ar-SA"/>
              </w:rPr>
              <w:t xml:space="preserve"> percent)</w:t>
            </w:r>
          </w:p>
        </w:tc>
      </w:tr>
    </w:tbl>
    <w:p w14:paraId="1E31F069" w14:textId="77777777" w:rsidR="00B3307B" w:rsidRDefault="00B3307B" w:rsidP="00466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vertAlign w:val="superscript"/>
        </w:rPr>
      </w:pPr>
    </w:p>
    <w:p w14:paraId="1E31F06A" w14:textId="77777777" w:rsidR="00466174" w:rsidRPr="0050505B" w:rsidRDefault="00466174" w:rsidP="00466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vertAlign w:val="superscript"/>
        </w:rPr>
      </w:pPr>
      <w:r w:rsidRPr="0050505B">
        <w:rPr>
          <w:vertAlign w:val="superscript"/>
        </w:rPr>
        <w:t xml:space="preserve">3 – Based on a company-wide average customer </w:t>
      </w:r>
      <w:r w:rsidR="00C753C6">
        <w:rPr>
          <w:vertAlign w:val="superscript"/>
        </w:rPr>
        <w:t xml:space="preserve">annual </w:t>
      </w:r>
      <w:r w:rsidRPr="0050505B">
        <w:rPr>
          <w:vertAlign w:val="superscript"/>
        </w:rPr>
        <w:t>water usage.</w:t>
      </w:r>
    </w:p>
    <w:p w14:paraId="47A8A1A9" w14:textId="77777777" w:rsidR="00F32FEE" w:rsidRDefault="00F32FEE" w:rsidP="00464C42">
      <w:pPr>
        <w:rPr>
          <w:rFonts w:eastAsia="Times New Roman"/>
          <w:lang w:bidi="ar-SA"/>
        </w:rPr>
      </w:pPr>
    </w:p>
    <w:p w14:paraId="66AE75CF" w14:textId="77777777" w:rsidR="00B93246" w:rsidRDefault="00B93246" w:rsidP="00464C42">
      <w:pPr>
        <w:rPr>
          <w:rFonts w:eastAsia="Times New Roman"/>
          <w:lang w:bidi="ar-SA"/>
        </w:rPr>
      </w:pPr>
    </w:p>
    <w:p w14:paraId="1E31F06E" w14:textId="77777777" w:rsidR="00464C42" w:rsidRPr="00464C42" w:rsidRDefault="00464C42" w:rsidP="00464C42">
      <w:pPr>
        <w:rPr>
          <w:rFonts w:eastAsia="Times New Roman"/>
          <w:lang w:bidi="ar-SA"/>
        </w:rPr>
      </w:pPr>
      <w:r w:rsidRPr="00464C42">
        <w:rPr>
          <w:rFonts w:eastAsia="Times New Roman"/>
          <w:lang w:bidi="ar-SA"/>
        </w:rPr>
        <w:t xml:space="preserve">Commission staff has completed its review of the company’s supporting financial documents, </w:t>
      </w:r>
    </w:p>
    <w:p w14:paraId="1E31F06F" w14:textId="53E66243" w:rsidR="00464C42" w:rsidRPr="00464C42" w:rsidRDefault="00464C42" w:rsidP="00464C42">
      <w:pPr>
        <w:rPr>
          <w:rFonts w:eastAsia="Times New Roman"/>
          <w:lang w:bidi="ar-SA"/>
        </w:rPr>
      </w:pPr>
      <w:proofErr w:type="gramStart"/>
      <w:r w:rsidRPr="00464C42">
        <w:rPr>
          <w:rFonts w:eastAsia="Times New Roman"/>
          <w:lang w:bidi="ar-SA"/>
        </w:rPr>
        <w:t>books</w:t>
      </w:r>
      <w:proofErr w:type="gramEnd"/>
      <w:r w:rsidRPr="00464C42">
        <w:rPr>
          <w:rFonts w:eastAsia="Times New Roman"/>
          <w:lang w:bidi="ar-SA"/>
        </w:rPr>
        <w:t>, and records</w:t>
      </w:r>
      <w:r w:rsidR="00F32FEE">
        <w:rPr>
          <w:rFonts w:eastAsia="Times New Roman"/>
          <w:lang w:bidi="ar-SA"/>
        </w:rPr>
        <w:t xml:space="preserve"> and have found </w:t>
      </w:r>
      <w:r w:rsidRPr="00464C42">
        <w:rPr>
          <w:rFonts w:eastAsia="Times New Roman"/>
          <w:lang w:bidi="ar-SA"/>
        </w:rPr>
        <w:t xml:space="preserve">that the proposed </w:t>
      </w:r>
      <w:r w:rsidR="00123700">
        <w:rPr>
          <w:rFonts w:eastAsia="Times New Roman"/>
          <w:lang w:bidi="ar-SA"/>
        </w:rPr>
        <w:t>revenue requirement</w:t>
      </w:r>
      <w:r w:rsidRPr="00464C42">
        <w:rPr>
          <w:rFonts w:eastAsia="Times New Roman"/>
          <w:lang w:bidi="ar-SA"/>
        </w:rPr>
        <w:t xml:space="preserve"> </w:t>
      </w:r>
      <w:r w:rsidR="00DA4527">
        <w:rPr>
          <w:rFonts w:eastAsia="Times New Roman"/>
          <w:lang w:bidi="ar-SA"/>
        </w:rPr>
        <w:t>was</w:t>
      </w:r>
      <w:r w:rsidR="00123700">
        <w:rPr>
          <w:rFonts w:eastAsia="Times New Roman"/>
          <w:lang w:bidi="ar-SA"/>
        </w:rPr>
        <w:t xml:space="preserve"> excessive</w:t>
      </w:r>
      <w:r w:rsidRPr="00464C42">
        <w:rPr>
          <w:rFonts w:eastAsia="Times New Roman"/>
          <w:lang w:bidi="ar-SA"/>
        </w:rPr>
        <w:t>.</w:t>
      </w:r>
      <w:r w:rsidR="00EC0680">
        <w:rPr>
          <w:rFonts w:eastAsia="Times New Roman"/>
          <w:lang w:bidi="ar-SA"/>
        </w:rPr>
        <w:t xml:space="preserve"> </w:t>
      </w:r>
      <w:r w:rsidR="00F32FEE">
        <w:rPr>
          <w:rFonts w:eastAsia="Times New Roman"/>
          <w:lang w:bidi="ar-SA"/>
        </w:rPr>
        <w:t>However, the company and staff have agreed to a lower revenue requirement which, in</w:t>
      </w:r>
      <w:r w:rsidR="00F32FEE">
        <w:t xml:space="preserve"> Staff’s opinion result in rates that are fair, just, reasonable and </w:t>
      </w:r>
      <w:r w:rsidR="00F32FEE" w:rsidRPr="00160BF0">
        <w:t>sufficient</w:t>
      </w:r>
      <w:r w:rsidR="00F32FEE">
        <w:t xml:space="preserve"> and will allow the company to earn a fair return on its investment. </w:t>
      </w:r>
      <w:r w:rsidRPr="00464C42">
        <w:rPr>
          <w:rFonts w:eastAsia="Times New Roman"/>
          <w:lang w:bidi="ar-SA"/>
        </w:rPr>
        <w:t xml:space="preserve">The customer’s comments </w:t>
      </w:r>
      <w:r w:rsidR="00F32FEE">
        <w:rPr>
          <w:rFonts w:eastAsia="Times New Roman"/>
          <w:lang w:bidi="ar-SA"/>
        </w:rPr>
        <w:t>were considered in</w:t>
      </w:r>
      <w:r w:rsidR="00EC0680">
        <w:rPr>
          <w:rFonts w:eastAsia="Times New Roman"/>
          <w:lang w:bidi="ar-SA"/>
        </w:rPr>
        <w:t xml:space="preserve"> staff’s </w:t>
      </w:r>
      <w:r w:rsidR="00F32FEE">
        <w:rPr>
          <w:rFonts w:eastAsia="Times New Roman"/>
          <w:lang w:bidi="ar-SA"/>
        </w:rPr>
        <w:t>review.</w:t>
      </w:r>
    </w:p>
    <w:p w14:paraId="1E31F071" w14:textId="77777777" w:rsidR="006173EB" w:rsidRDefault="006173EB" w:rsidP="00BE5610"/>
    <w:p w14:paraId="1E31F072" w14:textId="77777777" w:rsidR="003B700C" w:rsidRDefault="003B700C" w:rsidP="00F32FEE">
      <w:pPr>
        <w:spacing w:after="120"/>
        <w:rPr>
          <w:b/>
          <w:u w:val="single"/>
        </w:rPr>
      </w:pPr>
      <w:r w:rsidRPr="00935AF2">
        <w:rPr>
          <w:b/>
          <w:u w:val="single"/>
        </w:rPr>
        <w:t xml:space="preserve">Conclusion </w:t>
      </w:r>
    </w:p>
    <w:p w14:paraId="1E31F074" w14:textId="1160AA60" w:rsidR="00C81151" w:rsidRPr="00C81151" w:rsidRDefault="00C81151" w:rsidP="00C81151">
      <w:pPr>
        <w:rPr>
          <w:rFonts w:eastAsiaTheme="minorHAnsi"/>
          <w:lang w:bidi="ar-SA"/>
        </w:rPr>
      </w:pPr>
      <w:r w:rsidRPr="00C81151">
        <w:rPr>
          <w:rFonts w:eastAsiaTheme="minorHAnsi"/>
          <w:lang w:bidi="ar-SA"/>
        </w:rPr>
        <w:t xml:space="preserve">Staff recommends that the commission take no action, allowing the rates </w:t>
      </w:r>
      <w:r w:rsidR="00CF517B">
        <w:rPr>
          <w:rFonts w:eastAsiaTheme="minorHAnsi"/>
          <w:lang w:bidi="ar-SA"/>
        </w:rPr>
        <w:t>filed</w:t>
      </w:r>
      <w:r w:rsidR="00CF517B" w:rsidRPr="00CF517B">
        <w:rPr>
          <w:rFonts w:eastAsiaTheme="minorHAnsi"/>
          <w:lang w:bidi="ar-SA"/>
        </w:rPr>
        <w:t xml:space="preserve"> </w:t>
      </w:r>
      <w:r w:rsidR="00F32FEE">
        <w:rPr>
          <w:rFonts w:eastAsiaTheme="minorHAnsi"/>
          <w:lang w:bidi="ar-SA"/>
        </w:rPr>
        <w:t>by Burton Water Company, Inc.</w:t>
      </w:r>
      <w:r w:rsidR="00F32FEE" w:rsidRPr="00CF517B">
        <w:rPr>
          <w:rFonts w:eastAsiaTheme="minorHAnsi"/>
          <w:lang w:bidi="ar-SA"/>
        </w:rPr>
        <w:t xml:space="preserve"> </w:t>
      </w:r>
      <w:r w:rsidR="00CF517B" w:rsidRPr="00CF517B">
        <w:rPr>
          <w:rFonts w:eastAsiaTheme="minorHAnsi"/>
          <w:lang w:bidi="ar-SA"/>
        </w:rPr>
        <w:t xml:space="preserve">on March 30, 2015, </w:t>
      </w:r>
      <w:r w:rsidRPr="00C81151">
        <w:rPr>
          <w:rFonts w:eastAsiaTheme="minorHAnsi"/>
          <w:lang w:bidi="ar-SA"/>
        </w:rPr>
        <w:t xml:space="preserve">as revised on </w:t>
      </w:r>
      <w:r w:rsidR="00F72BDE" w:rsidRPr="00545974">
        <w:rPr>
          <w:rFonts w:eastAsiaTheme="minorHAnsi"/>
          <w:lang w:bidi="ar-SA"/>
        </w:rPr>
        <w:t xml:space="preserve">May </w:t>
      </w:r>
      <w:r w:rsidR="007D716D" w:rsidRPr="00545974">
        <w:rPr>
          <w:rFonts w:eastAsiaTheme="minorHAnsi"/>
          <w:lang w:bidi="ar-SA"/>
        </w:rPr>
        <w:t>7</w:t>
      </w:r>
      <w:r w:rsidRPr="00545974">
        <w:rPr>
          <w:rFonts w:eastAsiaTheme="minorHAnsi"/>
          <w:lang w:bidi="ar-SA"/>
        </w:rPr>
        <w:t>, 2015</w:t>
      </w:r>
      <w:r w:rsidR="00104189">
        <w:rPr>
          <w:rFonts w:eastAsiaTheme="minorHAnsi"/>
          <w:lang w:bidi="ar-SA"/>
        </w:rPr>
        <w:t>,</w:t>
      </w:r>
      <w:r w:rsidRPr="00C81151">
        <w:rPr>
          <w:rFonts w:eastAsiaTheme="minorHAnsi"/>
          <w:lang w:bidi="ar-SA"/>
        </w:rPr>
        <w:t xml:space="preserve"> to become effective on </w:t>
      </w:r>
      <w:r>
        <w:rPr>
          <w:rFonts w:eastAsiaTheme="minorHAnsi"/>
          <w:lang w:bidi="ar-SA"/>
        </w:rPr>
        <w:t>May 15, 2015</w:t>
      </w:r>
      <w:r w:rsidRPr="00C81151">
        <w:rPr>
          <w:rFonts w:eastAsiaTheme="minorHAnsi"/>
          <w:lang w:bidi="ar-SA"/>
        </w:rPr>
        <w:t>, by operation of law.</w:t>
      </w:r>
    </w:p>
    <w:p w14:paraId="1E31F075" w14:textId="77777777" w:rsidR="00EE7659" w:rsidRPr="006173EB" w:rsidRDefault="00EE7659" w:rsidP="00C81151">
      <w:pPr>
        <w:widowControl w:val="0"/>
        <w:autoSpaceDE w:val="0"/>
        <w:autoSpaceDN w:val="0"/>
        <w:adjustRightInd w:val="0"/>
        <w:rPr>
          <w:color w:val="000000"/>
          <w:sz w:val="22"/>
          <w:szCs w:val="22"/>
          <w:lang w:bidi="ar-SA"/>
        </w:rPr>
      </w:pPr>
    </w:p>
    <w:sectPr w:rsidR="00EE7659" w:rsidRPr="006173EB" w:rsidSect="00F148CB">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1F078" w14:textId="77777777" w:rsidR="008D4B4D" w:rsidRDefault="008D4B4D" w:rsidP="00BE5610">
      <w:r>
        <w:separator/>
      </w:r>
    </w:p>
  </w:endnote>
  <w:endnote w:type="continuationSeparator" w:id="0">
    <w:p w14:paraId="1E31F079" w14:textId="77777777" w:rsidR="008D4B4D" w:rsidRDefault="008D4B4D" w:rsidP="00BE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1F076" w14:textId="77777777" w:rsidR="008D4B4D" w:rsidRDefault="008D4B4D" w:rsidP="00BE5610">
      <w:r>
        <w:separator/>
      </w:r>
    </w:p>
  </w:footnote>
  <w:footnote w:type="continuationSeparator" w:id="0">
    <w:p w14:paraId="1E31F077" w14:textId="77777777" w:rsidR="008D4B4D" w:rsidRDefault="008D4B4D" w:rsidP="00BE5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1F07A" w14:textId="77777777" w:rsidR="008D4B4D" w:rsidRPr="00A17748" w:rsidRDefault="008D4B4D" w:rsidP="00BE5610">
    <w:pPr>
      <w:pStyle w:val="Header"/>
      <w:rPr>
        <w:sz w:val="20"/>
        <w:szCs w:val="20"/>
      </w:rPr>
    </w:pPr>
    <w:r w:rsidRPr="00A17748">
      <w:rPr>
        <w:sz w:val="20"/>
        <w:szCs w:val="20"/>
      </w:rPr>
      <w:t>Docket UW-</w:t>
    </w:r>
    <w:r w:rsidR="0078439D">
      <w:rPr>
        <w:sz w:val="20"/>
        <w:szCs w:val="20"/>
      </w:rPr>
      <w:t>150537</w:t>
    </w:r>
  </w:p>
  <w:p w14:paraId="1E31F07B" w14:textId="77777777" w:rsidR="008D4B4D" w:rsidRPr="00A17748" w:rsidRDefault="00FB29B1" w:rsidP="00BE5610">
    <w:pPr>
      <w:pStyle w:val="Header"/>
      <w:rPr>
        <w:sz w:val="20"/>
        <w:szCs w:val="20"/>
      </w:rPr>
    </w:pPr>
    <w:r>
      <w:rPr>
        <w:sz w:val="20"/>
        <w:szCs w:val="20"/>
      </w:rPr>
      <w:t>May 14</w:t>
    </w:r>
    <w:r w:rsidR="0078439D">
      <w:rPr>
        <w:sz w:val="20"/>
        <w:szCs w:val="20"/>
      </w:rPr>
      <w:t>, 2015</w:t>
    </w:r>
  </w:p>
  <w:p w14:paraId="1E31F07C" w14:textId="77777777" w:rsidR="008D4B4D" w:rsidRPr="00A17748" w:rsidRDefault="008D4B4D" w:rsidP="00BE5610">
    <w:pPr>
      <w:pStyle w:val="Header"/>
      <w:rPr>
        <w:sz w:val="20"/>
        <w:szCs w:val="20"/>
      </w:rPr>
    </w:pPr>
    <w:r w:rsidRPr="00A17748">
      <w:rPr>
        <w:sz w:val="20"/>
        <w:szCs w:val="20"/>
      </w:rPr>
      <w:t xml:space="preserve">Page </w:t>
    </w:r>
    <w:r w:rsidR="00903F29" w:rsidRPr="00A17748">
      <w:rPr>
        <w:sz w:val="20"/>
        <w:szCs w:val="20"/>
      </w:rPr>
      <w:fldChar w:fldCharType="begin"/>
    </w:r>
    <w:r w:rsidR="00F56C47" w:rsidRPr="00A17748">
      <w:rPr>
        <w:sz w:val="20"/>
        <w:szCs w:val="20"/>
      </w:rPr>
      <w:instrText xml:space="preserve"> PAGE   \* MERGEFORMAT </w:instrText>
    </w:r>
    <w:r w:rsidR="00903F29" w:rsidRPr="00A17748">
      <w:rPr>
        <w:sz w:val="20"/>
        <w:szCs w:val="20"/>
      </w:rPr>
      <w:fldChar w:fldCharType="separate"/>
    </w:r>
    <w:r w:rsidR="005F04C1">
      <w:rPr>
        <w:noProof/>
        <w:sz w:val="20"/>
        <w:szCs w:val="20"/>
      </w:rPr>
      <w:t>3</w:t>
    </w:r>
    <w:r w:rsidR="00903F29" w:rsidRPr="00A17748">
      <w:rPr>
        <w:sz w:val="20"/>
        <w:szCs w:val="20"/>
      </w:rPr>
      <w:fldChar w:fldCharType="end"/>
    </w:r>
  </w:p>
  <w:p w14:paraId="1E31F07D" w14:textId="77777777" w:rsidR="00A17748" w:rsidRPr="003B700C" w:rsidRDefault="00A17748" w:rsidP="00BE5610">
    <w:pPr>
      <w:pStyle w:val="Header"/>
    </w:pPr>
  </w:p>
  <w:p w14:paraId="1E31F07E" w14:textId="77777777" w:rsidR="008D4B4D" w:rsidRDefault="008D4B4D" w:rsidP="00BE56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lvlText w:val="·"/>
      <w:lvlJc w:val="left"/>
      <w:pPr>
        <w:ind w:left="0" w:firstLine="0"/>
      </w:pPr>
      <w:rPr>
        <w:rFonts w:ascii="Symbol" w:eastAsia="Symbol" w:hAnsi="Symbol" w:cs="Symbo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1">
    <w:nsid w:val="053D1C1A"/>
    <w:multiLevelType w:val="hybridMultilevel"/>
    <w:tmpl w:val="ACC0E514"/>
    <w:lvl w:ilvl="0" w:tplc="E8D82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63073D0"/>
    <w:multiLevelType w:val="hybridMultilevel"/>
    <w:tmpl w:val="D84ECB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64DB6F4D"/>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68B3150"/>
    <w:multiLevelType w:val="hybridMultilevel"/>
    <w:tmpl w:val="7D18A1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9B51069"/>
    <w:multiLevelType w:val="hybridMultilevel"/>
    <w:tmpl w:val="295859AE"/>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6"/>
  </w:num>
  <w:num w:numId="2">
    <w:abstractNumId w:val="8"/>
  </w:num>
  <w:num w:numId="3">
    <w:abstractNumId w:val="9"/>
  </w:num>
  <w:num w:numId="4">
    <w:abstractNumId w:val="10"/>
  </w:num>
  <w:num w:numId="5">
    <w:abstractNumId w:val="1"/>
  </w:num>
  <w:num w:numId="6">
    <w:abstractNumId w:val="3"/>
  </w:num>
  <w:num w:numId="7">
    <w:abstractNumId w:val="7"/>
  </w:num>
  <w:num w:numId="8">
    <w:abstractNumId w:val="11"/>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718"/>
    <w:rsid w:val="000020C4"/>
    <w:rsid w:val="00002F08"/>
    <w:rsid w:val="00005828"/>
    <w:rsid w:val="00015DD8"/>
    <w:rsid w:val="00027B07"/>
    <w:rsid w:val="0003714D"/>
    <w:rsid w:val="000420E9"/>
    <w:rsid w:val="000458AC"/>
    <w:rsid w:val="00053628"/>
    <w:rsid w:val="00054CC9"/>
    <w:rsid w:val="00055945"/>
    <w:rsid w:val="000625B1"/>
    <w:rsid w:val="0006481C"/>
    <w:rsid w:val="00066C40"/>
    <w:rsid w:val="0006708E"/>
    <w:rsid w:val="00075E51"/>
    <w:rsid w:val="0008268C"/>
    <w:rsid w:val="00082892"/>
    <w:rsid w:val="00083D7B"/>
    <w:rsid w:val="000908F4"/>
    <w:rsid w:val="000909CD"/>
    <w:rsid w:val="00097E35"/>
    <w:rsid w:val="000B0C16"/>
    <w:rsid w:val="000C2481"/>
    <w:rsid w:val="000C2588"/>
    <w:rsid w:val="000C2F30"/>
    <w:rsid w:val="000C3D4F"/>
    <w:rsid w:val="000D01D2"/>
    <w:rsid w:val="000D3B16"/>
    <w:rsid w:val="000D3CE0"/>
    <w:rsid w:val="000D6DAF"/>
    <w:rsid w:val="000D706D"/>
    <w:rsid w:val="000E640C"/>
    <w:rsid w:val="000E714E"/>
    <w:rsid w:val="000F29ED"/>
    <w:rsid w:val="00104189"/>
    <w:rsid w:val="00111EF9"/>
    <w:rsid w:val="00114B3D"/>
    <w:rsid w:val="00123700"/>
    <w:rsid w:val="00126930"/>
    <w:rsid w:val="0013089B"/>
    <w:rsid w:val="00130B3D"/>
    <w:rsid w:val="00136DD9"/>
    <w:rsid w:val="00140589"/>
    <w:rsid w:val="00141434"/>
    <w:rsid w:val="001423FE"/>
    <w:rsid w:val="00142B36"/>
    <w:rsid w:val="00143CDB"/>
    <w:rsid w:val="0014659D"/>
    <w:rsid w:val="00154718"/>
    <w:rsid w:val="001603B0"/>
    <w:rsid w:val="0016055D"/>
    <w:rsid w:val="00160BF0"/>
    <w:rsid w:val="0016348F"/>
    <w:rsid w:val="0016545B"/>
    <w:rsid w:val="00167054"/>
    <w:rsid w:val="00171102"/>
    <w:rsid w:val="00173A9E"/>
    <w:rsid w:val="00173F60"/>
    <w:rsid w:val="00177491"/>
    <w:rsid w:val="00177CFA"/>
    <w:rsid w:val="00187E0D"/>
    <w:rsid w:val="00190825"/>
    <w:rsid w:val="001A096F"/>
    <w:rsid w:val="001A0A16"/>
    <w:rsid w:val="001C5AB1"/>
    <w:rsid w:val="001C7DFD"/>
    <w:rsid w:val="001D2A48"/>
    <w:rsid w:val="001D6D33"/>
    <w:rsid w:val="001E0047"/>
    <w:rsid w:val="001E0702"/>
    <w:rsid w:val="001E1BE5"/>
    <w:rsid w:val="001F30F9"/>
    <w:rsid w:val="001F3D7A"/>
    <w:rsid w:val="001F465E"/>
    <w:rsid w:val="002027E0"/>
    <w:rsid w:val="0021363E"/>
    <w:rsid w:val="0022116C"/>
    <w:rsid w:val="002218EF"/>
    <w:rsid w:val="00226657"/>
    <w:rsid w:val="002277F9"/>
    <w:rsid w:val="00227DC0"/>
    <w:rsid w:val="00241B80"/>
    <w:rsid w:val="00244A84"/>
    <w:rsid w:val="002469F5"/>
    <w:rsid w:val="002500F3"/>
    <w:rsid w:val="00251E71"/>
    <w:rsid w:val="00260D57"/>
    <w:rsid w:val="002622A8"/>
    <w:rsid w:val="0027477E"/>
    <w:rsid w:val="00283AD9"/>
    <w:rsid w:val="00285152"/>
    <w:rsid w:val="002863C0"/>
    <w:rsid w:val="00291958"/>
    <w:rsid w:val="00292F9A"/>
    <w:rsid w:val="00294AE3"/>
    <w:rsid w:val="00295745"/>
    <w:rsid w:val="002A70D7"/>
    <w:rsid w:val="002B5724"/>
    <w:rsid w:val="002C039A"/>
    <w:rsid w:val="002C6110"/>
    <w:rsid w:val="002D49F9"/>
    <w:rsid w:val="002E50C7"/>
    <w:rsid w:val="002F70BE"/>
    <w:rsid w:val="00300789"/>
    <w:rsid w:val="00300D92"/>
    <w:rsid w:val="00305C35"/>
    <w:rsid w:val="0030657A"/>
    <w:rsid w:val="003219B9"/>
    <w:rsid w:val="00324289"/>
    <w:rsid w:val="00330C32"/>
    <w:rsid w:val="00333221"/>
    <w:rsid w:val="00334A7C"/>
    <w:rsid w:val="00337C05"/>
    <w:rsid w:val="00340C02"/>
    <w:rsid w:val="00346012"/>
    <w:rsid w:val="00355EE9"/>
    <w:rsid w:val="00355F2E"/>
    <w:rsid w:val="00367ED5"/>
    <w:rsid w:val="00371BF2"/>
    <w:rsid w:val="00377CD3"/>
    <w:rsid w:val="00385F54"/>
    <w:rsid w:val="00392579"/>
    <w:rsid w:val="00396F67"/>
    <w:rsid w:val="003A0DCE"/>
    <w:rsid w:val="003A16AC"/>
    <w:rsid w:val="003B4D1C"/>
    <w:rsid w:val="003B69E6"/>
    <w:rsid w:val="003B700C"/>
    <w:rsid w:val="003C166B"/>
    <w:rsid w:val="003C16E8"/>
    <w:rsid w:val="003C4EB8"/>
    <w:rsid w:val="003D1E26"/>
    <w:rsid w:val="003D2276"/>
    <w:rsid w:val="003D25A3"/>
    <w:rsid w:val="003D717F"/>
    <w:rsid w:val="003E6D45"/>
    <w:rsid w:val="003F0972"/>
    <w:rsid w:val="003F4466"/>
    <w:rsid w:val="00405F3D"/>
    <w:rsid w:val="00411F64"/>
    <w:rsid w:val="00424794"/>
    <w:rsid w:val="004340AA"/>
    <w:rsid w:val="004456FB"/>
    <w:rsid w:val="00450175"/>
    <w:rsid w:val="00450267"/>
    <w:rsid w:val="00451AF9"/>
    <w:rsid w:val="0045370F"/>
    <w:rsid w:val="00455301"/>
    <w:rsid w:val="00464C42"/>
    <w:rsid w:val="00466174"/>
    <w:rsid w:val="0046632D"/>
    <w:rsid w:val="00472DF2"/>
    <w:rsid w:val="004730C8"/>
    <w:rsid w:val="00473F57"/>
    <w:rsid w:val="00482338"/>
    <w:rsid w:val="004838E1"/>
    <w:rsid w:val="00495B71"/>
    <w:rsid w:val="00496744"/>
    <w:rsid w:val="00497530"/>
    <w:rsid w:val="004A5C6A"/>
    <w:rsid w:val="004A691E"/>
    <w:rsid w:val="004A6CE2"/>
    <w:rsid w:val="004B0CA7"/>
    <w:rsid w:val="004C5605"/>
    <w:rsid w:val="004D4EF6"/>
    <w:rsid w:val="004D5E19"/>
    <w:rsid w:val="004D7E01"/>
    <w:rsid w:val="004E0141"/>
    <w:rsid w:val="004E589D"/>
    <w:rsid w:val="004F009E"/>
    <w:rsid w:val="004F14A6"/>
    <w:rsid w:val="00504DB9"/>
    <w:rsid w:val="005131DE"/>
    <w:rsid w:val="00527CF8"/>
    <w:rsid w:val="00533DBE"/>
    <w:rsid w:val="00544DDE"/>
    <w:rsid w:val="00545974"/>
    <w:rsid w:val="00552600"/>
    <w:rsid w:val="005561C1"/>
    <w:rsid w:val="0056400F"/>
    <w:rsid w:val="0056751B"/>
    <w:rsid w:val="0057047C"/>
    <w:rsid w:val="00585C41"/>
    <w:rsid w:val="00591D1D"/>
    <w:rsid w:val="00595023"/>
    <w:rsid w:val="00597882"/>
    <w:rsid w:val="005A1499"/>
    <w:rsid w:val="005A6C74"/>
    <w:rsid w:val="005B4C72"/>
    <w:rsid w:val="005B537A"/>
    <w:rsid w:val="005C15D1"/>
    <w:rsid w:val="005D4CA4"/>
    <w:rsid w:val="005D7925"/>
    <w:rsid w:val="005E4264"/>
    <w:rsid w:val="005F0112"/>
    <w:rsid w:val="005F04C1"/>
    <w:rsid w:val="005F51F2"/>
    <w:rsid w:val="005F609C"/>
    <w:rsid w:val="005F7033"/>
    <w:rsid w:val="00616813"/>
    <w:rsid w:val="006173EB"/>
    <w:rsid w:val="0062191D"/>
    <w:rsid w:val="0062474A"/>
    <w:rsid w:val="00626264"/>
    <w:rsid w:val="006308C7"/>
    <w:rsid w:val="00631A0F"/>
    <w:rsid w:val="00631C8E"/>
    <w:rsid w:val="0063793C"/>
    <w:rsid w:val="00641A44"/>
    <w:rsid w:val="00642AC3"/>
    <w:rsid w:val="006449EA"/>
    <w:rsid w:val="00645A0C"/>
    <w:rsid w:val="00645DC8"/>
    <w:rsid w:val="00647ECD"/>
    <w:rsid w:val="00654D5A"/>
    <w:rsid w:val="00661F4F"/>
    <w:rsid w:val="006700B0"/>
    <w:rsid w:val="00671E46"/>
    <w:rsid w:val="00672F7B"/>
    <w:rsid w:val="00683780"/>
    <w:rsid w:val="0068432F"/>
    <w:rsid w:val="00684C49"/>
    <w:rsid w:val="00695625"/>
    <w:rsid w:val="006A021F"/>
    <w:rsid w:val="006A41EE"/>
    <w:rsid w:val="006A4895"/>
    <w:rsid w:val="006B2FFF"/>
    <w:rsid w:val="006B4513"/>
    <w:rsid w:val="006B495A"/>
    <w:rsid w:val="006B51B8"/>
    <w:rsid w:val="006B6D42"/>
    <w:rsid w:val="006B795B"/>
    <w:rsid w:val="006C013C"/>
    <w:rsid w:val="006C3712"/>
    <w:rsid w:val="006C714F"/>
    <w:rsid w:val="006D15C2"/>
    <w:rsid w:val="006D22CE"/>
    <w:rsid w:val="006D30F3"/>
    <w:rsid w:val="006D52E1"/>
    <w:rsid w:val="006E3B58"/>
    <w:rsid w:val="00703A93"/>
    <w:rsid w:val="00705164"/>
    <w:rsid w:val="0071402F"/>
    <w:rsid w:val="00717A8C"/>
    <w:rsid w:val="007228E4"/>
    <w:rsid w:val="00723480"/>
    <w:rsid w:val="007261E5"/>
    <w:rsid w:val="007335C6"/>
    <w:rsid w:val="00734BC8"/>
    <w:rsid w:val="00746397"/>
    <w:rsid w:val="00751B5E"/>
    <w:rsid w:val="00754ED6"/>
    <w:rsid w:val="0076679B"/>
    <w:rsid w:val="00767BDD"/>
    <w:rsid w:val="00772F17"/>
    <w:rsid w:val="00773CAD"/>
    <w:rsid w:val="00774275"/>
    <w:rsid w:val="0078439D"/>
    <w:rsid w:val="00790302"/>
    <w:rsid w:val="007913E9"/>
    <w:rsid w:val="00795585"/>
    <w:rsid w:val="0079709F"/>
    <w:rsid w:val="007A0BDB"/>
    <w:rsid w:val="007C141D"/>
    <w:rsid w:val="007D716D"/>
    <w:rsid w:val="007E5B2C"/>
    <w:rsid w:val="007E71A3"/>
    <w:rsid w:val="007F26EF"/>
    <w:rsid w:val="007F70C8"/>
    <w:rsid w:val="0080117F"/>
    <w:rsid w:val="008020A5"/>
    <w:rsid w:val="0080580F"/>
    <w:rsid w:val="008111DE"/>
    <w:rsid w:val="008165AD"/>
    <w:rsid w:val="00816612"/>
    <w:rsid w:val="00825773"/>
    <w:rsid w:val="00826C0C"/>
    <w:rsid w:val="00826F11"/>
    <w:rsid w:val="00827BE3"/>
    <w:rsid w:val="00832CE0"/>
    <w:rsid w:val="00853B63"/>
    <w:rsid w:val="0085598E"/>
    <w:rsid w:val="008630EA"/>
    <w:rsid w:val="00863543"/>
    <w:rsid w:val="0087483A"/>
    <w:rsid w:val="00877282"/>
    <w:rsid w:val="00886E84"/>
    <w:rsid w:val="008871CF"/>
    <w:rsid w:val="008A350E"/>
    <w:rsid w:val="008A6E88"/>
    <w:rsid w:val="008B479D"/>
    <w:rsid w:val="008B4AA0"/>
    <w:rsid w:val="008C168F"/>
    <w:rsid w:val="008C1E17"/>
    <w:rsid w:val="008C26CE"/>
    <w:rsid w:val="008D0AAC"/>
    <w:rsid w:val="008D4B4D"/>
    <w:rsid w:val="008F7696"/>
    <w:rsid w:val="00901675"/>
    <w:rsid w:val="00901E60"/>
    <w:rsid w:val="00903F29"/>
    <w:rsid w:val="00904BBD"/>
    <w:rsid w:val="00906056"/>
    <w:rsid w:val="00910B20"/>
    <w:rsid w:val="009111D0"/>
    <w:rsid w:val="00915BD4"/>
    <w:rsid w:val="009203CC"/>
    <w:rsid w:val="009206A2"/>
    <w:rsid w:val="0092572C"/>
    <w:rsid w:val="009270B9"/>
    <w:rsid w:val="0093048B"/>
    <w:rsid w:val="00935AF2"/>
    <w:rsid w:val="00972F4A"/>
    <w:rsid w:val="00973FDF"/>
    <w:rsid w:val="009768A1"/>
    <w:rsid w:val="00983416"/>
    <w:rsid w:val="00984AEE"/>
    <w:rsid w:val="00992790"/>
    <w:rsid w:val="009A6C76"/>
    <w:rsid w:val="009B2F83"/>
    <w:rsid w:val="009B5DCE"/>
    <w:rsid w:val="009B677C"/>
    <w:rsid w:val="009B696D"/>
    <w:rsid w:val="009D109C"/>
    <w:rsid w:val="009E4F48"/>
    <w:rsid w:val="00A04699"/>
    <w:rsid w:val="00A10E54"/>
    <w:rsid w:val="00A17748"/>
    <w:rsid w:val="00A201C0"/>
    <w:rsid w:val="00A26FD3"/>
    <w:rsid w:val="00A2758F"/>
    <w:rsid w:val="00A41C23"/>
    <w:rsid w:val="00A42E8D"/>
    <w:rsid w:val="00A5145E"/>
    <w:rsid w:val="00A52858"/>
    <w:rsid w:val="00A6009F"/>
    <w:rsid w:val="00A67402"/>
    <w:rsid w:val="00A7048A"/>
    <w:rsid w:val="00A70E29"/>
    <w:rsid w:val="00A726C4"/>
    <w:rsid w:val="00A73C46"/>
    <w:rsid w:val="00A8090E"/>
    <w:rsid w:val="00A822CA"/>
    <w:rsid w:val="00A84C2A"/>
    <w:rsid w:val="00A85688"/>
    <w:rsid w:val="00A86F90"/>
    <w:rsid w:val="00A8749C"/>
    <w:rsid w:val="00A902E8"/>
    <w:rsid w:val="00AB7892"/>
    <w:rsid w:val="00AC5977"/>
    <w:rsid w:val="00AC6F3A"/>
    <w:rsid w:val="00AD0897"/>
    <w:rsid w:val="00AD3312"/>
    <w:rsid w:val="00AD3DD8"/>
    <w:rsid w:val="00AD4B87"/>
    <w:rsid w:val="00AE0900"/>
    <w:rsid w:val="00AF1D42"/>
    <w:rsid w:val="00AF5800"/>
    <w:rsid w:val="00B00171"/>
    <w:rsid w:val="00B03361"/>
    <w:rsid w:val="00B13041"/>
    <w:rsid w:val="00B2676D"/>
    <w:rsid w:val="00B3307B"/>
    <w:rsid w:val="00B34845"/>
    <w:rsid w:val="00B35380"/>
    <w:rsid w:val="00B360DD"/>
    <w:rsid w:val="00B3651B"/>
    <w:rsid w:val="00B42AD0"/>
    <w:rsid w:val="00B44C58"/>
    <w:rsid w:val="00B451F0"/>
    <w:rsid w:val="00B45CF2"/>
    <w:rsid w:val="00B5220D"/>
    <w:rsid w:val="00B5241C"/>
    <w:rsid w:val="00B55CD3"/>
    <w:rsid w:val="00B56E98"/>
    <w:rsid w:val="00B603AA"/>
    <w:rsid w:val="00B639FC"/>
    <w:rsid w:val="00B71DC1"/>
    <w:rsid w:val="00B84E56"/>
    <w:rsid w:val="00B93246"/>
    <w:rsid w:val="00B97113"/>
    <w:rsid w:val="00B97C0F"/>
    <w:rsid w:val="00BA0EB0"/>
    <w:rsid w:val="00BB2331"/>
    <w:rsid w:val="00BC18B9"/>
    <w:rsid w:val="00BD1C60"/>
    <w:rsid w:val="00BE5610"/>
    <w:rsid w:val="00BF2510"/>
    <w:rsid w:val="00C011D5"/>
    <w:rsid w:val="00C03AA9"/>
    <w:rsid w:val="00C04FF5"/>
    <w:rsid w:val="00C0624C"/>
    <w:rsid w:val="00C062C0"/>
    <w:rsid w:val="00C07C24"/>
    <w:rsid w:val="00C272A0"/>
    <w:rsid w:val="00C3573E"/>
    <w:rsid w:val="00C36001"/>
    <w:rsid w:val="00C36D30"/>
    <w:rsid w:val="00C40231"/>
    <w:rsid w:val="00C412C5"/>
    <w:rsid w:val="00C41B31"/>
    <w:rsid w:val="00C42A41"/>
    <w:rsid w:val="00C46208"/>
    <w:rsid w:val="00C647EB"/>
    <w:rsid w:val="00C71EF8"/>
    <w:rsid w:val="00C753C6"/>
    <w:rsid w:val="00C81151"/>
    <w:rsid w:val="00C92705"/>
    <w:rsid w:val="00C9274A"/>
    <w:rsid w:val="00CA22AF"/>
    <w:rsid w:val="00CA3026"/>
    <w:rsid w:val="00CA50F7"/>
    <w:rsid w:val="00CA6007"/>
    <w:rsid w:val="00CC4FE2"/>
    <w:rsid w:val="00CD43F1"/>
    <w:rsid w:val="00CD758B"/>
    <w:rsid w:val="00CF1AA4"/>
    <w:rsid w:val="00CF517B"/>
    <w:rsid w:val="00CF66D8"/>
    <w:rsid w:val="00D00B3A"/>
    <w:rsid w:val="00D0403B"/>
    <w:rsid w:val="00D108C7"/>
    <w:rsid w:val="00D12988"/>
    <w:rsid w:val="00D12B32"/>
    <w:rsid w:val="00D27BE1"/>
    <w:rsid w:val="00D31072"/>
    <w:rsid w:val="00D33FD2"/>
    <w:rsid w:val="00D3762B"/>
    <w:rsid w:val="00D4026A"/>
    <w:rsid w:val="00D44D58"/>
    <w:rsid w:val="00D47789"/>
    <w:rsid w:val="00D53F2F"/>
    <w:rsid w:val="00D6344E"/>
    <w:rsid w:val="00D64963"/>
    <w:rsid w:val="00D65C0A"/>
    <w:rsid w:val="00D662D4"/>
    <w:rsid w:val="00D70105"/>
    <w:rsid w:val="00D7596F"/>
    <w:rsid w:val="00D7659F"/>
    <w:rsid w:val="00D77A03"/>
    <w:rsid w:val="00D96246"/>
    <w:rsid w:val="00D96F9A"/>
    <w:rsid w:val="00DA1B86"/>
    <w:rsid w:val="00DA4527"/>
    <w:rsid w:val="00DB145D"/>
    <w:rsid w:val="00DB3767"/>
    <w:rsid w:val="00DD2A47"/>
    <w:rsid w:val="00DD65A6"/>
    <w:rsid w:val="00DD6714"/>
    <w:rsid w:val="00DD7A9B"/>
    <w:rsid w:val="00DF28C4"/>
    <w:rsid w:val="00E0109D"/>
    <w:rsid w:val="00E02017"/>
    <w:rsid w:val="00E1796B"/>
    <w:rsid w:val="00E21E65"/>
    <w:rsid w:val="00E224D1"/>
    <w:rsid w:val="00E254C9"/>
    <w:rsid w:val="00E256DF"/>
    <w:rsid w:val="00E26DE6"/>
    <w:rsid w:val="00E35CB7"/>
    <w:rsid w:val="00E35D9D"/>
    <w:rsid w:val="00E37996"/>
    <w:rsid w:val="00E456CF"/>
    <w:rsid w:val="00E50A27"/>
    <w:rsid w:val="00E53B48"/>
    <w:rsid w:val="00E60353"/>
    <w:rsid w:val="00E8562C"/>
    <w:rsid w:val="00E864B6"/>
    <w:rsid w:val="00E941B2"/>
    <w:rsid w:val="00E9696F"/>
    <w:rsid w:val="00E96BCC"/>
    <w:rsid w:val="00EA4A60"/>
    <w:rsid w:val="00EA52A5"/>
    <w:rsid w:val="00EB3A93"/>
    <w:rsid w:val="00EB41E4"/>
    <w:rsid w:val="00EB4CE3"/>
    <w:rsid w:val="00EB6042"/>
    <w:rsid w:val="00EC0680"/>
    <w:rsid w:val="00EC3B3F"/>
    <w:rsid w:val="00EC4599"/>
    <w:rsid w:val="00EC5118"/>
    <w:rsid w:val="00ED3FED"/>
    <w:rsid w:val="00ED4CC8"/>
    <w:rsid w:val="00EE6798"/>
    <w:rsid w:val="00EE7659"/>
    <w:rsid w:val="00EF436B"/>
    <w:rsid w:val="00F00111"/>
    <w:rsid w:val="00F00561"/>
    <w:rsid w:val="00F148CB"/>
    <w:rsid w:val="00F167E4"/>
    <w:rsid w:val="00F21B68"/>
    <w:rsid w:val="00F27C98"/>
    <w:rsid w:val="00F3018E"/>
    <w:rsid w:val="00F32FEE"/>
    <w:rsid w:val="00F330AF"/>
    <w:rsid w:val="00F35DB6"/>
    <w:rsid w:val="00F40EE9"/>
    <w:rsid w:val="00F435A5"/>
    <w:rsid w:val="00F469A1"/>
    <w:rsid w:val="00F469E5"/>
    <w:rsid w:val="00F541D0"/>
    <w:rsid w:val="00F56C47"/>
    <w:rsid w:val="00F700D9"/>
    <w:rsid w:val="00F72BDE"/>
    <w:rsid w:val="00F8306C"/>
    <w:rsid w:val="00F87B48"/>
    <w:rsid w:val="00F90612"/>
    <w:rsid w:val="00F90779"/>
    <w:rsid w:val="00F92193"/>
    <w:rsid w:val="00F93D9C"/>
    <w:rsid w:val="00F96ED4"/>
    <w:rsid w:val="00FA609D"/>
    <w:rsid w:val="00FB29B1"/>
    <w:rsid w:val="00FB741F"/>
    <w:rsid w:val="00FC239F"/>
    <w:rsid w:val="00FE2453"/>
    <w:rsid w:val="00FE5559"/>
    <w:rsid w:val="00FE5608"/>
    <w:rsid w:val="00FF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1E31F002"/>
  <w15:docId w15:val="{72D5571A-F7CE-4456-A4D4-0A113C95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unhideWhenUsed/>
    <w:rsid w:val="003B700C"/>
    <w:pPr>
      <w:tabs>
        <w:tab w:val="center" w:pos="4680"/>
        <w:tab w:val="right" w:pos="9360"/>
      </w:tabs>
    </w:pPr>
  </w:style>
  <w:style w:type="character" w:customStyle="1" w:styleId="FooterChar">
    <w:name w:val="Footer Char"/>
    <w:basedOn w:val="DefaultParagraphFont"/>
    <w:link w:val="Footer"/>
    <w:uiPriority w:val="99"/>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rFonts w:ascii="Times New Roman" w:hAnsi="Times New Roman"/>
      <w:b/>
      <w:bCs/>
      <w:lang w:bidi="en-U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16683">
      <w:bodyDiv w:val="1"/>
      <w:marLeft w:val="0"/>
      <w:marRight w:val="0"/>
      <w:marTop w:val="0"/>
      <w:marBottom w:val="0"/>
      <w:divBdr>
        <w:top w:val="none" w:sz="0" w:space="0" w:color="auto"/>
        <w:left w:val="none" w:sz="0" w:space="0" w:color="auto"/>
        <w:bottom w:val="none" w:sz="0" w:space="0" w:color="auto"/>
        <w:right w:val="none" w:sz="0" w:space="0" w:color="auto"/>
      </w:divBdr>
    </w:div>
    <w:div w:id="894318037">
      <w:bodyDiv w:val="1"/>
      <w:marLeft w:val="0"/>
      <w:marRight w:val="0"/>
      <w:marTop w:val="0"/>
      <w:marBottom w:val="0"/>
      <w:divBdr>
        <w:top w:val="none" w:sz="0" w:space="0" w:color="auto"/>
        <w:left w:val="none" w:sz="0" w:space="0" w:color="auto"/>
        <w:bottom w:val="none" w:sz="0" w:space="0" w:color="auto"/>
        <w:right w:val="none" w:sz="0" w:space="0" w:color="auto"/>
      </w:divBdr>
    </w:div>
    <w:div w:id="963467909">
      <w:bodyDiv w:val="1"/>
      <w:marLeft w:val="0"/>
      <w:marRight w:val="0"/>
      <w:marTop w:val="0"/>
      <w:marBottom w:val="0"/>
      <w:divBdr>
        <w:top w:val="none" w:sz="0" w:space="0" w:color="auto"/>
        <w:left w:val="none" w:sz="0" w:space="0" w:color="auto"/>
        <w:bottom w:val="none" w:sz="0" w:space="0" w:color="auto"/>
        <w:right w:val="none" w:sz="0" w:space="0" w:color="auto"/>
      </w:divBdr>
    </w:div>
    <w:div w:id="1270316267">
      <w:bodyDiv w:val="1"/>
      <w:marLeft w:val="0"/>
      <w:marRight w:val="0"/>
      <w:marTop w:val="0"/>
      <w:marBottom w:val="0"/>
      <w:divBdr>
        <w:top w:val="none" w:sz="0" w:space="0" w:color="auto"/>
        <w:left w:val="none" w:sz="0" w:space="0" w:color="auto"/>
        <w:bottom w:val="none" w:sz="0" w:space="0" w:color="auto"/>
        <w:right w:val="none" w:sz="0" w:space="0" w:color="auto"/>
      </w:divBdr>
    </w:div>
    <w:div w:id="1376079044">
      <w:bodyDiv w:val="1"/>
      <w:marLeft w:val="0"/>
      <w:marRight w:val="0"/>
      <w:marTop w:val="0"/>
      <w:marBottom w:val="0"/>
      <w:divBdr>
        <w:top w:val="none" w:sz="0" w:space="0" w:color="auto"/>
        <w:left w:val="none" w:sz="0" w:space="0" w:color="auto"/>
        <w:bottom w:val="none" w:sz="0" w:space="0" w:color="auto"/>
        <w:right w:val="none" w:sz="0" w:space="0" w:color="auto"/>
      </w:divBdr>
    </w:div>
    <w:div w:id="154448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2015-03-30T07:00:00+00:00</OpenedDate>
    <Date1 xmlns="dc463f71-b30c-4ab2-9473-d307f9d35888">2015-05-13T07:00:00+00:00</Date1>
    <IsDocumentOrder xmlns="dc463f71-b30c-4ab2-9473-d307f9d35888" xsi:nil="true"/>
    <IsHighlyConfidential xmlns="dc463f71-b30c-4ab2-9473-d307f9d35888">false</IsHighlyConfidential>
    <CaseCompanyNames xmlns="dc463f71-b30c-4ab2-9473-d307f9d35888">Burton Water Company, Inc.</CaseCompanyNames>
    <DocketNumber xmlns="dc463f71-b30c-4ab2-9473-d307f9d35888">150537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56AF58E521404CA0415BDAE046E56B" ma:contentTypeVersion="119" ma:contentTypeDescription="" ma:contentTypeScope="" ma:versionID="114555f4bebddbf469a1756a73f127a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1FEB92-664D-432C-882E-57BBE0A058FB}"/>
</file>

<file path=customXml/itemProps2.xml><?xml version="1.0" encoding="utf-8"?>
<ds:datastoreItem xmlns:ds="http://schemas.openxmlformats.org/officeDocument/2006/customXml" ds:itemID="{55B89C35-4DB2-4B11-863A-E32F1BC314F6}"/>
</file>

<file path=customXml/itemProps3.xml><?xml version="1.0" encoding="utf-8"?>
<ds:datastoreItem xmlns:ds="http://schemas.openxmlformats.org/officeDocument/2006/customXml" ds:itemID="{69A2B954-FF01-4AC3-A890-9CD4ADD13D9B}"/>
</file>

<file path=customXml/itemProps4.xml><?xml version="1.0" encoding="utf-8"?>
<ds:datastoreItem xmlns:ds="http://schemas.openxmlformats.org/officeDocument/2006/customXml" ds:itemID="{76FFBC41-A767-4AEE-9752-68613D66B3F4}"/>
</file>

<file path=customXml/itemProps5.xml><?xml version="1.0" encoding="utf-8"?>
<ds:datastoreItem xmlns:ds="http://schemas.openxmlformats.org/officeDocument/2006/customXml" ds:itemID="{45227816-F000-4174-9D2D-0767F5EBBD00}"/>
</file>

<file path=customXml/itemProps6.xml><?xml version="1.0" encoding="utf-8"?>
<ds:datastoreItem xmlns:ds="http://schemas.openxmlformats.org/officeDocument/2006/customXml" ds:itemID="{D3CAC670-84BF-4D0F-8882-FB04C8D43DCE}"/>
</file>

<file path=docProps/app.xml><?xml version="1.0" encoding="utf-8"?>
<Properties xmlns="http://schemas.openxmlformats.org/officeDocument/2006/extended-properties" xmlns:vt="http://schemas.openxmlformats.org/officeDocument/2006/docPropsVTypes">
  <Template>Normal</Template>
  <TotalTime>2</TotalTime>
  <Pages>3</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Burton Water Company UW-101718 Memo 01</vt:lpstr>
    </vt:vector>
  </TitlesOfParts>
  <Company/>
  <LinksUpToDate>false</LinksUpToDate>
  <CharactersWithSpaces>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Burton Water Company UW-101718 Memo 01</dc:title>
  <dc:creator>JWard</dc:creator>
  <cp:lastModifiedBy>Kern, Cathy (UTC)</cp:lastModifiedBy>
  <cp:revision>3</cp:revision>
  <cp:lastPrinted>2015-05-07T21:10:00Z</cp:lastPrinted>
  <dcterms:created xsi:type="dcterms:W3CDTF">2015-05-11T17:30:00Z</dcterms:created>
  <dcterms:modified xsi:type="dcterms:W3CDTF">2015-05-11T17:36:00Z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0x0101006E56B4D1795A2E4DB2F0B01679ED314A006756AF58E521404CA0415BDAE046E56B</vt:lpwstr>
  </property>
  <property fmtid="{D5CDD505-2E9C-101B-9397-08002B2CF9AE}" pid="3" name="Item ID">
    <vt:lpwstr>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docset_NoMedatataSyncRequired">
    <vt:lpwstr>False</vt:lpwstr>
  </property>
</Properties>
</file>