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emf" ContentType="image/x-emf"/>
  <Default Extension="xml" ContentType="application/xml"/>
  <Override PartName="/word/diagrams/data1.xml" ContentType="application/vnd.openxmlformats-officedocument.drawingml.diagramData+xml"/>
  <Override PartName="/word/diagrams/data4.xml" ContentType="application/vnd.openxmlformats-officedocument.drawingml.diagramData+xml"/>
  <Override PartName="/word/diagrams/data3.xml" ContentType="application/vnd.openxmlformats-officedocument.drawingml.diagramData+xml"/>
  <Override PartName="/word/diagrams/data5.xml" ContentType="application/vnd.openxmlformats-officedocument.drawingml.diagramData+xml"/>
  <Override PartName="/word/diagrams/data7.xml" ContentType="application/vnd.openxmlformats-officedocument.drawingml.diagramData+xml"/>
  <Override PartName="/word/diagrams/data2.xml" ContentType="application/vnd.openxmlformats-officedocument.drawingml.diagramData+xml"/>
  <Override PartName="/word/diagrams/data6.xml" ContentType="application/vnd.openxmlformats-officedocument.drawingml.diagramData+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diagrams/layout1.xml" ContentType="application/vnd.openxmlformats-officedocument.drawingml.diagramLayout+xml"/>
  <Override PartName="/word/theme/theme1.xml" ContentType="application/vnd.openxmlformats-officedocument.theme+xml"/>
  <Override PartName="/word/diagrams/colors3.xml" ContentType="application/vnd.openxmlformats-officedocument.drawingml.diagramColors+xml"/>
  <Override PartName="/word/diagrams/drawing3.xml" ContentType="application/vnd.ms-office.drawingml.diagramDrawing+xml"/>
  <Override PartName="/word/diagrams/layout4.xml" ContentType="application/vnd.openxmlformats-officedocument.drawingml.diagramLayout+xml"/>
  <Override PartName="/word/diagrams/quickStyle4.xml" ContentType="application/vnd.openxmlformats-officedocument.drawingml.diagramStyle+xml"/>
  <Override PartName="/word/diagrams/drawing4.xml" ContentType="application/vnd.ms-office.drawingml.diagramDrawing+xml"/>
  <Override PartName="/word/diagrams/quickStyle3.xml" ContentType="application/vnd.openxmlformats-officedocument.drawingml.diagramStyle+xml"/>
  <Override PartName="/word/diagrams/layout3.xml" ContentType="application/vnd.openxmlformats-officedocument.drawingml.diagramLayout+xml"/>
  <Override PartName="/word/diagrams/drawing2.xml" ContentType="application/vnd.ms-office.drawingml.diagramDrawing+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layout5.xml" ContentType="application/vnd.openxmlformats-officedocument.drawingml.diagramLayout+xml"/>
  <Override PartName="/word/diagrams/colors4.xml" ContentType="application/vnd.openxmlformats-officedocument.drawingml.diagramColors+xml"/>
  <Override PartName="/word/diagrams/colors5.xml" ContentType="application/vnd.openxmlformats-officedocument.drawingml.diagramColors+xml"/>
  <Override PartName="/word/diagrams/quickStyle7.xml" ContentType="application/vnd.openxmlformats-officedocument.drawingml.diagramStyle+xml"/>
  <Override PartName="/word/diagrams/quickStyle5.xml" ContentType="application/vnd.openxmlformats-officedocument.drawingml.diagramStyle+xml"/>
  <Override PartName="/word/diagrams/drawing7.xml" ContentType="application/vnd.ms-office.drawingml.diagramDrawing+xml"/>
  <Override PartName="/word/diagrams/layout7.xml" ContentType="application/vnd.openxmlformats-officedocument.drawingml.diagramLayout+xml"/>
  <Override PartName="/word/diagrams/colors7.xml" ContentType="application/vnd.openxmlformats-officedocument.drawingml.diagramColors+xml"/>
  <Override PartName="/word/diagrams/drawing5.xml" ContentType="application/vnd.ms-office.drawingml.diagramDrawing+xml"/>
  <Override PartName="/word/diagrams/layout6.xml" ContentType="application/vnd.openxmlformats-officedocument.drawingml.diagramLayout+xml"/>
  <Override PartName="/word/diagrams/drawing6.xml" ContentType="application/vnd.ms-office.drawingml.diagramDrawing+xml"/>
  <Override PartName="/word/diagrams/quickStyle6.xml" ContentType="application/vnd.openxmlformats-officedocument.drawingml.diagramStyle+xml"/>
  <Override PartName="/word/diagrams/colors6.xml" ContentType="application/vnd.openxmlformats-officedocument.drawingml.diagramColors+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89C38B" w14:textId="77777777" w:rsidR="00045148" w:rsidRPr="00045148" w:rsidRDefault="00E651D4" w:rsidP="00E651D4">
      <w:pPr>
        <w:pStyle w:val="IRPtitl"/>
        <w:ind w:left="0" w:firstLine="0"/>
        <w:rPr>
          <w:sz w:val="48"/>
          <w:szCs w:val="48"/>
        </w:rPr>
      </w:pPr>
      <w:r>
        <w:rPr>
          <w:sz w:val="48"/>
          <w:szCs w:val="48"/>
        </w:rPr>
        <w:t>ELECTRIC ANALYSIS</w:t>
      </w:r>
      <w:r w:rsidR="00045148" w:rsidRPr="00045148">
        <w:rPr>
          <w:sz w:val="48"/>
          <w:szCs w:val="48"/>
        </w:rPr>
        <w:br/>
      </w:r>
      <w:r w:rsidR="00BA7904">
        <w:rPr>
          <w:noProof/>
          <w:color w:val="FFFFFF" w:themeColor="background1"/>
          <w:sz w:val="48"/>
          <w:szCs w:val="48"/>
          <w:lang w:eastAsia="en-US"/>
        </w:rPr>
        <mc:AlternateContent>
          <mc:Choice Requires="wps">
            <w:drawing>
              <wp:anchor distT="0" distB="0" distL="0" distR="182880" simplePos="0" relativeHeight="251672064" behindDoc="0" locked="0" layoutInCell="1" allowOverlap="1" wp14:anchorId="235EDAB9" wp14:editId="08F9A8E0">
                <wp:simplePos x="0" y="0"/>
                <wp:positionH relativeFrom="margin">
                  <wp:posOffset>47625</wp:posOffset>
                </wp:positionH>
                <wp:positionV relativeFrom="line">
                  <wp:posOffset>224790</wp:posOffset>
                </wp:positionV>
                <wp:extent cx="2747010" cy="6851650"/>
                <wp:effectExtent l="0" t="0" r="0" b="6350"/>
                <wp:wrapThrough wrapText="right">
                  <wp:wrapPolygon edited="0">
                    <wp:start x="0" y="0"/>
                    <wp:lineTo x="0" y="21540"/>
                    <wp:lineTo x="21370" y="21540"/>
                    <wp:lineTo x="21370" y="0"/>
                    <wp:lineTo x="0" y="0"/>
                  </wp:wrapPolygon>
                </wp:wrapThrough>
                <wp:docPr id="54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010" cy="6851650"/>
                        </a:xfrm>
                        <a:prstGeom prst="rect">
                          <a:avLst/>
                        </a:prstGeom>
                        <a:solidFill>
                          <a:srgbClr val="71BB32"/>
                        </a:solidFill>
                        <a:ln>
                          <a:noFill/>
                        </a:ln>
                        <a:extLst/>
                      </wps:spPr>
                      <wps:txbx>
                        <w:txbxContent>
                          <w:p w14:paraId="652FAE06" w14:textId="77777777" w:rsidR="00BC242C" w:rsidRPr="00771D35" w:rsidRDefault="00BC242C" w:rsidP="00601E72">
                            <w:pPr>
                              <w:pStyle w:val="IRPsub1"/>
                              <w:rPr>
                                <w:i w:val="0"/>
                                <w:sz w:val="32"/>
                                <w:szCs w:val="32"/>
                              </w:rPr>
                            </w:pPr>
                            <w:r>
                              <w:rPr>
                                <w:i w:val="0"/>
                                <w:sz w:val="32"/>
                                <w:szCs w:val="32"/>
                              </w:rPr>
                              <w:t>Contents</w:t>
                            </w:r>
                          </w:p>
                          <w:p w14:paraId="71340BE5" w14:textId="77777777" w:rsidR="00BC242C" w:rsidRPr="00E651D4" w:rsidRDefault="00BC242C" w:rsidP="00E651D4">
                            <w:pPr>
                              <w:spacing w:after="120"/>
                              <w:rPr>
                                <w:rFonts w:ascii="Arial" w:hAnsi="Arial"/>
                                <w:b/>
                                <w:i/>
                                <w:color w:val="0F243E" w:themeColor="text2" w:themeShade="80"/>
                                <w:sz w:val="22"/>
                                <w:szCs w:val="22"/>
                              </w:rPr>
                            </w:pPr>
                            <w:r w:rsidRPr="00E651D4">
                              <w:rPr>
                                <w:rFonts w:ascii="Arial" w:hAnsi="Arial"/>
                                <w:b/>
                                <w:i/>
                                <w:color w:val="0F243E" w:themeColor="text2" w:themeShade="80"/>
                                <w:sz w:val="22"/>
                                <w:szCs w:val="22"/>
                              </w:rPr>
                              <w:t>6-</w:t>
                            </w:r>
                            <w:r>
                              <w:rPr>
                                <w:rFonts w:ascii="Arial" w:hAnsi="Arial"/>
                                <w:b/>
                                <w:i/>
                                <w:color w:val="0F243E" w:themeColor="text2" w:themeShade="80"/>
                                <w:sz w:val="22"/>
                                <w:szCs w:val="22"/>
                              </w:rPr>
                              <w:t>2</w:t>
                            </w:r>
                            <w:r w:rsidRPr="00E651D4">
                              <w:rPr>
                                <w:rFonts w:ascii="Arial" w:hAnsi="Arial"/>
                                <w:b/>
                                <w:i/>
                                <w:color w:val="0F243E" w:themeColor="text2" w:themeShade="80"/>
                                <w:sz w:val="22"/>
                                <w:szCs w:val="22"/>
                              </w:rPr>
                              <w:t>.</w:t>
                            </w:r>
                            <w:r w:rsidRPr="00E651D4">
                              <w:rPr>
                                <w:rFonts w:ascii="Arial" w:hAnsi="Arial"/>
                                <w:i/>
                                <w:color w:val="0F243E" w:themeColor="text2" w:themeShade="80"/>
                                <w:sz w:val="22"/>
                                <w:szCs w:val="22"/>
                              </w:rPr>
                              <w:t xml:space="preserve"> </w:t>
                            </w:r>
                            <w:r w:rsidRPr="00E651D4">
                              <w:rPr>
                                <w:rFonts w:ascii="Arial" w:hAnsi="Arial"/>
                                <w:b/>
                                <w:i/>
                                <w:color w:val="0F243E" w:themeColor="text2" w:themeShade="80"/>
                                <w:sz w:val="22"/>
                                <w:szCs w:val="22"/>
                              </w:rPr>
                              <w:t>ANALYSIS OVERVIEW</w:t>
                            </w:r>
                          </w:p>
                          <w:p w14:paraId="74B949B9" w14:textId="77777777" w:rsidR="00BC242C" w:rsidRPr="00E651D4" w:rsidRDefault="00BC242C" w:rsidP="00E651D4">
                            <w:pPr>
                              <w:spacing w:after="120"/>
                              <w:rPr>
                                <w:rFonts w:ascii="Arial" w:hAnsi="Arial"/>
                                <w:b/>
                                <w:i/>
                                <w:color w:val="0F243E" w:themeColor="text2" w:themeShade="80"/>
                                <w:sz w:val="22"/>
                                <w:szCs w:val="22"/>
                              </w:rPr>
                            </w:pPr>
                            <w:r>
                              <w:rPr>
                                <w:rFonts w:ascii="Arial" w:hAnsi="Arial"/>
                                <w:b/>
                                <w:i/>
                                <w:color w:val="0F243E" w:themeColor="text2" w:themeShade="80"/>
                                <w:sz w:val="22"/>
                                <w:szCs w:val="22"/>
                              </w:rPr>
                              <w:t>6-4</w:t>
                            </w:r>
                            <w:r w:rsidRPr="00E651D4">
                              <w:rPr>
                                <w:rFonts w:ascii="Arial" w:hAnsi="Arial"/>
                                <w:b/>
                                <w:i/>
                                <w:color w:val="0F243E" w:themeColor="text2" w:themeShade="80"/>
                                <w:sz w:val="22"/>
                                <w:szCs w:val="22"/>
                              </w:rPr>
                              <w:t xml:space="preserve">. RESOURCE NEED </w:t>
                            </w:r>
                          </w:p>
                          <w:p w14:paraId="034E3007" w14:textId="77777777" w:rsidR="00BC242C" w:rsidRPr="00E651D4" w:rsidRDefault="00BC242C" w:rsidP="00E651D4">
                            <w:pPr>
                              <w:pStyle w:val="ListParagraph"/>
                              <w:numPr>
                                <w:ilvl w:val="0"/>
                                <w:numId w:val="2"/>
                              </w:numPr>
                              <w:rPr>
                                <w:rFonts w:ascii="Arial" w:hAnsi="Arial"/>
                                <w:i/>
                                <w:color w:val="0F243E" w:themeColor="text2" w:themeShade="80"/>
                              </w:rPr>
                            </w:pPr>
                            <w:r w:rsidRPr="00E651D4">
                              <w:rPr>
                                <w:rFonts w:ascii="Arial" w:hAnsi="Arial"/>
                                <w:i/>
                                <w:color w:val="0F243E" w:themeColor="text2" w:themeShade="80"/>
                              </w:rPr>
                              <w:t xml:space="preserve">Updating the Planning Standard </w:t>
                            </w:r>
                          </w:p>
                          <w:p w14:paraId="69952CB8" w14:textId="77777777" w:rsidR="00BC242C" w:rsidRPr="00E651D4" w:rsidRDefault="00BC242C" w:rsidP="00E651D4">
                            <w:pPr>
                              <w:pStyle w:val="ListParagraph"/>
                              <w:numPr>
                                <w:ilvl w:val="0"/>
                                <w:numId w:val="2"/>
                              </w:numPr>
                              <w:rPr>
                                <w:rFonts w:ascii="Arial" w:hAnsi="Arial"/>
                                <w:i/>
                                <w:color w:val="0F243E" w:themeColor="text2" w:themeShade="80"/>
                              </w:rPr>
                            </w:pPr>
                            <w:r w:rsidRPr="00E651D4">
                              <w:rPr>
                                <w:rFonts w:ascii="Arial" w:hAnsi="Arial"/>
                                <w:i/>
                                <w:color w:val="0F243E" w:themeColor="text2" w:themeShade="80"/>
                              </w:rPr>
                              <w:t>Incorporating Wholesale Market Reliability Risk</w:t>
                            </w:r>
                          </w:p>
                          <w:p w14:paraId="1AE1872F" w14:textId="77777777" w:rsidR="00BC242C" w:rsidRPr="00E651D4" w:rsidRDefault="00BC242C" w:rsidP="00E651D4">
                            <w:pPr>
                              <w:pStyle w:val="ListParagraph"/>
                              <w:numPr>
                                <w:ilvl w:val="0"/>
                                <w:numId w:val="2"/>
                              </w:numPr>
                              <w:rPr>
                                <w:rFonts w:ascii="Arial" w:hAnsi="Arial"/>
                                <w:i/>
                                <w:color w:val="0F243E" w:themeColor="text2" w:themeShade="80"/>
                              </w:rPr>
                            </w:pPr>
                            <w:r w:rsidRPr="00E651D4">
                              <w:rPr>
                                <w:rFonts w:ascii="Arial" w:hAnsi="Arial"/>
                                <w:i/>
                                <w:color w:val="0F243E" w:themeColor="text2" w:themeShade="80"/>
                              </w:rPr>
                              <w:t>Components of Physical (Peak) Need</w:t>
                            </w:r>
                          </w:p>
                          <w:p w14:paraId="590BD59D" w14:textId="77777777" w:rsidR="00BC242C" w:rsidRPr="00E651D4" w:rsidRDefault="00BC242C" w:rsidP="00E651D4">
                            <w:pPr>
                              <w:pStyle w:val="ListParagraph"/>
                              <w:numPr>
                                <w:ilvl w:val="0"/>
                                <w:numId w:val="2"/>
                              </w:numPr>
                              <w:rPr>
                                <w:rFonts w:ascii="Arial" w:hAnsi="Arial"/>
                                <w:i/>
                                <w:color w:val="0F243E" w:themeColor="text2" w:themeShade="80"/>
                              </w:rPr>
                            </w:pPr>
                            <w:r w:rsidRPr="00E651D4">
                              <w:rPr>
                                <w:rFonts w:ascii="Arial" w:hAnsi="Arial"/>
                                <w:i/>
                                <w:color w:val="0F243E" w:themeColor="text2" w:themeShade="80"/>
                              </w:rPr>
                              <w:t>Peak Capacity Need</w:t>
                            </w:r>
                          </w:p>
                          <w:p w14:paraId="360EC313" w14:textId="77777777" w:rsidR="00BC242C" w:rsidRPr="00E651D4" w:rsidRDefault="00BC242C" w:rsidP="00E651D4">
                            <w:pPr>
                              <w:pStyle w:val="ListParagraph"/>
                              <w:numPr>
                                <w:ilvl w:val="0"/>
                                <w:numId w:val="2"/>
                              </w:numPr>
                              <w:rPr>
                                <w:rFonts w:ascii="Arial" w:hAnsi="Arial"/>
                                <w:i/>
                                <w:color w:val="0F243E" w:themeColor="text2" w:themeShade="80"/>
                              </w:rPr>
                            </w:pPr>
                            <w:r w:rsidRPr="00E651D4">
                              <w:rPr>
                                <w:rFonts w:ascii="Arial" w:hAnsi="Arial"/>
                                <w:i/>
                                <w:color w:val="0F243E" w:themeColor="text2" w:themeShade="80"/>
                              </w:rPr>
                              <w:t>Energy Need</w:t>
                            </w:r>
                          </w:p>
                          <w:p w14:paraId="6F5E7DFA" w14:textId="77777777" w:rsidR="00BC242C" w:rsidRPr="00E651D4" w:rsidRDefault="00BC242C" w:rsidP="00E651D4">
                            <w:pPr>
                              <w:pStyle w:val="ListParagraph"/>
                              <w:numPr>
                                <w:ilvl w:val="0"/>
                                <w:numId w:val="2"/>
                              </w:numPr>
                              <w:spacing w:line="240" w:lineRule="auto"/>
                              <w:rPr>
                                <w:rFonts w:ascii="Arial" w:hAnsi="Arial"/>
                                <w:i/>
                                <w:color w:val="0F243E" w:themeColor="text2" w:themeShade="80"/>
                              </w:rPr>
                            </w:pPr>
                            <w:r w:rsidRPr="00E651D4">
                              <w:rPr>
                                <w:rFonts w:ascii="Arial" w:hAnsi="Arial"/>
                                <w:i/>
                                <w:color w:val="0F243E" w:themeColor="text2" w:themeShade="80"/>
                              </w:rPr>
                              <w:t>Renewable Need</w:t>
                            </w:r>
                          </w:p>
                          <w:p w14:paraId="1713C401" w14:textId="77777777" w:rsidR="00BC242C" w:rsidRPr="00E651D4" w:rsidRDefault="00BC242C" w:rsidP="00E651D4">
                            <w:pPr>
                              <w:rPr>
                                <w:rFonts w:ascii="Arial" w:hAnsi="Arial"/>
                                <w:b/>
                                <w:i/>
                                <w:color w:val="0F243E" w:themeColor="text2" w:themeShade="80"/>
                                <w:sz w:val="22"/>
                                <w:szCs w:val="22"/>
                              </w:rPr>
                            </w:pPr>
                            <w:r w:rsidRPr="00E651D4">
                              <w:rPr>
                                <w:rFonts w:ascii="Arial" w:hAnsi="Arial"/>
                                <w:b/>
                                <w:i/>
                                <w:color w:val="0F243E" w:themeColor="text2" w:themeShade="80"/>
                                <w:sz w:val="22"/>
                                <w:szCs w:val="22"/>
                              </w:rPr>
                              <w:t>6-</w:t>
                            </w:r>
                            <w:r>
                              <w:rPr>
                                <w:rFonts w:ascii="Arial" w:hAnsi="Arial"/>
                                <w:b/>
                                <w:i/>
                                <w:color w:val="0F243E" w:themeColor="text2" w:themeShade="80"/>
                                <w:sz w:val="22"/>
                                <w:szCs w:val="22"/>
                              </w:rPr>
                              <w:t>24</w:t>
                            </w:r>
                            <w:r w:rsidRPr="00E651D4">
                              <w:rPr>
                                <w:rFonts w:ascii="Arial" w:hAnsi="Arial"/>
                                <w:b/>
                                <w:i/>
                                <w:color w:val="0F243E" w:themeColor="text2" w:themeShade="80"/>
                                <w:sz w:val="22"/>
                                <w:szCs w:val="22"/>
                              </w:rPr>
                              <w:t>.</w:t>
                            </w:r>
                            <w:r w:rsidRPr="00E651D4">
                              <w:rPr>
                                <w:rFonts w:ascii="Arial" w:hAnsi="Arial"/>
                                <w:i/>
                                <w:color w:val="0F243E" w:themeColor="text2" w:themeShade="80"/>
                                <w:sz w:val="22"/>
                                <w:szCs w:val="22"/>
                              </w:rPr>
                              <w:t xml:space="preserve"> </w:t>
                            </w:r>
                            <w:r w:rsidRPr="00E651D4">
                              <w:rPr>
                                <w:rFonts w:ascii="Arial" w:hAnsi="Arial"/>
                                <w:b/>
                                <w:i/>
                                <w:color w:val="0F243E" w:themeColor="text2" w:themeShade="80"/>
                                <w:sz w:val="22"/>
                                <w:szCs w:val="22"/>
                              </w:rPr>
                              <w:t xml:space="preserve">ASSUMPTIONS AND </w:t>
                            </w:r>
                            <w:r w:rsidRPr="00E651D4">
                              <w:rPr>
                                <w:rFonts w:ascii="Arial" w:hAnsi="Arial"/>
                                <w:b/>
                                <w:i/>
                                <w:color w:val="0F243E" w:themeColor="text2" w:themeShade="80"/>
                                <w:sz w:val="22"/>
                                <w:szCs w:val="22"/>
                              </w:rPr>
                              <w:br/>
                            </w:r>
                            <w:proofErr w:type="gramStart"/>
                            <w:r w:rsidRPr="00E651D4">
                              <w:rPr>
                                <w:rFonts w:ascii="Arial" w:hAnsi="Arial"/>
                                <w:b/>
                                <w:i/>
                                <w:color w:val="0F243E" w:themeColor="text2" w:themeShade="80"/>
                                <w:sz w:val="22"/>
                                <w:szCs w:val="22"/>
                              </w:rPr>
                              <w:t xml:space="preserve">      ALTERNATIVES</w:t>
                            </w:r>
                            <w:proofErr w:type="gramEnd"/>
                            <w:r w:rsidRPr="00E651D4">
                              <w:rPr>
                                <w:rFonts w:ascii="Arial" w:hAnsi="Arial"/>
                                <w:b/>
                                <w:i/>
                                <w:color w:val="0F243E" w:themeColor="text2" w:themeShade="80"/>
                                <w:sz w:val="22"/>
                                <w:szCs w:val="22"/>
                              </w:rPr>
                              <w:t xml:space="preserve"> </w:t>
                            </w:r>
                          </w:p>
                          <w:p w14:paraId="6C53084B" w14:textId="77777777" w:rsidR="00BC242C" w:rsidRPr="00E651D4" w:rsidRDefault="00BC242C" w:rsidP="00E651D4">
                            <w:pPr>
                              <w:pStyle w:val="ListParagraph"/>
                              <w:numPr>
                                <w:ilvl w:val="0"/>
                                <w:numId w:val="5"/>
                              </w:numPr>
                              <w:rPr>
                                <w:rFonts w:ascii="Arial" w:hAnsi="Arial"/>
                                <w:i/>
                                <w:color w:val="0F243E" w:themeColor="text2" w:themeShade="80"/>
                              </w:rPr>
                            </w:pPr>
                            <w:r w:rsidRPr="00E651D4">
                              <w:rPr>
                                <w:rFonts w:ascii="Arial" w:hAnsi="Arial"/>
                                <w:i/>
                                <w:color w:val="0F243E" w:themeColor="text2" w:themeShade="80"/>
                              </w:rPr>
                              <w:t>Scenarios and Sensitivities</w:t>
                            </w:r>
                          </w:p>
                          <w:p w14:paraId="48720C59" w14:textId="77777777" w:rsidR="00BC242C" w:rsidRPr="00E651D4" w:rsidRDefault="00BC242C" w:rsidP="00E651D4">
                            <w:pPr>
                              <w:pStyle w:val="ListParagraph"/>
                              <w:numPr>
                                <w:ilvl w:val="0"/>
                                <w:numId w:val="5"/>
                              </w:numPr>
                              <w:spacing w:line="240" w:lineRule="auto"/>
                              <w:rPr>
                                <w:rFonts w:ascii="Arial" w:hAnsi="Arial"/>
                                <w:i/>
                                <w:color w:val="0F243E" w:themeColor="text2" w:themeShade="80"/>
                              </w:rPr>
                            </w:pPr>
                            <w:r w:rsidRPr="00E651D4">
                              <w:rPr>
                                <w:rFonts w:ascii="Arial" w:hAnsi="Arial"/>
                                <w:i/>
                                <w:color w:val="0F243E" w:themeColor="text2" w:themeShade="80"/>
                              </w:rPr>
                              <w:t>Available Resource Alternatives</w:t>
                            </w:r>
                          </w:p>
                          <w:p w14:paraId="5A5089C6" w14:textId="77777777" w:rsidR="00BC242C" w:rsidRPr="00E651D4" w:rsidRDefault="00BC242C" w:rsidP="00E651D4">
                            <w:pPr>
                              <w:rPr>
                                <w:rFonts w:ascii="Arial" w:hAnsi="Arial"/>
                                <w:b/>
                                <w:i/>
                                <w:caps/>
                                <w:color w:val="0F243E" w:themeColor="text2" w:themeShade="80"/>
                                <w:sz w:val="22"/>
                                <w:szCs w:val="22"/>
                              </w:rPr>
                            </w:pPr>
                            <w:r>
                              <w:rPr>
                                <w:rFonts w:ascii="Arial" w:hAnsi="Arial"/>
                                <w:b/>
                                <w:i/>
                                <w:caps/>
                                <w:color w:val="0F243E" w:themeColor="text2" w:themeShade="80"/>
                                <w:sz w:val="22"/>
                                <w:szCs w:val="22"/>
                              </w:rPr>
                              <w:t>6-28</w:t>
                            </w:r>
                            <w:r w:rsidRPr="00E651D4">
                              <w:rPr>
                                <w:rFonts w:ascii="Arial" w:hAnsi="Arial"/>
                                <w:b/>
                                <w:i/>
                                <w:caps/>
                                <w:color w:val="0F243E" w:themeColor="text2" w:themeShade="80"/>
                                <w:sz w:val="22"/>
                                <w:szCs w:val="22"/>
                              </w:rPr>
                              <w:t>. two Types of Analysis</w:t>
                            </w:r>
                          </w:p>
                          <w:p w14:paraId="5EC249CB" w14:textId="77777777" w:rsidR="00BC242C" w:rsidRPr="00E651D4" w:rsidRDefault="00BC242C" w:rsidP="00E651D4">
                            <w:pPr>
                              <w:pStyle w:val="ListParagraph"/>
                              <w:numPr>
                                <w:ilvl w:val="0"/>
                                <w:numId w:val="4"/>
                              </w:numPr>
                              <w:rPr>
                                <w:rFonts w:ascii="Arial" w:hAnsi="Arial"/>
                                <w:i/>
                                <w:color w:val="0F243E" w:themeColor="text2" w:themeShade="80"/>
                              </w:rPr>
                            </w:pPr>
                            <w:r w:rsidRPr="00E651D4">
                              <w:rPr>
                                <w:rFonts w:ascii="Arial" w:hAnsi="Arial"/>
                                <w:i/>
                                <w:color w:val="0F243E" w:themeColor="text2" w:themeShade="80"/>
                              </w:rPr>
                              <w:t xml:space="preserve">Deterministic Portfolio Optimization </w:t>
                            </w:r>
                          </w:p>
                          <w:p w14:paraId="5E95DAEB" w14:textId="77777777" w:rsidR="00BC242C" w:rsidRPr="00E651D4" w:rsidRDefault="00BC242C" w:rsidP="00E651D4">
                            <w:pPr>
                              <w:pStyle w:val="ListParagraph"/>
                              <w:numPr>
                                <w:ilvl w:val="0"/>
                                <w:numId w:val="4"/>
                              </w:numPr>
                              <w:rPr>
                                <w:rFonts w:ascii="Arial" w:hAnsi="Arial"/>
                                <w:i/>
                                <w:color w:val="0F243E" w:themeColor="text2" w:themeShade="80"/>
                              </w:rPr>
                            </w:pPr>
                            <w:r w:rsidRPr="00E651D4">
                              <w:rPr>
                                <w:rFonts w:ascii="Arial" w:hAnsi="Arial"/>
                                <w:i/>
                                <w:color w:val="0F243E" w:themeColor="text2" w:themeShade="80"/>
                              </w:rPr>
                              <w:t>Candidate Resource Plans</w:t>
                            </w:r>
                          </w:p>
                          <w:p w14:paraId="35FC51F9" w14:textId="77777777" w:rsidR="00BC242C" w:rsidRPr="00E651D4" w:rsidRDefault="00BC242C" w:rsidP="00E651D4">
                            <w:pPr>
                              <w:pStyle w:val="ListParagraph"/>
                              <w:numPr>
                                <w:ilvl w:val="0"/>
                                <w:numId w:val="4"/>
                              </w:numPr>
                              <w:spacing w:line="240" w:lineRule="auto"/>
                              <w:rPr>
                                <w:rFonts w:ascii="Arial" w:hAnsi="Arial"/>
                                <w:i/>
                                <w:color w:val="0F243E" w:themeColor="text2" w:themeShade="80"/>
                              </w:rPr>
                            </w:pPr>
                            <w:r w:rsidRPr="00E651D4">
                              <w:rPr>
                                <w:rFonts w:ascii="Arial" w:hAnsi="Arial"/>
                                <w:i/>
                                <w:color w:val="0F243E" w:themeColor="text2" w:themeShade="80"/>
                              </w:rPr>
                              <w:t>Stochastic Risk Analysis</w:t>
                            </w:r>
                          </w:p>
                          <w:p w14:paraId="2BE186D0" w14:textId="77777777" w:rsidR="00BC242C" w:rsidRPr="00E651D4" w:rsidRDefault="00BC242C" w:rsidP="00E651D4">
                            <w:pPr>
                              <w:rPr>
                                <w:rFonts w:ascii="Arial" w:hAnsi="Arial"/>
                                <w:b/>
                                <w:i/>
                                <w:color w:val="0F243E" w:themeColor="text2" w:themeShade="80"/>
                                <w:sz w:val="22"/>
                                <w:szCs w:val="22"/>
                              </w:rPr>
                            </w:pPr>
                            <w:r>
                              <w:rPr>
                                <w:rFonts w:ascii="Arial" w:hAnsi="Arial"/>
                                <w:b/>
                                <w:i/>
                                <w:color w:val="0F243E" w:themeColor="text2" w:themeShade="80"/>
                                <w:sz w:val="22"/>
                                <w:szCs w:val="22"/>
                              </w:rPr>
                              <w:t>6-32</w:t>
                            </w:r>
                            <w:r w:rsidRPr="00E651D4">
                              <w:rPr>
                                <w:rFonts w:ascii="Arial" w:hAnsi="Arial"/>
                                <w:b/>
                                <w:i/>
                                <w:color w:val="0F243E" w:themeColor="text2" w:themeShade="80"/>
                                <w:sz w:val="22"/>
                                <w:szCs w:val="22"/>
                              </w:rPr>
                              <w:t>.</w:t>
                            </w:r>
                            <w:r w:rsidRPr="00E651D4">
                              <w:rPr>
                                <w:rFonts w:ascii="Arial" w:hAnsi="Arial"/>
                                <w:i/>
                                <w:color w:val="0F243E" w:themeColor="text2" w:themeShade="80"/>
                                <w:sz w:val="22"/>
                                <w:szCs w:val="22"/>
                              </w:rPr>
                              <w:t xml:space="preserve"> </w:t>
                            </w:r>
                            <w:r w:rsidRPr="00E651D4">
                              <w:rPr>
                                <w:rFonts w:ascii="Arial" w:hAnsi="Arial"/>
                                <w:b/>
                                <w:i/>
                                <w:color w:val="0F243E" w:themeColor="text2" w:themeShade="80"/>
                                <w:sz w:val="22"/>
                                <w:szCs w:val="22"/>
                              </w:rPr>
                              <w:t xml:space="preserve">KEY FINDINGS </w:t>
                            </w:r>
                          </w:p>
                          <w:p w14:paraId="05FDACBD" w14:textId="77777777" w:rsidR="00BC242C" w:rsidRPr="00E651D4" w:rsidRDefault="00BC242C" w:rsidP="00E651D4">
                            <w:pPr>
                              <w:pStyle w:val="ListParagraph"/>
                              <w:numPr>
                                <w:ilvl w:val="0"/>
                                <w:numId w:val="3"/>
                              </w:numPr>
                              <w:rPr>
                                <w:rFonts w:ascii="Arial" w:hAnsi="Arial"/>
                                <w:i/>
                                <w:color w:val="0F243E" w:themeColor="text2" w:themeShade="80"/>
                              </w:rPr>
                            </w:pPr>
                            <w:r w:rsidRPr="00E651D4">
                              <w:rPr>
                                <w:rFonts w:ascii="Arial" w:hAnsi="Arial"/>
                                <w:i/>
                                <w:color w:val="0F243E" w:themeColor="text2" w:themeShade="80"/>
                              </w:rPr>
                              <w:t>Scenarios</w:t>
                            </w:r>
                          </w:p>
                          <w:p w14:paraId="6FD87399" w14:textId="77777777" w:rsidR="00BC242C" w:rsidRPr="00E651D4" w:rsidRDefault="00BC242C" w:rsidP="00E651D4">
                            <w:pPr>
                              <w:pStyle w:val="ListParagraph"/>
                              <w:numPr>
                                <w:ilvl w:val="0"/>
                                <w:numId w:val="3"/>
                              </w:numPr>
                              <w:rPr>
                                <w:rFonts w:ascii="Arial" w:hAnsi="Arial"/>
                                <w:i/>
                                <w:color w:val="0F243E" w:themeColor="text2" w:themeShade="80"/>
                              </w:rPr>
                            </w:pPr>
                            <w:r w:rsidRPr="00E651D4">
                              <w:rPr>
                                <w:rFonts w:ascii="Arial" w:hAnsi="Arial"/>
                                <w:i/>
                                <w:color w:val="0F243E" w:themeColor="text2" w:themeShade="80"/>
                              </w:rPr>
                              <w:t>Sensitivities</w:t>
                            </w:r>
                          </w:p>
                          <w:p w14:paraId="5DD7A379" w14:textId="77777777" w:rsidR="00BC242C" w:rsidRPr="00E651D4" w:rsidRDefault="00BC242C" w:rsidP="00E651D4">
                            <w:pPr>
                              <w:pStyle w:val="ListParagraph"/>
                              <w:numPr>
                                <w:ilvl w:val="0"/>
                                <w:numId w:val="3"/>
                              </w:numPr>
                              <w:rPr>
                                <w:rFonts w:ascii="Arial" w:hAnsi="Arial"/>
                                <w:i/>
                                <w:color w:val="0F243E" w:themeColor="text2" w:themeShade="80"/>
                              </w:rPr>
                            </w:pPr>
                            <w:r w:rsidRPr="00E651D4">
                              <w:rPr>
                                <w:rFonts w:ascii="Arial" w:hAnsi="Arial"/>
                                <w:i/>
                                <w:color w:val="0F243E" w:themeColor="text2" w:themeShade="80"/>
                              </w:rPr>
                              <w:t>Candidate Resource Plans</w:t>
                            </w:r>
                          </w:p>
                          <w:p w14:paraId="34A75291" w14:textId="674E04DA" w:rsidR="00BC242C" w:rsidRPr="00E651D4" w:rsidRDefault="00BC242C" w:rsidP="00E651D4">
                            <w:pPr>
                              <w:spacing w:after="120"/>
                              <w:rPr>
                                <w:rFonts w:ascii="Arial" w:hAnsi="Arial"/>
                                <w:b/>
                                <w:i/>
                                <w:color w:val="0F243E" w:themeColor="text2" w:themeShade="80"/>
                                <w:sz w:val="22"/>
                                <w:szCs w:val="22"/>
                              </w:rPr>
                            </w:pPr>
                            <w:r w:rsidRPr="00E651D4">
                              <w:rPr>
                                <w:rFonts w:ascii="Arial" w:hAnsi="Arial"/>
                                <w:b/>
                                <w:i/>
                                <w:color w:val="0F243E" w:themeColor="text2" w:themeShade="80"/>
                                <w:sz w:val="22"/>
                                <w:szCs w:val="22"/>
                              </w:rPr>
                              <w:t>6-</w:t>
                            </w:r>
                            <w:r>
                              <w:rPr>
                                <w:rFonts w:ascii="Arial" w:hAnsi="Arial"/>
                                <w:b/>
                                <w:i/>
                                <w:color w:val="0F243E" w:themeColor="text2" w:themeShade="80"/>
                                <w:sz w:val="22"/>
                                <w:szCs w:val="22"/>
                              </w:rPr>
                              <w:t>36</w:t>
                            </w:r>
                            <w:r w:rsidRPr="00E651D4">
                              <w:rPr>
                                <w:rFonts w:ascii="Arial" w:hAnsi="Arial"/>
                                <w:b/>
                                <w:i/>
                                <w:color w:val="0F243E" w:themeColor="text2" w:themeShade="80"/>
                                <w:sz w:val="22"/>
                                <w:szCs w:val="22"/>
                              </w:rPr>
                              <w:t xml:space="preserve">. SCENARIO </w:t>
                            </w:r>
                            <w:proofErr w:type="gramStart"/>
                            <w:r w:rsidRPr="00E651D4">
                              <w:rPr>
                                <w:rFonts w:ascii="Arial" w:hAnsi="Arial"/>
                                <w:b/>
                                <w:i/>
                                <w:color w:val="0F243E" w:themeColor="text2" w:themeShade="80"/>
                                <w:sz w:val="22"/>
                                <w:szCs w:val="22"/>
                              </w:rPr>
                              <w:t xml:space="preserve">ANALYSIS </w:t>
                            </w:r>
                            <w:r w:rsidR="008216CC">
                              <w:rPr>
                                <w:rFonts w:ascii="Arial" w:hAnsi="Arial"/>
                                <w:b/>
                                <w:i/>
                                <w:color w:val="0F243E" w:themeColor="text2" w:themeShade="80"/>
                                <w:sz w:val="22"/>
                                <w:szCs w:val="22"/>
                              </w:rPr>
                              <w:t xml:space="preserve">     </w:t>
                            </w:r>
                            <w:proofErr w:type="gramEnd"/>
                            <w:r w:rsidR="008216CC">
                              <w:rPr>
                                <w:rFonts w:ascii="Arial" w:hAnsi="Arial"/>
                                <w:b/>
                                <w:i/>
                                <w:color w:val="0F243E" w:themeColor="text2" w:themeShade="80"/>
                                <w:sz w:val="22"/>
                                <w:szCs w:val="22"/>
                              </w:rPr>
                              <w:br/>
                            </w:r>
                            <w:r w:rsidR="008216CC" w:rsidRPr="00E651D4">
                              <w:rPr>
                                <w:rFonts w:ascii="Arial" w:hAnsi="Arial"/>
                                <w:b/>
                                <w:i/>
                                <w:color w:val="0F243E" w:themeColor="text2" w:themeShade="80"/>
                                <w:sz w:val="22"/>
                                <w:szCs w:val="22"/>
                              </w:rPr>
                              <w:t xml:space="preserve">      </w:t>
                            </w:r>
                            <w:r w:rsidRPr="00E651D4">
                              <w:rPr>
                                <w:rFonts w:ascii="Arial" w:hAnsi="Arial"/>
                                <w:b/>
                                <w:i/>
                                <w:color w:val="0F243E" w:themeColor="text2" w:themeShade="80"/>
                                <w:sz w:val="22"/>
                                <w:szCs w:val="22"/>
                              </w:rPr>
                              <w:t>RESULTS</w:t>
                            </w:r>
                          </w:p>
                          <w:p w14:paraId="121756F3" w14:textId="72CEC349" w:rsidR="00BC242C" w:rsidRPr="00E651D4" w:rsidRDefault="00BC242C" w:rsidP="00E651D4">
                            <w:pPr>
                              <w:spacing w:after="120"/>
                              <w:rPr>
                                <w:rFonts w:ascii="Arial" w:hAnsi="Arial"/>
                                <w:b/>
                                <w:i/>
                                <w:color w:val="0F243E" w:themeColor="text2" w:themeShade="80"/>
                                <w:sz w:val="22"/>
                                <w:szCs w:val="22"/>
                              </w:rPr>
                            </w:pPr>
                            <w:r w:rsidRPr="00E651D4">
                              <w:rPr>
                                <w:rFonts w:ascii="Arial" w:hAnsi="Arial"/>
                                <w:b/>
                                <w:i/>
                                <w:color w:val="0F243E" w:themeColor="text2" w:themeShade="80"/>
                                <w:sz w:val="22"/>
                                <w:szCs w:val="22"/>
                              </w:rPr>
                              <w:t>6-</w:t>
                            </w:r>
                            <w:r>
                              <w:rPr>
                                <w:rFonts w:ascii="Arial" w:hAnsi="Arial"/>
                                <w:b/>
                                <w:i/>
                                <w:color w:val="0F243E" w:themeColor="text2" w:themeShade="80"/>
                                <w:sz w:val="22"/>
                                <w:szCs w:val="22"/>
                              </w:rPr>
                              <w:t>52</w:t>
                            </w:r>
                            <w:r w:rsidRPr="00E651D4">
                              <w:rPr>
                                <w:rFonts w:ascii="Arial" w:hAnsi="Arial"/>
                                <w:b/>
                                <w:i/>
                                <w:color w:val="0F243E" w:themeColor="text2" w:themeShade="80"/>
                                <w:sz w:val="22"/>
                                <w:szCs w:val="22"/>
                              </w:rPr>
                              <w:t xml:space="preserve">. SENSITIVITY ANALYSIS </w:t>
                            </w:r>
                            <w:r w:rsidR="008216CC">
                              <w:rPr>
                                <w:rFonts w:ascii="Arial" w:hAnsi="Arial"/>
                                <w:b/>
                                <w:i/>
                                <w:color w:val="0F243E" w:themeColor="text2" w:themeShade="80"/>
                                <w:sz w:val="22"/>
                                <w:szCs w:val="22"/>
                              </w:rPr>
                              <w:br/>
                            </w:r>
                            <w:r w:rsidR="008216CC" w:rsidRPr="00E651D4">
                              <w:rPr>
                                <w:rFonts w:ascii="Arial" w:hAnsi="Arial"/>
                                <w:b/>
                                <w:i/>
                                <w:color w:val="0F243E" w:themeColor="text2" w:themeShade="80"/>
                                <w:sz w:val="22"/>
                                <w:szCs w:val="22"/>
                              </w:rPr>
                              <w:t xml:space="preserve">      </w:t>
                            </w:r>
                            <w:r w:rsidRPr="00E651D4">
                              <w:rPr>
                                <w:rFonts w:ascii="Arial" w:hAnsi="Arial"/>
                                <w:b/>
                                <w:i/>
                                <w:color w:val="0F243E" w:themeColor="text2" w:themeShade="80"/>
                                <w:sz w:val="22"/>
                                <w:szCs w:val="22"/>
                              </w:rPr>
                              <w:t>RESULTS</w:t>
                            </w:r>
                            <w:bookmarkStart w:id="0" w:name="_GoBack"/>
                            <w:bookmarkEnd w:id="0"/>
                          </w:p>
                          <w:p w14:paraId="246F6CB0" w14:textId="77777777" w:rsidR="00BC242C" w:rsidRPr="00E651D4" w:rsidRDefault="00BC242C" w:rsidP="00E651D4">
                            <w:pPr>
                              <w:spacing w:after="120"/>
                              <w:rPr>
                                <w:rFonts w:ascii="Arial" w:hAnsi="Arial"/>
                                <w:b/>
                                <w:i/>
                                <w:color w:val="0F243E" w:themeColor="text2" w:themeShade="80"/>
                                <w:sz w:val="22"/>
                                <w:szCs w:val="22"/>
                              </w:rPr>
                            </w:pPr>
                            <w:r>
                              <w:rPr>
                                <w:rFonts w:ascii="Arial" w:hAnsi="Arial"/>
                                <w:b/>
                                <w:i/>
                                <w:color w:val="0F243E" w:themeColor="text2" w:themeShade="80"/>
                                <w:sz w:val="22"/>
                                <w:szCs w:val="22"/>
                              </w:rPr>
                              <w:t>6-88</w:t>
                            </w:r>
                            <w:r w:rsidRPr="00E651D4">
                              <w:rPr>
                                <w:rFonts w:ascii="Arial" w:hAnsi="Arial"/>
                                <w:b/>
                                <w:i/>
                                <w:color w:val="0F243E" w:themeColor="text2" w:themeShade="80"/>
                                <w:sz w:val="22"/>
                                <w:szCs w:val="22"/>
                              </w:rPr>
                              <w:t xml:space="preserve">. CANDIDATE RESOURCE PLAN </w:t>
                            </w:r>
                            <w:r w:rsidRPr="00E651D4">
                              <w:rPr>
                                <w:rFonts w:ascii="Arial" w:hAnsi="Arial"/>
                                <w:b/>
                                <w:i/>
                                <w:color w:val="0F243E" w:themeColor="text2" w:themeShade="80"/>
                                <w:sz w:val="22"/>
                                <w:szCs w:val="22"/>
                              </w:rPr>
                              <w:br/>
                            </w:r>
                            <w:proofErr w:type="gramStart"/>
                            <w:r w:rsidRPr="00E651D4">
                              <w:rPr>
                                <w:rFonts w:ascii="Arial" w:hAnsi="Arial"/>
                                <w:b/>
                                <w:i/>
                                <w:color w:val="0F243E" w:themeColor="text2" w:themeShade="80"/>
                                <w:sz w:val="22"/>
                                <w:szCs w:val="22"/>
                              </w:rPr>
                              <w:t xml:space="preserve">       ANALYSIS</w:t>
                            </w:r>
                            <w:proofErr w:type="gramEnd"/>
                            <w:r w:rsidRPr="00E651D4">
                              <w:rPr>
                                <w:rFonts w:ascii="Arial" w:hAnsi="Arial"/>
                                <w:b/>
                                <w:i/>
                                <w:color w:val="0F243E" w:themeColor="text2" w:themeShade="80"/>
                                <w:sz w:val="22"/>
                                <w:szCs w:val="22"/>
                              </w:rPr>
                              <w:t xml:space="preserve"> RESULTS</w:t>
                            </w:r>
                          </w:p>
                          <w:p w14:paraId="61A96F8E" w14:textId="77777777" w:rsidR="00BC242C" w:rsidRPr="00E651D4" w:rsidRDefault="00BC242C" w:rsidP="00E651D4">
                            <w:pPr>
                              <w:rPr>
                                <w:rFonts w:ascii="Arial" w:hAnsi="Arial"/>
                                <w:b/>
                                <w:i/>
                                <w:color w:val="0F243E" w:themeColor="text2" w:themeShade="80"/>
                                <w:sz w:val="22"/>
                                <w:szCs w:val="22"/>
                              </w:rPr>
                            </w:pPr>
                            <w:r w:rsidRPr="00E651D4">
                              <w:rPr>
                                <w:rFonts w:ascii="Arial" w:hAnsi="Arial"/>
                                <w:b/>
                                <w:i/>
                                <w:color w:val="0F243E" w:themeColor="text2" w:themeShade="80"/>
                                <w:sz w:val="22"/>
                                <w:szCs w:val="22"/>
                              </w:rPr>
                              <w:t>6-</w:t>
                            </w:r>
                            <w:r>
                              <w:rPr>
                                <w:rFonts w:ascii="Arial" w:hAnsi="Arial"/>
                                <w:b/>
                                <w:i/>
                                <w:color w:val="0F243E" w:themeColor="text2" w:themeShade="80"/>
                                <w:sz w:val="22"/>
                                <w:szCs w:val="22"/>
                              </w:rPr>
                              <w:t>91. GAS-FOR-</w:t>
                            </w:r>
                            <w:r w:rsidRPr="00E651D4">
                              <w:rPr>
                                <w:rFonts w:ascii="Arial" w:hAnsi="Arial"/>
                                <w:b/>
                                <w:i/>
                                <w:color w:val="0F243E" w:themeColor="text2" w:themeShade="80"/>
                                <w:sz w:val="22"/>
                                <w:szCs w:val="22"/>
                              </w:rPr>
                              <w:t>POWER</w:t>
                            </w:r>
                            <w:r>
                              <w:rPr>
                                <w:rFonts w:ascii="Arial" w:hAnsi="Arial"/>
                                <w:b/>
                                <w:i/>
                                <w:color w:val="0F243E" w:themeColor="text2" w:themeShade="80"/>
                                <w:sz w:val="22"/>
                                <w:szCs w:val="22"/>
                              </w:rPr>
                              <w:t xml:space="preserve"> </w:t>
                            </w:r>
                            <w:proofErr w:type="gramStart"/>
                            <w:r>
                              <w:rPr>
                                <w:rFonts w:ascii="Arial" w:hAnsi="Arial"/>
                                <w:b/>
                                <w:i/>
                                <w:color w:val="0F243E" w:themeColor="text2" w:themeShade="80"/>
                                <w:sz w:val="22"/>
                                <w:szCs w:val="22"/>
                              </w:rPr>
                              <w:t xml:space="preserve">PORTFOLIO  </w:t>
                            </w:r>
                            <w:proofErr w:type="gramEnd"/>
                            <w:r>
                              <w:rPr>
                                <w:rFonts w:ascii="Arial" w:hAnsi="Arial"/>
                                <w:b/>
                                <w:i/>
                                <w:color w:val="0F243E" w:themeColor="text2" w:themeShade="80"/>
                                <w:sz w:val="22"/>
                                <w:szCs w:val="22"/>
                              </w:rPr>
                              <w:br/>
                            </w:r>
                            <w:r w:rsidRPr="00E651D4">
                              <w:rPr>
                                <w:rFonts w:ascii="Arial" w:hAnsi="Arial"/>
                                <w:b/>
                                <w:i/>
                                <w:color w:val="0F243E" w:themeColor="text2" w:themeShade="80"/>
                                <w:sz w:val="22"/>
                                <w:szCs w:val="22"/>
                              </w:rPr>
                              <w:t xml:space="preserve">       </w:t>
                            </w:r>
                            <w:r>
                              <w:rPr>
                                <w:rFonts w:ascii="Arial" w:hAnsi="Arial"/>
                                <w:b/>
                                <w:i/>
                                <w:color w:val="0F243E" w:themeColor="text2" w:themeShade="80"/>
                                <w:sz w:val="22"/>
                                <w:szCs w:val="22"/>
                              </w:rPr>
                              <w:t xml:space="preserve">ANALYSIS </w:t>
                            </w:r>
                          </w:p>
                          <w:p w14:paraId="3C298FB3" w14:textId="77777777" w:rsidR="00BC242C" w:rsidRPr="00771D35" w:rsidRDefault="00BC242C" w:rsidP="00B12366">
                            <w:pPr>
                              <w:pStyle w:val="IRPsub1"/>
                              <w:spacing w:before="80" w:after="80"/>
                              <w:ind w:firstLine="270"/>
                              <w:rPr>
                                <w:color w:val="02265C"/>
                              </w:rPr>
                            </w:pPr>
                          </w:p>
                          <w:p w14:paraId="217A9C32" w14:textId="77777777" w:rsidR="00BC242C" w:rsidRPr="00D013FE" w:rsidRDefault="00BC242C" w:rsidP="00601E72">
                            <w:pPr>
                              <w:pStyle w:val="IRPsub1"/>
                            </w:pPr>
                          </w:p>
                          <w:p w14:paraId="77C6FFA7" w14:textId="77777777" w:rsidR="00BC242C" w:rsidRPr="00D013FE" w:rsidRDefault="00BC242C" w:rsidP="00601E72">
                            <w:pPr>
                              <w:pStyle w:val="IRPsub1"/>
                            </w:pP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7" o:spid="_x0000_s1026" type="#_x0000_t202" style="position:absolute;margin-left:3.75pt;margin-top:17.7pt;width:216.3pt;height:539.5pt;z-index:251672064;visibility:visible;mso-wrap-style:square;mso-width-percent:0;mso-height-percent:0;mso-wrap-distance-left:0;mso-wrap-distance-top:0;mso-wrap-distance-right:14.4pt;mso-wrap-distance-bottom:0;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" fillcolor="#71bb32" stroked="f">
                <v:textbox inset="14.4pt,7.2pt,,7.2pt">
                  <w:txbxContent>
                    <w:p w14:paraId="652FAE06" w14:textId="77777777" w:rsidR="00BC242C" w:rsidRPr="00771D35" w:rsidRDefault="00BC242C" w:rsidP="00601E72">
                      <w:pPr>
                        <w:pStyle w:val="IRPsub1"/>
                        <w:rPr>
                          <w:i w:val="0"/>
                          <w:sz w:val="32"/>
                          <w:szCs w:val="32"/>
                        </w:rPr>
                      </w:pPr>
                      <w:r>
                        <w:rPr>
                          <w:i w:val="0"/>
                          <w:sz w:val="32"/>
                          <w:szCs w:val="32"/>
                        </w:rPr>
                        <w:t>Contents</w:t>
                      </w:r>
                    </w:p>
                    <w:p w14:paraId="71340BE5" w14:textId="77777777" w:rsidR="00BC242C" w:rsidRPr="00E651D4" w:rsidRDefault="00BC242C" w:rsidP="00E651D4">
                      <w:pPr>
                        <w:spacing w:after="120"/>
                        <w:rPr>
                          <w:rFonts w:ascii="Arial" w:hAnsi="Arial"/>
                          <w:b/>
                          <w:i/>
                          <w:color w:val="0F243E" w:themeColor="text2" w:themeShade="80"/>
                          <w:sz w:val="22"/>
                          <w:szCs w:val="22"/>
                        </w:rPr>
                      </w:pPr>
                      <w:r w:rsidRPr="00E651D4">
                        <w:rPr>
                          <w:rFonts w:ascii="Arial" w:hAnsi="Arial"/>
                          <w:b/>
                          <w:i/>
                          <w:color w:val="0F243E" w:themeColor="text2" w:themeShade="80"/>
                          <w:sz w:val="22"/>
                          <w:szCs w:val="22"/>
                        </w:rPr>
                        <w:t>6-</w:t>
                      </w:r>
                      <w:r>
                        <w:rPr>
                          <w:rFonts w:ascii="Arial" w:hAnsi="Arial"/>
                          <w:b/>
                          <w:i/>
                          <w:color w:val="0F243E" w:themeColor="text2" w:themeShade="80"/>
                          <w:sz w:val="22"/>
                          <w:szCs w:val="22"/>
                        </w:rPr>
                        <w:t>2</w:t>
                      </w:r>
                      <w:r w:rsidRPr="00E651D4">
                        <w:rPr>
                          <w:rFonts w:ascii="Arial" w:hAnsi="Arial"/>
                          <w:b/>
                          <w:i/>
                          <w:color w:val="0F243E" w:themeColor="text2" w:themeShade="80"/>
                          <w:sz w:val="22"/>
                          <w:szCs w:val="22"/>
                        </w:rPr>
                        <w:t>.</w:t>
                      </w:r>
                      <w:r w:rsidRPr="00E651D4">
                        <w:rPr>
                          <w:rFonts w:ascii="Arial" w:hAnsi="Arial"/>
                          <w:i/>
                          <w:color w:val="0F243E" w:themeColor="text2" w:themeShade="80"/>
                          <w:sz w:val="22"/>
                          <w:szCs w:val="22"/>
                        </w:rPr>
                        <w:t xml:space="preserve"> </w:t>
                      </w:r>
                      <w:r w:rsidRPr="00E651D4">
                        <w:rPr>
                          <w:rFonts w:ascii="Arial" w:hAnsi="Arial"/>
                          <w:b/>
                          <w:i/>
                          <w:color w:val="0F243E" w:themeColor="text2" w:themeShade="80"/>
                          <w:sz w:val="22"/>
                          <w:szCs w:val="22"/>
                        </w:rPr>
                        <w:t>ANALYSIS OVERVIEW</w:t>
                      </w:r>
                    </w:p>
                    <w:p w14:paraId="74B949B9" w14:textId="77777777" w:rsidR="00BC242C" w:rsidRPr="00E651D4" w:rsidRDefault="00BC242C" w:rsidP="00E651D4">
                      <w:pPr>
                        <w:spacing w:after="120"/>
                        <w:rPr>
                          <w:rFonts w:ascii="Arial" w:hAnsi="Arial"/>
                          <w:b/>
                          <w:i/>
                          <w:color w:val="0F243E" w:themeColor="text2" w:themeShade="80"/>
                          <w:sz w:val="22"/>
                          <w:szCs w:val="22"/>
                        </w:rPr>
                      </w:pPr>
                      <w:r>
                        <w:rPr>
                          <w:rFonts w:ascii="Arial" w:hAnsi="Arial"/>
                          <w:b/>
                          <w:i/>
                          <w:color w:val="0F243E" w:themeColor="text2" w:themeShade="80"/>
                          <w:sz w:val="22"/>
                          <w:szCs w:val="22"/>
                        </w:rPr>
                        <w:t>6-4</w:t>
                      </w:r>
                      <w:r w:rsidRPr="00E651D4">
                        <w:rPr>
                          <w:rFonts w:ascii="Arial" w:hAnsi="Arial"/>
                          <w:b/>
                          <w:i/>
                          <w:color w:val="0F243E" w:themeColor="text2" w:themeShade="80"/>
                          <w:sz w:val="22"/>
                          <w:szCs w:val="22"/>
                        </w:rPr>
                        <w:t xml:space="preserve">. RESOURCE NEED </w:t>
                      </w:r>
                    </w:p>
                    <w:p w14:paraId="034E3007" w14:textId="77777777" w:rsidR="00BC242C" w:rsidRPr="00E651D4" w:rsidRDefault="00BC242C" w:rsidP="00E651D4">
                      <w:pPr>
                        <w:pStyle w:val="ListParagraph"/>
                        <w:numPr>
                          <w:ilvl w:val="0"/>
                          <w:numId w:val="2"/>
                        </w:numPr>
                        <w:rPr>
                          <w:rFonts w:ascii="Arial" w:hAnsi="Arial"/>
                          <w:i/>
                          <w:color w:val="0F243E" w:themeColor="text2" w:themeShade="80"/>
                        </w:rPr>
                      </w:pPr>
                      <w:r w:rsidRPr="00E651D4">
                        <w:rPr>
                          <w:rFonts w:ascii="Arial" w:hAnsi="Arial"/>
                          <w:i/>
                          <w:color w:val="0F243E" w:themeColor="text2" w:themeShade="80"/>
                        </w:rPr>
                        <w:t xml:space="preserve">Updating the Planning Standard </w:t>
                      </w:r>
                    </w:p>
                    <w:p w14:paraId="69952CB8" w14:textId="77777777" w:rsidR="00BC242C" w:rsidRPr="00E651D4" w:rsidRDefault="00BC242C" w:rsidP="00E651D4">
                      <w:pPr>
                        <w:pStyle w:val="ListParagraph"/>
                        <w:numPr>
                          <w:ilvl w:val="0"/>
                          <w:numId w:val="2"/>
                        </w:numPr>
                        <w:rPr>
                          <w:rFonts w:ascii="Arial" w:hAnsi="Arial"/>
                          <w:i/>
                          <w:color w:val="0F243E" w:themeColor="text2" w:themeShade="80"/>
                        </w:rPr>
                      </w:pPr>
                      <w:r w:rsidRPr="00E651D4">
                        <w:rPr>
                          <w:rFonts w:ascii="Arial" w:hAnsi="Arial"/>
                          <w:i/>
                          <w:color w:val="0F243E" w:themeColor="text2" w:themeShade="80"/>
                        </w:rPr>
                        <w:t>Incorporating Wholesale Market Reliability Risk</w:t>
                      </w:r>
                    </w:p>
                    <w:p w14:paraId="1AE1872F" w14:textId="77777777" w:rsidR="00BC242C" w:rsidRPr="00E651D4" w:rsidRDefault="00BC242C" w:rsidP="00E651D4">
                      <w:pPr>
                        <w:pStyle w:val="ListParagraph"/>
                        <w:numPr>
                          <w:ilvl w:val="0"/>
                          <w:numId w:val="2"/>
                        </w:numPr>
                        <w:rPr>
                          <w:rFonts w:ascii="Arial" w:hAnsi="Arial"/>
                          <w:i/>
                          <w:color w:val="0F243E" w:themeColor="text2" w:themeShade="80"/>
                        </w:rPr>
                      </w:pPr>
                      <w:r w:rsidRPr="00E651D4">
                        <w:rPr>
                          <w:rFonts w:ascii="Arial" w:hAnsi="Arial"/>
                          <w:i/>
                          <w:color w:val="0F243E" w:themeColor="text2" w:themeShade="80"/>
                        </w:rPr>
                        <w:t>Components of Physical (Peak) Need</w:t>
                      </w:r>
                    </w:p>
                    <w:p w14:paraId="590BD59D" w14:textId="77777777" w:rsidR="00BC242C" w:rsidRPr="00E651D4" w:rsidRDefault="00BC242C" w:rsidP="00E651D4">
                      <w:pPr>
                        <w:pStyle w:val="ListParagraph"/>
                        <w:numPr>
                          <w:ilvl w:val="0"/>
                          <w:numId w:val="2"/>
                        </w:numPr>
                        <w:rPr>
                          <w:rFonts w:ascii="Arial" w:hAnsi="Arial"/>
                          <w:i/>
                          <w:color w:val="0F243E" w:themeColor="text2" w:themeShade="80"/>
                        </w:rPr>
                      </w:pPr>
                      <w:r w:rsidRPr="00E651D4">
                        <w:rPr>
                          <w:rFonts w:ascii="Arial" w:hAnsi="Arial"/>
                          <w:i/>
                          <w:color w:val="0F243E" w:themeColor="text2" w:themeShade="80"/>
                        </w:rPr>
                        <w:t>Peak Capacity Need</w:t>
                      </w:r>
                    </w:p>
                    <w:p w14:paraId="360EC313" w14:textId="77777777" w:rsidR="00BC242C" w:rsidRPr="00E651D4" w:rsidRDefault="00BC242C" w:rsidP="00E651D4">
                      <w:pPr>
                        <w:pStyle w:val="ListParagraph"/>
                        <w:numPr>
                          <w:ilvl w:val="0"/>
                          <w:numId w:val="2"/>
                        </w:numPr>
                        <w:rPr>
                          <w:rFonts w:ascii="Arial" w:hAnsi="Arial"/>
                          <w:i/>
                          <w:color w:val="0F243E" w:themeColor="text2" w:themeShade="80"/>
                        </w:rPr>
                      </w:pPr>
                      <w:r w:rsidRPr="00E651D4">
                        <w:rPr>
                          <w:rFonts w:ascii="Arial" w:hAnsi="Arial"/>
                          <w:i/>
                          <w:color w:val="0F243E" w:themeColor="text2" w:themeShade="80"/>
                        </w:rPr>
                        <w:t>Energy Need</w:t>
                      </w:r>
                    </w:p>
                    <w:p w14:paraId="6F5E7DFA" w14:textId="77777777" w:rsidR="00BC242C" w:rsidRPr="00E651D4" w:rsidRDefault="00BC242C" w:rsidP="00E651D4">
                      <w:pPr>
                        <w:pStyle w:val="ListParagraph"/>
                        <w:numPr>
                          <w:ilvl w:val="0"/>
                          <w:numId w:val="2"/>
                        </w:numPr>
                        <w:spacing w:line="240" w:lineRule="auto"/>
                        <w:rPr>
                          <w:rFonts w:ascii="Arial" w:hAnsi="Arial"/>
                          <w:i/>
                          <w:color w:val="0F243E" w:themeColor="text2" w:themeShade="80"/>
                        </w:rPr>
                      </w:pPr>
                      <w:r w:rsidRPr="00E651D4">
                        <w:rPr>
                          <w:rFonts w:ascii="Arial" w:hAnsi="Arial"/>
                          <w:i/>
                          <w:color w:val="0F243E" w:themeColor="text2" w:themeShade="80"/>
                        </w:rPr>
                        <w:t>Renewable Need</w:t>
                      </w:r>
                    </w:p>
                    <w:p w14:paraId="1713C401" w14:textId="77777777" w:rsidR="00BC242C" w:rsidRPr="00E651D4" w:rsidRDefault="00BC242C" w:rsidP="00E651D4">
                      <w:pPr>
                        <w:rPr>
                          <w:rFonts w:ascii="Arial" w:hAnsi="Arial"/>
                          <w:b/>
                          <w:i/>
                          <w:color w:val="0F243E" w:themeColor="text2" w:themeShade="80"/>
                          <w:sz w:val="22"/>
                          <w:szCs w:val="22"/>
                        </w:rPr>
                      </w:pPr>
                      <w:r w:rsidRPr="00E651D4">
                        <w:rPr>
                          <w:rFonts w:ascii="Arial" w:hAnsi="Arial"/>
                          <w:b/>
                          <w:i/>
                          <w:color w:val="0F243E" w:themeColor="text2" w:themeShade="80"/>
                          <w:sz w:val="22"/>
                          <w:szCs w:val="22"/>
                        </w:rPr>
                        <w:t>6-</w:t>
                      </w:r>
                      <w:r>
                        <w:rPr>
                          <w:rFonts w:ascii="Arial" w:hAnsi="Arial"/>
                          <w:b/>
                          <w:i/>
                          <w:color w:val="0F243E" w:themeColor="text2" w:themeShade="80"/>
                          <w:sz w:val="22"/>
                          <w:szCs w:val="22"/>
                        </w:rPr>
                        <w:t>24</w:t>
                      </w:r>
                      <w:r w:rsidRPr="00E651D4">
                        <w:rPr>
                          <w:rFonts w:ascii="Arial" w:hAnsi="Arial"/>
                          <w:b/>
                          <w:i/>
                          <w:color w:val="0F243E" w:themeColor="text2" w:themeShade="80"/>
                          <w:sz w:val="22"/>
                          <w:szCs w:val="22"/>
                        </w:rPr>
                        <w:t>.</w:t>
                      </w:r>
                      <w:r w:rsidRPr="00E651D4">
                        <w:rPr>
                          <w:rFonts w:ascii="Arial" w:hAnsi="Arial"/>
                          <w:i/>
                          <w:color w:val="0F243E" w:themeColor="text2" w:themeShade="80"/>
                          <w:sz w:val="22"/>
                          <w:szCs w:val="22"/>
                        </w:rPr>
                        <w:t xml:space="preserve"> </w:t>
                      </w:r>
                      <w:r w:rsidRPr="00E651D4">
                        <w:rPr>
                          <w:rFonts w:ascii="Arial" w:hAnsi="Arial"/>
                          <w:b/>
                          <w:i/>
                          <w:color w:val="0F243E" w:themeColor="text2" w:themeShade="80"/>
                          <w:sz w:val="22"/>
                          <w:szCs w:val="22"/>
                        </w:rPr>
                        <w:t xml:space="preserve">ASSUMPTIONS AND </w:t>
                      </w:r>
                      <w:r w:rsidRPr="00E651D4">
                        <w:rPr>
                          <w:rFonts w:ascii="Arial" w:hAnsi="Arial"/>
                          <w:b/>
                          <w:i/>
                          <w:color w:val="0F243E" w:themeColor="text2" w:themeShade="80"/>
                          <w:sz w:val="22"/>
                          <w:szCs w:val="22"/>
                        </w:rPr>
                        <w:br/>
                      </w:r>
                      <w:proofErr w:type="gramStart"/>
                      <w:r w:rsidRPr="00E651D4">
                        <w:rPr>
                          <w:rFonts w:ascii="Arial" w:hAnsi="Arial"/>
                          <w:b/>
                          <w:i/>
                          <w:color w:val="0F243E" w:themeColor="text2" w:themeShade="80"/>
                          <w:sz w:val="22"/>
                          <w:szCs w:val="22"/>
                        </w:rPr>
                        <w:t xml:space="preserve">      ALTERNATIVES</w:t>
                      </w:r>
                      <w:proofErr w:type="gramEnd"/>
                      <w:r w:rsidRPr="00E651D4">
                        <w:rPr>
                          <w:rFonts w:ascii="Arial" w:hAnsi="Arial"/>
                          <w:b/>
                          <w:i/>
                          <w:color w:val="0F243E" w:themeColor="text2" w:themeShade="80"/>
                          <w:sz w:val="22"/>
                          <w:szCs w:val="22"/>
                        </w:rPr>
                        <w:t xml:space="preserve"> </w:t>
                      </w:r>
                    </w:p>
                    <w:p w14:paraId="6C53084B" w14:textId="77777777" w:rsidR="00BC242C" w:rsidRPr="00E651D4" w:rsidRDefault="00BC242C" w:rsidP="00E651D4">
                      <w:pPr>
                        <w:pStyle w:val="ListParagraph"/>
                        <w:numPr>
                          <w:ilvl w:val="0"/>
                          <w:numId w:val="5"/>
                        </w:numPr>
                        <w:rPr>
                          <w:rFonts w:ascii="Arial" w:hAnsi="Arial"/>
                          <w:i/>
                          <w:color w:val="0F243E" w:themeColor="text2" w:themeShade="80"/>
                        </w:rPr>
                      </w:pPr>
                      <w:r w:rsidRPr="00E651D4">
                        <w:rPr>
                          <w:rFonts w:ascii="Arial" w:hAnsi="Arial"/>
                          <w:i/>
                          <w:color w:val="0F243E" w:themeColor="text2" w:themeShade="80"/>
                        </w:rPr>
                        <w:t>Scenarios and Sensitivities</w:t>
                      </w:r>
                    </w:p>
                    <w:p w14:paraId="48720C59" w14:textId="77777777" w:rsidR="00BC242C" w:rsidRPr="00E651D4" w:rsidRDefault="00BC242C" w:rsidP="00E651D4">
                      <w:pPr>
                        <w:pStyle w:val="ListParagraph"/>
                        <w:numPr>
                          <w:ilvl w:val="0"/>
                          <w:numId w:val="5"/>
                        </w:numPr>
                        <w:spacing w:line="240" w:lineRule="auto"/>
                        <w:rPr>
                          <w:rFonts w:ascii="Arial" w:hAnsi="Arial"/>
                          <w:i/>
                          <w:color w:val="0F243E" w:themeColor="text2" w:themeShade="80"/>
                        </w:rPr>
                      </w:pPr>
                      <w:r w:rsidRPr="00E651D4">
                        <w:rPr>
                          <w:rFonts w:ascii="Arial" w:hAnsi="Arial"/>
                          <w:i/>
                          <w:color w:val="0F243E" w:themeColor="text2" w:themeShade="80"/>
                        </w:rPr>
                        <w:t>Available Resource Alternatives</w:t>
                      </w:r>
                    </w:p>
                    <w:p w14:paraId="5A5089C6" w14:textId="77777777" w:rsidR="00BC242C" w:rsidRPr="00E651D4" w:rsidRDefault="00BC242C" w:rsidP="00E651D4">
                      <w:pPr>
                        <w:rPr>
                          <w:rFonts w:ascii="Arial" w:hAnsi="Arial"/>
                          <w:b/>
                          <w:i/>
                          <w:caps/>
                          <w:color w:val="0F243E" w:themeColor="text2" w:themeShade="80"/>
                          <w:sz w:val="22"/>
                          <w:szCs w:val="22"/>
                        </w:rPr>
                      </w:pPr>
                      <w:r>
                        <w:rPr>
                          <w:rFonts w:ascii="Arial" w:hAnsi="Arial"/>
                          <w:b/>
                          <w:i/>
                          <w:caps/>
                          <w:color w:val="0F243E" w:themeColor="text2" w:themeShade="80"/>
                          <w:sz w:val="22"/>
                          <w:szCs w:val="22"/>
                        </w:rPr>
                        <w:t>6-28</w:t>
                      </w:r>
                      <w:r w:rsidRPr="00E651D4">
                        <w:rPr>
                          <w:rFonts w:ascii="Arial" w:hAnsi="Arial"/>
                          <w:b/>
                          <w:i/>
                          <w:caps/>
                          <w:color w:val="0F243E" w:themeColor="text2" w:themeShade="80"/>
                          <w:sz w:val="22"/>
                          <w:szCs w:val="22"/>
                        </w:rPr>
                        <w:t>. two Types of Analysis</w:t>
                      </w:r>
                    </w:p>
                    <w:p w14:paraId="5EC249CB" w14:textId="77777777" w:rsidR="00BC242C" w:rsidRPr="00E651D4" w:rsidRDefault="00BC242C" w:rsidP="00E651D4">
                      <w:pPr>
                        <w:pStyle w:val="ListParagraph"/>
                        <w:numPr>
                          <w:ilvl w:val="0"/>
                          <w:numId w:val="4"/>
                        </w:numPr>
                        <w:rPr>
                          <w:rFonts w:ascii="Arial" w:hAnsi="Arial"/>
                          <w:i/>
                          <w:color w:val="0F243E" w:themeColor="text2" w:themeShade="80"/>
                        </w:rPr>
                      </w:pPr>
                      <w:r w:rsidRPr="00E651D4">
                        <w:rPr>
                          <w:rFonts w:ascii="Arial" w:hAnsi="Arial"/>
                          <w:i/>
                          <w:color w:val="0F243E" w:themeColor="text2" w:themeShade="80"/>
                        </w:rPr>
                        <w:t xml:space="preserve">Deterministic Portfolio Optimization </w:t>
                      </w:r>
                    </w:p>
                    <w:p w14:paraId="5E95DAEB" w14:textId="77777777" w:rsidR="00BC242C" w:rsidRPr="00E651D4" w:rsidRDefault="00BC242C" w:rsidP="00E651D4">
                      <w:pPr>
                        <w:pStyle w:val="ListParagraph"/>
                        <w:numPr>
                          <w:ilvl w:val="0"/>
                          <w:numId w:val="4"/>
                        </w:numPr>
                        <w:rPr>
                          <w:rFonts w:ascii="Arial" w:hAnsi="Arial"/>
                          <w:i/>
                          <w:color w:val="0F243E" w:themeColor="text2" w:themeShade="80"/>
                        </w:rPr>
                      </w:pPr>
                      <w:r w:rsidRPr="00E651D4">
                        <w:rPr>
                          <w:rFonts w:ascii="Arial" w:hAnsi="Arial"/>
                          <w:i/>
                          <w:color w:val="0F243E" w:themeColor="text2" w:themeShade="80"/>
                        </w:rPr>
                        <w:t>Candidate Resource Plans</w:t>
                      </w:r>
                    </w:p>
                    <w:p w14:paraId="35FC51F9" w14:textId="77777777" w:rsidR="00BC242C" w:rsidRPr="00E651D4" w:rsidRDefault="00BC242C" w:rsidP="00E651D4">
                      <w:pPr>
                        <w:pStyle w:val="ListParagraph"/>
                        <w:numPr>
                          <w:ilvl w:val="0"/>
                          <w:numId w:val="4"/>
                        </w:numPr>
                        <w:spacing w:line="240" w:lineRule="auto"/>
                        <w:rPr>
                          <w:rFonts w:ascii="Arial" w:hAnsi="Arial"/>
                          <w:i/>
                          <w:color w:val="0F243E" w:themeColor="text2" w:themeShade="80"/>
                        </w:rPr>
                      </w:pPr>
                      <w:r w:rsidRPr="00E651D4">
                        <w:rPr>
                          <w:rFonts w:ascii="Arial" w:hAnsi="Arial"/>
                          <w:i/>
                          <w:color w:val="0F243E" w:themeColor="text2" w:themeShade="80"/>
                        </w:rPr>
                        <w:t>Stochastic Risk Analysis</w:t>
                      </w:r>
                    </w:p>
                    <w:p w14:paraId="2BE186D0" w14:textId="77777777" w:rsidR="00BC242C" w:rsidRPr="00E651D4" w:rsidRDefault="00BC242C" w:rsidP="00E651D4">
                      <w:pPr>
                        <w:rPr>
                          <w:rFonts w:ascii="Arial" w:hAnsi="Arial"/>
                          <w:b/>
                          <w:i/>
                          <w:color w:val="0F243E" w:themeColor="text2" w:themeShade="80"/>
                          <w:sz w:val="22"/>
                          <w:szCs w:val="22"/>
                        </w:rPr>
                      </w:pPr>
                      <w:r>
                        <w:rPr>
                          <w:rFonts w:ascii="Arial" w:hAnsi="Arial"/>
                          <w:b/>
                          <w:i/>
                          <w:color w:val="0F243E" w:themeColor="text2" w:themeShade="80"/>
                          <w:sz w:val="22"/>
                          <w:szCs w:val="22"/>
                        </w:rPr>
                        <w:t>6-32</w:t>
                      </w:r>
                      <w:r w:rsidRPr="00E651D4">
                        <w:rPr>
                          <w:rFonts w:ascii="Arial" w:hAnsi="Arial"/>
                          <w:b/>
                          <w:i/>
                          <w:color w:val="0F243E" w:themeColor="text2" w:themeShade="80"/>
                          <w:sz w:val="22"/>
                          <w:szCs w:val="22"/>
                        </w:rPr>
                        <w:t>.</w:t>
                      </w:r>
                      <w:r w:rsidRPr="00E651D4">
                        <w:rPr>
                          <w:rFonts w:ascii="Arial" w:hAnsi="Arial"/>
                          <w:i/>
                          <w:color w:val="0F243E" w:themeColor="text2" w:themeShade="80"/>
                          <w:sz w:val="22"/>
                          <w:szCs w:val="22"/>
                        </w:rPr>
                        <w:t xml:space="preserve"> </w:t>
                      </w:r>
                      <w:r w:rsidRPr="00E651D4">
                        <w:rPr>
                          <w:rFonts w:ascii="Arial" w:hAnsi="Arial"/>
                          <w:b/>
                          <w:i/>
                          <w:color w:val="0F243E" w:themeColor="text2" w:themeShade="80"/>
                          <w:sz w:val="22"/>
                          <w:szCs w:val="22"/>
                        </w:rPr>
                        <w:t xml:space="preserve">KEY FINDINGS </w:t>
                      </w:r>
                    </w:p>
                    <w:p w14:paraId="05FDACBD" w14:textId="77777777" w:rsidR="00BC242C" w:rsidRPr="00E651D4" w:rsidRDefault="00BC242C" w:rsidP="00E651D4">
                      <w:pPr>
                        <w:pStyle w:val="ListParagraph"/>
                        <w:numPr>
                          <w:ilvl w:val="0"/>
                          <w:numId w:val="3"/>
                        </w:numPr>
                        <w:rPr>
                          <w:rFonts w:ascii="Arial" w:hAnsi="Arial"/>
                          <w:i/>
                          <w:color w:val="0F243E" w:themeColor="text2" w:themeShade="80"/>
                        </w:rPr>
                      </w:pPr>
                      <w:r w:rsidRPr="00E651D4">
                        <w:rPr>
                          <w:rFonts w:ascii="Arial" w:hAnsi="Arial"/>
                          <w:i/>
                          <w:color w:val="0F243E" w:themeColor="text2" w:themeShade="80"/>
                        </w:rPr>
                        <w:t>Scenarios</w:t>
                      </w:r>
                    </w:p>
                    <w:p w14:paraId="6FD87399" w14:textId="77777777" w:rsidR="00BC242C" w:rsidRPr="00E651D4" w:rsidRDefault="00BC242C" w:rsidP="00E651D4">
                      <w:pPr>
                        <w:pStyle w:val="ListParagraph"/>
                        <w:numPr>
                          <w:ilvl w:val="0"/>
                          <w:numId w:val="3"/>
                        </w:numPr>
                        <w:rPr>
                          <w:rFonts w:ascii="Arial" w:hAnsi="Arial"/>
                          <w:i/>
                          <w:color w:val="0F243E" w:themeColor="text2" w:themeShade="80"/>
                        </w:rPr>
                      </w:pPr>
                      <w:r w:rsidRPr="00E651D4">
                        <w:rPr>
                          <w:rFonts w:ascii="Arial" w:hAnsi="Arial"/>
                          <w:i/>
                          <w:color w:val="0F243E" w:themeColor="text2" w:themeShade="80"/>
                        </w:rPr>
                        <w:t>Sensitivities</w:t>
                      </w:r>
                    </w:p>
                    <w:p w14:paraId="5DD7A379" w14:textId="77777777" w:rsidR="00BC242C" w:rsidRPr="00E651D4" w:rsidRDefault="00BC242C" w:rsidP="00E651D4">
                      <w:pPr>
                        <w:pStyle w:val="ListParagraph"/>
                        <w:numPr>
                          <w:ilvl w:val="0"/>
                          <w:numId w:val="3"/>
                        </w:numPr>
                        <w:rPr>
                          <w:rFonts w:ascii="Arial" w:hAnsi="Arial"/>
                          <w:i/>
                          <w:color w:val="0F243E" w:themeColor="text2" w:themeShade="80"/>
                        </w:rPr>
                      </w:pPr>
                      <w:r w:rsidRPr="00E651D4">
                        <w:rPr>
                          <w:rFonts w:ascii="Arial" w:hAnsi="Arial"/>
                          <w:i/>
                          <w:color w:val="0F243E" w:themeColor="text2" w:themeShade="80"/>
                        </w:rPr>
                        <w:t>Candidate Resource Plans</w:t>
                      </w:r>
                    </w:p>
                    <w:p w14:paraId="34A75291" w14:textId="674E04DA" w:rsidR="00BC242C" w:rsidRPr="00E651D4" w:rsidRDefault="00BC242C" w:rsidP="00E651D4">
                      <w:pPr>
                        <w:spacing w:after="120"/>
                        <w:rPr>
                          <w:rFonts w:ascii="Arial" w:hAnsi="Arial"/>
                          <w:b/>
                          <w:i/>
                          <w:color w:val="0F243E" w:themeColor="text2" w:themeShade="80"/>
                          <w:sz w:val="22"/>
                          <w:szCs w:val="22"/>
                        </w:rPr>
                      </w:pPr>
                      <w:r w:rsidRPr="00E651D4">
                        <w:rPr>
                          <w:rFonts w:ascii="Arial" w:hAnsi="Arial"/>
                          <w:b/>
                          <w:i/>
                          <w:color w:val="0F243E" w:themeColor="text2" w:themeShade="80"/>
                          <w:sz w:val="22"/>
                          <w:szCs w:val="22"/>
                        </w:rPr>
                        <w:t>6-</w:t>
                      </w:r>
                      <w:r>
                        <w:rPr>
                          <w:rFonts w:ascii="Arial" w:hAnsi="Arial"/>
                          <w:b/>
                          <w:i/>
                          <w:color w:val="0F243E" w:themeColor="text2" w:themeShade="80"/>
                          <w:sz w:val="22"/>
                          <w:szCs w:val="22"/>
                        </w:rPr>
                        <w:t>36</w:t>
                      </w:r>
                      <w:r w:rsidRPr="00E651D4">
                        <w:rPr>
                          <w:rFonts w:ascii="Arial" w:hAnsi="Arial"/>
                          <w:b/>
                          <w:i/>
                          <w:color w:val="0F243E" w:themeColor="text2" w:themeShade="80"/>
                          <w:sz w:val="22"/>
                          <w:szCs w:val="22"/>
                        </w:rPr>
                        <w:t xml:space="preserve">. SCENARIO </w:t>
                      </w:r>
                      <w:proofErr w:type="gramStart"/>
                      <w:r w:rsidRPr="00E651D4">
                        <w:rPr>
                          <w:rFonts w:ascii="Arial" w:hAnsi="Arial"/>
                          <w:b/>
                          <w:i/>
                          <w:color w:val="0F243E" w:themeColor="text2" w:themeShade="80"/>
                          <w:sz w:val="22"/>
                          <w:szCs w:val="22"/>
                        </w:rPr>
                        <w:t xml:space="preserve">ANALYSIS </w:t>
                      </w:r>
                      <w:r w:rsidR="008216CC">
                        <w:rPr>
                          <w:rFonts w:ascii="Arial" w:hAnsi="Arial"/>
                          <w:b/>
                          <w:i/>
                          <w:color w:val="0F243E" w:themeColor="text2" w:themeShade="80"/>
                          <w:sz w:val="22"/>
                          <w:szCs w:val="22"/>
                        </w:rPr>
                        <w:t xml:space="preserve">     </w:t>
                      </w:r>
                      <w:proofErr w:type="gramEnd"/>
                      <w:r w:rsidR="008216CC">
                        <w:rPr>
                          <w:rFonts w:ascii="Arial" w:hAnsi="Arial"/>
                          <w:b/>
                          <w:i/>
                          <w:color w:val="0F243E" w:themeColor="text2" w:themeShade="80"/>
                          <w:sz w:val="22"/>
                          <w:szCs w:val="22"/>
                        </w:rPr>
                        <w:br/>
                      </w:r>
                      <w:r w:rsidR="008216CC" w:rsidRPr="00E651D4">
                        <w:rPr>
                          <w:rFonts w:ascii="Arial" w:hAnsi="Arial"/>
                          <w:b/>
                          <w:i/>
                          <w:color w:val="0F243E" w:themeColor="text2" w:themeShade="80"/>
                          <w:sz w:val="22"/>
                          <w:szCs w:val="22"/>
                        </w:rPr>
                        <w:t xml:space="preserve">      </w:t>
                      </w:r>
                      <w:r w:rsidRPr="00E651D4">
                        <w:rPr>
                          <w:rFonts w:ascii="Arial" w:hAnsi="Arial"/>
                          <w:b/>
                          <w:i/>
                          <w:color w:val="0F243E" w:themeColor="text2" w:themeShade="80"/>
                          <w:sz w:val="22"/>
                          <w:szCs w:val="22"/>
                        </w:rPr>
                        <w:t>RESULTS</w:t>
                      </w:r>
                    </w:p>
                    <w:p w14:paraId="121756F3" w14:textId="72CEC349" w:rsidR="00BC242C" w:rsidRPr="00E651D4" w:rsidRDefault="00BC242C" w:rsidP="00E651D4">
                      <w:pPr>
                        <w:spacing w:after="120"/>
                        <w:rPr>
                          <w:rFonts w:ascii="Arial" w:hAnsi="Arial"/>
                          <w:b/>
                          <w:i/>
                          <w:color w:val="0F243E" w:themeColor="text2" w:themeShade="80"/>
                          <w:sz w:val="22"/>
                          <w:szCs w:val="22"/>
                        </w:rPr>
                      </w:pPr>
                      <w:r w:rsidRPr="00E651D4">
                        <w:rPr>
                          <w:rFonts w:ascii="Arial" w:hAnsi="Arial"/>
                          <w:b/>
                          <w:i/>
                          <w:color w:val="0F243E" w:themeColor="text2" w:themeShade="80"/>
                          <w:sz w:val="22"/>
                          <w:szCs w:val="22"/>
                        </w:rPr>
                        <w:t>6-</w:t>
                      </w:r>
                      <w:r>
                        <w:rPr>
                          <w:rFonts w:ascii="Arial" w:hAnsi="Arial"/>
                          <w:b/>
                          <w:i/>
                          <w:color w:val="0F243E" w:themeColor="text2" w:themeShade="80"/>
                          <w:sz w:val="22"/>
                          <w:szCs w:val="22"/>
                        </w:rPr>
                        <w:t>52</w:t>
                      </w:r>
                      <w:r w:rsidRPr="00E651D4">
                        <w:rPr>
                          <w:rFonts w:ascii="Arial" w:hAnsi="Arial"/>
                          <w:b/>
                          <w:i/>
                          <w:color w:val="0F243E" w:themeColor="text2" w:themeShade="80"/>
                          <w:sz w:val="22"/>
                          <w:szCs w:val="22"/>
                        </w:rPr>
                        <w:t xml:space="preserve">. SENSITIVITY ANALYSIS </w:t>
                      </w:r>
                      <w:r w:rsidR="008216CC">
                        <w:rPr>
                          <w:rFonts w:ascii="Arial" w:hAnsi="Arial"/>
                          <w:b/>
                          <w:i/>
                          <w:color w:val="0F243E" w:themeColor="text2" w:themeShade="80"/>
                          <w:sz w:val="22"/>
                          <w:szCs w:val="22"/>
                        </w:rPr>
                        <w:br/>
                      </w:r>
                      <w:r w:rsidR="008216CC" w:rsidRPr="00E651D4">
                        <w:rPr>
                          <w:rFonts w:ascii="Arial" w:hAnsi="Arial"/>
                          <w:b/>
                          <w:i/>
                          <w:color w:val="0F243E" w:themeColor="text2" w:themeShade="80"/>
                          <w:sz w:val="22"/>
                          <w:szCs w:val="22"/>
                        </w:rPr>
                        <w:t xml:space="preserve">      </w:t>
                      </w:r>
                      <w:r w:rsidRPr="00E651D4">
                        <w:rPr>
                          <w:rFonts w:ascii="Arial" w:hAnsi="Arial"/>
                          <w:b/>
                          <w:i/>
                          <w:color w:val="0F243E" w:themeColor="text2" w:themeShade="80"/>
                          <w:sz w:val="22"/>
                          <w:szCs w:val="22"/>
                        </w:rPr>
                        <w:t>RESULTS</w:t>
                      </w:r>
                      <w:bookmarkStart w:id="1" w:name="_GoBack"/>
                      <w:bookmarkEnd w:id="1"/>
                    </w:p>
                    <w:p w14:paraId="246F6CB0" w14:textId="77777777" w:rsidR="00BC242C" w:rsidRPr="00E651D4" w:rsidRDefault="00BC242C" w:rsidP="00E651D4">
                      <w:pPr>
                        <w:spacing w:after="120"/>
                        <w:rPr>
                          <w:rFonts w:ascii="Arial" w:hAnsi="Arial"/>
                          <w:b/>
                          <w:i/>
                          <w:color w:val="0F243E" w:themeColor="text2" w:themeShade="80"/>
                          <w:sz w:val="22"/>
                          <w:szCs w:val="22"/>
                        </w:rPr>
                      </w:pPr>
                      <w:r>
                        <w:rPr>
                          <w:rFonts w:ascii="Arial" w:hAnsi="Arial"/>
                          <w:b/>
                          <w:i/>
                          <w:color w:val="0F243E" w:themeColor="text2" w:themeShade="80"/>
                          <w:sz w:val="22"/>
                          <w:szCs w:val="22"/>
                        </w:rPr>
                        <w:t>6-88</w:t>
                      </w:r>
                      <w:r w:rsidRPr="00E651D4">
                        <w:rPr>
                          <w:rFonts w:ascii="Arial" w:hAnsi="Arial"/>
                          <w:b/>
                          <w:i/>
                          <w:color w:val="0F243E" w:themeColor="text2" w:themeShade="80"/>
                          <w:sz w:val="22"/>
                          <w:szCs w:val="22"/>
                        </w:rPr>
                        <w:t xml:space="preserve">. CANDIDATE RESOURCE PLAN </w:t>
                      </w:r>
                      <w:r w:rsidRPr="00E651D4">
                        <w:rPr>
                          <w:rFonts w:ascii="Arial" w:hAnsi="Arial"/>
                          <w:b/>
                          <w:i/>
                          <w:color w:val="0F243E" w:themeColor="text2" w:themeShade="80"/>
                          <w:sz w:val="22"/>
                          <w:szCs w:val="22"/>
                        </w:rPr>
                        <w:br/>
                      </w:r>
                      <w:proofErr w:type="gramStart"/>
                      <w:r w:rsidRPr="00E651D4">
                        <w:rPr>
                          <w:rFonts w:ascii="Arial" w:hAnsi="Arial"/>
                          <w:b/>
                          <w:i/>
                          <w:color w:val="0F243E" w:themeColor="text2" w:themeShade="80"/>
                          <w:sz w:val="22"/>
                          <w:szCs w:val="22"/>
                        </w:rPr>
                        <w:t xml:space="preserve">       ANALYSIS</w:t>
                      </w:r>
                      <w:proofErr w:type="gramEnd"/>
                      <w:r w:rsidRPr="00E651D4">
                        <w:rPr>
                          <w:rFonts w:ascii="Arial" w:hAnsi="Arial"/>
                          <w:b/>
                          <w:i/>
                          <w:color w:val="0F243E" w:themeColor="text2" w:themeShade="80"/>
                          <w:sz w:val="22"/>
                          <w:szCs w:val="22"/>
                        </w:rPr>
                        <w:t xml:space="preserve"> RESULTS</w:t>
                      </w:r>
                    </w:p>
                    <w:p w14:paraId="61A96F8E" w14:textId="77777777" w:rsidR="00BC242C" w:rsidRPr="00E651D4" w:rsidRDefault="00BC242C" w:rsidP="00E651D4">
                      <w:pPr>
                        <w:rPr>
                          <w:rFonts w:ascii="Arial" w:hAnsi="Arial"/>
                          <w:b/>
                          <w:i/>
                          <w:color w:val="0F243E" w:themeColor="text2" w:themeShade="80"/>
                          <w:sz w:val="22"/>
                          <w:szCs w:val="22"/>
                        </w:rPr>
                      </w:pPr>
                      <w:r w:rsidRPr="00E651D4">
                        <w:rPr>
                          <w:rFonts w:ascii="Arial" w:hAnsi="Arial"/>
                          <w:b/>
                          <w:i/>
                          <w:color w:val="0F243E" w:themeColor="text2" w:themeShade="80"/>
                          <w:sz w:val="22"/>
                          <w:szCs w:val="22"/>
                        </w:rPr>
                        <w:t>6-</w:t>
                      </w:r>
                      <w:r>
                        <w:rPr>
                          <w:rFonts w:ascii="Arial" w:hAnsi="Arial"/>
                          <w:b/>
                          <w:i/>
                          <w:color w:val="0F243E" w:themeColor="text2" w:themeShade="80"/>
                          <w:sz w:val="22"/>
                          <w:szCs w:val="22"/>
                        </w:rPr>
                        <w:t>91. GAS-FOR-</w:t>
                      </w:r>
                      <w:r w:rsidRPr="00E651D4">
                        <w:rPr>
                          <w:rFonts w:ascii="Arial" w:hAnsi="Arial"/>
                          <w:b/>
                          <w:i/>
                          <w:color w:val="0F243E" w:themeColor="text2" w:themeShade="80"/>
                          <w:sz w:val="22"/>
                          <w:szCs w:val="22"/>
                        </w:rPr>
                        <w:t>POWER</w:t>
                      </w:r>
                      <w:r>
                        <w:rPr>
                          <w:rFonts w:ascii="Arial" w:hAnsi="Arial"/>
                          <w:b/>
                          <w:i/>
                          <w:color w:val="0F243E" w:themeColor="text2" w:themeShade="80"/>
                          <w:sz w:val="22"/>
                          <w:szCs w:val="22"/>
                        </w:rPr>
                        <w:t xml:space="preserve"> </w:t>
                      </w:r>
                      <w:proofErr w:type="gramStart"/>
                      <w:r>
                        <w:rPr>
                          <w:rFonts w:ascii="Arial" w:hAnsi="Arial"/>
                          <w:b/>
                          <w:i/>
                          <w:color w:val="0F243E" w:themeColor="text2" w:themeShade="80"/>
                          <w:sz w:val="22"/>
                          <w:szCs w:val="22"/>
                        </w:rPr>
                        <w:t xml:space="preserve">PORTFOLIO  </w:t>
                      </w:r>
                      <w:proofErr w:type="gramEnd"/>
                      <w:r>
                        <w:rPr>
                          <w:rFonts w:ascii="Arial" w:hAnsi="Arial"/>
                          <w:b/>
                          <w:i/>
                          <w:color w:val="0F243E" w:themeColor="text2" w:themeShade="80"/>
                          <w:sz w:val="22"/>
                          <w:szCs w:val="22"/>
                        </w:rPr>
                        <w:br/>
                      </w:r>
                      <w:r w:rsidRPr="00E651D4">
                        <w:rPr>
                          <w:rFonts w:ascii="Arial" w:hAnsi="Arial"/>
                          <w:b/>
                          <w:i/>
                          <w:color w:val="0F243E" w:themeColor="text2" w:themeShade="80"/>
                          <w:sz w:val="22"/>
                          <w:szCs w:val="22"/>
                        </w:rPr>
                        <w:t xml:space="preserve">       </w:t>
                      </w:r>
                      <w:r>
                        <w:rPr>
                          <w:rFonts w:ascii="Arial" w:hAnsi="Arial"/>
                          <w:b/>
                          <w:i/>
                          <w:color w:val="0F243E" w:themeColor="text2" w:themeShade="80"/>
                          <w:sz w:val="22"/>
                          <w:szCs w:val="22"/>
                        </w:rPr>
                        <w:t xml:space="preserve">ANALYSIS </w:t>
                      </w:r>
                    </w:p>
                    <w:p w14:paraId="3C298FB3" w14:textId="77777777" w:rsidR="00BC242C" w:rsidRPr="00771D35" w:rsidRDefault="00BC242C" w:rsidP="00B12366">
                      <w:pPr>
                        <w:pStyle w:val="IRPsub1"/>
                        <w:spacing w:before="80" w:after="80"/>
                        <w:ind w:firstLine="270"/>
                        <w:rPr>
                          <w:color w:val="02265C"/>
                        </w:rPr>
                      </w:pPr>
                    </w:p>
                    <w:p w14:paraId="217A9C32" w14:textId="77777777" w:rsidR="00BC242C" w:rsidRPr="00D013FE" w:rsidRDefault="00BC242C" w:rsidP="00601E72">
                      <w:pPr>
                        <w:pStyle w:val="IRPsub1"/>
                      </w:pPr>
                    </w:p>
                    <w:p w14:paraId="77C6FFA7" w14:textId="77777777" w:rsidR="00BC242C" w:rsidRPr="00D013FE" w:rsidRDefault="00BC242C" w:rsidP="00601E72">
                      <w:pPr>
                        <w:pStyle w:val="IRPsub1"/>
                      </w:pPr>
                    </w:p>
                  </w:txbxContent>
                </v:textbox>
                <w10:wrap type="through" side="right" anchorx="margin" anchory="line"/>
              </v:shape>
            </w:pict>
          </mc:Fallback>
        </mc:AlternateContent>
      </w:r>
    </w:p>
    <w:p w14:paraId="7F1F991D" w14:textId="77777777" w:rsidR="00C12FBA" w:rsidRPr="00E06808" w:rsidRDefault="00E651D4" w:rsidP="00E06808">
      <w:pPr>
        <w:pStyle w:val="IRPseriftextbig"/>
        <w:ind w:right="270"/>
      </w:pPr>
      <w:r w:rsidRPr="00942AD4">
        <w:t>The electric analysis in the 2015 IRP explore</w:t>
      </w:r>
      <w:r>
        <w:t>s</w:t>
      </w:r>
      <w:r w:rsidRPr="00942AD4">
        <w:t xml:space="preserve"> long</w:t>
      </w:r>
      <w:r>
        <w:t>-</w:t>
      </w:r>
      <w:r w:rsidRPr="00942AD4">
        <w:t>range planning issues related to supply-side resources, conservation</w:t>
      </w:r>
      <w:r>
        <w:t>,</w:t>
      </w:r>
      <w:r w:rsidRPr="00942AD4">
        <w:t xml:space="preserve"> carbon reduction</w:t>
      </w:r>
      <w:r>
        <w:t xml:space="preserve">, </w:t>
      </w:r>
      <w:r w:rsidRPr="00942AD4">
        <w:t>emerging resources</w:t>
      </w:r>
      <w:r>
        <w:t xml:space="preserve"> and wholesale market risk</w:t>
      </w:r>
      <w:r w:rsidRPr="00942AD4">
        <w:t xml:space="preserve">. </w:t>
      </w:r>
      <w:r>
        <w:t xml:space="preserve">In this IRP, we update our planning standard. We also include wholesale market risk in the analysis for the first time. </w:t>
      </w:r>
      <w:r w:rsidRPr="00942AD4">
        <w:t xml:space="preserve"> Wholesale market purchases have been a significant component of PSE’s least cost portfolios for the past decade, but now that the region is forecast</w:t>
      </w:r>
      <w:r>
        <w:t>ed</w:t>
      </w:r>
      <w:r w:rsidRPr="00942AD4">
        <w:t xml:space="preserve"> to shift from</w:t>
      </w:r>
      <w:r>
        <w:t xml:space="preserve"> </w:t>
      </w:r>
      <w:r w:rsidRPr="00942AD4">
        <w:t>capacity surplus to deficit in the coming decade</w:t>
      </w:r>
      <w:r>
        <w:t xml:space="preserve"> unless new resources are added</w:t>
      </w:r>
      <w:r w:rsidRPr="00942AD4">
        <w:t>,</w:t>
      </w:r>
      <w:r>
        <w:rPr>
          <w:rStyle w:val="FootnoteReference"/>
          <w:rFonts w:ascii="Arial" w:hAnsi="Arial"/>
        </w:rPr>
        <w:footnoteReference w:id="2"/>
      </w:r>
      <w:r w:rsidRPr="00942AD4">
        <w:t xml:space="preserve"> that strategy needs to be reevaluated. </w:t>
      </w:r>
      <w:r w:rsidR="000A7BCC">
        <w:t xml:space="preserve">Continuing the current level of </w:t>
      </w:r>
      <w:r w:rsidR="005D4708">
        <w:t>reliance on</w:t>
      </w:r>
      <w:r w:rsidR="000A7BCC">
        <w:t xml:space="preserve"> wholesale market purchases</w:t>
      </w:r>
      <w:r w:rsidRPr="006E7CB7">
        <w:t xml:space="preserve"> </w:t>
      </w:r>
      <w:r>
        <w:t>could</w:t>
      </w:r>
      <w:r w:rsidRPr="006E7CB7">
        <w:t xml:space="preserve"> expose PSE and its customers to unreasonable levels of physical and financial risk. </w:t>
      </w:r>
      <w:r w:rsidR="00C12FBA">
        <w:br w:type="page"/>
      </w:r>
    </w:p>
    <w:p w14:paraId="7A41E3C5" w14:textId="77777777" w:rsidR="00882098" w:rsidRDefault="00E651D4" w:rsidP="00882098">
      <w:pPr>
        <w:pStyle w:val="IRPsecthead2sans"/>
      </w:pPr>
      <w:r>
        <w:lastRenderedPageBreak/>
        <w:t>ANALYSIS O</w:t>
      </w:r>
      <w:r w:rsidR="00882098">
        <w:t>VERVIEW</w:t>
      </w:r>
    </w:p>
    <w:p w14:paraId="4CCBEEAF" w14:textId="77777777" w:rsidR="00882098" w:rsidRPr="007F2800" w:rsidRDefault="00882098" w:rsidP="00E651D4">
      <w:pPr>
        <w:pStyle w:val="IRPsanstext"/>
      </w:pPr>
    </w:p>
    <w:p w14:paraId="46907BA0" w14:textId="77777777" w:rsidR="00E651D4" w:rsidRPr="00E651D4" w:rsidRDefault="00E651D4" w:rsidP="00E651D4">
      <w:pPr>
        <w:pStyle w:val="IRPsanstext"/>
        <w:rPr>
          <w:noProof/>
        </w:rPr>
      </w:pPr>
      <w:r w:rsidRPr="00E651D4">
        <w:rPr>
          <w:noProof/>
        </w:rPr>
        <w:t xml:space="preserve">The electric analysis in the 2015 IRP followed the seven-step process outlined below. Steps 1, 3, 4 and 5 are described in detail in this chapter. Other steps are treated in more detail elsewhere in the IRP. </w:t>
      </w:r>
    </w:p>
    <w:p w14:paraId="2FE390FA" w14:textId="77777777" w:rsidR="00E651D4" w:rsidRPr="00E651D4" w:rsidDel="005D050B" w:rsidRDefault="00E651D4" w:rsidP="00E651D4">
      <w:pPr>
        <w:pStyle w:val="IRPsanstext"/>
        <w:rPr>
          <w:rFonts w:ascii="Arial Bold" w:hAnsi="Arial Bold"/>
          <w:b/>
          <w:noProof/>
        </w:rPr>
      </w:pPr>
    </w:p>
    <w:p w14:paraId="483D9738" w14:textId="77777777" w:rsidR="00E651D4" w:rsidRPr="00E651D4" w:rsidRDefault="00E651D4" w:rsidP="00E651D4">
      <w:pPr>
        <w:pStyle w:val="IRPsanstext"/>
        <w:rPr>
          <w:b/>
          <w:noProof/>
        </w:rPr>
      </w:pPr>
      <w:r w:rsidRPr="00E651D4">
        <w:rPr>
          <w:b/>
          <w:noProof/>
        </w:rPr>
        <w:t>1. Analyze Resource Need</w:t>
      </w:r>
    </w:p>
    <w:p w14:paraId="7DDF155C" w14:textId="77777777" w:rsidR="00E651D4" w:rsidRPr="00E651D4" w:rsidRDefault="00E651D4" w:rsidP="00E651D4">
      <w:pPr>
        <w:pStyle w:val="IRPsanstext"/>
        <w:numPr>
          <w:ilvl w:val="0"/>
          <w:numId w:val="6"/>
        </w:numPr>
        <w:rPr>
          <w:noProof/>
        </w:rPr>
      </w:pPr>
      <w:r w:rsidRPr="00E651D4">
        <w:rPr>
          <w:noProof/>
        </w:rPr>
        <w:t xml:space="preserve">PSE updated its electric planning standard </w:t>
      </w:r>
      <w:r w:rsidR="007949E6">
        <w:rPr>
          <w:noProof/>
        </w:rPr>
        <w:t>based on the benefits and costs of reliability from our customers’ perspective</w:t>
      </w:r>
      <w:r w:rsidRPr="00E651D4">
        <w:rPr>
          <w:noProof/>
        </w:rPr>
        <w:t>.</w:t>
      </w:r>
    </w:p>
    <w:p w14:paraId="72435857" w14:textId="77777777" w:rsidR="00E651D4" w:rsidRPr="00E651D4" w:rsidRDefault="00E651D4" w:rsidP="00E651D4">
      <w:pPr>
        <w:pStyle w:val="IRPsanstext"/>
        <w:numPr>
          <w:ilvl w:val="0"/>
          <w:numId w:val="6"/>
        </w:numPr>
        <w:rPr>
          <w:noProof/>
        </w:rPr>
      </w:pPr>
      <w:r w:rsidRPr="00E651D4">
        <w:rPr>
          <w:noProof/>
        </w:rPr>
        <w:t xml:space="preserve">The peak capacity value of wholesale market purchases was reassessed to incorporate </w:t>
      </w:r>
      <w:r w:rsidR="005D4708">
        <w:rPr>
          <w:noProof/>
        </w:rPr>
        <w:t xml:space="preserve">wholesale </w:t>
      </w:r>
      <w:r w:rsidRPr="00E651D4">
        <w:rPr>
          <w:noProof/>
        </w:rPr>
        <w:t>market reliability risk.</w:t>
      </w:r>
    </w:p>
    <w:p w14:paraId="1CA0ED6E" w14:textId="77777777" w:rsidR="00E651D4" w:rsidRPr="00E651D4" w:rsidRDefault="00E651D4" w:rsidP="00E651D4">
      <w:pPr>
        <w:pStyle w:val="IRPsanstext"/>
        <w:rPr>
          <w:rFonts w:ascii="Arial Bold" w:hAnsi="Arial Bold"/>
          <w:b/>
          <w:noProof/>
        </w:rPr>
      </w:pPr>
    </w:p>
    <w:p w14:paraId="64C1571F" w14:textId="77777777" w:rsidR="00E651D4" w:rsidRPr="00E651D4" w:rsidRDefault="00E651D4" w:rsidP="00E651D4">
      <w:pPr>
        <w:pStyle w:val="IRPsanstext"/>
        <w:rPr>
          <w:b/>
          <w:noProof/>
        </w:rPr>
      </w:pPr>
      <w:r w:rsidRPr="00E651D4">
        <w:rPr>
          <w:b/>
          <w:noProof/>
        </w:rPr>
        <w:t>2. Determine Planning Assumptions and Identify Resource Alternatives</w:t>
      </w:r>
    </w:p>
    <w:p w14:paraId="68382902" w14:textId="77777777" w:rsidR="00E651D4" w:rsidRPr="000A7BCC" w:rsidRDefault="00E651D4" w:rsidP="00E651D4">
      <w:pPr>
        <w:pStyle w:val="IRPsanstext"/>
        <w:numPr>
          <w:ilvl w:val="0"/>
          <w:numId w:val="7"/>
        </w:numPr>
        <w:rPr>
          <w:noProof/>
        </w:rPr>
      </w:pPr>
      <w:r w:rsidRPr="000A7BCC">
        <w:rPr>
          <w:noProof/>
        </w:rPr>
        <w:t>Chapter 4 discusses the scenarios and sensitivities developed for this analysis.</w:t>
      </w:r>
    </w:p>
    <w:p w14:paraId="4D8A2F61" w14:textId="77777777" w:rsidR="00E651D4" w:rsidRPr="000A7BCC" w:rsidRDefault="00E651D4" w:rsidP="00E651D4">
      <w:pPr>
        <w:pStyle w:val="IRPsanstext"/>
        <w:numPr>
          <w:ilvl w:val="0"/>
          <w:numId w:val="7"/>
        </w:numPr>
        <w:rPr>
          <w:noProof/>
        </w:rPr>
      </w:pPr>
      <w:r w:rsidRPr="000A7BCC">
        <w:rPr>
          <w:noProof/>
        </w:rPr>
        <w:t xml:space="preserve">Chapter 5 presents the 2015 IRP demand forecasts. </w:t>
      </w:r>
    </w:p>
    <w:p w14:paraId="49488D88" w14:textId="77777777" w:rsidR="00E651D4" w:rsidRPr="000A7BCC" w:rsidRDefault="00E651D4" w:rsidP="00E651D4">
      <w:pPr>
        <w:pStyle w:val="IRPsanstext"/>
        <w:numPr>
          <w:ilvl w:val="0"/>
          <w:numId w:val="7"/>
        </w:numPr>
        <w:rPr>
          <w:noProof/>
        </w:rPr>
      </w:pPr>
      <w:r w:rsidRPr="000A7BCC">
        <w:rPr>
          <w:noProof/>
        </w:rPr>
        <w:t xml:space="preserve">Appendix D describes existing electric resources and alternatives in detail. </w:t>
      </w:r>
    </w:p>
    <w:p w14:paraId="7F6A6674" w14:textId="77777777" w:rsidR="00E651D4" w:rsidRPr="00E651D4" w:rsidRDefault="00E651D4" w:rsidP="00E651D4">
      <w:pPr>
        <w:pStyle w:val="IRPsanstext"/>
        <w:rPr>
          <w:rFonts w:ascii="Arial Bold" w:hAnsi="Arial Bold"/>
          <w:b/>
          <w:noProof/>
        </w:rPr>
      </w:pPr>
    </w:p>
    <w:p w14:paraId="2FE97E5B" w14:textId="77777777" w:rsidR="00E651D4" w:rsidRPr="00E651D4" w:rsidRDefault="00E651D4" w:rsidP="00E651D4">
      <w:pPr>
        <w:pStyle w:val="IRPsanstext"/>
        <w:rPr>
          <w:b/>
          <w:noProof/>
        </w:rPr>
      </w:pPr>
      <w:r w:rsidRPr="00E651D4">
        <w:rPr>
          <w:b/>
          <w:noProof/>
        </w:rPr>
        <w:t>3. Deterministic Analysis of Scenarios and Sensitivities</w:t>
      </w:r>
    </w:p>
    <w:p w14:paraId="2BA1399C" w14:textId="77777777" w:rsidR="00E651D4" w:rsidRPr="00E651D4" w:rsidRDefault="00E651D4" w:rsidP="00E651D4">
      <w:pPr>
        <w:pStyle w:val="IRPsanstext"/>
        <w:rPr>
          <w:i/>
          <w:noProof/>
        </w:rPr>
      </w:pPr>
      <w:r w:rsidRPr="00E651D4">
        <w:rPr>
          <w:i/>
          <w:noProof/>
        </w:rPr>
        <w:t>Deterministic analysis identifies the least-cost mix of demand-side and supply-side resources that will meet need, given the set of static assumptions defined in the scenario or sensitivity.</w:t>
      </w:r>
    </w:p>
    <w:p w14:paraId="632BD343" w14:textId="77777777" w:rsidR="00E651D4" w:rsidRPr="00E651D4" w:rsidDel="00F36287" w:rsidRDefault="00E651D4" w:rsidP="00E651D4">
      <w:pPr>
        <w:pStyle w:val="IRPsanstext"/>
        <w:numPr>
          <w:ilvl w:val="0"/>
          <w:numId w:val="8"/>
        </w:numPr>
        <w:rPr>
          <w:noProof/>
        </w:rPr>
      </w:pPr>
      <w:r w:rsidRPr="00E651D4">
        <w:rPr>
          <w:noProof/>
        </w:rPr>
        <w:t>All scenarios and sensitivities were analyzed using deterministic optimization analysis.</w:t>
      </w:r>
    </w:p>
    <w:p w14:paraId="23549705" w14:textId="77777777" w:rsidR="00E651D4" w:rsidRPr="00E651D4" w:rsidRDefault="00E651D4" w:rsidP="00E651D4">
      <w:pPr>
        <w:pStyle w:val="IRPsanstext"/>
        <w:numPr>
          <w:ilvl w:val="0"/>
          <w:numId w:val="8"/>
        </w:numPr>
        <w:rPr>
          <w:noProof/>
        </w:rPr>
      </w:pPr>
      <w:r w:rsidRPr="00E651D4">
        <w:rPr>
          <w:noProof/>
        </w:rPr>
        <w:t xml:space="preserve">In some scenarios, CCCT plants were more cost effective than CT’s with a combination of firm pipeline capacity and oil  backup, but in other scenarios, the CT’s were lower cost.  Therefore, we developed six candidate resource </w:t>
      </w:r>
      <w:r w:rsidR="0048686B">
        <w:rPr>
          <w:noProof/>
        </w:rPr>
        <w:t>portfolios</w:t>
      </w:r>
      <w:r w:rsidR="0048686B" w:rsidRPr="00E651D4">
        <w:rPr>
          <w:noProof/>
        </w:rPr>
        <w:t xml:space="preserve"> </w:t>
      </w:r>
      <w:r w:rsidRPr="00E651D4">
        <w:rPr>
          <w:noProof/>
        </w:rPr>
        <w:t>based on different strategies, to examine in the stochastic risk analysis.</w:t>
      </w:r>
    </w:p>
    <w:p w14:paraId="7F3260F2" w14:textId="77777777" w:rsidR="00E651D4" w:rsidRPr="00E651D4" w:rsidRDefault="00E651D4" w:rsidP="00E651D4">
      <w:pPr>
        <w:pStyle w:val="IRPsanstext"/>
        <w:rPr>
          <w:rFonts w:ascii="Arial Bold" w:hAnsi="Arial Bold"/>
          <w:b/>
          <w:noProof/>
        </w:rPr>
      </w:pPr>
    </w:p>
    <w:p w14:paraId="4ABE24B7" w14:textId="77777777" w:rsidR="00E651D4" w:rsidRPr="00E651D4" w:rsidRDefault="00E651D4" w:rsidP="00E651D4">
      <w:pPr>
        <w:pStyle w:val="IRPsanstext"/>
        <w:rPr>
          <w:b/>
          <w:noProof/>
        </w:rPr>
      </w:pPr>
      <w:r w:rsidRPr="00E651D4">
        <w:rPr>
          <w:b/>
          <w:noProof/>
        </w:rPr>
        <w:t>4. Stochastic Risk Analysis</w:t>
      </w:r>
      <w:r w:rsidR="00F63737">
        <w:rPr>
          <w:b/>
          <w:noProof/>
        </w:rPr>
        <w:t xml:space="preserve"> of Candidate Resource </w:t>
      </w:r>
      <w:r w:rsidR="00A33D5B">
        <w:rPr>
          <w:b/>
          <w:noProof/>
        </w:rPr>
        <w:t>Strategies</w:t>
      </w:r>
    </w:p>
    <w:p w14:paraId="7B93639B" w14:textId="77777777" w:rsidR="00E651D4" w:rsidRPr="00E651D4" w:rsidRDefault="00E651D4" w:rsidP="00E651D4">
      <w:pPr>
        <w:pStyle w:val="IRPsanstext"/>
        <w:rPr>
          <w:i/>
          <w:noProof/>
        </w:rPr>
      </w:pPr>
      <w:r w:rsidRPr="00E651D4">
        <w:rPr>
          <w:i/>
          <w:noProof/>
        </w:rPr>
        <w:t xml:space="preserve">Stochastic risk analysis deliberately varies the static inputs to the </w:t>
      </w:r>
      <w:r w:rsidR="000A7BCC">
        <w:rPr>
          <w:i/>
          <w:noProof/>
        </w:rPr>
        <w:t>deterministic analysis, to test</w:t>
      </w:r>
      <w:r w:rsidRPr="00E651D4">
        <w:rPr>
          <w:i/>
          <w:noProof/>
        </w:rPr>
        <w:t xml:space="preserve"> how the different candidate strategies</w:t>
      </w:r>
      <w:r w:rsidRPr="00E651D4">
        <w:rPr>
          <w:i/>
          <w:noProof/>
          <w:color w:val="3366FF"/>
        </w:rPr>
        <w:t xml:space="preserve"> </w:t>
      </w:r>
      <w:r w:rsidRPr="00E651D4">
        <w:rPr>
          <w:i/>
          <w:noProof/>
        </w:rPr>
        <w:t xml:space="preserve">perform with regard to cost and risk across a wide range of potential future </w:t>
      </w:r>
      <w:r w:rsidRPr="00E651D4">
        <w:rPr>
          <w:i/>
        </w:rPr>
        <w:t>power prices, gas prices, hydro generation, wind generation, loads, plant forced outages and CO</w:t>
      </w:r>
      <w:r w:rsidRPr="00E651D4">
        <w:rPr>
          <w:i/>
          <w:vertAlign w:val="subscript"/>
        </w:rPr>
        <w:t>2</w:t>
      </w:r>
      <w:r w:rsidRPr="00E651D4">
        <w:rPr>
          <w:i/>
        </w:rPr>
        <w:t xml:space="preserve"> prices</w:t>
      </w:r>
      <w:r w:rsidRPr="00E651D4">
        <w:rPr>
          <w:i/>
          <w:noProof/>
        </w:rPr>
        <w:t>.</w:t>
      </w:r>
    </w:p>
    <w:p w14:paraId="60613D6C" w14:textId="77777777" w:rsidR="00E651D4" w:rsidRPr="00E651D4" w:rsidRDefault="00E651D4" w:rsidP="00E651D4">
      <w:pPr>
        <w:pStyle w:val="IRPsanstext"/>
        <w:numPr>
          <w:ilvl w:val="0"/>
          <w:numId w:val="9"/>
        </w:numPr>
        <w:rPr>
          <w:noProof/>
        </w:rPr>
      </w:pPr>
      <w:r w:rsidRPr="00E651D4">
        <w:rPr>
          <w:noProof/>
        </w:rPr>
        <w:t xml:space="preserve">PSE analyzed six candidate resource </w:t>
      </w:r>
      <w:r w:rsidR="00A33D5B">
        <w:rPr>
          <w:noProof/>
        </w:rPr>
        <w:t>strategies</w:t>
      </w:r>
      <w:r w:rsidR="00A33D5B" w:rsidRPr="00E651D4">
        <w:rPr>
          <w:noProof/>
        </w:rPr>
        <w:t xml:space="preserve"> </w:t>
      </w:r>
      <w:r w:rsidRPr="00E651D4">
        <w:rPr>
          <w:noProof/>
        </w:rPr>
        <w:t xml:space="preserve">against 250 combinations of variables in the stochastic risk analysis. </w:t>
      </w:r>
    </w:p>
    <w:p w14:paraId="0D7E4BDA" w14:textId="77777777" w:rsidR="00E651D4" w:rsidRPr="00E651D4" w:rsidRDefault="00E651D4" w:rsidP="00E651D4">
      <w:pPr>
        <w:pStyle w:val="IRPsanstext"/>
        <w:rPr>
          <w:rFonts w:ascii="Arial Bold" w:hAnsi="Arial Bold"/>
          <w:b/>
          <w:noProof/>
        </w:rPr>
      </w:pPr>
    </w:p>
    <w:p w14:paraId="4130A816" w14:textId="77777777" w:rsidR="00E651D4" w:rsidRPr="00E651D4" w:rsidRDefault="00E651D4" w:rsidP="00E651D4">
      <w:pPr>
        <w:pStyle w:val="IRPsanstext"/>
        <w:rPr>
          <w:b/>
          <w:noProof/>
        </w:rPr>
      </w:pPr>
      <w:r w:rsidRPr="00E651D4">
        <w:rPr>
          <w:b/>
          <w:noProof/>
        </w:rPr>
        <w:t>5. Analyze Results</w:t>
      </w:r>
    </w:p>
    <w:p w14:paraId="02AD2F2F" w14:textId="77777777" w:rsidR="00E651D4" w:rsidRPr="00E651D4" w:rsidRDefault="00E651D4" w:rsidP="00E651D4">
      <w:pPr>
        <w:pStyle w:val="IRPsanstext"/>
        <w:rPr>
          <w:i/>
          <w:noProof/>
        </w:rPr>
      </w:pPr>
      <w:r w:rsidRPr="00E651D4">
        <w:rPr>
          <w:i/>
          <w:noProof/>
        </w:rPr>
        <w:t>Results of the quantitative analysis – both deter</w:t>
      </w:r>
      <w:r w:rsidR="000A7BCC">
        <w:rPr>
          <w:i/>
          <w:noProof/>
        </w:rPr>
        <w:t>ministic and stochastic – ar</w:t>
      </w:r>
      <w:r w:rsidRPr="00E651D4">
        <w:rPr>
          <w:i/>
          <w:noProof/>
        </w:rPr>
        <w:t xml:space="preserve">e studied to understand the key findings that lead to decisions about the resource plan. </w:t>
      </w:r>
    </w:p>
    <w:p w14:paraId="48F7D3B9" w14:textId="77777777" w:rsidR="00E651D4" w:rsidRPr="00E651D4" w:rsidRDefault="00E651D4" w:rsidP="00E651D4">
      <w:pPr>
        <w:pStyle w:val="IRPsanstext"/>
        <w:numPr>
          <w:ilvl w:val="0"/>
          <w:numId w:val="9"/>
        </w:numPr>
        <w:rPr>
          <w:noProof/>
        </w:rPr>
      </w:pPr>
      <w:r w:rsidRPr="00E651D4">
        <w:rPr>
          <w:noProof/>
        </w:rPr>
        <w:t>Results of the analysis are presented in this chapter and in Appendix N.</w:t>
      </w:r>
    </w:p>
    <w:p w14:paraId="66823C25" w14:textId="77777777" w:rsidR="00E651D4" w:rsidRDefault="00E651D4">
      <w:pPr>
        <w:rPr>
          <w:rFonts w:ascii="Arial" w:hAnsi="Arial"/>
          <w:b/>
          <w:noProof/>
          <w:sz w:val="20"/>
          <w:szCs w:val="20"/>
        </w:rPr>
      </w:pPr>
    </w:p>
    <w:p w14:paraId="2D4A436A" w14:textId="77777777" w:rsidR="00E651D4" w:rsidRPr="00E651D4" w:rsidRDefault="00E651D4" w:rsidP="00E651D4">
      <w:pPr>
        <w:pStyle w:val="IRPsanstext"/>
        <w:rPr>
          <w:b/>
          <w:noProof/>
        </w:rPr>
      </w:pPr>
      <w:r w:rsidRPr="00E651D4">
        <w:rPr>
          <w:b/>
          <w:noProof/>
        </w:rPr>
        <w:lastRenderedPageBreak/>
        <w:t xml:space="preserve">6. Make Decisions </w:t>
      </w:r>
    </w:p>
    <w:p w14:paraId="15090989" w14:textId="77777777" w:rsidR="00E651D4" w:rsidRPr="00E651D4" w:rsidRDefault="00E651D4" w:rsidP="00E651D4">
      <w:pPr>
        <w:pStyle w:val="IRPsanstext"/>
        <w:rPr>
          <w:noProof/>
        </w:rPr>
      </w:pPr>
      <w:r w:rsidRPr="00E651D4">
        <w:rPr>
          <w:noProof/>
        </w:rPr>
        <w:t xml:space="preserve">Chapter 2 describes the reasoning behind the strategy chosen for this resource plan forecast. </w:t>
      </w:r>
    </w:p>
    <w:p w14:paraId="16BF7FF3" w14:textId="77777777" w:rsidR="00E651D4" w:rsidRPr="00E651D4" w:rsidRDefault="00E651D4" w:rsidP="00E651D4">
      <w:pPr>
        <w:pStyle w:val="IRPsanstext"/>
        <w:rPr>
          <w:rFonts w:ascii="Arial Bold" w:hAnsi="Arial Bold"/>
          <w:b/>
          <w:noProof/>
        </w:rPr>
      </w:pPr>
    </w:p>
    <w:p w14:paraId="4B9C4313" w14:textId="77777777" w:rsidR="00E651D4" w:rsidRPr="00E651D4" w:rsidRDefault="00E651D4" w:rsidP="00E651D4">
      <w:pPr>
        <w:pStyle w:val="IRPsanstext"/>
        <w:rPr>
          <w:b/>
          <w:noProof/>
        </w:rPr>
      </w:pPr>
      <w:r w:rsidRPr="00E651D4">
        <w:rPr>
          <w:b/>
          <w:noProof/>
        </w:rPr>
        <w:t>7. Commit to Action</w:t>
      </w:r>
    </w:p>
    <w:p w14:paraId="44C619C7" w14:textId="77777777" w:rsidR="00E651D4" w:rsidRPr="00E651D4" w:rsidRDefault="00E651D4" w:rsidP="00E651D4">
      <w:pPr>
        <w:pStyle w:val="IRPsanstext"/>
        <w:rPr>
          <w:i/>
        </w:rPr>
      </w:pPr>
      <w:r w:rsidRPr="00E651D4">
        <w:rPr>
          <w:i/>
        </w:rPr>
        <w:t xml:space="preserve">Resource decisions are not made in the IRP. What we learn from this forecasting exercise determines the Action Plan; this is “the plan” that PSE will execute against. </w:t>
      </w:r>
    </w:p>
    <w:p w14:paraId="7ED7B404" w14:textId="77777777" w:rsidR="00E651D4" w:rsidRPr="00E651D4" w:rsidRDefault="00A33D5B" w:rsidP="00E651D4">
      <w:pPr>
        <w:pStyle w:val="IRPsanstext"/>
        <w:numPr>
          <w:ilvl w:val="0"/>
          <w:numId w:val="9"/>
        </w:numPr>
      </w:pPr>
      <w:r>
        <w:t>The A</w:t>
      </w:r>
      <w:r w:rsidR="00E651D4" w:rsidRPr="00E651D4">
        <w:t xml:space="preserve">ction </w:t>
      </w:r>
      <w:r>
        <w:t>P</w:t>
      </w:r>
      <w:r w:rsidR="00E651D4" w:rsidRPr="00E651D4">
        <w:t>lan is presented in the Executive Summary, Chapter 1.</w:t>
      </w:r>
    </w:p>
    <w:p w14:paraId="3421FDA8" w14:textId="77777777" w:rsidR="00E651D4" w:rsidRPr="00E651D4" w:rsidRDefault="00E651D4" w:rsidP="00E651D4">
      <w:pPr>
        <w:pStyle w:val="IRPsanstext"/>
      </w:pPr>
      <w:r w:rsidRPr="00E651D4">
        <w:t xml:space="preserve"> </w:t>
      </w:r>
    </w:p>
    <w:p w14:paraId="170CE7C8" w14:textId="77777777" w:rsidR="000A7BCC" w:rsidRDefault="00E651D4" w:rsidP="00E651D4">
      <w:pPr>
        <w:pStyle w:val="IRPsanstext"/>
      </w:pPr>
      <w:r w:rsidRPr="00E651D4">
        <w:t xml:space="preserve">Figure 6-1 illustrates this process. </w:t>
      </w:r>
    </w:p>
    <w:p w14:paraId="65249DA6" w14:textId="77777777" w:rsidR="00E651D4" w:rsidRPr="00D17987" w:rsidRDefault="00E651D4" w:rsidP="00E651D4">
      <w:pPr>
        <w:spacing w:line="300" w:lineRule="auto"/>
        <w:jc w:val="center"/>
        <w:rPr>
          <w:rFonts w:ascii="Arial" w:hAnsi="Arial"/>
          <w:i/>
          <w:sz w:val="20"/>
        </w:rPr>
      </w:pPr>
    </w:p>
    <w:p w14:paraId="48C0D9C6" w14:textId="77777777" w:rsidR="00E651D4" w:rsidRDefault="00E651D4" w:rsidP="00E651D4">
      <w:pPr>
        <w:spacing w:line="300" w:lineRule="auto"/>
        <w:jc w:val="center"/>
        <w:rPr>
          <w:rFonts w:ascii="Arial" w:hAnsi="Arial"/>
          <w:i/>
          <w:sz w:val="20"/>
        </w:rPr>
      </w:pPr>
      <w:r w:rsidRPr="00D17987">
        <w:rPr>
          <w:noProof/>
          <w:sz w:val="20"/>
          <w:lang w:eastAsia="en-US"/>
        </w:rPr>
        <w:drawing>
          <wp:anchor distT="0" distB="0" distL="114300" distR="114300" simplePos="0" relativeHeight="251670016" behindDoc="0" locked="0" layoutInCell="1" allowOverlap="1" wp14:anchorId="6CD05FA8" wp14:editId="10F29869">
            <wp:simplePos x="0" y="0"/>
            <wp:positionH relativeFrom="column">
              <wp:posOffset>541020</wp:posOffset>
            </wp:positionH>
            <wp:positionV relativeFrom="paragraph">
              <wp:posOffset>324485</wp:posOffset>
            </wp:positionV>
            <wp:extent cx="5105400" cy="4053840"/>
            <wp:effectExtent l="0" t="0" r="0" b="35560"/>
            <wp:wrapTopAndBottom/>
            <wp:docPr id="2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Pr="00D17987">
        <w:rPr>
          <w:noProof/>
          <w:sz w:val="20"/>
          <w:lang w:eastAsia="en-US"/>
        </w:rPr>
        <w:drawing>
          <wp:anchor distT="0" distB="0" distL="114300" distR="114300" simplePos="0" relativeHeight="251668992" behindDoc="0" locked="0" layoutInCell="1" allowOverlap="1" wp14:anchorId="45CDA8AB" wp14:editId="7DCC8E9F">
            <wp:simplePos x="0" y="0"/>
            <wp:positionH relativeFrom="column">
              <wp:posOffset>541020</wp:posOffset>
            </wp:positionH>
            <wp:positionV relativeFrom="paragraph">
              <wp:posOffset>324485</wp:posOffset>
            </wp:positionV>
            <wp:extent cx="5105400" cy="4053840"/>
            <wp:effectExtent l="0" t="0" r="0" b="35560"/>
            <wp:wrapTopAndBottom/>
            <wp:docPr id="2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sidRPr="00D17987">
        <w:rPr>
          <w:noProof/>
          <w:sz w:val="20"/>
          <w:lang w:eastAsia="en-US"/>
        </w:rPr>
        <w:drawing>
          <wp:anchor distT="0" distB="0" distL="114300" distR="114300" simplePos="0" relativeHeight="251667968" behindDoc="0" locked="0" layoutInCell="1" allowOverlap="1" wp14:anchorId="2B88562F" wp14:editId="285F1C9F">
            <wp:simplePos x="0" y="0"/>
            <wp:positionH relativeFrom="column">
              <wp:posOffset>541020</wp:posOffset>
            </wp:positionH>
            <wp:positionV relativeFrom="paragraph">
              <wp:posOffset>324485</wp:posOffset>
            </wp:positionV>
            <wp:extent cx="5105400" cy="4053840"/>
            <wp:effectExtent l="0" t="0" r="0" b="35560"/>
            <wp:wrapTopAndBottom/>
            <wp:docPr id="204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sidRPr="00D17987">
        <w:rPr>
          <w:noProof/>
          <w:sz w:val="20"/>
          <w:lang w:eastAsia="en-US"/>
        </w:rPr>
        <w:drawing>
          <wp:anchor distT="0" distB="0" distL="114300" distR="114300" simplePos="0" relativeHeight="251655680" behindDoc="0" locked="0" layoutInCell="1" allowOverlap="1" wp14:anchorId="63D9C78B" wp14:editId="34C8F9C9">
            <wp:simplePos x="0" y="0"/>
            <wp:positionH relativeFrom="column">
              <wp:posOffset>541020</wp:posOffset>
            </wp:positionH>
            <wp:positionV relativeFrom="paragraph">
              <wp:posOffset>324485</wp:posOffset>
            </wp:positionV>
            <wp:extent cx="5105400" cy="4053840"/>
            <wp:effectExtent l="0" t="0" r="0" b="35560"/>
            <wp:wrapTopAndBottom/>
            <wp:docPr id="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r w:rsidRPr="00D17987">
        <w:rPr>
          <w:noProof/>
          <w:sz w:val="20"/>
          <w:lang w:eastAsia="en-US"/>
        </w:rPr>
        <w:drawing>
          <wp:anchor distT="0" distB="0" distL="114300" distR="114300" simplePos="0" relativeHeight="251653632" behindDoc="0" locked="0" layoutInCell="1" allowOverlap="1" wp14:anchorId="1D236924" wp14:editId="72854ABD">
            <wp:simplePos x="0" y="0"/>
            <wp:positionH relativeFrom="column">
              <wp:posOffset>541020</wp:posOffset>
            </wp:positionH>
            <wp:positionV relativeFrom="paragraph">
              <wp:posOffset>324485</wp:posOffset>
            </wp:positionV>
            <wp:extent cx="5105400" cy="4053840"/>
            <wp:effectExtent l="0" t="0" r="0" b="35560"/>
            <wp:wrapTopAndBottom/>
            <wp:docPr id="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sidRPr="00D17987">
        <w:rPr>
          <w:noProof/>
          <w:sz w:val="20"/>
          <w:lang w:eastAsia="en-US"/>
        </w:rPr>
        <w:drawing>
          <wp:anchor distT="0" distB="0" distL="114300" distR="114300" simplePos="0" relativeHeight="251652608" behindDoc="0" locked="0" layoutInCell="1" allowOverlap="1" wp14:anchorId="7E912B7E" wp14:editId="223E8446">
            <wp:simplePos x="0" y="0"/>
            <wp:positionH relativeFrom="column">
              <wp:posOffset>541020</wp:posOffset>
            </wp:positionH>
            <wp:positionV relativeFrom="paragraph">
              <wp:posOffset>324485</wp:posOffset>
            </wp:positionV>
            <wp:extent cx="5105400" cy="4053840"/>
            <wp:effectExtent l="0" t="0" r="0" b="35560"/>
            <wp:wrapTopAndBottom/>
            <wp:docPr id="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anchor>
        </w:drawing>
      </w:r>
      <w:r w:rsidRPr="00D17987">
        <w:rPr>
          <w:noProof/>
          <w:sz w:val="20"/>
          <w:lang w:eastAsia="en-US"/>
        </w:rPr>
        <w:drawing>
          <wp:anchor distT="0" distB="0" distL="114300" distR="114300" simplePos="0" relativeHeight="251650560" behindDoc="0" locked="0" layoutInCell="1" allowOverlap="1" wp14:anchorId="536542E0" wp14:editId="6EC37638">
            <wp:simplePos x="0" y="0"/>
            <wp:positionH relativeFrom="column">
              <wp:posOffset>541020</wp:posOffset>
            </wp:positionH>
            <wp:positionV relativeFrom="paragraph">
              <wp:posOffset>324485</wp:posOffset>
            </wp:positionV>
            <wp:extent cx="5105400" cy="4053840"/>
            <wp:effectExtent l="0" t="0" r="0" b="35560"/>
            <wp:wrapTopAndBottom/>
            <wp:docPr id="2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anchor>
        </w:drawing>
      </w:r>
      <w:r w:rsidRPr="00D17987">
        <w:rPr>
          <w:rFonts w:ascii="Arial" w:hAnsi="Arial"/>
          <w:i/>
          <w:sz w:val="20"/>
        </w:rPr>
        <w:t>Figure 6-1: 2015 IRP Process</w:t>
      </w:r>
    </w:p>
    <w:p w14:paraId="296F4D0F" w14:textId="77777777" w:rsidR="0054737D" w:rsidRPr="00884900" w:rsidRDefault="00E651D4" w:rsidP="005C70DF">
      <w:pPr>
        <w:spacing w:line="300" w:lineRule="auto"/>
        <w:rPr>
          <w:rFonts w:ascii="Arial" w:hAnsi="Arial"/>
          <w:b/>
          <w:caps/>
          <w:color w:val="3366FF"/>
          <w:sz w:val="36"/>
        </w:rPr>
      </w:pPr>
      <w:r>
        <w:rPr>
          <w:rFonts w:ascii="Arial" w:hAnsi="Arial"/>
          <w:b/>
          <w:caps/>
          <w:sz w:val="36"/>
        </w:rPr>
        <w:br w:type="page"/>
      </w:r>
      <w:r w:rsidR="0054737D" w:rsidRPr="00E651D4">
        <w:rPr>
          <w:rFonts w:ascii="Arial" w:hAnsi="Arial"/>
          <w:b/>
          <w:caps/>
          <w:color w:val="156570"/>
          <w:sz w:val="36"/>
        </w:rPr>
        <w:lastRenderedPageBreak/>
        <w:t>Resource Need</w:t>
      </w:r>
    </w:p>
    <w:p w14:paraId="2DEC00E8" w14:textId="77777777" w:rsidR="0054737D" w:rsidRDefault="0054737D" w:rsidP="0054737D">
      <w:pPr>
        <w:pStyle w:val="IRPsanstext"/>
      </w:pPr>
    </w:p>
    <w:p w14:paraId="51EB908F" w14:textId="77777777" w:rsidR="0054737D" w:rsidRDefault="0054737D" w:rsidP="0054737D">
      <w:pPr>
        <w:pStyle w:val="IRPsanstext"/>
      </w:pPr>
      <w:r>
        <w:t xml:space="preserve">PSE expanded its analysis of resource need in two areas for this IRP. First, we examined updating PSE’s planning standard to better reflect the value of reliability to customers; and second, we reassessed the peak capacity value of PSE’s wholesale market purchases in order to reflect the reliability risk created by </w:t>
      </w:r>
      <w:r w:rsidRPr="00863771">
        <w:t>the changing load/resource balance in the Pacific Northwest.</w:t>
      </w:r>
      <w:r>
        <w:t xml:space="preserve"> These adjustments are discussed first, since both impact the determination of peak capacity need. </w:t>
      </w:r>
    </w:p>
    <w:p w14:paraId="55159457" w14:textId="77777777" w:rsidR="0054737D" w:rsidRDefault="0054737D" w:rsidP="0054737D">
      <w:pPr>
        <w:pStyle w:val="IRPsanstext"/>
      </w:pPr>
    </w:p>
    <w:p w14:paraId="37E8B801" w14:textId="77777777" w:rsidR="0054737D" w:rsidRPr="006F422F" w:rsidRDefault="0054737D" w:rsidP="0054737D">
      <w:pPr>
        <w:pStyle w:val="IRPsanstext"/>
        <w:rPr>
          <w:sz w:val="32"/>
        </w:rPr>
      </w:pPr>
      <w:r>
        <w:rPr>
          <w:sz w:val="32"/>
        </w:rPr>
        <w:t xml:space="preserve">Updating the </w:t>
      </w:r>
      <w:r w:rsidRPr="00863771">
        <w:rPr>
          <w:sz w:val="32"/>
        </w:rPr>
        <w:t xml:space="preserve">Planning Standard </w:t>
      </w:r>
    </w:p>
    <w:p w14:paraId="75E7D580" w14:textId="77777777" w:rsidR="0054737D" w:rsidRDefault="0054737D" w:rsidP="0054737D">
      <w:pPr>
        <w:pStyle w:val="IRPsanstext"/>
      </w:pPr>
    </w:p>
    <w:p w14:paraId="59F69938" w14:textId="77777777" w:rsidR="0054737D" w:rsidRPr="00E7686C" w:rsidRDefault="0054737D" w:rsidP="00E7686C">
      <w:pPr>
        <w:pStyle w:val="IRPsanstext"/>
        <w:ind w:left="720"/>
        <w:rPr>
          <w:b/>
        </w:rPr>
      </w:pPr>
      <w:r w:rsidRPr="00E7686C">
        <w:rPr>
          <w:b/>
        </w:rPr>
        <w:t>Basing the Planning Standard on Benefit/Cost Analysis</w:t>
      </w:r>
    </w:p>
    <w:p w14:paraId="6460CDC9" w14:textId="77777777" w:rsidR="0054737D" w:rsidRPr="003D0963" w:rsidRDefault="0054737D" w:rsidP="00E7686C">
      <w:pPr>
        <w:pStyle w:val="IRPsanstext"/>
        <w:ind w:left="720"/>
        <w:rPr>
          <w:rFonts w:cs="Arial"/>
        </w:rPr>
      </w:pPr>
      <w:r w:rsidRPr="009524AC">
        <w:rPr>
          <w:rFonts w:cs="Arial"/>
        </w:rPr>
        <w:t>This IRP adopts an optimal planning standard that reflects a benefit/cost analysis designed to minimize the net cost of reliability to customers. The analysis also incorporates wholesale market risk in its peak capacity assessment of wholesale market purchases, consistent with regional resource adequacy assessments. The updated standard and incorporation of market risk reduces the expected value of lost load to customers by $130 million per year. The cost to achieve that expected savings is $63 million per year, for a net benefit to customers of $67 million per year. Risk reduction is dramatic. The $63 million per year cost reduces the risk to customers by $1.3 billion per year.</w:t>
      </w:r>
    </w:p>
    <w:p w14:paraId="70C38D0E" w14:textId="77777777" w:rsidR="0054737D" w:rsidRDefault="0054737D" w:rsidP="00E7686C">
      <w:pPr>
        <w:pStyle w:val="IRPsanstext"/>
        <w:ind w:left="720"/>
        <w:rPr>
          <w:rFonts w:cs="Arial"/>
        </w:rPr>
      </w:pPr>
    </w:p>
    <w:p w14:paraId="190747A7" w14:textId="77777777" w:rsidR="0054737D" w:rsidRPr="00E7686C" w:rsidRDefault="0054737D" w:rsidP="00E7686C">
      <w:pPr>
        <w:pStyle w:val="IRPsanstext"/>
        <w:ind w:left="720"/>
        <w:rPr>
          <w:rFonts w:cs="Arial"/>
          <w:b/>
        </w:rPr>
      </w:pPr>
      <w:r w:rsidRPr="00E7686C">
        <w:rPr>
          <w:rFonts w:cs="Arial"/>
          <w:b/>
        </w:rPr>
        <w:t>Incorporating Wholesale Market Purchase Risk</w:t>
      </w:r>
    </w:p>
    <w:p w14:paraId="475484FE" w14:textId="77777777" w:rsidR="0054737D" w:rsidRDefault="0054737D" w:rsidP="00E7686C">
      <w:pPr>
        <w:pStyle w:val="IRPsanstext"/>
        <w:ind w:left="720"/>
        <w:rPr>
          <w:rFonts w:cs="Arial"/>
        </w:rPr>
      </w:pPr>
      <w:r w:rsidRPr="009524AC">
        <w:rPr>
          <w:rFonts w:cs="Arial"/>
        </w:rPr>
        <w:t xml:space="preserve">Since regional resource adequacy studies forecast a shift from surplus to deficit in the region’s load/resource balance, this a particularly appropriate time </w:t>
      </w:r>
      <w:r>
        <w:rPr>
          <w:rFonts w:cs="Arial"/>
        </w:rPr>
        <w:t xml:space="preserve">for PSE to </w:t>
      </w:r>
      <w:r w:rsidRPr="009524AC">
        <w:rPr>
          <w:rFonts w:cs="Arial"/>
        </w:rPr>
        <w:t>incorporate wholesale market risk in</w:t>
      </w:r>
      <w:r>
        <w:rPr>
          <w:rFonts w:cs="Arial"/>
        </w:rPr>
        <w:t>to its IRP</w:t>
      </w:r>
      <w:r w:rsidRPr="009524AC">
        <w:rPr>
          <w:rFonts w:cs="Arial"/>
        </w:rPr>
        <w:t xml:space="preserve"> analysis.  Prior IRPs also assumed wholesale market purchases were 100 percent reliable, but this is no longer a reasonable assumption now that </w:t>
      </w:r>
      <w:r>
        <w:rPr>
          <w:rFonts w:cs="Arial"/>
        </w:rPr>
        <w:t xml:space="preserve">the capacity surplus </w:t>
      </w:r>
      <w:r w:rsidRPr="009524AC">
        <w:rPr>
          <w:rFonts w:cs="Arial"/>
        </w:rPr>
        <w:t>in the region is shrinking. Therefore, PSE incorporates wholesale market ri</w:t>
      </w:r>
      <w:r>
        <w:rPr>
          <w:rFonts w:cs="Arial"/>
        </w:rPr>
        <w:t xml:space="preserve">sk into </w:t>
      </w:r>
      <w:r w:rsidRPr="009524AC">
        <w:rPr>
          <w:rFonts w:cs="Arial"/>
        </w:rPr>
        <w:t xml:space="preserve">its </w:t>
      </w:r>
      <w:r>
        <w:rPr>
          <w:rFonts w:cs="Arial"/>
        </w:rPr>
        <w:t xml:space="preserve">updated </w:t>
      </w:r>
      <w:proofErr w:type="gramStart"/>
      <w:r w:rsidRPr="009524AC">
        <w:rPr>
          <w:rFonts w:cs="Arial"/>
        </w:rPr>
        <w:t>capacity planning</w:t>
      </w:r>
      <w:proofErr w:type="gramEnd"/>
      <w:r w:rsidRPr="009524AC">
        <w:rPr>
          <w:rFonts w:cs="Arial"/>
        </w:rPr>
        <w:t xml:space="preserve"> standard.</w:t>
      </w:r>
    </w:p>
    <w:p w14:paraId="107EEE60" w14:textId="77777777" w:rsidR="0054737D" w:rsidRDefault="0054737D" w:rsidP="0054737D">
      <w:pPr>
        <w:pStyle w:val="IRPtitle"/>
        <w:spacing w:line="300" w:lineRule="auto"/>
        <w:ind w:left="0" w:firstLine="0"/>
        <w:rPr>
          <w:rFonts w:ascii="Arial" w:hAnsi="Arial" w:cs="Arial"/>
          <w:sz w:val="20"/>
          <w:szCs w:val="20"/>
        </w:rPr>
      </w:pPr>
    </w:p>
    <w:p w14:paraId="708B9424" w14:textId="77777777" w:rsidR="0054737D" w:rsidRPr="003D0963" w:rsidRDefault="0054737D" w:rsidP="0054737D">
      <w:pPr>
        <w:pStyle w:val="IRPtitle"/>
        <w:spacing w:line="300" w:lineRule="auto"/>
        <w:ind w:left="0" w:firstLine="0"/>
        <w:rPr>
          <w:rFonts w:ascii="Arial" w:hAnsi="Arial" w:cs="Arial"/>
          <w:b/>
          <w:color w:val="3366FF"/>
          <w:sz w:val="28"/>
          <w:szCs w:val="32"/>
        </w:rPr>
      </w:pPr>
      <w:proofErr w:type="gramStart"/>
      <w:r w:rsidRPr="00FF2CB2">
        <w:rPr>
          <w:rFonts w:ascii="Arial" w:hAnsi="Arial" w:cs="Arial"/>
          <w:b/>
          <w:color w:val="156570"/>
          <w:sz w:val="28"/>
          <w:szCs w:val="32"/>
        </w:rPr>
        <w:t>Summary of Planning Standard Changes.</w:t>
      </w:r>
      <w:proofErr w:type="gramEnd"/>
      <w:r>
        <w:rPr>
          <w:rFonts w:ascii="Arial" w:hAnsi="Arial" w:cs="Arial"/>
          <w:b/>
          <w:color w:val="3366FF"/>
          <w:sz w:val="28"/>
          <w:szCs w:val="32"/>
        </w:rPr>
        <w:t xml:space="preserve"> </w:t>
      </w:r>
      <w:r w:rsidRPr="009524AC">
        <w:rPr>
          <w:rFonts w:ascii="Arial" w:hAnsi="Arial" w:cs="Arial"/>
          <w:sz w:val="20"/>
          <w:szCs w:val="20"/>
        </w:rPr>
        <w:t xml:space="preserve">Figure </w:t>
      </w:r>
      <w:r>
        <w:rPr>
          <w:rFonts w:ascii="Arial" w:hAnsi="Arial" w:cs="Arial"/>
          <w:sz w:val="20"/>
          <w:szCs w:val="20"/>
        </w:rPr>
        <w:t>6</w:t>
      </w:r>
      <w:r w:rsidRPr="009524AC">
        <w:rPr>
          <w:rFonts w:ascii="Arial" w:hAnsi="Arial" w:cs="Arial"/>
          <w:sz w:val="20"/>
          <w:szCs w:val="20"/>
        </w:rPr>
        <w:t>-</w:t>
      </w:r>
      <w:r>
        <w:rPr>
          <w:rFonts w:ascii="Arial" w:hAnsi="Arial" w:cs="Arial"/>
          <w:sz w:val="20"/>
          <w:szCs w:val="20"/>
        </w:rPr>
        <w:t>2</w:t>
      </w:r>
      <w:r w:rsidRPr="009524AC">
        <w:rPr>
          <w:rFonts w:ascii="Arial" w:hAnsi="Arial" w:cs="Arial"/>
          <w:sz w:val="20"/>
          <w:szCs w:val="20"/>
        </w:rPr>
        <w:t>, Summary of Planning Standard Changes, provides information that will be used in the dis</w:t>
      </w:r>
      <w:r>
        <w:rPr>
          <w:rFonts w:ascii="Arial" w:hAnsi="Arial" w:cs="Arial"/>
          <w:sz w:val="20"/>
          <w:szCs w:val="20"/>
        </w:rPr>
        <w:t xml:space="preserve">cussion below. </w:t>
      </w:r>
      <w:r w:rsidRPr="009524AC">
        <w:rPr>
          <w:rFonts w:ascii="Arial" w:hAnsi="Arial" w:cs="Arial"/>
          <w:sz w:val="20"/>
          <w:szCs w:val="20"/>
        </w:rPr>
        <w:t>Additional detail is included in Appendix G</w:t>
      </w:r>
      <w:r w:rsidR="00ED4391">
        <w:rPr>
          <w:rFonts w:ascii="Arial" w:hAnsi="Arial" w:cs="Arial"/>
          <w:sz w:val="20"/>
          <w:szCs w:val="20"/>
        </w:rPr>
        <w:t>, Wholesale Market Risk,</w:t>
      </w:r>
      <w:r w:rsidRPr="009524AC">
        <w:rPr>
          <w:rFonts w:ascii="Arial" w:hAnsi="Arial" w:cs="Arial"/>
          <w:sz w:val="20"/>
          <w:szCs w:val="20"/>
        </w:rPr>
        <w:t xml:space="preserve"> and Appendix N.  </w:t>
      </w:r>
    </w:p>
    <w:p w14:paraId="35BF1CEB" w14:textId="77777777" w:rsidR="0054737D" w:rsidRDefault="0054737D" w:rsidP="0054737D">
      <w:pPr>
        <w:pStyle w:val="IRPtitle"/>
        <w:spacing w:line="300" w:lineRule="auto"/>
        <w:ind w:left="0" w:firstLine="0"/>
        <w:rPr>
          <w:rFonts w:ascii="Arial" w:hAnsi="Arial" w:cs="Arial"/>
          <w:i/>
          <w:sz w:val="20"/>
          <w:szCs w:val="20"/>
        </w:rPr>
      </w:pPr>
      <w:r>
        <w:rPr>
          <w:rFonts w:ascii="Arial" w:hAnsi="Arial" w:cs="Arial"/>
          <w:i/>
          <w:sz w:val="20"/>
          <w:szCs w:val="20"/>
        </w:rPr>
        <w:br w:type="page"/>
      </w:r>
    </w:p>
    <w:p w14:paraId="7FC53650" w14:textId="77777777" w:rsidR="0054737D" w:rsidRPr="00FF2CB2" w:rsidRDefault="0054737D" w:rsidP="00FF2CB2">
      <w:pPr>
        <w:pStyle w:val="IRPtitle"/>
        <w:spacing w:after="120" w:line="300" w:lineRule="auto"/>
        <w:ind w:left="0" w:firstLine="0"/>
        <w:jc w:val="center"/>
        <w:rPr>
          <w:rFonts w:ascii="Arial" w:hAnsi="Arial" w:cs="Arial"/>
          <w:i/>
          <w:sz w:val="20"/>
          <w:szCs w:val="20"/>
        </w:rPr>
      </w:pPr>
      <w:r w:rsidRPr="009524AC">
        <w:rPr>
          <w:rFonts w:ascii="Arial" w:hAnsi="Arial" w:cs="Arial"/>
          <w:i/>
          <w:sz w:val="20"/>
          <w:szCs w:val="20"/>
        </w:rPr>
        <w:lastRenderedPageBreak/>
        <w:t xml:space="preserve">Figure </w:t>
      </w:r>
      <w:r>
        <w:rPr>
          <w:rFonts w:ascii="Arial" w:hAnsi="Arial" w:cs="Arial"/>
          <w:i/>
          <w:sz w:val="20"/>
          <w:szCs w:val="20"/>
        </w:rPr>
        <w:t>6</w:t>
      </w:r>
      <w:r w:rsidRPr="009524AC">
        <w:rPr>
          <w:rFonts w:ascii="Arial" w:hAnsi="Arial" w:cs="Arial"/>
          <w:i/>
          <w:sz w:val="20"/>
          <w:szCs w:val="20"/>
        </w:rPr>
        <w:t>-</w:t>
      </w:r>
      <w:r>
        <w:rPr>
          <w:rFonts w:ascii="Arial" w:hAnsi="Arial" w:cs="Arial"/>
          <w:i/>
          <w:sz w:val="20"/>
          <w:szCs w:val="20"/>
        </w:rPr>
        <w:t>2</w:t>
      </w:r>
      <w:r w:rsidR="00855BD7">
        <w:rPr>
          <w:rFonts w:ascii="Arial" w:hAnsi="Arial" w:cs="Arial"/>
          <w:i/>
          <w:sz w:val="20"/>
          <w:szCs w:val="20"/>
        </w:rPr>
        <w:t>:</w:t>
      </w:r>
      <w:r w:rsidRPr="009524AC">
        <w:rPr>
          <w:rFonts w:ascii="Arial" w:hAnsi="Arial" w:cs="Arial"/>
          <w:i/>
          <w:sz w:val="20"/>
          <w:szCs w:val="20"/>
        </w:rPr>
        <w:t xml:space="preserve"> Summary of Planning Standard Changes </w:t>
      </w:r>
    </w:p>
    <w:tbl>
      <w:tblPr>
        <w:tblW w:w="8677" w:type="dxa"/>
        <w:tblInd w:w="117" w:type="dxa"/>
        <w:tblLayout w:type="fixed"/>
        <w:tblLook w:val="04A0" w:firstRow="1" w:lastRow="0" w:firstColumn="1" w:lastColumn="0" w:noHBand="0" w:noVBand="1"/>
      </w:tblPr>
      <w:tblGrid>
        <w:gridCol w:w="261"/>
        <w:gridCol w:w="2520"/>
        <w:gridCol w:w="1080"/>
        <w:gridCol w:w="990"/>
        <w:gridCol w:w="1440"/>
        <w:gridCol w:w="1260"/>
        <w:gridCol w:w="1126"/>
      </w:tblGrid>
      <w:tr w:rsidR="0054737D" w:rsidRPr="004073CB" w14:paraId="0EAC830D" w14:textId="77777777">
        <w:trPr>
          <w:trHeight w:val="539"/>
        </w:trPr>
        <w:tc>
          <w:tcPr>
            <w:tcW w:w="261" w:type="dxa"/>
            <w:tcBorders>
              <w:top w:val="single" w:sz="4" w:space="0" w:color="auto"/>
              <w:left w:val="single" w:sz="4" w:space="0" w:color="auto"/>
              <w:right w:val="single" w:sz="4" w:space="0" w:color="auto"/>
            </w:tcBorders>
            <w:shd w:val="clear" w:color="auto" w:fill="006A71"/>
          </w:tcPr>
          <w:p w14:paraId="4BC19E30" w14:textId="77777777" w:rsidR="0054737D" w:rsidRPr="00411832" w:rsidRDefault="0054737D" w:rsidP="0054737D">
            <w:pPr>
              <w:pStyle w:val="IRPsanstext"/>
              <w:rPr>
                <w:rFonts w:eastAsia="Times New Roman" w:cs="Arial"/>
                <w:b/>
                <w:color w:val="FFFFFF"/>
                <w:sz w:val="16"/>
                <w:szCs w:val="16"/>
              </w:rPr>
            </w:pPr>
          </w:p>
        </w:tc>
        <w:tc>
          <w:tcPr>
            <w:tcW w:w="2520" w:type="dxa"/>
            <w:vMerge w:val="restart"/>
            <w:tcBorders>
              <w:top w:val="single" w:sz="4" w:space="0" w:color="auto"/>
              <w:left w:val="single" w:sz="4" w:space="0" w:color="auto"/>
              <w:right w:val="single" w:sz="4" w:space="0" w:color="auto"/>
            </w:tcBorders>
            <w:shd w:val="clear" w:color="auto" w:fill="006A71"/>
            <w:noWrap/>
            <w:vAlign w:val="center"/>
          </w:tcPr>
          <w:p w14:paraId="5DDE6C7B" w14:textId="77777777" w:rsidR="0054737D" w:rsidRPr="00411832" w:rsidRDefault="0054737D" w:rsidP="0054737D">
            <w:pPr>
              <w:pStyle w:val="IRPsanstext"/>
              <w:rPr>
                <w:rFonts w:eastAsia="Times New Roman" w:cs="Arial"/>
                <w:b/>
                <w:color w:val="FFFFFF"/>
              </w:rPr>
            </w:pPr>
          </w:p>
        </w:tc>
        <w:tc>
          <w:tcPr>
            <w:tcW w:w="2070" w:type="dxa"/>
            <w:gridSpan w:val="2"/>
            <w:tcBorders>
              <w:top w:val="single" w:sz="4" w:space="0" w:color="auto"/>
              <w:left w:val="single" w:sz="4" w:space="0" w:color="auto"/>
              <w:bottom w:val="single" w:sz="4" w:space="0" w:color="auto"/>
              <w:right w:val="single" w:sz="4" w:space="0" w:color="auto"/>
            </w:tcBorders>
            <w:shd w:val="clear" w:color="auto" w:fill="006A71"/>
            <w:noWrap/>
            <w:vAlign w:val="bottom"/>
          </w:tcPr>
          <w:p w14:paraId="38F48ABE" w14:textId="77777777" w:rsidR="0054737D" w:rsidRPr="00411832" w:rsidRDefault="0054737D" w:rsidP="0054737D">
            <w:pPr>
              <w:pStyle w:val="IRPsanstext"/>
              <w:jc w:val="center"/>
              <w:rPr>
                <w:rFonts w:eastAsia="Times New Roman" w:cs="Arial"/>
                <w:b/>
                <w:bCs/>
                <w:color w:val="FFFFFF"/>
              </w:rPr>
            </w:pPr>
            <w:r w:rsidRPr="00411832">
              <w:rPr>
                <w:rFonts w:eastAsia="Times New Roman" w:cs="Arial"/>
                <w:b/>
                <w:bCs/>
                <w:color w:val="FFFFFF"/>
              </w:rPr>
              <w:t>Reliability Metric</w:t>
            </w:r>
          </w:p>
        </w:tc>
        <w:tc>
          <w:tcPr>
            <w:tcW w:w="1440" w:type="dxa"/>
            <w:vMerge w:val="restart"/>
            <w:tcBorders>
              <w:top w:val="single" w:sz="4" w:space="0" w:color="auto"/>
              <w:left w:val="single" w:sz="4" w:space="0" w:color="auto"/>
              <w:right w:val="single" w:sz="4" w:space="0" w:color="auto"/>
            </w:tcBorders>
            <w:shd w:val="clear" w:color="auto" w:fill="006A71"/>
            <w:vAlign w:val="bottom"/>
          </w:tcPr>
          <w:p w14:paraId="187B6F9F" w14:textId="77777777" w:rsidR="0054737D" w:rsidRPr="00411832" w:rsidRDefault="0054737D" w:rsidP="0054737D">
            <w:pPr>
              <w:pStyle w:val="IRPsanstext"/>
              <w:jc w:val="center"/>
              <w:rPr>
                <w:rFonts w:eastAsia="Times New Roman" w:cs="Arial"/>
                <w:b/>
                <w:bCs/>
                <w:color w:val="FFFFFF"/>
              </w:rPr>
            </w:pPr>
            <w:r w:rsidRPr="00411832">
              <w:rPr>
                <w:rFonts w:eastAsia="Times New Roman" w:cs="Arial"/>
                <w:b/>
                <w:bCs/>
                <w:color w:val="FFFFFF"/>
              </w:rPr>
              <w:t xml:space="preserve">2021 </w:t>
            </w:r>
            <w:proofErr w:type="spellStart"/>
            <w:r w:rsidRPr="00411832">
              <w:rPr>
                <w:rFonts w:eastAsia="Times New Roman" w:cs="Arial"/>
                <w:b/>
                <w:bCs/>
                <w:color w:val="FFFFFF"/>
              </w:rPr>
              <w:t>Peaker</w:t>
            </w:r>
            <w:proofErr w:type="spellEnd"/>
            <w:r w:rsidRPr="00411832">
              <w:rPr>
                <w:rFonts w:eastAsia="Times New Roman" w:cs="Arial"/>
                <w:b/>
                <w:bCs/>
                <w:color w:val="FFFFFF"/>
              </w:rPr>
              <w:t xml:space="preserve"> Capacity Added after DSR (MW)</w:t>
            </w:r>
          </w:p>
        </w:tc>
        <w:tc>
          <w:tcPr>
            <w:tcW w:w="2386" w:type="dxa"/>
            <w:gridSpan w:val="2"/>
            <w:tcBorders>
              <w:top w:val="single" w:sz="4" w:space="0" w:color="auto"/>
              <w:left w:val="single" w:sz="4" w:space="0" w:color="auto"/>
              <w:bottom w:val="single" w:sz="4" w:space="0" w:color="auto"/>
              <w:right w:val="single" w:sz="4" w:space="0" w:color="auto"/>
            </w:tcBorders>
            <w:shd w:val="clear" w:color="auto" w:fill="006A71"/>
            <w:vAlign w:val="bottom"/>
          </w:tcPr>
          <w:p w14:paraId="5275DD02" w14:textId="77777777" w:rsidR="0054737D" w:rsidRPr="00411832" w:rsidRDefault="0054737D" w:rsidP="0054737D">
            <w:pPr>
              <w:pStyle w:val="IRPsanstext"/>
              <w:jc w:val="center"/>
              <w:rPr>
                <w:rFonts w:eastAsia="Times New Roman" w:cs="Arial"/>
                <w:b/>
                <w:bCs/>
                <w:color w:val="FFFFFF"/>
              </w:rPr>
            </w:pPr>
            <w:r w:rsidRPr="00411832">
              <w:rPr>
                <w:rFonts w:eastAsia="Times New Roman" w:cs="Arial"/>
                <w:b/>
                <w:bCs/>
                <w:color w:val="FFFFFF"/>
              </w:rPr>
              <w:t>Customer Value of Lost Load</w:t>
            </w:r>
          </w:p>
        </w:tc>
      </w:tr>
      <w:tr w:rsidR="0054737D" w:rsidRPr="004073CB" w14:paraId="40ADFA41" w14:textId="77777777">
        <w:trPr>
          <w:trHeight w:val="384"/>
        </w:trPr>
        <w:tc>
          <w:tcPr>
            <w:tcW w:w="261" w:type="dxa"/>
            <w:tcBorders>
              <w:left w:val="single" w:sz="4" w:space="0" w:color="auto"/>
              <w:right w:val="single" w:sz="4" w:space="0" w:color="auto"/>
            </w:tcBorders>
            <w:shd w:val="clear" w:color="auto" w:fill="006A71"/>
          </w:tcPr>
          <w:p w14:paraId="0B2C3DBA" w14:textId="77777777" w:rsidR="0054737D" w:rsidRPr="00411832" w:rsidRDefault="0054737D" w:rsidP="0054737D">
            <w:pPr>
              <w:pStyle w:val="IRPsanstext"/>
              <w:rPr>
                <w:rFonts w:eastAsia="Times New Roman" w:cs="Arial"/>
                <w:b/>
                <w:color w:val="FFFFFF"/>
                <w:sz w:val="16"/>
                <w:szCs w:val="16"/>
              </w:rPr>
            </w:pPr>
          </w:p>
        </w:tc>
        <w:tc>
          <w:tcPr>
            <w:tcW w:w="2520" w:type="dxa"/>
            <w:vMerge/>
            <w:tcBorders>
              <w:left w:val="single" w:sz="4" w:space="0" w:color="auto"/>
              <w:bottom w:val="single" w:sz="4" w:space="0" w:color="auto"/>
              <w:right w:val="single" w:sz="4" w:space="0" w:color="auto"/>
            </w:tcBorders>
            <w:shd w:val="clear" w:color="auto" w:fill="006A71"/>
            <w:noWrap/>
            <w:vAlign w:val="center"/>
          </w:tcPr>
          <w:p w14:paraId="3B48BE4B" w14:textId="77777777" w:rsidR="0054737D" w:rsidRPr="00411832" w:rsidRDefault="0054737D" w:rsidP="0054737D">
            <w:pPr>
              <w:pStyle w:val="IRPsanstext"/>
              <w:rPr>
                <w:rFonts w:eastAsia="Times New Roman" w:cs="Arial"/>
                <w:b/>
                <w:color w:val="FFFFFF"/>
              </w:rPr>
            </w:pPr>
          </w:p>
        </w:tc>
        <w:tc>
          <w:tcPr>
            <w:tcW w:w="1080" w:type="dxa"/>
            <w:tcBorders>
              <w:top w:val="single" w:sz="4" w:space="0" w:color="auto"/>
              <w:left w:val="single" w:sz="4" w:space="0" w:color="auto"/>
              <w:right w:val="single" w:sz="4" w:space="0" w:color="auto"/>
            </w:tcBorders>
            <w:shd w:val="clear" w:color="auto" w:fill="006A71"/>
            <w:noWrap/>
            <w:vAlign w:val="bottom"/>
          </w:tcPr>
          <w:p w14:paraId="70B92626" w14:textId="77777777" w:rsidR="0054737D" w:rsidRPr="00411832" w:rsidRDefault="0054737D" w:rsidP="0054737D">
            <w:pPr>
              <w:pStyle w:val="IRPsanstext"/>
              <w:jc w:val="center"/>
              <w:rPr>
                <w:rFonts w:eastAsia="Times New Roman" w:cs="Arial"/>
                <w:b/>
                <w:bCs/>
                <w:color w:val="FFFFFF"/>
              </w:rPr>
            </w:pPr>
            <w:r w:rsidRPr="00411832">
              <w:rPr>
                <w:rFonts w:eastAsia="Times New Roman" w:cs="Arial"/>
                <w:b/>
                <w:bCs/>
                <w:color w:val="FFFFFF"/>
              </w:rPr>
              <w:t>LOLP</w:t>
            </w:r>
          </w:p>
        </w:tc>
        <w:tc>
          <w:tcPr>
            <w:tcW w:w="990" w:type="dxa"/>
            <w:tcBorders>
              <w:top w:val="single" w:sz="4" w:space="0" w:color="auto"/>
              <w:left w:val="single" w:sz="4" w:space="0" w:color="auto"/>
              <w:right w:val="single" w:sz="4" w:space="0" w:color="auto"/>
            </w:tcBorders>
            <w:shd w:val="clear" w:color="auto" w:fill="006A71"/>
            <w:vAlign w:val="bottom"/>
          </w:tcPr>
          <w:p w14:paraId="09F97705" w14:textId="77777777" w:rsidR="0054737D" w:rsidRPr="00411832" w:rsidRDefault="0054737D" w:rsidP="0054737D">
            <w:pPr>
              <w:pStyle w:val="IRPsanstext"/>
              <w:jc w:val="center"/>
              <w:rPr>
                <w:rFonts w:eastAsia="Times New Roman" w:cs="Arial"/>
                <w:b/>
                <w:bCs/>
                <w:color w:val="FFFFFF"/>
              </w:rPr>
            </w:pPr>
            <w:r w:rsidRPr="00411832">
              <w:rPr>
                <w:rFonts w:eastAsia="Times New Roman" w:cs="Arial"/>
                <w:b/>
                <w:bCs/>
                <w:color w:val="FFFFFF"/>
              </w:rPr>
              <w:t>EUE (</w:t>
            </w:r>
            <w:proofErr w:type="spellStart"/>
            <w:r w:rsidRPr="00411832">
              <w:rPr>
                <w:rFonts w:eastAsia="Times New Roman" w:cs="Arial"/>
                <w:b/>
                <w:bCs/>
                <w:color w:val="FFFFFF"/>
              </w:rPr>
              <w:t>MWh</w:t>
            </w:r>
            <w:proofErr w:type="spellEnd"/>
            <w:r w:rsidRPr="00411832">
              <w:rPr>
                <w:rFonts w:eastAsia="Times New Roman" w:cs="Arial"/>
                <w:b/>
                <w:bCs/>
                <w:color w:val="FFFFFF"/>
              </w:rPr>
              <w:t>)</w:t>
            </w:r>
          </w:p>
        </w:tc>
        <w:tc>
          <w:tcPr>
            <w:tcW w:w="1440" w:type="dxa"/>
            <w:vMerge/>
            <w:tcBorders>
              <w:left w:val="single" w:sz="4" w:space="0" w:color="auto"/>
              <w:right w:val="single" w:sz="4" w:space="0" w:color="auto"/>
            </w:tcBorders>
            <w:shd w:val="clear" w:color="auto" w:fill="006A71"/>
            <w:vAlign w:val="bottom"/>
          </w:tcPr>
          <w:p w14:paraId="4257ADFE" w14:textId="77777777" w:rsidR="0054737D" w:rsidRPr="00411832" w:rsidRDefault="0054737D" w:rsidP="0054737D">
            <w:pPr>
              <w:pStyle w:val="IRPsanstext"/>
              <w:jc w:val="center"/>
              <w:rPr>
                <w:rFonts w:eastAsia="Times New Roman" w:cs="Arial"/>
                <w:b/>
                <w:bCs/>
                <w:color w:val="FFFFFF"/>
              </w:rPr>
            </w:pPr>
          </w:p>
        </w:tc>
        <w:tc>
          <w:tcPr>
            <w:tcW w:w="1260" w:type="dxa"/>
            <w:tcBorders>
              <w:top w:val="single" w:sz="4" w:space="0" w:color="auto"/>
              <w:left w:val="single" w:sz="4" w:space="0" w:color="auto"/>
              <w:right w:val="single" w:sz="4" w:space="0" w:color="auto"/>
            </w:tcBorders>
            <w:shd w:val="clear" w:color="auto" w:fill="006A71"/>
            <w:vAlign w:val="bottom"/>
          </w:tcPr>
          <w:p w14:paraId="38BAC570" w14:textId="77777777" w:rsidR="0054737D" w:rsidRPr="00411832" w:rsidRDefault="0054737D" w:rsidP="0054737D">
            <w:pPr>
              <w:pStyle w:val="IRPsanstext"/>
              <w:jc w:val="center"/>
              <w:rPr>
                <w:rFonts w:eastAsia="Times New Roman" w:cs="Arial"/>
                <w:b/>
                <w:bCs/>
                <w:color w:val="FFFFFF"/>
              </w:rPr>
            </w:pPr>
            <w:r w:rsidRPr="00411832">
              <w:rPr>
                <w:rFonts w:eastAsia="Times New Roman" w:cs="Arial"/>
                <w:b/>
                <w:bCs/>
                <w:color w:val="FFFFFF"/>
              </w:rPr>
              <w:t>Expected ($mill/</w:t>
            </w:r>
            <w:proofErr w:type="spellStart"/>
            <w:r w:rsidRPr="00411832">
              <w:rPr>
                <w:rFonts w:eastAsia="Times New Roman" w:cs="Arial"/>
                <w:b/>
                <w:bCs/>
                <w:color w:val="FFFFFF"/>
              </w:rPr>
              <w:t>yr</w:t>
            </w:r>
            <w:proofErr w:type="spellEnd"/>
            <w:r w:rsidRPr="00411832">
              <w:rPr>
                <w:rFonts w:eastAsia="Times New Roman" w:cs="Arial"/>
                <w:b/>
                <w:bCs/>
                <w:color w:val="FFFFFF"/>
              </w:rPr>
              <w:t>)</w:t>
            </w:r>
          </w:p>
        </w:tc>
        <w:tc>
          <w:tcPr>
            <w:tcW w:w="1126" w:type="dxa"/>
            <w:tcBorders>
              <w:top w:val="single" w:sz="4" w:space="0" w:color="auto"/>
              <w:left w:val="single" w:sz="4" w:space="0" w:color="auto"/>
              <w:right w:val="single" w:sz="4" w:space="0" w:color="auto"/>
            </w:tcBorders>
            <w:shd w:val="clear" w:color="auto" w:fill="006A71"/>
            <w:vAlign w:val="bottom"/>
          </w:tcPr>
          <w:p w14:paraId="70351D32" w14:textId="77777777" w:rsidR="0054737D" w:rsidRPr="00411832" w:rsidRDefault="0054737D" w:rsidP="0054737D">
            <w:pPr>
              <w:pStyle w:val="IRPsanstext"/>
              <w:jc w:val="center"/>
              <w:rPr>
                <w:rFonts w:eastAsia="Times New Roman" w:cs="Arial"/>
                <w:b/>
                <w:bCs/>
                <w:color w:val="FFFFFF"/>
              </w:rPr>
            </w:pPr>
            <w:r w:rsidRPr="00411832">
              <w:rPr>
                <w:rFonts w:eastAsia="Times New Roman" w:cs="Arial"/>
                <w:b/>
                <w:bCs/>
                <w:color w:val="FFFFFF"/>
              </w:rPr>
              <w:t>TVar90 ($mill/</w:t>
            </w:r>
            <w:proofErr w:type="spellStart"/>
            <w:r w:rsidRPr="00411832">
              <w:rPr>
                <w:rFonts w:eastAsia="Times New Roman" w:cs="Arial"/>
                <w:b/>
                <w:bCs/>
                <w:color w:val="FFFFFF"/>
              </w:rPr>
              <w:t>yr</w:t>
            </w:r>
            <w:proofErr w:type="spellEnd"/>
            <w:r w:rsidRPr="00411832">
              <w:rPr>
                <w:rFonts w:eastAsia="Times New Roman" w:cs="Arial"/>
                <w:b/>
                <w:bCs/>
                <w:color w:val="FFFFFF"/>
              </w:rPr>
              <w:t>)</w:t>
            </w:r>
          </w:p>
        </w:tc>
      </w:tr>
      <w:tr w:rsidR="0054737D" w:rsidRPr="004073CB" w14:paraId="4FEA8DB0" w14:textId="77777777">
        <w:trPr>
          <w:trHeight w:val="530"/>
        </w:trPr>
        <w:tc>
          <w:tcPr>
            <w:tcW w:w="261" w:type="dxa"/>
            <w:tcBorders>
              <w:top w:val="single" w:sz="4" w:space="0" w:color="auto"/>
              <w:left w:val="single" w:sz="4" w:space="0" w:color="auto"/>
              <w:bottom w:val="single" w:sz="4" w:space="0" w:color="auto"/>
              <w:right w:val="nil"/>
            </w:tcBorders>
          </w:tcPr>
          <w:p w14:paraId="6D666973"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1</w:t>
            </w:r>
          </w:p>
        </w:tc>
        <w:tc>
          <w:tcPr>
            <w:tcW w:w="2520" w:type="dxa"/>
            <w:tcBorders>
              <w:top w:val="single" w:sz="4" w:space="0" w:color="auto"/>
              <w:left w:val="nil"/>
              <w:bottom w:val="single" w:sz="4" w:space="0" w:color="auto"/>
              <w:right w:val="nil"/>
            </w:tcBorders>
            <w:shd w:val="clear" w:color="auto" w:fill="auto"/>
            <w:noWrap/>
            <w:vAlign w:val="center"/>
          </w:tcPr>
          <w:p w14:paraId="0CE858D1" w14:textId="77777777" w:rsidR="0054737D" w:rsidRPr="00411832" w:rsidRDefault="0054737D" w:rsidP="0054737D">
            <w:pPr>
              <w:pStyle w:val="IRPsanstext"/>
              <w:spacing w:line="288" w:lineRule="auto"/>
              <w:rPr>
                <w:rFonts w:eastAsia="Times New Roman" w:cs="Arial"/>
                <w:bCs/>
                <w:color w:val="000000"/>
              </w:rPr>
            </w:pPr>
            <w:r w:rsidRPr="00411832">
              <w:rPr>
                <w:rFonts w:eastAsia="Times New Roman" w:cs="Arial"/>
                <w:bCs/>
                <w:color w:val="000000"/>
              </w:rPr>
              <w:t xml:space="preserve">2013 Planning Standard </w:t>
            </w:r>
          </w:p>
          <w:p w14:paraId="48A3FD1A" w14:textId="77777777" w:rsidR="0054737D" w:rsidRPr="00411832" w:rsidRDefault="0054737D" w:rsidP="0054737D">
            <w:pPr>
              <w:pStyle w:val="IRPsanstext"/>
              <w:spacing w:line="288" w:lineRule="auto"/>
              <w:rPr>
                <w:rFonts w:eastAsia="Times New Roman" w:cs="Arial"/>
                <w:bCs/>
                <w:color w:val="000000"/>
              </w:rPr>
            </w:pPr>
            <w:proofErr w:type="gramStart"/>
            <w:r w:rsidRPr="00411832">
              <w:rPr>
                <w:rFonts w:eastAsia="Times New Roman" w:cs="Arial"/>
                <w:bCs/>
                <w:color w:val="000000"/>
              </w:rPr>
              <w:t>with</w:t>
            </w:r>
            <w:proofErr w:type="gramEnd"/>
            <w:r w:rsidRPr="00411832">
              <w:rPr>
                <w:rFonts w:eastAsia="Times New Roman" w:cs="Arial"/>
                <w:bCs/>
                <w:color w:val="000000"/>
              </w:rPr>
              <w:t xml:space="preserve"> No Market Risk</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1AA9B"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A6AE62F"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26</w:t>
            </w:r>
          </w:p>
        </w:tc>
        <w:tc>
          <w:tcPr>
            <w:tcW w:w="1440" w:type="dxa"/>
            <w:tcBorders>
              <w:top w:val="single" w:sz="4" w:space="0" w:color="auto"/>
              <w:left w:val="single" w:sz="4" w:space="0" w:color="auto"/>
              <w:bottom w:val="single" w:sz="4" w:space="0" w:color="auto"/>
              <w:right w:val="single" w:sz="4" w:space="0" w:color="auto"/>
            </w:tcBorders>
            <w:vAlign w:val="center"/>
          </w:tcPr>
          <w:p w14:paraId="020D65CE"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(150)</w:t>
            </w:r>
          </w:p>
        </w:tc>
        <w:tc>
          <w:tcPr>
            <w:tcW w:w="1260" w:type="dxa"/>
            <w:tcBorders>
              <w:top w:val="single" w:sz="4" w:space="0" w:color="auto"/>
              <w:left w:val="single" w:sz="4" w:space="0" w:color="auto"/>
              <w:bottom w:val="single" w:sz="4" w:space="0" w:color="auto"/>
              <w:right w:val="single" w:sz="4" w:space="0" w:color="auto"/>
            </w:tcBorders>
            <w:vAlign w:val="center"/>
          </w:tcPr>
          <w:p w14:paraId="57074350"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86*</w:t>
            </w:r>
          </w:p>
        </w:tc>
        <w:tc>
          <w:tcPr>
            <w:tcW w:w="1126" w:type="dxa"/>
            <w:tcBorders>
              <w:top w:val="single" w:sz="4" w:space="0" w:color="auto"/>
              <w:left w:val="single" w:sz="4" w:space="0" w:color="auto"/>
              <w:bottom w:val="single" w:sz="4" w:space="0" w:color="auto"/>
              <w:right w:val="single" w:sz="4" w:space="0" w:color="auto"/>
            </w:tcBorders>
            <w:vAlign w:val="center"/>
          </w:tcPr>
          <w:p w14:paraId="4CAE25BC"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858*</w:t>
            </w:r>
          </w:p>
        </w:tc>
      </w:tr>
      <w:tr w:rsidR="0054737D" w:rsidRPr="004073CB" w14:paraId="4DB14B2D" w14:textId="77777777">
        <w:trPr>
          <w:trHeight w:val="521"/>
        </w:trPr>
        <w:tc>
          <w:tcPr>
            <w:tcW w:w="261" w:type="dxa"/>
            <w:tcBorders>
              <w:top w:val="single" w:sz="4" w:space="0" w:color="auto"/>
              <w:left w:val="single" w:sz="4" w:space="0" w:color="auto"/>
              <w:bottom w:val="single" w:sz="4" w:space="0" w:color="auto"/>
              <w:right w:val="nil"/>
            </w:tcBorders>
          </w:tcPr>
          <w:p w14:paraId="744A8475"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2</w:t>
            </w:r>
          </w:p>
        </w:tc>
        <w:tc>
          <w:tcPr>
            <w:tcW w:w="2520" w:type="dxa"/>
            <w:tcBorders>
              <w:top w:val="single" w:sz="4" w:space="0" w:color="auto"/>
              <w:left w:val="nil"/>
              <w:bottom w:val="single" w:sz="4" w:space="0" w:color="auto"/>
              <w:right w:val="nil"/>
            </w:tcBorders>
            <w:shd w:val="clear" w:color="auto" w:fill="auto"/>
            <w:noWrap/>
            <w:vAlign w:val="center"/>
          </w:tcPr>
          <w:p w14:paraId="69C86F71" w14:textId="77777777" w:rsidR="0054737D" w:rsidRPr="00411832" w:rsidRDefault="0054737D" w:rsidP="0054737D">
            <w:pPr>
              <w:pStyle w:val="IRPsanstext"/>
              <w:spacing w:line="288" w:lineRule="auto"/>
              <w:rPr>
                <w:rFonts w:eastAsia="Times New Roman" w:cs="Arial"/>
                <w:bCs/>
                <w:color w:val="000000"/>
              </w:rPr>
            </w:pPr>
            <w:r w:rsidRPr="00411832">
              <w:rPr>
                <w:rFonts w:eastAsia="Times New Roman" w:cs="Arial"/>
                <w:bCs/>
                <w:color w:val="000000"/>
              </w:rPr>
              <w:t xml:space="preserve">2013 Planning Standard </w:t>
            </w:r>
          </w:p>
          <w:p w14:paraId="49683477" w14:textId="77777777" w:rsidR="0054737D" w:rsidRPr="00411832" w:rsidRDefault="0054737D" w:rsidP="0054737D">
            <w:pPr>
              <w:pStyle w:val="IRPsanstext"/>
              <w:spacing w:line="288" w:lineRule="auto"/>
              <w:rPr>
                <w:rFonts w:eastAsia="Times New Roman" w:cs="Arial"/>
                <w:bCs/>
                <w:color w:val="000000"/>
              </w:rPr>
            </w:pPr>
            <w:proofErr w:type="gramStart"/>
            <w:r w:rsidRPr="00411832">
              <w:rPr>
                <w:rFonts w:eastAsia="Times New Roman" w:cs="Arial"/>
                <w:bCs/>
                <w:color w:val="000000"/>
              </w:rPr>
              <w:t>with</w:t>
            </w:r>
            <w:proofErr w:type="gramEnd"/>
            <w:r w:rsidRPr="00411832">
              <w:rPr>
                <w:rFonts w:eastAsia="Times New Roman" w:cs="Arial"/>
                <w:bCs/>
                <w:color w:val="000000"/>
              </w:rPr>
              <w:t xml:space="preserve"> Market Risk</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B1A115"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27D7306"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50</w:t>
            </w:r>
          </w:p>
        </w:tc>
        <w:tc>
          <w:tcPr>
            <w:tcW w:w="1440" w:type="dxa"/>
            <w:tcBorders>
              <w:top w:val="single" w:sz="4" w:space="0" w:color="auto"/>
              <w:left w:val="single" w:sz="4" w:space="0" w:color="auto"/>
              <w:bottom w:val="single" w:sz="4" w:space="0" w:color="auto"/>
              <w:right w:val="single" w:sz="4" w:space="0" w:color="auto"/>
            </w:tcBorders>
            <w:vAlign w:val="center"/>
          </w:tcPr>
          <w:p w14:paraId="01B2A991"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(117)</w:t>
            </w:r>
          </w:p>
        </w:tc>
        <w:tc>
          <w:tcPr>
            <w:tcW w:w="1260" w:type="dxa"/>
            <w:tcBorders>
              <w:top w:val="single" w:sz="4" w:space="0" w:color="auto"/>
              <w:left w:val="single" w:sz="4" w:space="0" w:color="auto"/>
              <w:bottom w:val="single" w:sz="4" w:space="0" w:color="auto"/>
              <w:right w:val="single" w:sz="4" w:space="0" w:color="auto"/>
            </w:tcBorders>
            <w:vAlign w:val="center"/>
          </w:tcPr>
          <w:p w14:paraId="3E1FC0DF"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169</w:t>
            </w:r>
          </w:p>
        </w:tc>
        <w:tc>
          <w:tcPr>
            <w:tcW w:w="1126" w:type="dxa"/>
            <w:tcBorders>
              <w:top w:val="single" w:sz="4" w:space="0" w:color="auto"/>
              <w:left w:val="single" w:sz="4" w:space="0" w:color="auto"/>
              <w:bottom w:val="single" w:sz="4" w:space="0" w:color="auto"/>
              <w:right w:val="single" w:sz="4" w:space="0" w:color="auto"/>
            </w:tcBorders>
            <w:vAlign w:val="center"/>
          </w:tcPr>
          <w:p w14:paraId="6336F065"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1,691</w:t>
            </w:r>
          </w:p>
        </w:tc>
      </w:tr>
      <w:tr w:rsidR="0054737D" w:rsidRPr="004073CB" w14:paraId="70847DF5" w14:textId="77777777">
        <w:trPr>
          <w:trHeight w:val="539"/>
        </w:trPr>
        <w:tc>
          <w:tcPr>
            <w:tcW w:w="261" w:type="dxa"/>
            <w:tcBorders>
              <w:top w:val="single" w:sz="4" w:space="0" w:color="auto"/>
              <w:left w:val="single" w:sz="4" w:space="0" w:color="auto"/>
              <w:bottom w:val="single" w:sz="4" w:space="0" w:color="auto"/>
              <w:right w:val="nil"/>
            </w:tcBorders>
          </w:tcPr>
          <w:p w14:paraId="259DDA30"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3</w:t>
            </w:r>
          </w:p>
        </w:tc>
        <w:tc>
          <w:tcPr>
            <w:tcW w:w="2520" w:type="dxa"/>
            <w:tcBorders>
              <w:top w:val="single" w:sz="4" w:space="0" w:color="auto"/>
              <w:left w:val="nil"/>
              <w:bottom w:val="single" w:sz="4" w:space="0" w:color="auto"/>
              <w:right w:val="nil"/>
            </w:tcBorders>
            <w:shd w:val="clear" w:color="auto" w:fill="auto"/>
            <w:noWrap/>
            <w:vAlign w:val="center"/>
          </w:tcPr>
          <w:p w14:paraId="33C818F0" w14:textId="77777777" w:rsidR="0054737D" w:rsidRPr="00411832" w:rsidRDefault="0054737D" w:rsidP="0054737D">
            <w:pPr>
              <w:pStyle w:val="IRPsanstext"/>
              <w:spacing w:line="288" w:lineRule="auto"/>
              <w:rPr>
                <w:rFonts w:eastAsia="Times New Roman" w:cs="Arial"/>
                <w:bCs/>
                <w:color w:val="000000"/>
              </w:rPr>
            </w:pPr>
            <w:r w:rsidRPr="00411832">
              <w:rPr>
                <w:rFonts w:eastAsia="Times New Roman" w:cs="Arial"/>
                <w:bCs/>
                <w:color w:val="000000"/>
              </w:rPr>
              <w:t xml:space="preserve">2015 Optimal Planning Standard </w:t>
            </w:r>
          </w:p>
          <w:p w14:paraId="1E717D31" w14:textId="77777777" w:rsidR="0054737D" w:rsidRPr="00411832" w:rsidRDefault="0054737D" w:rsidP="0054737D">
            <w:pPr>
              <w:pStyle w:val="IRPsanstext"/>
              <w:spacing w:line="288" w:lineRule="auto"/>
              <w:rPr>
                <w:rFonts w:eastAsia="Times New Roman" w:cs="Arial"/>
                <w:bCs/>
                <w:color w:val="000000"/>
              </w:rPr>
            </w:pPr>
            <w:r w:rsidRPr="00411832">
              <w:rPr>
                <w:rFonts w:eastAsia="Times New Roman" w:cs="Arial"/>
                <w:bCs/>
                <w:color w:val="000000"/>
              </w:rPr>
              <w:t>(Includes Market Risk)</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C77A7"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EE6F3A5"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10.9</w:t>
            </w:r>
          </w:p>
        </w:tc>
        <w:tc>
          <w:tcPr>
            <w:tcW w:w="1440" w:type="dxa"/>
            <w:tcBorders>
              <w:top w:val="single" w:sz="4" w:space="0" w:color="auto"/>
              <w:left w:val="single" w:sz="4" w:space="0" w:color="auto"/>
              <w:bottom w:val="single" w:sz="4" w:space="0" w:color="auto"/>
              <w:right w:val="single" w:sz="4" w:space="0" w:color="auto"/>
            </w:tcBorders>
            <w:vAlign w:val="center"/>
          </w:tcPr>
          <w:p w14:paraId="5D1DE0B3"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234</w:t>
            </w:r>
          </w:p>
        </w:tc>
        <w:tc>
          <w:tcPr>
            <w:tcW w:w="1260" w:type="dxa"/>
            <w:tcBorders>
              <w:top w:val="single" w:sz="4" w:space="0" w:color="auto"/>
              <w:left w:val="single" w:sz="4" w:space="0" w:color="auto"/>
              <w:bottom w:val="single" w:sz="4" w:space="0" w:color="auto"/>
              <w:right w:val="single" w:sz="4" w:space="0" w:color="auto"/>
            </w:tcBorders>
            <w:vAlign w:val="center"/>
          </w:tcPr>
          <w:p w14:paraId="5E42291D"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39</w:t>
            </w:r>
          </w:p>
        </w:tc>
        <w:tc>
          <w:tcPr>
            <w:tcW w:w="1126" w:type="dxa"/>
            <w:tcBorders>
              <w:top w:val="single" w:sz="4" w:space="0" w:color="auto"/>
              <w:left w:val="single" w:sz="4" w:space="0" w:color="auto"/>
              <w:bottom w:val="single" w:sz="4" w:space="0" w:color="auto"/>
              <w:right w:val="single" w:sz="4" w:space="0" w:color="auto"/>
            </w:tcBorders>
            <w:vAlign w:val="center"/>
          </w:tcPr>
          <w:p w14:paraId="2B302191"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385</w:t>
            </w:r>
          </w:p>
        </w:tc>
      </w:tr>
    </w:tbl>
    <w:p w14:paraId="25E10862" w14:textId="77777777" w:rsidR="0054737D" w:rsidRPr="004073CB" w:rsidRDefault="0054737D" w:rsidP="0054737D">
      <w:pPr>
        <w:pStyle w:val="IRPtitle"/>
        <w:spacing w:before="120" w:line="300" w:lineRule="auto"/>
        <w:ind w:left="0" w:firstLine="0"/>
        <w:rPr>
          <w:rFonts w:cs="Arial"/>
          <w:i/>
          <w:sz w:val="20"/>
          <w:szCs w:val="20"/>
        </w:rPr>
      </w:pPr>
      <w:r w:rsidRPr="004073CB">
        <w:rPr>
          <w:rFonts w:cs="Arial"/>
          <w:i/>
          <w:sz w:val="20"/>
          <w:szCs w:val="20"/>
        </w:rPr>
        <w:t xml:space="preserve">* Inaccurate estimate because it ignores reliability impact of wholesale market risk. </w:t>
      </w:r>
    </w:p>
    <w:p w14:paraId="450B4C20" w14:textId="77777777" w:rsidR="0054737D" w:rsidRPr="003D0963" w:rsidRDefault="0054737D" w:rsidP="0054737D">
      <w:pPr>
        <w:pStyle w:val="IRPtitle"/>
        <w:spacing w:line="300" w:lineRule="auto"/>
        <w:ind w:left="0" w:firstLine="0"/>
        <w:jc w:val="center"/>
        <w:rPr>
          <w:rFonts w:ascii="Arial" w:hAnsi="Arial" w:cs="Arial"/>
          <w:i/>
          <w:sz w:val="20"/>
          <w:szCs w:val="20"/>
        </w:rPr>
      </w:pPr>
    </w:p>
    <w:p w14:paraId="5D744E20" w14:textId="77777777" w:rsidR="0054737D" w:rsidRPr="00812DDD" w:rsidRDefault="0054737D" w:rsidP="0054737D">
      <w:pPr>
        <w:pStyle w:val="IRPtitle"/>
        <w:spacing w:line="300" w:lineRule="auto"/>
        <w:ind w:left="0" w:firstLine="0"/>
        <w:rPr>
          <w:rFonts w:ascii="Arial" w:hAnsi="Arial" w:cs="Arial"/>
          <w:sz w:val="16"/>
          <w:szCs w:val="16"/>
        </w:rPr>
      </w:pPr>
    </w:p>
    <w:p w14:paraId="51E60E0C" w14:textId="77777777" w:rsidR="0054737D" w:rsidRPr="00FF2CB2" w:rsidRDefault="0054737D" w:rsidP="0054737D">
      <w:pPr>
        <w:pStyle w:val="IRPtitle"/>
        <w:spacing w:line="300" w:lineRule="auto"/>
        <w:ind w:left="0" w:firstLine="0"/>
        <w:rPr>
          <w:rFonts w:ascii="Arial" w:hAnsi="Arial" w:cs="Arial"/>
          <w:noProof/>
          <w:color w:val="156570"/>
          <w:sz w:val="32"/>
          <w:szCs w:val="32"/>
          <w:lang w:eastAsia="en-US"/>
        </w:rPr>
      </w:pPr>
      <w:proofErr w:type="gramStart"/>
      <w:r w:rsidRPr="00FF2CB2">
        <w:rPr>
          <w:rFonts w:ascii="Arial" w:hAnsi="Arial" w:cs="Arial"/>
          <w:b/>
          <w:color w:val="156570"/>
          <w:sz w:val="28"/>
          <w:szCs w:val="32"/>
        </w:rPr>
        <w:t>2015 Optimal Planning Standard versus 2013 Planning Standard</w:t>
      </w:r>
      <w:r w:rsidRPr="00FF2CB2">
        <w:rPr>
          <w:rFonts w:ascii="Arial" w:hAnsi="Arial" w:cs="Arial"/>
          <w:noProof/>
          <w:color w:val="156570"/>
          <w:sz w:val="32"/>
          <w:szCs w:val="32"/>
          <w:lang w:eastAsia="en-US"/>
        </w:rPr>
        <w:t>.</w:t>
      </w:r>
      <w:proofErr w:type="gramEnd"/>
      <w:r w:rsidRPr="00FF2CB2">
        <w:rPr>
          <w:rFonts w:ascii="Arial" w:hAnsi="Arial" w:cs="Arial"/>
          <w:noProof/>
          <w:color w:val="156570"/>
          <w:sz w:val="32"/>
          <w:szCs w:val="32"/>
          <w:lang w:eastAsia="en-US"/>
        </w:rPr>
        <w:t xml:space="preserve"> </w:t>
      </w:r>
    </w:p>
    <w:p w14:paraId="01B5B5D5" w14:textId="77777777" w:rsidR="0054737D" w:rsidRDefault="0054737D" w:rsidP="0054737D">
      <w:pPr>
        <w:pStyle w:val="IRPtitle"/>
        <w:spacing w:line="300" w:lineRule="auto"/>
        <w:ind w:left="0" w:firstLine="0"/>
        <w:rPr>
          <w:rFonts w:ascii="Arial" w:hAnsi="Arial" w:cs="Arial"/>
          <w:sz w:val="20"/>
          <w:szCs w:val="20"/>
        </w:rPr>
      </w:pPr>
      <w:r w:rsidRPr="009524AC">
        <w:rPr>
          <w:rFonts w:ascii="Arial" w:hAnsi="Arial" w:cs="Arial"/>
          <w:sz w:val="20"/>
          <w:szCs w:val="20"/>
        </w:rPr>
        <w:t>To understand the impact of the change</w:t>
      </w:r>
      <w:r>
        <w:rPr>
          <w:rFonts w:ascii="Arial" w:hAnsi="Arial" w:cs="Arial"/>
          <w:sz w:val="20"/>
          <w:szCs w:val="20"/>
        </w:rPr>
        <w:t xml:space="preserve"> to PSE’s capacity planning standard in this IRP</w:t>
      </w:r>
      <w:r w:rsidRPr="009524AC">
        <w:rPr>
          <w:rFonts w:ascii="Arial" w:hAnsi="Arial" w:cs="Arial"/>
          <w:sz w:val="20"/>
          <w:szCs w:val="20"/>
        </w:rPr>
        <w:t xml:space="preserve">, it is helpful to understand what the reliability metrics in the table in Figure </w:t>
      </w:r>
      <w:r>
        <w:rPr>
          <w:rFonts w:ascii="Arial" w:hAnsi="Arial" w:cs="Arial"/>
          <w:sz w:val="20"/>
          <w:szCs w:val="20"/>
        </w:rPr>
        <w:t>6</w:t>
      </w:r>
      <w:r w:rsidRPr="009524AC">
        <w:rPr>
          <w:rFonts w:ascii="Arial" w:hAnsi="Arial" w:cs="Arial"/>
          <w:sz w:val="20"/>
          <w:szCs w:val="20"/>
        </w:rPr>
        <w:t>-</w:t>
      </w:r>
      <w:r>
        <w:rPr>
          <w:rFonts w:ascii="Arial" w:hAnsi="Arial" w:cs="Arial"/>
          <w:sz w:val="20"/>
          <w:szCs w:val="20"/>
        </w:rPr>
        <w:t>2</w:t>
      </w:r>
      <w:r w:rsidRPr="009524AC">
        <w:rPr>
          <w:rFonts w:ascii="Arial" w:hAnsi="Arial" w:cs="Arial"/>
          <w:sz w:val="20"/>
          <w:szCs w:val="20"/>
        </w:rPr>
        <w:t xml:space="preserve"> represent. Loss of load probability (LOLP) is a measure of the likelihood of a load curtailment occurring; expected </w:t>
      </w:r>
      <w:proofErr w:type="spellStart"/>
      <w:r w:rsidRPr="009524AC">
        <w:rPr>
          <w:rFonts w:ascii="Arial" w:hAnsi="Arial" w:cs="Arial"/>
          <w:sz w:val="20"/>
          <w:szCs w:val="20"/>
        </w:rPr>
        <w:t>unserved</w:t>
      </w:r>
      <w:proofErr w:type="spellEnd"/>
      <w:r w:rsidRPr="009524AC">
        <w:rPr>
          <w:rFonts w:ascii="Arial" w:hAnsi="Arial" w:cs="Arial"/>
          <w:sz w:val="20"/>
          <w:szCs w:val="20"/>
        </w:rPr>
        <w:t xml:space="preserve"> energy (EUE) is a measure of the magnitude of potential load curtailments, in other words, how much load and how many customers are likely to </w:t>
      </w:r>
      <w:r>
        <w:rPr>
          <w:rFonts w:ascii="Arial" w:hAnsi="Arial" w:cs="Arial"/>
          <w:sz w:val="20"/>
          <w:szCs w:val="20"/>
        </w:rPr>
        <w:t xml:space="preserve">be </w:t>
      </w:r>
      <w:r w:rsidRPr="009524AC">
        <w:rPr>
          <w:rFonts w:ascii="Arial" w:hAnsi="Arial" w:cs="Arial"/>
          <w:sz w:val="20"/>
          <w:szCs w:val="20"/>
        </w:rPr>
        <w:t>impact</w:t>
      </w:r>
      <w:r>
        <w:rPr>
          <w:rFonts w:ascii="Arial" w:hAnsi="Arial" w:cs="Arial"/>
          <w:sz w:val="20"/>
          <w:szCs w:val="20"/>
        </w:rPr>
        <w:t>ed</w:t>
      </w:r>
      <w:r w:rsidRPr="009524AC">
        <w:rPr>
          <w:rFonts w:ascii="Arial" w:hAnsi="Arial" w:cs="Arial"/>
          <w:sz w:val="20"/>
          <w:szCs w:val="20"/>
        </w:rPr>
        <w:t>.</w:t>
      </w:r>
    </w:p>
    <w:p w14:paraId="330D6D31" w14:textId="77777777" w:rsidR="0054737D" w:rsidRDefault="00BA7904" w:rsidP="0054737D">
      <w:pPr>
        <w:pStyle w:val="IRPtitle"/>
        <w:spacing w:line="300" w:lineRule="auto"/>
        <w:ind w:left="0" w:firstLine="0"/>
        <w:rPr>
          <w:rFonts w:ascii="Arial" w:hAnsi="Arial" w:cs="Arial"/>
          <w:sz w:val="20"/>
          <w:szCs w:val="20"/>
        </w:rPr>
      </w:pPr>
      <w:r>
        <w:rPr>
          <w:rFonts w:ascii="Arial" w:hAnsi="Arial" w:cs="Arial"/>
          <w:noProof/>
          <w:sz w:val="32"/>
          <w:szCs w:val="32"/>
          <w:lang w:eastAsia="en-US"/>
        </w:rPr>
        <mc:AlternateContent>
          <mc:Choice Requires="wps">
            <w:drawing>
              <wp:anchor distT="0" distB="0" distL="114300" distR="114300" simplePos="0" relativeHeight="251679232" behindDoc="0" locked="0" layoutInCell="1" allowOverlap="1" wp14:anchorId="5B9B434B" wp14:editId="6E71854F">
                <wp:simplePos x="0" y="0"/>
                <wp:positionH relativeFrom="column">
                  <wp:posOffset>2794635</wp:posOffset>
                </wp:positionH>
                <wp:positionV relativeFrom="paragraph">
                  <wp:posOffset>106045</wp:posOffset>
                </wp:positionV>
                <wp:extent cx="3208020" cy="2171700"/>
                <wp:effectExtent l="0" t="0" r="0" b="0"/>
                <wp:wrapSquare wrapText="bothSides"/>
                <wp:docPr id="205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67100" w14:textId="77777777" w:rsidR="00BC242C" w:rsidRPr="00411832" w:rsidRDefault="00BC242C" w:rsidP="0054737D">
                            <w:pPr>
                              <w:rPr>
                                <w:rFonts w:ascii="Palatino" w:hAnsi="Palatino"/>
                                <w:b/>
                                <w:i/>
                                <w:color w:val="31849B"/>
                              </w:rPr>
                            </w:pPr>
                            <w:r w:rsidRPr="00411832">
                              <w:rPr>
                                <w:rFonts w:ascii="Palatino" w:hAnsi="Palatino"/>
                                <w:b/>
                                <w:i/>
                                <w:color w:val="31849B"/>
                              </w:rPr>
                              <w:t>2015 Optimal Planning Standard</w:t>
                            </w:r>
                          </w:p>
                          <w:p w14:paraId="41B9EBDC" w14:textId="77777777" w:rsidR="00BC242C" w:rsidRPr="00411832" w:rsidRDefault="00BC242C" w:rsidP="0054737D">
                            <w:pPr>
                              <w:rPr>
                                <w:rFonts w:ascii="Palatino" w:hAnsi="Palatino"/>
                                <w:b/>
                                <w:i/>
                                <w:color w:val="31849B"/>
                              </w:rPr>
                            </w:pPr>
                          </w:p>
                          <w:p w14:paraId="149A2F1E" w14:textId="77777777" w:rsidR="00BC242C" w:rsidRPr="00411832" w:rsidRDefault="00BC242C" w:rsidP="00F26524">
                            <w:pPr>
                              <w:pStyle w:val="ListParagraph"/>
                              <w:numPr>
                                <w:ilvl w:val="0"/>
                                <w:numId w:val="37"/>
                              </w:numPr>
                              <w:rPr>
                                <w:rFonts w:ascii="Palatino" w:hAnsi="Palatino"/>
                                <w:color w:val="31849B"/>
                              </w:rPr>
                            </w:pPr>
                            <w:r w:rsidRPr="00411832">
                              <w:rPr>
                                <w:rFonts w:ascii="Palatino" w:hAnsi="Palatino"/>
                                <w:color w:val="31849B"/>
                              </w:rPr>
                              <w:t>Determined by benefit/cost analysis focused on the value of reliability to customers</w:t>
                            </w:r>
                          </w:p>
                          <w:p w14:paraId="7A0E3D5B" w14:textId="77777777" w:rsidR="00BC242C" w:rsidRPr="00411832" w:rsidRDefault="00BC242C" w:rsidP="00F26524">
                            <w:pPr>
                              <w:pStyle w:val="ListParagraph"/>
                              <w:numPr>
                                <w:ilvl w:val="0"/>
                                <w:numId w:val="37"/>
                              </w:numPr>
                              <w:rPr>
                                <w:rFonts w:ascii="Palatino" w:hAnsi="Palatino"/>
                                <w:color w:val="31849B"/>
                              </w:rPr>
                            </w:pPr>
                            <w:r w:rsidRPr="00411832">
                              <w:rPr>
                                <w:rFonts w:ascii="Palatino" w:hAnsi="Palatino"/>
                                <w:color w:val="31849B"/>
                              </w:rPr>
                              <w:t>Includes wholesale market purchase risk</w:t>
                            </w:r>
                          </w:p>
                          <w:p w14:paraId="0F54B363" w14:textId="77777777" w:rsidR="00BC242C" w:rsidRPr="00411832" w:rsidRDefault="00BC242C" w:rsidP="0054737D">
                            <w:pPr>
                              <w:spacing w:line="276" w:lineRule="auto"/>
                              <w:rPr>
                                <w:rFonts w:ascii="Palatino" w:hAnsi="Palatino"/>
                                <w:i/>
                                <w:color w:val="31849B"/>
                              </w:rPr>
                            </w:pPr>
                            <w:r w:rsidRPr="00411832">
                              <w:rPr>
                                <w:rFonts w:ascii="Palatino" w:hAnsi="Palatino"/>
                                <w:b/>
                                <w:i/>
                                <w:color w:val="31849B"/>
                              </w:rPr>
                              <w:t>2013 Planning Standard</w:t>
                            </w:r>
                            <w:r w:rsidRPr="00411832">
                              <w:rPr>
                                <w:rFonts w:ascii="Palatino" w:hAnsi="Palatino"/>
                                <w:i/>
                                <w:color w:val="31849B"/>
                              </w:rPr>
                              <w:t xml:space="preserve"> </w:t>
                            </w:r>
                          </w:p>
                          <w:p w14:paraId="3F72A306" w14:textId="77777777" w:rsidR="00BC242C" w:rsidRPr="00411832" w:rsidRDefault="00BC242C" w:rsidP="0054737D">
                            <w:pPr>
                              <w:spacing w:line="276" w:lineRule="auto"/>
                              <w:rPr>
                                <w:rFonts w:ascii="Palatino" w:hAnsi="Palatino"/>
                                <w:i/>
                                <w:color w:val="31849B"/>
                              </w:rPr>
                            </w:pPr>
                          </w:p>
                          <w:p w14:paraId="2BE4F0A7" w14:textId="77777777" w:rsidR="00BC242C" w:rsidRPr="00411832" w:rsidRDefault="00BC242C" w:rsidP="00F26524">
                            <w:pPr>
                              <w:pStyle w:val="ListParagraph"/>
                              <w:numPr>
                                <w:ilvl w:val="0"/>
                                <w:numId w:val="38"/>
                              </w:numPr>
                              <w:rPr>
                                <w:rFonts w:ascii="Palatino" w:hAnsi="Palatino"/>
                                <w:color w:val="31849B"/>
                              </w:rPr>
                            </w:pPr>
                            <w:r w:rsidRPr="00411832">
                              <w:rPr>
                                <w:rFonts w:ascii="Palatino" w:hAnsi="Palatino"/>
                                <w:color w:val="31849B"/>
                              </w:rPr>
                              <w:t xml:space="preserve">Focused on a 5 percent LOLP target </w:t>
                            </w:r>
                          </w:p>
                          <w:p w14:paraId="08F0F77C" w14:textId="77777777" w:rsidR="00BC242C" w:rsidRPr="00411832" w:rsidRDefault="00BC242C" w:rsidP="00F26524">
                            <w:pPr>
                              <w:pStyle w:val="ListParagraph"/>
                              <w:numPr>
                                <w:ilvl w:val="0"/>
                                <w:numId w:val="38"/>
                              </w:numPr>
                              <w:rPr>
                                <w:rFonts w:ascii="Palatino" w:hAnsi="Palatino"/>
                                <w:color w:val="31849B"/>
                              </w:rPr>
                            </w:pPr>
                            <w:r w:rsidRPr="00411832">
                              <w:rPr>
                                <w:rFonts w:ascii="Palatino" w:hAnsi="Palatino"/>
                                <w:color w:val="31849B"/>
                              </w:rPr>
                              <w:t>Does not incorporate wholesale market purchase risk.</w:t>
                            </w:r>
                          </w:p>
                          <w:p w14:paraId="1F530818" w14:textId="77777777" w:rsidR="00BC242C" w:rsidRPr="00411832" w:rsidRDefault="00BC242C" w:rsidP="0054737D">
                            <w:pPr>
                              <w:spacing w:line="276" w:lineRule="auto"/>
                              <w:rPr>
                                <w:rFonts w:ascii="Palatino" w:hAnsi="Palatino"/>
                                <w:i/>
                                <w:color w:val="31849B"/>
                              </w:rPr>
                            </w:pPr>
                          </w:p>
                          <w:p w14:paraId="4F6A5576" w14:textId="77777777" w:rsidR="00BC242C" w:rsidRDefault="00BC242C" w:rsidP="0054737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220.05pt;margin-top:8.35pt;width:252.6pt;height:17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" filled="f" stroked="f">
                <v:textbox inset=",7.2pt,,7.2pt">
                  <w:txbxContent>
                    <w:p w14:paraId="54D67100" w14:textId="77777777" w:rsidR="00BC242C" w:rsidRPr="00411832" w:rsidRDefault="00BC242C" w:rsidP="0054737D">
                      <w:pPr>
                        <w:rPr>
                          <w:rFonts w:ascii="Palatino" w:hAnsi="Palatino"/>
                          <w:b/>
                          <w:i/>
                          <w:color w:val="31849B"/>
                        </w:rPr>
                      </w:pPr>
                      <w:r w:rsidRPr="00411832">
                        <w:rPr>
                          <w:rFonts w:ascii="Palatino" w:hAnsi="Palatino"/>
                          <w:b/>
                          <w:i/>
                          <w:color w:val="31849B"/>
                        </w:rPr>
                        <w:t>2015 Optimal Planning Standard</w:t>
                      </w:r>
                    </w:p>
                    <w:p w14:paraId="41B9EBDC" w14:textId="77777777" w:rsidR="00BC242C" w:rsidRPr="00411832" w:rsidRDefault="00BC242C" w:rsidP="0054737D">
                      <w:pPr>
                        <w:rPr>
                          <w:rFonts w:ascii="Palatino" w:hAnsi="Palatino"/>
                          <w:b/>
                          <w:i/>
                          <w:color w:val="31849B"/>
                        </w:rPr>
                      </w:pPr>
                    </w:p>
                    <w:p w14:paraId="149A2F1E" w14:textId="77777777" w:rsidR="00BC242C" w:rsidRPr="00411832" w:rsidRDefault="00BC242C" w:rsidP="00F26524">
                      <w:pPr>
                        <w:pStyle w:val="ListParagraph"/>
                        <w:numPr>
                          <w:ilvl w:val="0"/>
                          <w:numId w:val="37"/>
                        </w:numPr>
                        <w:rPr>
                          <w:rFonts w:ascii="Palatino" w:hAnsi="Palatino"/>
                          <w:color w:val="31849B"/>
                        </w:rPr>
                      </w:pPr>
                      <w:r w:rsidRPr="00411832">
                        <w:rPr>
                          <w:rFonts w:ascii="Palatino" w:hAnsi="Palatino"/>
                          <w:color w:val="31849B"/>
                        </w:rPr>
                        <w:t>Determined by benefit/cost analysis focused on the value of reliability to customers</w:t>
                      </w:r>
                    </w:p>
                    <w:p w14:paraId="7A0E3D5B" w14:textId="77777777" w:rsidR="00BC242C" w:rsidRPr="00411832" w:rsidRDefault="00BC242C" w:rsidP="00F26524">
                      <w:pPr>
                        <w:pStyle w:val="ListParagraph"/>
                        <w:numPr>
                          <w:ilvl w:val="0"/>
                          <w:numId w:val="37"/>
                        </w:numPr>
                        <w:rPr>
                          <w:rFonts w:ascii="Palatino" w:hAnsi="Palatino"/>
                          <w:color w:val="31849B"/>
                        </w:rPr>
                      </w:pPr>
                      <w:r w:rsidRPr="00411832">
                        <w:rPr>
                          <w:rFonts w:ascii="Palatino" w:hAnsi="Palatino"/>
                          <w:color w:val="31849B"/>
                        </w:rPr>
                        <w:t>Includes wholesale market purchase risk</w:t>
                      </w:r>
                    </w:p>
                    <w:p w14:paraId="0F54B363" w14:textId="77777777" w:rsidR="00BC242C" w:rsidRPr="00411832" w:rsidRDefault="00BC242C" w:rsidP="0054737D">
                      <w:pPr>
                        <w:spacing w:line="276" w:lineRule="auto"/>
                        <w:rPr>
                          <w:rFonts w:ascii="Palatino" w:hAnsi="Palatino"/>
                          <w:i/>
                          <w:color w:val="31849B"/>
                        </w:rPr>
                      </w:pPr>
                      <w:r w:rsidRPr="00411832">
                        <w:rPr>
                          <w:rFonts w:ascii="Palatino" w:hAnsi="Palatino"/>
                          <w:b/>
                          <w:i/>
                          <w:color w:val="31849B"/>
                        </w:rPr>
                        <w:t>2013 Planning Standard</w:t>
                      </w:r>
                      <w:r w:rsidRPr="00411832">
                        <w:rPr>
                          <w:rFonts w:ascii="Palatino" w:hAnsi="Palatino"/>
                          <w:i/>
                          <w:color w:val="31849B"/>
                        </w:rPr>
                        <w:t xml:space="preserve"> </w:t>
                      </w:r>
                    </w:p>
                    <w:p w14:paraId="3F72A306" w14:textId="77777777" w:rsidR="00BC242C" w:rsidRPr="00411832" w:rsidRDefault="00BC242C" w:rsidP="0054737D">
                      <w:pPr>
                        <w:spacing w:line="276" w:lineRule="auto"/>
                        <w:rPr>
                          <w:rFonts w:ascii="Palatino" w:hAnsi="Palatino"/>
                          <w:i/>
                          <w:color w:val="31849B"/>
                        </w:rPr>
                      </w:pPr>
                    </w:p>
                    <w:p w14:paraId="2BE4F0A7" w14:textId="77777777" w:rsidR="00BC242C" w:rsidRPr="00411832" w:rsidRDefault="00BC242C" w:rsidP="00F26524">
                      <w:pPr>
                        <w:pStyle w:val="ListParagraph"/>
                        <w:numPr>
                          <w:ilvl w:val="0"/>
                          <w:numId w:val="38"/>
                        </w:numPr>
                        <w:rPr>
                          <w:rFonts w:ascii="Palatino" w:hAnsi="Palatino"/>
                          <w:color w:val="31849B"/>
                        </w:rPr>
                      </w:pPr>
                      <w:r w:rsidRPr="00411832">
                        <w:rPr>
                          <w:rFonts w:ascii="Palatino" w:hAnsi="Palatino"/>
                          <w:color w:val="31849B"/>
                        </w:rPr>
                        <w:t xml:space="preserve">Focused on a 5 percent LOLP target </w:t>
                      </w:r>
                    </w:p>
                    <w:p w14:paraId="08F0F77C" w14:textId="77777777" w:rsidR="00BC242C" w:rsidRPr="00411832" w:rsidRDefault="00BC242C" w:rsidP="00F26524">
                      <w:pPr>
                        <w:pStyle w:val="ListParagraph"/>
                        <w:numPr>
                          <w:ilvl w:val="0"/>
                          <w:numId w:val="38"/>
                        </w:numPr>
                        <w:rPr>
                          <w:rFonts w:ascii="Palatino" w:hAnsi="Palatino"/>
                          <w:color w:val="31849B"/>
                        </w:rPr>
                      </w:pPr>
                      <w:r w:rsidRPr="00411832">
                        <w:rPr>
                          <w:rFonts w:ascii="Palatino" w:hAnsi="Palatino"/>
                          <w:color w:val="31849B"/>
                        </w:rPr>
                        <w:t>Does not incorporate wholesale market purchase risk.</w:t>
                      </w:r>
                    </w:p>
                    <w:p w14:paraId="1F530818" w14:textId="77777777" w:rsidR="00BC242C" w:rsidRPr="00411832" w:rsidRDefault="00BC242C" w:rsidP="0054737D">
                      <w:pPr>
                        <w:spacing w:line="276" w:lineRule="auto"/>
                        <w:rPr>
                          <w:rFonts w:ascii="Palatino" w:hAnsi="Palatino"/>
                          <w:i/>
                          <w:color w:val="31849B"/>
                        </w:rPr>
                      </w:pPr>
                    </w:p>
                    <w:p w14:paraId="4F6A5576" w14:textId="77777777" w:rsidR="00BC242C" w:rsidRDefault="00BC242C" w:rsidP="0054737D"/>
                  </w:txbxContent>
                </v:textbox>
                <w10:wrap type="square"/>
              </v:shape>
            </w:pict>
          </mc:Fallback>
        </mc:AlternateContent>
      </w:r>
      <w:r w:rsidR="0054737D" w:rsidRPr="009524AC">
        <w:rPr>
          <w:rFonts w:ascii="Arial" w:hAnsi="Arial" w:cs="Arial"/>
          <w:sz w:val="20"/>
          <w:szCs w:val="20"/>
        </w:rPr>
        <w:t xml:space="preserve">  </w:t>
      </w:r>
    </w:p>
    <w:p w14:paraId="2522CF37" w14:textId="77777777" w:rsidR="0054737D" w:rsidRPr="009524AC" w:rsidRDefault="0054737D" w:rsidP="0054737D">
      <w:pPr>
        <w:pStyle w:val="IRPtitle"/>
        <w:spacing w:line="300" w:lineRule="auto"/>
        <w:ind w:left="0" w:firstLine="0"/>
        <w:rPr>
          <w:rFonts w:ascii="Arial" w:hAnsi="Arial" w:cs="Arial"/>
          <w:sz w:val="20"/>
          <w:szCs w:val="20"/>
        </w:rPr>
      </w:pPr>
      <w:r>
        <w:rPr>
          <w:rFonts w:ascii="Arial" w:hAnsi="Arial" w:cs="Arial"/>
          <w:sz w:val="20"/>
          <w:szCs w:val="20"/>
        </w:rPr>
        <w:t>The 2013 Planning S</w:t>
      </w:r>
      <w:r w:rsidRPr="009524AC">
        <w:rPr>
          <w:rFonts w:ascii="Arial" w:hAnsi="Arial" w:cs="Arial"/>
          <w:sz w:val="20"/>
          <w:szCs w:val="20"/>
        </w:rPr>
        <w:t>tandard called for maintaining enough peak capacity to achieve a 5 percent loss of load probability (LOLP). This is a reasonable, industry-standard appro</w:t>
      </w:r>
      <w:r>
        <w:rPr>
          <w:rFonts w:ascii="Arial" w:hAnsi="Arial" w:cs="Arial"/>
          <w:sz w:val="20"/>
          <w:szCs w:val="20"/>
        </w:rPr>
        <w:t>ach, adopted by the Northwest Power and Conservation Council (NPCC) for it</w:t>
      </w:r>
      <w:r w:rsidRPr="009524AC">
        <w:rPr>
          <w:rFonts w:ascii="Arial" w:hAnsi="Arial" w:cs="Arial"/>
          <w:sz w:val="20"/>
          <w:szCs w:val="20"/>
        </w:rPr>
        <w:t>s regional resource adequacy assessment and adopted by PSE in 2009, but it is not tied to the value of reliabili</w:t>
      </w:r>
      <w:r>
        <w:rPr>
          <w:rFonts w:ascii="Arial" w:hAnsi="Arial" w:cs="Arial"/>
          <w:sz w:val="20"/>
          <w:szCs w:val="20"/>
        </w:rPr>
        <w:t>ty to customers. That is, the 5 percent</w:t>
      </w:r>
      <w:r w:rsidRPr="009524AC">
        <w:rPr>
          <w:rFonts w:ascii="Arial" w:hAnsi="Arial" w:cs="Arial"/>
          <w:sz w:val="20"/>
          <w:szCs w:val="20"/>
        </w:rPr>
        <w:t xml:space="preserve"> LOLP does not explicitly consider the value of reliability to customers or the cos</w:t>
      </w:r>
      <w:r>
        <w:rPr>
          <w:rFonts w:ascii="Arial" w:hAnsi="Arial" w:cs="Arial"/>
          <w:sz w:val="20"/>
          <w:szCs w:val="20"/>
        </w:rPr>
        <w:t xml:space="preserve">t to provide that reliability. </w:t>
      </w:r>
      <w:r w:rsidRPr="009524AC">
        <w:rPr>
          <w:rFonts w:ascii="Arial" w:hAnsi="Arial" w:cs="Arial"/>
          <w:sz w:val="20"/>
          <w:szCs w:val="20"/>
        </w:rPr>
        <w:t>This IRP focuses on those tradeoffs, so that we can be sure we are providing the optimal balance of c</w:t>
      </w:r>
      <w:r>
        <w:rPr>
          <w:rFonts w:ascii="Arial" w:hAnsi="Arial" w:cs="Arial"/>
          <w:sz w:val="20"/>
          <w:szCs w:val="20"/>
        </w:rPr>
        <w:t>ost and risk to our customers. In addition, the 2013 Planning Standard did not incorporate PSE’s wholesale market purchase risk.</w:t>
      </w:r>
      <w:r w:rsidRPr="000A6E07">
        <w:rPr>
          <w:rFonts w:ascii="Arial" w:hAnsi="Arial" w:cs="Arial"/>
          <w:noProof/>
          <w:sz w:val="32"/>
          <w:szCs w:val="32"/>
          <w:lang w:eastAsia="en-US"/>
        </w:rPr>
        <w:t xml:space="preserve"> </w:t>
      </w:r>
    </w:p>
    <w:p w14:paraId="4374365D" w14:textId="77777777" w:rsidR="0054737D" w:rsidRPr="009524AC" w:rsidRDefault="0054737D" w:rsidP="0054737D">
      <w:pPr>
        <w:pStyle w:val="IRPtitle"/>
        <w:spacing w:line="300" w:lineRule="auto"/>
        <w:ind w:left="0" w:firstLine="0"/>
        <w:rPr>
          <w:rFonts w:ascii="Arial" w:hAnsi="Arial" w:cs="Arial"/>
          <w:sz w:val="20"/>
          <w:szCs w:val="20"/>
        </w:rPr>
      </w:pPr>
    </w:p>
    <w:p w14:paraId="5C566F44" w14:textId="77777777" w:rsidR="00ED4391" w:rsidRDefault="00ED4391">
      <w:pPr>
        <w:rPr>
          <w:rStyle w:val="IRPsanstextChar1"/>
        </w:rPr>
      </w:pPr>
      <w:r>
        <w:rPr>
          <w:rStyle w:val="IRPsanstextChar1"/>
        </w:rPr>
        <w:br w:type="page"/>
      </w:r>
    </w:p>
    <w:p w14:paraId="7AF7699A" w14:textId="77777777" w:rsidR="0054737D" w:rsidRDefault="0054737D" w:rsidP="0054737D">
      <w:pPr>
        <w:pStyle w:val="IRPtitle"/>
        <w:spacing w:line="300" w:lineRule="auto"/>
        <w:ind w:left="0" w:firstLine="0"/>
        <w:rPr>
          <w:rFonts w:ascii="Arial" w:hAnsi="Arial" w:cs="Arial"/>
          <w:sz w:val="20"/>
          <w:szCs w:val="20"/>
        </w:rPr>
      </w:pPr>
      <w:r w:rsidRPr="003B362F">
        <w:rPr>
          <w:rStyle w:val="IRPsanstextChar1"/>
        </w:rPr>
        <w:lastRenderedPageBreak/>
        <w:t xml:space="preserve">In line one of Figure </w:t>
      </w:r>
      <w:r w:rsidR="00855BD7">
        <w:rPr>
          <w:rStyle w:val="IRPsanstextChar1"/>
        </w:rPr>
        <w:t>6-2</w:t>
      </w:r>
      <w:r w:rsidRPr="003B362F">
        <w:rPr>
          <w:rStyle w:val="IRPsanstextChar1"/>
        </w:rPr>
        <w:t xml:space="preserve">, the 2013 Planning Standard – which is focused on a 5 percent LOLP and ignores market risk – indicates that PSE would be surplus 150 MW in 2021. In line two, when the 2013 standard </w:t>
      </w:r>
      <w:proofErr w:type="gramStart"/>
      <w:r w:rsidRPr="003B362F">
        <w:rPr>
          <w:rStyle w:val="IRPsanstextChar1"/>
        </w:rPr>
        <w:t>includes</w:t>
      </w:r>
      <w:proofErr w:type="gramEnd"/>
      <w:r w:rsidRPr="003B362F">
        <w:rPr>
          <w:rStyle w:val="IRPsanstextChar1"/>
        </w:rPr>
        <w:t xml:space="preserve"> market risk, the surplus diminishes to 117 MW. From this perspective, recognizing market risk would require PSE to add 33 MW to maintain the 5 percent LOLP. However, the real impact of ignoring risk can be seen in the EUE and customer value of lost load sections on these two lines. Recognizing market risk nearly doubles EUE, the customer value of lost load and risk. EUE increases from 26 </w:t>
      </w:r>
      <w:proofErr w:type="spellStart"/>
      <w:r w:rsidRPr="003B362F">
        <w:rPr>
          <w:rStyle w:val="IRPsanstextChar1"/>
        </w:rPr>
        <w:t>MWh</w:t>
      </w:r>
      <w:proofErr w:type="spellEnd"/>
      <w:r w:rsidRPr="003B362F">
        <w:rPr>
          <w:rStyle w:val="IRPsanstextChar1"/>
        </w:rPr>
        <w:t xml:space="preserve"> to 50 </w:t>
      </w:r>
      <w:proofErr w:type="spellStart"/>
      <w:r w:rsidRPr="003B362F">
        <w:rPr>
          <w:rStyle w:val="IRPsanstextChar1"/>
        </w:rPr>
        <w:t>MWh</w:t>
      </w:r>
      <w:proofErr w:type="spellEnd"/>
      <w:r w:rsidRPr="003B362F">
        <w:rPr>
          <w:rStyle w:val="IRPsanstextChar1"/>
        </w:rPr>
        <w:t>; the expected customer value of lost load increases from $86 million to $169 million; and risk increases from $858 million to $1,691 million.</w:t>
      </w:r>
      <w:r>
        <w:t xml:space="preserve"> </w:t>
      </w:r>
    </w:p>
    <w:p w14:paraId="009B3A5A" w14:textId="77777777" w:rsidR="0054737D" w:rsidRPr="009524AC" w:rsidRDefault="0054737D" w:rsidP="0054737D">
      <w:pPr>
        <w:pStyle w:val="IRPtitle"/>
        <w:spacing w:line="300" w:lineRule="auto"/>
        <w:ind w:left="0" w:firstLine="0"/>
        <w:rPr>
          <w:rFonts w:ascii="Arial" w:hAnsi="Arial" w:cs="Arial"/>
          <w:sz w:val="20"/>
          <w:szCs w:val="20"/>
        </w:rPr>
      </w:pPr>
    </w:p>
    <w:p w14:paraId="5E1A367B" w14:textId="77777777" w:rsidR="0054737D" w:rsidRPr="009524AC" w:rsidRDefault="0054737D" w:rsidP="0054737D">
      <w:pPr>
        <w:pStyle w:val="IRPtitle"/>
        <w:spacing w:line="300" w:lineRule="auto"/>
        <w:ind w:left="0" w:firstLine="0"/>
        <w:rPr>
          <w:rFonts w:ascii="Arial" w:hAnsi="Arial" w:cs="Arial"/>
          <w:sz w:val="20"/>
          <w:szCs w:val="20"/>
        </w:rPr>
      </w:pPr>
      <w:r w:rsidRPr="009524AC">
        <w:rPr>
          <w:rFonts w:ascii="Arial" w:hAnsi="Arial" w:cs="Arial"/>
          <w:sz w:val="20"/>
          <w:szCs w:val="20"/>
        </w:rPr>
        <w:t xml:space="preserve">These results highlight the need for a new planning standard. Focusing only on LOLP misses the fact that customer curtailment </w:t>
      </w:r>
      <w:r>
        <w:rPr>
          <w:rFonts w:ascii="Arial" w:hAnsi="Arial" w:cs="Arial"/>
          <w:sz w:val="20"/>
          <w:szCs w:val="20"/>
        </w:rPr>
        <w:t>volumes would be almost twice as high.</w:t>
      </w:r>
      <w:r w:rsidRPr="009524AC">
        <w:rPr>
          <w:rFonts w:ascii="Arial" w:hAnsi="Arial" w:cs="Arial"/>
          <w:sz w:val="20"/>
          <w:szCs w:val="20"/>
        </w:rPr>
        <w:t xml:space="preserve"> </w:t>
      </w:r>
      <w:r>
        <w:rPr>
          <w:rFonts w:ascii="Arial" w:hAnsi="Arial" w:cs="Arial"/>
          <w:sz w:val="20"/>
          <w:szCs w:val="20"/>
        </w:rPr>
        <w:t xml:space="preserve">In addition, achieving a specified LOLP target (by adding new generating capacity) does not ensure that the additional cost of increasing system reliability is balanced against the additional value gained by customers. </w:t>
      </w:r>
      <w:r w:rsidRPr="009524AC">
        <w:rPr>
          <w:rFonts w:ascii="Arial" w:hAnsi="Arial" w:cs="Arial"/>
          <w:sz w:val="20"/>
          <w:szCs w:val="20"/>
        </w:rPr>
        <w:t xml:space="preserve">Clearly, a more comprehensive approach to defining the planning standard is needed. </w:t>
      </w:r>
    </w:p>
    <w:p w14:paraId="2EA8F7D5" w14:textId="77777777" w:rsidR="0054737D" w:rsidRPr="009524AC" w:rsidRDefault="0054737D" w:rsidP="0054737D">
      <w:pPr>
        <w:pStyle w:val="IRPtitle"/>
        <w:spacing w:line="300" w:lineRule="auto"/>
        <w:ind w:left="0" w:firstLine="0"/>
        <w:rPr>
          <w:rFonts w:ascii="Arial" w:hAnsi="Arial" w:cs="Arial"/>
          <w:sz w:val="20"/>
          <w:szCs w:val="20"/>
        </w:rPr>
      </w:pPr>
    </w:p>
    <w:p w14:paraId="233881F2" w14:textId="77777777" w:rsidR="0054737D" w:rsidRPr="009524AC" w:rsidRDefault="0054737D" w:rsidP="0054737D">
      <w:pPr>
        <w:pStyle w:val="IRPtitle"/>
        <w:spacing w:line="300" w:lineRule="auto"/>
        <w:ind w:left="0" w:firstLine="0"/>
        <w:rPr>
          <w:rFonts w:ascii="Arial" w:hAnsi="Arial" w:cs="Arial"/>
          <w:sz w:val="20"/>
          <w:szCs w:val="20"/>
        </w:rPr>
      </w:pPr>
      <w:r>
        <w:rPr>
          <w:rFonts w:ascii="Arial" w:hAnsi="Arial" w:cs="Arial"/>
          <w:sz w:val="20"/>
          <w:szCs w:val="20"/>
        </w:rPr>
        <w:t>In</w:t>
      </w:r>
      <w:r w:rsidRPr="009524AC">
        <w:rPr>
          <w:rFonts w:ascii="Arial" w:hAnsi="Arial" w:cs="Arial"/>
          <w:sz w:val="20"/>
          <w:szCs w:val="20"/>
        </w:rPr>
        <w:t xml:space="preserve"> develop</w:t>
      </w:r>
      <w:r>
        <w:rPr>
          <w:rFonts w:ascii="Arial" w:hAnsi="Arial" w:cs="Arial"/>
          <w:sz w:val="20"/>
          <w:szCs w:val="20"/>
        </w:rPr>
        <w:t>ing</w:t>
      </w:r>
      <w:r w:rsidRPr="009524AC">
        <w:rPr>
          <w:rFonts w:ascii="Arial" w:hAnsi="Arial" w:cs="Arial"/>
          <w:sz w:val="20"/>
          <w:szCs w:val="20"/>
        </w:rPr>
        <w:t xml:space="preserve"> the 2015 Optimal Planning Standard, we focused on the benefits and costs to customers of improving reliability. Translating </w:t>
      </w:r>
      <w:proofErr w:type="spellStart"/>
      <w:r w:rsidRPr="009524AC">
        <w:rPr>
          <w:rFonts w:ascii="Arial" w:hAnsi="Arial" w:cs="Arial"/>
          <w:sz w:val="20"/>
          <w:szCs w:val="20"/>
        </w:rPr>
        <w:t>MWh</w:t>
      </w:r>
      <w:proofErr w:type="spellEnd"/>
      <w:r w:rsidRPr="009524AC">
        <w:rPr>
          <w:rFonts w:ascii="Arial" w:hAnsi="Arial" w:cs="Arial"/>
          <w:sz w:val="20"/>
          <w:szCs w:val="20"/>
        </w:rPr>
        <w:t xml:space="preserve"> of lost load into a dollar metric based on its value to customers facilitated performing a benefit/cost analysis to define the optimal planning </w:t>
      </w:r>
      <w:r>
        <w:rPr>
          <w:rFonts w:ascii="Arial" w:hAnsi="Arial" w:cs="Arial"/>
          <w:sz w:val="20"/>
          <w:szCs w:val="20"/>
        </w:rPr>
        <w:t>standard.</w:t>
      </w:r>
      <w:r w:rsidRPr="009524AC">
        <w:rPr>
          <w:rFonts w:ascii="Arial" w:hAnsi="Arial" w:cs="Arial"/>
          <w:sz w:val="20"/>
          <w:szCs w:val="20"/>
        </w:rPr>
        <w:t xml:space="preserve"> The word “optimal” is used here in an economic context. </w:t>
      </w:r>
      <w:r w:rsidRPr="009524AC">
        <w:rPr>
          <w:rFonts w:ascii="Arial" w:hAnsi="Arial"/>
          <w:sz w:val="20"/>
        </w:rPr>
        <w:t xml:space="preserve">The analysis compared the cost to customers of potential outages with the cost of adding generating resources to increase service reliability to find the “optimal” level of reliability – the point at which the benefit to customers of increased reliability (marginal benefit) </w:t>
      </w:r>
      <w:r>
        <w:rPr>
          <w:rFonts w:ascii="Arial" w:hAnsi="Arial"/>
          <w:sz w:val="20"/>
        </w:rPr>
        <w:t>is equal to</w:t>
      </w:r>
      <w:r w:rsidRPr="009524AC">
        <w:rPr>
          <w:rFonts w:ascii="Arial" w:hAnsi="Arial"/>
          <w:sz w:val="20"/>
        </w:rPr>
        <w:t xml:space="preserve"> the cost of providing that level of reliability (marginal cost). </w:t>
      </w:r>
    </w:p>
    <w:p w14:paraId="49DDD30A" w14:textId="77777777" w:rsidR="0054737D" w:rsidRDefault="0054737D" w:rsidP="0054737D">
      <w:pPr>
        <w:pStyle w:val="IRPtitle"/>
        <w:spacing w:line="300" w:lineRule="auto"/>
        <w:ind w:left="0" w:firstLine="0"/>
        <w:rPr>
          <w:rFonts w:ascii="Arial" w:hAnsi="Arial" w:cs="Arial"/>
          <w:sz w:val="20"/>
          <w:szCs w:val="20"/>
        </w:rPr>
      </w:pPr>
    </w:p>
    <w:p w14:paraId="5DF61454" w14:textId="77777777" w:rsidR="0054737D" w:rsidRPr="009524AC" w:rsidRDefault="0054737D" w:rsidP="005C70DF">
      <w:pPr>
        <w:pStyle w:val="IRPtitle"/>
        <w:spacing w:line="276" w:lineRule="auto"/>
        <w:ind w:left="0" w:firstLine="0"/>
        <w:rPr>
          <w:rFonts w:ascii="Arial" w:hAnsi="Arial" w:cs="Arial"/>
          <w:sz w:val="20"/>
          <w:szCs w:val="20"/>
        </w:rPr>
      </w:pPr>
      <w:r w:rsidRPr="009524AC">
        <w:rPr>
          <w:rFonts w:ascii="Arial" w:hAnsi="Arial" w:cs="Arial"/>
          <w:sz w:val="20"/>
          <w:szCs w:val="20"/>
        </w:rPr>
        <w:t xml:space="preserve">Again, Figure </w:t>
      </w:r>
      <w:r>
        <w:rPr>
          <w:rFonts w:ascii="Arial" w:hAnsi="Arial" w:cs="Arial"/>
          <w:sz w:val="20"/>
          <w:szCs w:val="20"/>
        </w:rPr>
        <w:t>6</w:t>
      </w:r>
      <w:r w:rsidRPr="009524AC">
        <w:rPr>
          <w:rFonts w:ascii="Arial" w:hAnsi="Arial" w:cs="Arial"/>
          <w:sz w:val="20"/>
          <w:szCs w:val="20"/>
        </w:rPr>
        <w:t>-</w:t>
      </w:r>
      <w:r>
        <w:rPr>
          <w:rFonts w:ascii="Arial" w:hAnsi="Arial" w:cs="Arial"/>
          <w:sz w:val="20"/>
          <w:szCs w:val="20"/>
        </w:rPr>
        <w:t>2</w:t>
      </w:r>
      <w:r w:rsidRPr="009524AC">
        <w:rPr>
          <w:rFonts w:ascii="Arial" w:hAnsi="Arial" w:cs="Arial"/>
          <w:sz w:val="20"/>
          <w:szCs w:val="20"/>
        </w:rPr>
        <w:t xml:space="preserve"> shows that moving to the </w:t>
      </w:r>
      <w:r>
        <w:rPr>
          <w:rFonts w:ascii="Arial" w:hAnsi="Arial" w:cs="Arial"/>
          <w:sz w:val="20"/>
          <w:szCs w:val="20"/>
        </w:rPr>
        <w:t xml:space="preserve">2015 </w:t>
      </w:r>
      <w:r w:rsidRPr="009524AC">
        <w:rPr>
          <w:rFonts w:ascii="Arial" w:hAnsi="Arial" w:cs="Arial"/>
          <w:sz w:val="20"/>
          <w:szCs w:val="20"/>
        </w:rPr>
        <w:t>Optimal Planning Standard reduces the expected value of lost load to customers by $130 million per year.</w:t>
      </w:r>
      <w:r w:rsidRPr="005C70DF">
        <w:rPr>
          <w:rStyle w:val="FootnoteReference"/>
          <w:sz w:val="28"/>
          <w:szCs w:val="28"/>
        </w:rPr>
        <w:footnoteReference w:id="3"/>
      </w:r>
      <w:r w:rsidRPr="009524AC">
        <w:rPr>
          <w:rFonts w:ascii="Arial" w:hAnsi="Arial" w:cs="Arial"/>
          <w:sz w:val="20"/>
          <w:szCs w:val="20"/>
        </w:rPr>
        <w:t xml:space="preserve"> The cost to achieve that </w:t>
      </w:r>
      <w:r>
        <w:rPr>
          <w:rFonts w:ascii="Arial" w:hAnsi="Arial" w:cs="Arial"/>
          <w:sz w:val="20"/>
          <w:szCs w:val="20"/>
        </w:rPr>
        <w:t xml:space="preserve">expected savings is $63 million per </w:t>
      </w:r>
      <w:r w:rsidRPr="009524AC">
        <w:rPr>
          <w:rFonts w:ascii="Arial" w:hAnsi="Arial" w:cs="Arial"/>
          <w:sz w:val="20"/>
          <w:szCs w:val="20"/>
        </w:rPr>
        <w:t>year,</w:t>
      </w:r>
      <w:r w:rsidRPr="00AF575E">
        <w:rPr>
          <w:rStyle w:val="FootnoteReference"/>
          <w:sz w:val="28"/>
          <w:szCs w:val="28"/>
        </w:rPr>
        <w:footnoteReference w:id="4"/>
      </w:r>
      <w:r w:rsidRPr="009524AC">
        <w:rPr>
          <w:rFonts w:ascii="Arial" w:hAnsi="Arial" w:cs="Arial"/>
          <w:sz w:val="20"/>
          <w:szCs w:val="20"/>
        </w:rPr>
        <w:t xml:space="preserve"> for a net bene</w:t>
      </w:r>
      <w:r>
        <w:rPr>
          <w:rFonts w:ascii="Arial" w:hAnsi="Arial" w:cs="Arial"/>
          <w:sz w:val="20"/>
          <w:szCs w:val="20"/>
        </w:rPr>
        <w:t xml:space="preserve">fit to customers of $67 million per year. </w:t>
      </w:r>
      <w:r w:rsidRPr="009524AC">
        <w:rPr>
          <w:rFonts w:ascii="Arial" w:hAnsi="Arial" w:cs="Arial"/>
          <w:sz w:val="20"/>
          <w:szCs w:val="20"/>
        </w:rPr>
        <w:t xml:space="preserve">Risk reduction </w:t>
      </w:r>
      <w:r>
        <w:rPr>
          <w:rFonts w:ascii="Arial" w:hAnsi="Arial" w:cs="Arial"/>
          <w:sz w:val="20"/>
          <w:szCs w:val="20"/>
        </w:rPr>
        <w:t xml:space="preserve">(as measured by the TailVar90 metric) </w:t>
      </w:r>
      <w:r w:rsidRPr="009524AC">
        <w:rPr>
          <w:rFonts w:ascii="Arial" w:hAnsi="Arial" w:cs="Arial"/>
          <w:sz w:val="20"/>
          <w:szCs w:val="20"/>
        </w:rPr>
        <w:t>to customers is dramatic.  That $6</w:t>
      </w:r>
      <w:r>
        <w:rPr>
          <w:rFonts w:ascii="Arial" w:hAnsi="Arial" w:cs="Arial"/>
          <w:sz w:val="20"/>
          <w:szCs w:val="20"/>
        </w:rPr>
        <w:t xml:space="preserve">3 million per </w:t>
      </w:r>
      <w:r w:rsidRPr="009524AC">
        <w:rPr>
          <w:rFonts w:ascii="Arial" w:hAnsi="Arial" w:cs="Arial"/>
          <w:sz w:val="20"/>
          <w:szCs w:val="20"/>
        </w:rPr>
        <w:t xml:space="preserve">year </w:t>
      </w:r>
      <w:r>
        <w:rPr>
          <w:rFonts w:ascii="Arial" w:hAnsi="Arial" w:cs="Arial"/>
          <w:sz w:val="20"/>
          <w:szCs w:val="20"/>
        </w:rPr>
        <w:t xml:space="preserve">in new resource </w:t>
      </w:r>
      <w:r w:rsidRPr="009524AC">
        <w:rPr>
          <w:rFonts w:ascii="Arial" w:hAnsi="Arial" w:cs="Arial"/>
          <w:sz w:val="20"/>
          <w:szCs w:val="20"/>
        </w:rPr>
        <w:t>cost</w:t>
      </w:r>
      <w:r>
        <w:rPr>
          <w:rFonts w:ascii="Arial" w:hAnsi="Arial" w:cs="Arial"/>
          <w:sz w:val="20"/>
          <w:szCs w:val="20"/>
        </w:rPr>
        <w:t>s</w:t>
      </w:r>
      <w:r w:rsidRPr="009524AC">
        <w:rPr>
          <w:rFonts w:ascii="Arial" w:hAnsi="Arial" w:cs="Arial"/>
          <w:sz w:val="20"/>
          <w:szCs w:val="20"/>
        </w:rPr>
        <w:t xml:space="preserve"> reduces the ri</w:t>
      </w:r>
      <w:r>
        <w:rPr>
          <w:rFonts w:ascii="Arial" w:hAnsi="Arial" w:cs="Arial"/>
          <w:sz w:val="20"/>
          <w:szCs w:val="20"/>
        </w:rPr>
        <w:t xml:space="preserve">sk to customers by $1.3 billion per </w:t>
      </w:r>
      <w:r w:rsidRPr="009524AC">
        <w:rPr>
          <w:rFonts w:ascii="Arial" w:hAnsi="Arial" w:cs="Arial"/>
          <w:sz w:val="20"/>
          <w:szCs w:val="20"/>
        </w:rPr>
        <w:t>year.</w:t>
      </w:r>
      <w:r w:rsidRPr="005C70DF">
        <w:rPr>
          <w:rStyle w:val="FootnoteReference"/>
          <w:sz w:val="28"/>
          <w:szCs w:val="28"/>
        </w:rPr>
        <w:footnoteReference w:id="5"/>
      </w:r>
      <w:r w:rsidRPr="009524AC">
        <w:rPr>
          <w:rFonts w:ascii="Arial" w:hAnsi="Arial" w:cs="Arial"/>
          <w:sz w:val="20"/>
          <w:szCs w:val="20"/>
        </w:rPr>
        <w:t xml:space="preserve"> </w:t>
      </w:r>
    </w:p>
    <w:p w14:paraId="4476B15C" w14:textId="77777777" w:rsidR="0054737D" w:rsidRDefault="0054737D" w:rsidP="0054737D">
      <w:pPr>
        <w:pStyle w:val="IRPtitle"/>
        <w:spacing w:line="300" w:lineRule="auto"/>
        <w:ind w:left="0" w:firstLine="0"/>
        <w:rPr>
          <w:rFonts w:ascii="Arial" w:hAnsi="Arial" w:cs="Arial"/>
          <w:sz w:val="20"/>
          <w:szCs w:val="20"/>
        </w:rPr>
      </w:pPr>
    </w:p>
    <w:p w14:paraId="187EDDE8" w14:textId="77777777" w:rsidR="0054737D" w:rsidRPr="003519C3" w:rsidRDefault="0054737D" w:rsidP="0054737D">
      <w:pPr>
        <w:pStyle w:val="IRPsanstext"/>
        <w:rPr>
          <w:sz w:val="32"/>
        </w:rPr>
      </w:pPr>
      <w:r>
        <w:rPr>
          <w:sz w:val="32"/>
        </w:rPr>
        <w:br w:type="page"/>
      </w:r>
      <w:r>
        <w:rPr>
          <w:sz w:val="32"/>
        </w:rPr>
        <w:lastRenderedPageBreak/>
        <w:t>Incorporating Wholesale Market Reliability R</w:t>
      </w:r>
      <w:r w:rsidRPr="00863771">
        <w:rPr>
          <w:sz w:val="32"/>
        </w:rPr>
        <w:t>isk</w:t>
      </w:r>
    </w:p>
    <w:p w14:paraId="5613CBB2" w14:textId="77777777" w:rsidR="0054737D" w:rsidRDefault="0054737D" w:rsidP="0054737D">
      <w:pPr>
        <w:pStyle w:val="IRPsanstext"/>
      </w:pPr>
    </w:p>
    <w:p w14:paraId="507A5144" w14:textId="77777777" w:rsidR="0054737D" w:rsidRPr="003C60C4" w:rsidRDefault="0054737D" w:rsidP="0054737D">
      <w:pPr>
        <w:pStyle w:val="IRPsanstext"/>
      </w:pPr>
      <w:r>
        <w:t>In this IRP, PSE incorporates wholesale market risk for the first time. This change</w:t>
      </w:r>
      <w:r w:rsidRPr="003C60C4">
        <w:t xml:space="preserve"> is directly related to the </w:t>
      </w:r>
      <w:r>
        <w:t>pending retirement of two regional coal plants and the shifting</w:t>
      </w:r>
      <w:r w:rsidRPr="003C60C4">
        <w:t xml:space="preserve"> load/resource balance</w:t>
      </w:r>
      <w:r>
        <w:t xml:space="preserve"> in the Pacific Northwest</w:t>
      </w:r>
      <w:r w:rsidRPr="003C60C4">
        <w:t xml:space="preserve">. </w:t>
      </w:r>
    </w:p>
    <w:p w14:paraId="7F8C833A" w14:textId="77777777" w:rsidR="0054737D" w:rsidRDefault="0054737D" w:rsidP="0054737D">
      <w:pPr>
        <w:pStyle w:val="IRPsanstext"/>
      </w:pPr>
    </w:p>
    <w:p w14:paraId="4C934CFE" w14:textId="77777777" w:rsidR="0054737D" w:rsidRPr="009A27E5" w:rsidRDefault="0054737D" w:rsidP="0054737D">
      <w:pPr>
        <w:pStyle w:val="IRPsanstext"/>
        <w:rPr>
          <w:b/>
          <w:color w:val="3366FF"/>
        </w:rPr>
      </w:pPr>
      <w:proofErr w:type="gramStart"/>
      <w:r w:rsidRPr="00884900">
        <w:rPr>
          <w:b/>
          <w:color w:val="156570"/>
          <w:sz w:val="24"/>
          <w:szCs w:val="24"/>
        </w:rPr>
        <w:t>Time for a Change</w:t>
      </w:r>
      <w:r w:rsidRPr="00ED52D1">
        <w:rPr>
          <w:b/>
          <w:color w:val="156570"/>
          <w:sz w:val="28"/>
        </w:rPr>
        <w:t>.</w:t>
      </w:r>
      <w:proofErr w:type="gramEnd"/>
      <w:r>
        <w:rPr>
          <w:b/>
          <w:color w:val="3366FF"/>
        </w:rPr>
        <w:t xml:space="preserve"> </w:t>
      </w:r>
      <w:r w:rsidRPr="00942AD4">
        <w:t xml:space="preserve">PSE has </w:t>
      </w:r>
      <w:r>
        <w:t xml:space="preserve">essentially ignored market risk in prior IRP analyses, because we have been able </w:t>
      </w:r>
      <w:r w:rsidRPr="00942AD4">
        <w:t xml:space="preserve">to rely on wholesale market purchases as a least-cost way of meeting physical need </w:t>
      </w:r>
      <w:r>
        <w:t>with</w:t>
      </w:r>
      <w:r w:rsidRPr="00942AD4">
        <w:t xml:space="preserve"> a high degree of confidence that </w:t>
      </w:r>
      <w:r>
        <w:t xml:space="preserve">wholesale </w:t>
      </w:r>
      <w:r w:rsidRPr="00942AD4">
        <w:t xml:space="preserve">power would be available for purchase </w:t>
      </w:r>
      <w:r>
        <w:t xml:space="preserve">in the future </w:t>
      </w:r>
      <w:r w:rsidRPr="00942AD4">
        <w:t>when</w:t>
      </w:r>
      <w:r>
        <w:t>ever it was</w:t>
      </w:r>
      <w:r w:rsidRPr="00942AD4">
        <w:t xml:space="preserve"> needed. </w:t>
      </w:r>
      <w:r>
        <w:t xml:space="preserve">Although studies demonstrated that technically regional capacity wouldn’t be sufficient in all circumstances, PSE assumed wholesale markets were 100 percent reliable due to ongoing regional capacity surpluses. We understood that such an optimistic assumption was not sustainable indefinitely, but as long as the region was meeting regional resource adequacy metrics, this strategy made sense for our customers. Refining that assumption becomes a high priority now that studies </w:t>
      </w:r>
      <w:r w:rsidRPr="00942AD4">
        <w:t xml:space="preserve">indicate </w:t>
      </w:r>
      <w:r>
        <w:t>the region will fail to meet acceptable resource adequacy metrics by 2021.</w:t>
      </w:r>
      <w:r>
        <w:rPr>
          <w:rStyle w:val="FootnoteReference"/>
        </w:rPr>
        <w:footnoteReference w:id="6"/>
      </w:r>
      <w:r w:rsidRPr="00942AD4">
        <w:t xml:space="preserve"> </w:t>
      </w:r>
      <w:r>
        <w:t xml:space="preserve"> </w:t>
      </w:r>
    </w:p>
    <w:p w14:paraId="49FD8F1B" w14:textId="77777777" w:rsidR="0054737D" w:rsidRDefault="0054737D" w:rsidP="0054737D">
      <w:pPr>
        <w:pStyle w:val="IRPsanstext"/>
      </w:pPr>
    </w:p>
    <w:p w14:paraId="1F67C8B1" w14:textId="77777777" w:rsidR="0054737D" w:rsidRDefault="0054737D" w:rsidP="0054737D">
      <w:pPr>
        <w:pStyle w:val="IRPsanstext"/>
      </w:pPr>
      <w:r>
        <w:t xml:space="preserve">This is important, because short-term wholesale market purchases are the single largest category in PSE’s current resource </w:t>
      </w:r>
      <w:r w:rsidRPr="003C60C4">
        <w:t>portfolio</w:t>
      </w:r>
      <w:r>
        <w:t>. They account for up to 1,666</w:t>
      </w:r>
      <w:r w:rsidRPr="008633D6">
        <w:t xml:space="preserve"> MW</w:t>
      </w:r>
      <w:r w:rsidRPr="0050564A">
        <w:t xml:space="preserve">, or </w:t>
      </w:r>
      <w:r>
        <w:t xml:space="preserve">approximately </w:t>
      </w:r>
      <w:r w:rsidRPr="0050564A">
        <w:t>28 percent</w:t>
      </w:r>
      <w:r>
        <w:t>, of the resources we use to meet our peak capacity need. And, s</w:t>
      </w:r>
      <w:r w:rsidRPr="00942AD4">
        <w:t>ince PSE is one of th</w:t>
      </w:r>
      <w:r>
        <w:t>e largest</w:t>
      </w:r>
      <w:r w:rsidRPr="00942AD4">
        <w:t xml:space="preserve"> purchaser</w:t>
      </w:r>
      <w:r>
        <w:t>s</w:t>
      </w:r>
      <w:r w:rsidRPr="00942AD4">
        <w:t xml:space="preserve"> of winter capacity in the region, </w:t>
      </w:r>
      <w:r>
        <w:t>our</w:t>
      </w:r>
      <w:r w:rsidRPr="00942AD4">
        <w:t xml:space="preserve"> customers would be especially exposed during regional curtailment events, because large portions </w:t>
      </w:r>
      <w:r>
        <w:t xml:space="preserve">of the </w:t>
      </w:r>
      <w:r w:rsidRPr="00942AD4">
        <w:t xml:space="preserve">capacity that PSE </w:t>
      </w:r>
      <w:r>
        <w:t>has counted</w:t>
      </w:r>
      <w:r w:rsidRPr="00942AD4">
        <w:t xml:space="preserve"> on to purchase </w:t>
      </w:r>
      <w:r>
        <w:t>may</w:t>
      </w:r>
      <w:r w:rsidRPr="00942AD4">
        <w:t xml:space="preserve"> simply not be available</w:t>
      </w:r>
      <w:r>
        <w:t xml:space="preserve"> as surpluses shrink</w:t>
      </w:r>
      <w:r w:rsidRPr="00942AD4">
        <w:t xml:space="preserve">. </w:t>
      </w:r>
    </w:p>
    <w:p w14:paraId="6B8AE585" w14:textId="77777777" w:rsidR="0054737D" w:rsidRDefault="0054737D" w:rsidP="0054737D">
      <w:pPr>
        <w:pStyle w:val="IRPtitle"/>
        <w:spacing w:line="300" w:lineRule="auto"/>
        <w:ind w:left="0" w:firstLine="0"/>
        <w:rPr>
          <w:rFonts w:ascii="Arial" w:hAnsi="Arial" w:cs="Arial"/>
          <w:sz w:val="20"/>
          <w:szCs w:val="20"/>
          <w:u w:val="single"/>
        </w:rPr>
      </w:pPr>
    </w:p>
    <w:p w14:paraId="4A941A80" w14:textId="77777777" w:rsidR="00855BD7" w:rsidRDefault="00855BD7">
      <w:pPr>
        <w:rPr>
          <w:rFonts w:ascii="Arial" w:hAnsi="Arial" w:cs="Arial"/>
          <w:b/>
          <w:color w:val="3366FF"/>
          <w:sz w:val="28"/>
        </w:rPr>
      </w:pPr>
      <w:r>
        <w:rPr>
          <w:rFonts w:ascii="Arial" w:hAnsi="Arial" w:cs="Arial"/>
          <w:b/>
          <w:color w:val="3366FF"/>
          <w:sz w:val="28"/>
        </w:rPr>
        <w:br w:type="page"/>
      </w:r>
    </w:p>
    <w:p w14:paraId="2EC96BA8" w14:textId="77777777" w:rsidR="0054737D" w:rsidRPr="00FF2CB2" w:rsidRDefault="0054737D" w:rsidP="0054737D">
      <w:pPr>
        <w:pStyle w:val="IRPtitle"/>
        <w:spacing w:line="300" w:lineRule="auto"/>
        <w:ind w:left="0" w:firstLine="0"/>
        <w:rPr>
          <w:rFonts w:ascii="Arial" w:hAnsi="Arial" w:cs="Arial"/>
          <w:color w:val="156570"/>
          <w:sz w:val="20"/>
          <w:szCs w:val="20"/>
        </w:rPr>
      </w:pPr>
      <w:proofErr w:type="gramStart"/>
      <w:r w:rsidRPr="00FF2CB2">
        <w:rPr>
          <w:rFonts w:ascii="Arial" w:hAnsi="Arial" w:cs="Arial"/>
          <w:b/>
          <w:color w:val="156570"/>
          <w:sz w:val="28"/>
        </w:rPr>
        <w:lastRenderedPageBreak/>
        <w:t>Assumptions Regarding Regional Resource Configurations</w:t>
      </w:r>
      <w:r w:rsidRPr="00FF2CB2">
        <w:rPr>
          <w:rFonts w:ascii="Arial" w:hAnsi="Arial" w:cs="Arial"/>
          <w:color w:val="156570"/>
          <w:sz w:val="20"/>
          <w:szCs w:val="20"/>
        </w:rPr>
        <w:t>.</w:t>
      </w:r>
      <w:proofErr w:type="gramEnd"/>
      <w:r w:rsidRPr="00FF2CB2">
        <w:rPr>
          <w:rFonts w:ascii="Arial" w:hAnsi="Arial" w:cs="Arial"/>
          <w:color w:val="156570"/>
          <w:sz w:val="20"/>
          <w:szCs w:val="20"/>
        </w:rPr>
        <w:t xml:space="preserve">  </w:t>
      </w:r>
    </w:p>
    <w:p w14:paraId="0033C6A1" w14:textId="77777777" w:rsidR="0054737D" w:rsidRDefault="0054737D" w:rsidP="0054737D">
      <w:pPr>
        <w:pStyle w:val="IRPtitle"/>
        <w:spacing w:line="300" w:lineRule="auto"/>
        <w:ind w:left="0" w:firstLine="0"/>
        <w:rPr>
          <w:rFonts w:ascii="Arial" w:hAnsi="Arial" w:cs="Arial"/>
          <w:sz w:val="20"/>
          <w:szCs w:val="20"/>
        </w:rPr>
      </w:pPr>
      <w:r>
        <w:rPr>
          <w:rFonts w:ascii="Arial" w:hAnsi="Arial" w:cs="Arial"/>
          <w:sz w:val="20"/>
          <w:szCs w:val="20"/>
        </w:rPr>
        <w:t xml:space="preserve">Incorporating wholesale market risk into the 2015 IRP analysis required us to make certain assumptions regarding regional resource configurations. We began with the assumptions incorporated into the May 2015 NPCC regional resource adequacy study, and made three key adjustments. </w:t>
      </w:r>
    </w:p>
    <w:p w14:paraId="5D57C39C" w14:textId="77777777" w:rsidR="0054737D" w:rsidRDefault="0054737D" w:rsidP="0054737D">
      <w:pPr>
        <w:pStyle w:val="IRPtitle"/>
        <w:spacing w:line="300" w:lineRule="auto"/>
        <w:ind w:left="0" w:firstLine="0"/>
        <w:rPr>
          <w:rFonts w:ascii="Arial" w:hAnsi="Arial" w:cs="Arial"/>
          <w:sz w:val="20"/>
          <w:szCs w:val="20"/>
        </w:rPr>
      </w:pPr>
    </w:p>
    <w:p w14:paraId="0AF82F90" w14:textId="77777777" w:rsidR="0054737D" w:rsidRPr="00FD3C80" w:rsidRDefault="0054737D" w:rsidP="00E7686C">
      <w:pPr>
        <w:pStyle w:val="IRPsanstext"/>
        <w:ind w:left="720"/>
        <w:rPr>
          <w:b/>
        </w:rPr>
      </w:pPr>
      <w:proofErr w:type="gramStart"/>
      <w:r w:rsidRPr="00FD3C80">
        <w:rPr>
          <w:b/>
        </w:rPr>
        <w:t>Southwest imports were increased by 475 MW</w:t>
      </w:r>
      <w:proofErr w:type="gramEnd"/>
      <w:r w:rsidRPr="00FD3C80">
        <w:rPr>
          <w:b/>
        </w:rPr>
        <w:t xml:space="preserve">.  </w:t>
      </w:r>
    </w:p>
    <w:p w14:paraId="6E455AC9" w14:textId="77777777" w:rsidR="0054737D" w:rsidRDefault="0054737D" w:rsidP="00E7686C">
      <w:pPr>
        <w:pStyle w:val="IRPsanstext"/>
        <w:ind w:left="720"/>
      </w:pPr>
      <w:r w:rsidRPr="00F22934">
        <w:t xml:space="preserve">The NPCC’s base analysis assumes 3,400 MW of transmission capacity is available from California, but only 2,925 MW of winter season on-peak resources were included in the NPCC’s analysis (2,500 MW of spot market purchases plus 425 MW of long-term contracts). </w:t>
      </w:r>
      <w:r>
        <w:t>We added</w:t>
      </w:r>
      <w:r w:rsidRPr="00F22934">
        <w:t xml:space="preserve"> the spot market import amounts necessary such that total imports from California equal 3,400 MW on all hours.</w:t>
      </w:r>
      <w:r>
        <w:t xml:space="preserve"> It seemed reasonable to assume that this additional capacity would be available during the region’s peak need season. </w:t>
      </w:r>
    </w:p>
    <w:p w14:paraId="75B8C90D" w14:textId="77777777" w:rsidR="0054737D" w:rsidRDefault="0054737D" w:rsidP="00E7686C">
      <w:pPr>
        <w:pStyle w:val="IRPsanstext"/>
        <w:ind w:left="720"/>
        <w:rPr>
          <w:strike/>
        </w:rPr>
      </w:pPr>
    </w:p>
    <w:p w14:paraId="4D05F7A0" w14:textId="77777777" w:rsidR="0054737D" w:rsidRPr="00FD3C80" w:rsidRDefault="0054737D" w:rsidP="00E7686C">
      <w:pPr>
        <w:pStyle w:val="IRPsanstext"/>
        <w:ind w:left="720"/>
        <w:rPr>
          <w:b/>
        </w:rPr>
      </w:pPr>
      <w:proofErr w:type="gramStart"/>
      <w:r w:rsidRPr="00FD3C80">
        <w:rPr>
          <w:b/>
        </w:rPr>
        <w:t>Regional generation was increased by 440 MW</w:t>
      </w:r>
      <w:proofErr w:type="gramEnd"/>
      <w:r w:rsidRPr="00FD3C80">
        <w:rPr>
          <w:b/>
        </w:rPr>
        <w:t xml:space="preserve">.  </w:t>
      </w:r>
    </w:p>
    <w:p w14:paraId="78F9915C" w14:textId="77777777" w:rsidR="0054737D" w:rsidRDefault="0054737D" w:rsidP="00E7686C">
      <w:pPr>
        <w:pStyle w:val="IRPsanstext"/>
        <w:ind w:left="720"/>
      </w:pPr>
      <w:r>
        <w:t xml:space="preserve">Portland General Electric (PGE) has plans to acquire 440 MW of firm generation by 2021, when their Boardman coal plant retires. Information from PGE demonstrates a strong preference for that generation to be a non-intermittent renewable resource. PGE is, however, prepared to build Carty 2, which would be a 440 MW gas CCCT plant if adequate renewable resources </w:t>
      </w:r>
      <w:proofErr w:type="gramStart"/>
      <w:r>
        <w:t>are</w:t>
      </w:r>
      <w:proofErr w:type="gramEnd"/>
      <w:r>
        <w:t xml:space="preserve"> not available. This plant did not meet the criteria to include in the NPCC’s regional adequacy analysis, but it seems reasonable to assume that it will be built, and we did not want to overstate our resource needs.   </w:t>
      </w:r>
    </w:p>
    <w:p w14:paraId="194A6744" w14:textId="77777777" w:rsidR="0054737D" w:rsidRDefault="0054737D" w:rsidP="00E7686C">
      <w:pPr>
        <w:pStyle w:val="IRPsanstext"/>
        <w:ind w:left="720"/>
      </w:pPr>
    </w:p>
    <w:p w14:paraId="56686475" w14:textId="77777777" w:rsidR="0054737D" w:rsidRPr="00FD3C80" w:rsidRDefault="0054737D" w:rsidP="00E7686C">
      <w:pPr>
        <w:pStyle w:val="IRPsanstext"/>
        <w:ind w:left="720"/>
        <w:rPr>
          <w:b/>
        </w:rPr>
      </w:pPr>
      <w:proofErr w:type="gramStart"/>
      <w:r w:rsidRPr="00FD3C80">
        <w:rPr>
          <w:b/>
        </w:rPr>
        <w:t>Regional generation was reduced by 650 MW</w:t>
      </w:r>
      <w:proofErr w:type="gramEnd"/>
      <w:r w:rsidRPr="00FD3C80">
        <w:rPr>
          <w:b/>
        </w:rPr>
        <w:t xml:space="preserve">.  </w:t>
      </w:r>
    </w:p>
    <w:p w14:paraId="7DE2C4A7" w14:textId="77777777" w:rsidR="0054737D" w:rsidRPr="004D593E" w:rsidRDefault="0054737D" w:rsidP="00E7686C">
      <w:pPr>
        <w:pStyle w:val="IRPsanstext"/>
        <w:ind w:left="720"/>
      </w:pPr>
      <w:r>
        <w:t>T</w:t>
      </w:r>
      <w:r w:rsidRPr="00A56364">
        <w:t xml:space="preserve">his adjustment assumes the 650 MW Grays Harbor CCCT is not available to operate during PNW load curtailment events. This gas-fired generating plant appears to rely solely on wholesale market purchases of interruptible fuel supply. It has neither firm pipeline capacity for natural gas fuel supply nor oil backup, which means that under extreme cold weather conditions – when the region is most likely to have a capacity deficit – the plant may not be able to operate until weather conditions improve and wholesale market gas supplies are available again. The NPCC assumed firm fuel supply in its regional adequacy analysis because of the difficulty of determining when the plant might be unable to obtain supplies, but it would be inconsistent for PSE to include it in our regional resource configuration since we would not be able to consider </w:t>
      </w:r>
      <w:r>
        <w:t>it</w:t>
      </w:r>
      <w:r w:rsidRPr="00A56364">
        <w:t xml:space="preserve"> firm for our customers if it were in our portfolio.  </w:t>
      </w:r>
    </w:p>
    <w:p w14:paraId="7F9F26F0" w14:textId="77777777" w:rsidR="0054737D" w:rsidRPr="00D02777" w:rsidRDefault="0054737D" w:rsidP="0054737D">
      <w:pPr>
        <w:pStyle w:val="IRPsanstext"/>
        <w:rPr>
          <w:color w:val="3366FF"/>
        </w:rPr>
      </w:pPr>
    </w:p>
    <w:p w14:paraId="17A5B129" w14:textId="77777777" w:rsidR="00855BD7" w:rsidRDefault="00855BD7">
      <w:pPr>
        <w:rPr>
          <w:rFonts w:ascii="Arial" w:hAnsi="Arial"/>
          <w:b/>
          <w:color w:val="3366FF"/>
          <w:sz w:val="28"/>
          <w:szCs w:val="20"/>
        </w:rPr>
      </w:pPr>
      <w:r>
        <w:rPr>
          <w:b/>
          <w:color w:val="3366FF"/>
          <w:sz w:val="28"/>
        </w:rPr>
        <w:br w:type="page"/>
      </w:r>
    </w:p>
    <w:p w14:paraId="4A8A41FE" w14:textId="77777777" w:rsidR="0054737D" w:rsidRDefault="0054737D" w:rsidP="0054737D">
      <w:pPr>
        <w:pStyle w:val="IRPsanstext"/>
      </w:pPr>
      <w:r w:rsidRPr="00FF2CB2">
        <w:rPr>
          <w:b/>
          <w:color w:val="156570"/>
          <w:sz w:val="28"/>
        </w:rPr>
        <w:lastRenderedPageBreak/>
        <w:t>Benefit/Cost Analysis.</w:t>
      </w:r>
      <w:r>
        <w:t xml:space="preserve"> The benefit cost analysis establishes the optimal capacity addition to meet the optimal customer reliability level. </w:t>
      </w:r>
    </w:p>
    <w:p w14:paraId="35128DC8" w14:textId="77777777" w:rsidR="0054737D" w:rsidRDefault="0054737D" w:rsidP="0054737D">
      <w:pPr>
        <w:pStyle w:val="IRPtitle"/>
        <w:spacing w:line="300" w:lineRule="auto"/>
        <w:ind w:left="0" w:firstLine="0"/>
        <w:rPr>
          <w:rFonts w:ascii="Arial" w:hAnsi="Arial" w:cs="Arial"/>
          <w:sz w:val="20"/>
          <w:szCs w:val="20"/>
        </w:rPr>
      </w:pPr>
    </w:p>
    <w:p w14:paraId="23D609B3" w14:textId="77777777" w:rsidR="0054737D" w:rsidRDefault="00855BD7" w:rsidP="0054737D">
      <w:pPr>
        <w:pStyle w:val="IRPtitle"/>
        <w:spacing w:line="300" w:lineRule="auto"/>
        <w:ind w:left="0" w:firstLine="0"/>
        <w:rPr>
          <w:rFonts w:ascii="Arial" w:hAnsi="Arial" w:cs="Arial"/>
          <w:sz w:val="20"/>
          <w:szCs w:val="20"/>
        </w:rPr>
      </w:pPr>
      <w:r>
        <w:rPr>
          <w:rFonts w:ascii="Arial" w:hAnsi="Arial" w:cs="Arial"/>
          <w:sz w:val="20"/>
          <w:szCs w:val="20"/>
        </w:rPr>
        <w:t>Figure 6-3</w:t>
      </w:r>
      <w:r w:rsidR="0054737D">
        <w:rPr>
          <w:rFonts w:ascii="Arial" w:hAnsi="Arial" w:cs="Arial"/>
          <w:sz w:val="20"/>
          <w:szCs w:val="20"/>
        </w:rPr>
        <w:t xml:space="preserve"> compares the results of the benefit/cost analysis for four different capacity addition amounts ranging in size from 0 MW to 300 MW. This table also illustrates that the optimal 2021 planning margin is achieved with a capacity addition of 234 MW (i.e.</w:t>
      </w:r>
      <w:r w:rsidR="0096451E">
        <w:rPr>
          <w:rFonts w:ascii="Arial" w:hAnsi="Arial" w:cs="Arial"/>
          <w:sz w:val="20"/>
          <w:szCs w:val="20"/>
        </w:rPr>
        <w:t>,</w:t>
      </w:r>
      <w:r w:rsidR="0054737D">
        <w:rPr>
          <w:rFonts w:ascii="Arial" w:hAnsi="Arial" w:cs="Arial"/>
          <w:sz w:val="20"/>
          <w:szCs w:val="20"/>
        </w:rPr>
        <w:t xml:space="preserve"> the point at which the benefit/cost ratio is 1.0).</w:t>
      </w:r>
    </w:p>
    <w:p w14:paraId="653EDBE9" w14:textId="77777777" w:rsidR="0054737D" w:rsidRDefault="0054737D" w:rsidP="0054737D">
      <w:pPr>
        <w:pStyle w:val="IRPtitle"/>
        <w:spacing w:line="300" w:lineRule="auto"/>
        <w:ind w:left="0" w:firstLine="0"/>
        <w:rPr>
          <w:rFonts w:ascii="Arial" w:hAnsi="Arial" w:cs="Arial"/>
          <w:sz w:val="20"/>
          <w:szCs w:val="20"/>
        </w:rPr>
      </w:pPr>
    </w:p>
    <w:p w14:paraId="37876937" w14:textId="77777777" w:rsidR="0054737D" w:rsidRPr="00FF2CB2" w:rsidRDefault="00855BD7" w:rsidP="00FF2CB2">
      <w:pPr>
        <w:pStyle w:val="IRPtitle"/>
        <w:spacing w:after="120" w:line="300" w:lineRule="auto"/>
        <w:ind w:left="0" w:firstLine="0"/>
        <w:jc w:val="center"/>
        <w:rPr>
          <w:rFonts w:ascii="Arial" w:hAnsi="Arial" w:cs="Arial"/>
          <w:i/>
          <w:sz w:val="20"/>
          <w:szCs w:val="20"/>
        </w:rPr>
      </w:pPr>
      <w:r w:rsidRPr="00FF2CB2">
        <w:rPr>
          <w:rFonts w:ascii="Arial" w:hAnsi="Arial" w:cs="Arial"/>
          <w:i/>
          <w:sz w:val="20"/>
          <w:szCs w:val="20"/>
        </w:rPr>
        <w:t>Figure 6-3:</w:t>
      </w:r>
      <w:r w:rsidR="0054737D" w:rsidRPr="00FF2CB2">
        <w:rPr>
          <w:rFonts w:ascii="Arial" w:hAnsi="Arial" w:cs="Arial"/>
          <w:i/>
          <w:sz w:val="20"/>
          <w:szCs w:val="20"/>
        </w:rPr>
        <w:t xml:space="preserve"> Benefit/Cost Comparison</w:t>
      </w:r>
      <w:r w:rsidRPr="00FF2CB2">
        <w:rPr>
          <w:rFonts w:ascii="Arial" w:hAnsi="Arial" w:cs="Arial"/>
          <w:i/>
          <w:sz w:val="20"/>
          <w:szCs w:val="20"/>
        </w:rPr>
        <w:t xml:space="preserve">, </w:t>
      </w:r>
      <w:r w:rsidR="0054737D" w:rsidRPr="00FF2CB2">
        <w:rPr>
          <w:rFonts w:ascii="Arial" w:hAnsi="Arial" w:cs="Arial"/>
          <w:i/>
          <w:sz w:val="20"/>
          <w:szCs w:val="20"/>
        </w:rPr>
        <w:t>2015 Optimal Planning Standard</w:t>
      </w:r>
      <w:r w:rsidRPr="00FF2CB2">
        <w:rPr>
          <w:rFonts w:ascii="Arial" w:hAnsi="Arial" w:cs="Arial"/>
          <w:i/>
          <w:sz w:val="20"/>
          <w:szCs w:val="20"/>
        </w:rPr>
        <w:t xml:space="preserve"> Highlighted</w:t>
      </w:r>
    </w:p>
    <w:tbl>
      <w:tblPr>
        <w:tblW w:w="8565" w:type="dxa"/>
        <w:tblInd w:w="93" w:type="dxa"/>
        <w:tblLayout w:type="fixed"/>
        <w:tblLook w:val="04A0" w:firstRow="1" w:lastRow="0" w:firstColumn="1" w:lastColumn="0" w:noHBand="0" w:noVBand="1"/>
      </w:tblPr>
      <w:tblGrid>
        <w:gridCol w:w="915"/>
        <w:gridCol w:w="990"/>
        <w:gridCol w:w="1170"/>
        <w:gridCol w:w="990"/>
        <w:gridCol w:w="1529"/>
        <w:gridCol w:w="811"/>
        <w:gridCol w:w="1159"/>
        <w:gridCol w:w="1001"/>
      </w:tblGrid>
      <w:tr w:rsidR="0054737D" w:rsidRPr="00B956D8" w14:paraId="05597B66" w14:textId="77777777">
        <w:trPr>
          <w:trHeight w:val="387"/>
        </w:trPr>
        <w:tc>
          <w:tcPr>
            <w:tcW w:w="915" w:type="dxa"/>
            <w:vMerge w:val="restart"/>
            <w:tcBorders>
              <w:top w:val="single" w:sz="4" w:space="0" w:color="auto"/>
              <w:left w:val="single" w:sz="4" w:space="0" w:color="auto"/>
              <w:right w:val="single" w:sz="4" w:space="0" w:color="auto"/>
            </w:tcBorders>
            <w:shd w:val="clear" w:color="auto" w:fill="006A71"/>
            <w:noWrap/>
            <w:vAlign w:val="bottom"/>
          </w:tcPr>
          <w:p w14:paraId="60DC2836" w14:textId="77777777" w:rsidR="0054737D" w:rsidRPr="00411832" w:rsidRDefault="0054737D" w:rsidP="00330C7B">
            <w:pPr>
              <w:pStyle w:val="IRPsanstext"/>
              <w:spacing w:line="276" w:lineRule="auto"/>
              <w:jc w:val="center"/>
              <w:rPr>
                <w:rFonts w:eastAsia="Times New Roman" w:cs="Arial"/>
                <w:b/>
                <w:color w:val="FFFFFF"/>
                <w:sz w:val="16"/>
                <w:szCs w:val="16"/>
              </w:rPr>
            </w:pPr>
            <w:r w:rsidRPr="00411832">
              <w:rPr>
                <w:rFonts w:eastAsia="Times New Roman" w:cs="Arial"/>
                <w:b/>
                <w:color w:val="FFFFFF"/>
                <w:sz w:val="16"/>
                <w:szCs w:val="16"/>
              </w:rPr>
              <w:t>Added CT Capacity (MW)</w:t>
            </w:r>
          </w:p>
        </w:tc>
        <w:tc>
          <w:tcPr>
            <w:tcW w:w="2160" w:type="dxa"/>
            <w:gridSpan w:val="2"/>
            <w:tcBorders>
              <w:top w:val="single" w:sz="4" w:space="0" w:color="auto"/>
              <w:left w:val="single" w:sz="4" w:space="0" w:color="auto"/>
              <w:bottom w:val="single" w:sz="4" w:space="0" w:color="auto"/>
              <w:right w:val="single" w:sz="4" w:space="0" w:color="auto"/>
            </w:tcBorders>
            <w:shd w:val="clear" w:color="auto" w:fill="006A71"/>
            <w:noWrap/>
            <w:vAlign w:val="bottom"/>
          </w:tcPr>
          <w:p w14:paraId="78FF9986" w14:textId="77777777" w:rsidR="0054737D" w:rsidRPr="00411832" w:rsidRDefault="0054737D" w:rsidP="00330C7B">
            <w:pPr>
              <w:pStyle w:val="IRPsanstext"/>
              <w:spacing w:line="276" w:lineRule="auto"/>
              <w:jc w:val="center"/>
              <w:rPr>
                <w:rFonts w:eastAsia="Times New Roman" w:cs="Arial"/>
                <w:b/>
                <w:bCs/>
                <w:color w:val="FFFFFF"/>
                <w:sz w:val="16"/>
                <w:szCs w:val="16"/>
              </w:rPr>
            </w:pPr>
            <w:r w:rsidRPr="00411832">
              <w:rPr>
                <w:rFonts w:eastAsia="Times New Roman" w:cs="Arial"/>
                <w:b/>
                <w:bCs/>
                <w:color w:val="FFFFFF"/>
                <w:sz w:val="16"/>
                <w:szCs w:val="16"/>
              </w:rPr>
              <w:t>Cost of Reliability ($mill/</w:t>
            </w:r>
            <w:proofErr w:type="spellStart"/>
            <w:r w:rsidRPr="00411832">
              <w:rPr>
                <w:rFonts w:eastAsia="Times New Roman" w:cs="Arial"/>
                <w:b/>
                <w:bCs/>
                <w:color w:val="FFFFFF"/>
                <w:sz w:val="16"/>
                <w:szCs w:val="16"/>
              </w:rPr>
              <w:t>yr</w:t>
            </w:r>
            <w:proofErr w:type="spellEnd"/>
            <w:r w:rsidRPr="00411832">
              <w:rPr>
                <w:rFonts w:eastAsia="Times New Roman" w:cs="Arial"/>
                <w:b/>
                <w:bCs/>
                <w:color w:val="FFFFFF"/>
                <w:sz w:val="16"/>
                <w:szCs w:val="16"/>
              </w:rPr>
              <w:t>)</w:t>
            </w:r>
          </w:p>
        </w:tc>
        <w:tc>
          <w:tcPr>
            <w:tcW w:w="2519" w:type="dxa"/>
            <w:gridSpan w:val="2"/>
            <w:tcBorders>
              <w:top w:val="single" w:sz="4" w:space="0" w:color="auto"/>
              <w:left w:val="single" w:sz="4" w:space="0" w:color="auto"/>
              <w:bottom w:val="single" w:sz="4" w:space="0" w:color="auto"/>
              <w:right w:val="single" w:sz="4" w:space="0" w:color="auto"/>
            </w:tcBorders>
            <w:shd w:val="clear" w:color="auto" w:fill="006A71"/>
            <w:vAlign w:val="bottom"/>
          </w:tcPr>
          <w:p w14:paraId="00B197D4" w14:textId="77777777" w:rsidR="0054737D" w:rsidRPr="00411832" w:rsidRDefault="0054737D" w:rsidP="00330C7B">
            <w:pPr>
              <w:pStyle w:val="IRPsanstext"/>
              <w:spacing w:line="276" w:lineRule="auto"/>
              <w:jc w:val="center"/>
              <w:rPr>
                <w:rFonts w:eastAsia="Times New Roman" w:cs="Arial"/>
                <w:b/>
                <w:bCs/>
                <w:color w:val="FFFFFF"/>
                <w:sz w:val="16"/>
                <w:szCs w:val="16"/>
              </w:rPr>
            </w:pPr>
            <w:r w:rsidRPr="00411832">
              <w:rPr>
                <w:rFonts w:eastAsia="Times New Roman" w:cs="Arial"/>
                <w:b/>
                <w:bCs/>
                <w:color w:val="FFFFFF"/>
                <w:sz w:val="16"/>
                <w:szCs w:val="16"/>
              </w:rPr>
              <w:t>Expected Benefit of Improving Reliability ($mill/</w:t>
            </w:r>
            <w:proofErr w:type="spellStart"/>
            <w:r w:rsidRPr="00411832">
              <w:rPr>
                <w:rFonts w:eastAsia="Times New Roman" w:cs="Arial"/>
                <w:b/>
                <w:bCs/>
                <w:color w:val="FFFFFF"/>
                <w:sz w:val="16"/>
                <w:szCs w:val="16"/>
              </w:rPr>
              <w:t>yr</w:t>
            </w:r>
            <w:proofErr w:type="spellEnd"/>
            <w:r w:rsidRPr="00411832">
              <w:rPr>
                <w:rFonts w:eastAsia="Times New Roman" w:cs="Arial"/>
                <w:b/>
                <w:bCs/>
                <w:color w:val="FFFFFF"/>
                <w:sz w:val="16"/>
                <w:szCs w:val="16"/>
              </w:rPr>
              <w:t>)</w:t>
            </w:r>
          </w:p>
        </w:tc>
        <w:tc>
          <w:tcPr>
            <w:tcW w:w="811" w:type="dxa"/>
            <w:tcBorders>
              <w:top w:val="single" w:sz="4" w:space="0" w:color="auto"/>
              <w:left w:val="single" w:sz="4" w:space="0" w:color="auto"/>
              <w:bottom w:val="single" w:sz="4" w:space="0" w:color="auto"/>
              <w:right w:val="single" w:sz="4" w:space="0" w:color="auto"/>
            </w:tcBorders>
            <w:shd w:val="clear" w:color="auto" w:fill="006A71"/>
            <w:vAlign w:val="bottom"/>
          </w:tcPr>
          <w:p w14:paraId="381A5417" w14:textId="77777777" w:rsidR="0054737D" w:rsidRPr="00411832" w:rsidRDefault="0054737D" w:rsidP="00330C7B">
            <w:pPr>
              <w:pStyle w:val="IRPsanstext"/>
              <w:spacing w:line="276" w:lineRule="auto"/>
              <w:jc w:val="center"/>
              <w:rPr>
                <w:rFonts w:eastAsia="Times New Roman" w:cs="Arial"/>
                <w:b/>
                <w:bCs/>
                <w:color w:val="FFFFFF"/>
                <w:sz w:val="16"/>
                <w:szCs w:val="16"/>
              </w:rPr>
            </w:pPr>
            <w:r w:rsidRPr="00411832">
              <w:rPr>
                <w:rFonts w:eastAsia="Times New Roman" w:cs="Arial"/>
                <w:b/>
                <w:bCs/>
                <w:color w:val="FFFFFF"/>
                <w:sz w:val="16"/>
                <w:szCs w:val="16"/>
              </w:rPr>
              <w:t>B/C Test</w:t>
            </w:r>
          </w:p>
        </w:tc>
        <w:tc>
          <w:tcPr>
            <w:tcW w:w="2160" w:type="dxa"/>
            <w:gridSpan w:val="2"/>
            <w:tcBorders>
              <w:top w:val="single" w:sz="4" w:space="0" w:color="auto"/>
              <w:left w:val="single" w:sz="4" w:space="0" w:color="auto"/>
              <w:bottom w:val="single" w:sz="4" w:space="0" w:color="auto"/>
              <w:right w:val="single" w:sz="4" w:space="0" w:color="auto"/>
            </w:tcBorders>
            <w:shd w:val="clear" w:color="auto" w:fill="006A71"/>
            <w:vAlign w:val="bottom"/>
          </w:tcPr>
          <w:p w14:paraId="6518D969" w14:textId="77777777" w:rsidR="0054737D" w:rsidRPr="00411832" w:rsidRDefault="0054737D" w:rsidP="00330C7B">
            <w:pPr>
              <w:pStyle w:val="IRPsanstext"/>
              <w:spacing w:line="276" w:lineRule="auto"/>
              <w:jc w:val="center"/>
              <w:rPr>
                <w:rFonts w:eastAsia="Times New Roman" w:cs="Arial"/>
                <w:b/>
                <w:bCs/>
                <w:color w:val="FFFFFF"/>
                <w:sz w:val="16"/>
                <w:szCs w:val="16"/>
              </w:rPr>
            </w:pPr>
            <w:r w:rsidRPr="00411832">
              <w:rPr>
                <w:rFonts w:eastAsia="Times New Roman" w:cs="Arial"/>
                <w:b/>
                <w:bCs/>
                <w:color w:val="FFFFFF"/>
                <w:sz w:val="16"/>
                <w:szCs w:val="16"/>
              </w:rPr>
              <w:t>Risk Benefit ($mill/</w:t>
            </w:r>
            <w:proofErr w:type="spellStart"/>
            <w:r w:rsidRPr="00411832">
              <w:rPr>
                <w:rFonts w:eastAsia="Times New Roman" w:cs="Arial"/>
                <w:b/>
                <w:bCs/>
                <w:color w:val="FFFFFF"/>
                <w:sz w:val="16"/>
                <w:szCs w:val="16"/>
              </w:rPr>
              <w:t>yr</w:t>
            </w:r>
            <w:proofErr w:type="spellEnd"/>
            <w:r w:rsidRPr="00411832">
              <w:rPr>
                <w:rFonts w:eastAsia="Times New Roman" w:cs="Arial"/>
                <w:b/>
                <w:bCs/>
                <w:color w:val="FFFFFF"/>
                <w:sz w:val="16"/>
                <w:szCs w:val="16"/>
              </w:rPr>
              <w:t>)</w:t>
            </w:r>
          </w:p>
        </w:tc>
      </w:tr>
      <w:tr w:rsidR="0054737D" w:rsidRPr="00B956D8" w14:paraId="01291DFE" w14:textId="77777777">
        <w:trPr>
          <w:trHeight w:val="387"/>
        </w:trPr>
        <w:tc>
          <w:tcPr>
            <w:tcW w:w="915" w:type="dxa"/>
            <w:vMerge/>
            <w:tcBorders>
              <w:left w:val="single" w:sz="4" w:space="0" w:color="auto"/>
              <w:right w:val="single" w:sz="4" w:space="0" w:color="auto"/>
            </w:tcBorders>
            <w:shd w:val="clear" w:color="auto" w:fill="006A71"/>
            <w:noWrap/>
            <w:vAlign w:val="center"/>
          </w:tcPr>
          <w:p w14:paraId="54DF9AE5" w14:textId="77777777" w:rsidR="0054737D" w:rsidRPr="00411832" w:rsidRDefault="0054737D" w:rsidP="00330C7B">
            <w:pPr>
              <w:pStyle w:val="IRPsanstext"/>
              <w:spacing w:line="276" w:lineRule="auto"/>
              <w:rPr>
                <w:rFonts w:eastAsia="Times New Roman" w:cs="Arial"/>
                <w:b/>
                <w:color w:val="FFFFFF"/>
                <w:sz w:val="16"/>
                <w:szCs w:val="16"/>
              </w:rPr>
            </w:pPr>
          </w:p>
        </w:tc>
        <w:tc>
          <w:tcPr>
            <w:tcW w:w="990" w:type="dxa"/>
            <w:tcBorders>
              <w:top w:val="single" w:sz="4" w:space="0" w:color="auto"/>
              <w:left w:val="single" w:sz="4" w:space="0" w:color="auto"/>
              <w:right w:val="single" w:sz="4" w:space="0" w:color="auto"/>
            </w:tcBorders>
            <w:shd w:val="clear" w:color="auto" w:fill="006A71"/>
            <w:noWrap/>
            <w:vAlign w:val="bottom"/>
          </w:tcPr>
          <w:p w14:paraId="21462ECA" w14:textId="77777777" w:rsidR="0054737D" w:rsidRPr="00411832" w:rsidRDefault="0054737D" w:rsidP="00330C7B">
            <w:pPr>
              <w:pStyle w:val="IRPsanstext"/>
              <w:spacing w:line="276" w:lineRule="auto"/>
              <w:jc w:val="center"/>
              <w:rPr>
                <w:rFonts w:eastAsia="Times New Roman" w:cs="Arial"/>
                <w:b/>
                <w:bCs/>
                <w:color w:val="FFFFFF"/>
                <w:sz w:val="16"/>
                <w:szCs w:val="16"/>
              </w:rPr>
            </w:pPr>
            <w:r w:rsidRPr="00411832">
              <w:rPr>
                <w:rFonts w:eastAsia="Times New Roman" w:cs="Arial"/>
                <w:b/>
                <w:bCs/>
                <w:color w:val="FFFFFF"/>
                <w:sz w:val="16"/>
                <w:szCs w:val="16"/>
              </w:rPr>
              <w:t xml:space="preserve">Added Resource Cost </w:t>
            </w:r>
          </w:p>
        </w:tc>
        <w:tc>
          <w:tcPr>
            <w:tcW w:w="1170" w:type="dxa"/>
            <w:tcBorders>
              <w:top w:val="single" w:sz="4" w:space="0" w:color="auto"/>
              <w:left w:val="single" w:sz="4" w:space="0" w:color="auto"/>
              <w:right w:val="single" w:sz="4" w:space="0" w:color="auto"/>
            </w:tcBorders>
            <w:shd w:val="clear" w:color="auto" w:fill="006A71"/>
            <w:vAlign w:val="bottom"/>
          </w:tcPr>
          <w:p w14:paraId="1C7DCEEE" w14:textId="77777777" w:rsidR="0054737D" w:rsidRPr="00411832" w:rsidRDefault="0054737D" w:rsidP="00330C7B">
            <w:pPr>
              <w:pStyle w:val="IRPsanstext"/>
              <w:spacing w:line="276" w:lineRule="auto"/>
              <w:jc w:val="center"/>
              <w:rPr>
                <w:rFonts w:eastAsia="Times New Roman" w:cs="Arial"/>
                <w:b/>
                <w:bCs/>
                <w:color w:val="FFFFFF"/>
                <w:sz w:val="16"/>
                <w:szCs w:val="16"/>
              </w:rPr>
            </w:pPr>
            <w:r w:rsidRPr="00411832">
              <w:rPr>
                <w:rFonts w:eastAsia="Times New Roman" w:cs="Arial"/>
                <w:b/>
                <w:bCs/>
                <w:color w:val="FFFFFF"/>
                <w:sz w:val="16"/>
                <w:szCs w:val="16"/>
              </w:rPr>
              <w:t xml:space="preserve">Incremental Cost </w:t>
            </w:r>
          </w:p>
        </w:tc>
        <w:tc>
          <w:tcPr>
            <w:tcW w:w="990" w:type="dxa"/>
            <w:tcBorders>
              <w:top w:val="single" w:sz="4" w:space="0" w:color="auto"/>
              <w:left w:val="single" w:sz="4" w:space="0" w:color="auto"/>
              <w:bottom w:val="single" w:sz="4" w:space="0" w:color="auto"/>
              <w:right w:val="single" w:sz="4" w:space="0" w:color="auto"/>
            </w:tcBorders>
            <w:shd w:val="clear" w:color="auto" w:fill="006A71"/>
            <w:vAlign w:val="bottom"/>
          </w:tcPr>
          <w:p w14:paraId="2178483F" w14:textId="77777777" w:rsidR="0054737D" w:rsidRPr="00411832" w:rsidRDefault="0054737D" w:rsidP="00330C7B">
            <w:pPr>
              <w:pStyle w:val="IRPsanstext"/>
              <w:spacing w:line="276" w:lineRule="auto"/>
              <w:jc w:val="center"/>
              <w:rPr>
                <w:rFonts w:eastAsia="Times New Roman" w:cs="Arial"/>
                <w:b/>
                <w:bCs/>
                <w:color w:val="FFFFFF"/>
                <w:sz w:val="16"/>
                <w:szCs w:val="16"/>
              </w:rPr>
            </w:pPr>
            <w:r w:rsidRPr="00411832">
              <w:rPr>
                <w:rFonts w:eastAsia="Times New Roman" w:cs="Arial"/>
                <w:b/>
                <w:bCs/>
                <w:color w:val="FFFFFF"/>
                <w:sz w:val="16"/>
                <w:szCs w:val="16"/>
              </w:rPr>
              <w:t>Expected VOLL</w:t>
            </w:r>
          </w:p>
        </w:tc>
        <w:tc>
          <w:tcPr>
            <w:tcW w:w="1529" w:type="dxa"/>
            <w:tcBorders>
              <w:top w:val="single" w:sz="4" w:space="0" w:color="auto"/>
              <w:left w:val="single" w:sz="4" w:space="0" w:color="auto"/>
              <w:bottom w:val="single" w:sz="4" w:space="0" w:color="auto"/>
              <w:right w:val="single" w:sz="4" w:space="0" w:color="auto"/>
            </w:tcBorders>
            <w:shd w:val="clear" w:color="auto" w:fill="006A71"/>
            <w:vAlign w:val="bottom"/>
          </w:tcPr>
          <w:p w14:paraId="1E784CD0" w14:textId="77777777" w:rsidR="0054737D" w:rsidRPr="00411832" w:rsidRDefault="0054737D" w:rsidP="00330C7B">
            <w:pPr>
              <w:pStyle w:val="IRPsanstext"/>
              <w:spacing w:line="276" w:lineRule="auto"/>
              <w:jc w:val="center"/>
              <w:rPr>
                <w:rFonts w:eastAsia="Times New Roman" w:cs="Arial"/>
                <w:b/>
                <w:bCs/>
                <w:color w:val="FFFFFF"/>
                <w:sz w:val="16"/>
                <w:szCs w:val="16"/>
              </w:rPr>
            </w:pPr>
            <w:r w:rsidRPr="00411832">
              <w:rPr>
                <w:rFonts w:eastAsia="Times New Roman" w:cs="Arial"/>
                <w:b/>
                <w:bCs/>
                <w:color w:val="FFFFFF"/>
                <w:sz w:val="16"/>
                <w:szCs w:val="16"/>
              </w:rPr>
              <w:t xml:space="preserve">VOLL Reduction Incremental Benefit </w:t>
            </w:r>
          </w:p>
        </w:tc>
        <w:tc>
          <w:tcPr>
            <w:tcW w:w="811" w:type="dxa"/>
            <w:tcBorders>
              <w:top w:val="single" w:sz="4" w:space="0" w:color="auto"/>
              <w:left w:val="single" w:sz="4" w:space="0" w:color="auto"/>
              <w:right w:val="single" w:sz="4" w:space="0" w:color="auto"/>
            </w:tcBorders>
            <w:shd w:val="clear" w:color="auto" w:fill="006A71"/>
            <w:vAlign w:val="bottom"/>
          </w:tcPr>
          <w:p w14:paraId="08279CAF" w14:textId="77777777" w:rsidR="0054737D" w:rsidRPr="00411832" w:rsidRDefault="0054737D" w:rsidP="00330C7B">
            <w:pPr>
              <w:pStyle w:val="IRPsanstext"/>
              <w:spacing w:line="276" w:lineRule="auto"/>
              <w:jc w:val="center"/>
              <w:rPr>
                <w:rFonts w:eastAsia="Times New Roman" w:cs="Arial"/>
                <w:b/>
                <w:bCs/>
                <w:color w:val="FFFFFF"/>
                <w:sz w:val="16"/>
                <w:szCs w:val="16"/>
              </w:rPr>
            </w:pPr>
            <w:r w:rsidRPr="00411832">
              <w:rPr>
                <w:rFonts w:eastAsia="Times New Roman" w:cs="Arial"/>
                <w:b/>
                <w:bCs/>
                <w:color w:val="FFFFFF"/>
                <w:sz w:val="16"/>
                <w:szCs w:val="16"/>
              </w:rPr>
              <w:t>Benefit/cost Ratio</w:t>
            </w:r>
          </w:p>
        </w:tc>
        <w:tc>
          <w:tcPr>
            <w:tcW w:w="1159" w:type="dxa"/>
            <w:tcBorders>
              <w:top w:val="single" w:sz="4" w:space="0" w:color="auto"/>
              <w:left w:val="single" w:sz="4" w:space="0" w:color="auto"/>
              <w:right w:val="single" w:sz="4" w:space="0" w:color="auto"/>
            </w:tcBorders>
            <w:shd w:val="clear" w:color="auto" w:fill="006A71"/>
            <w:vAlign w:val="bottom"/>
          </w:tcPr>
          <w:p w14:paraId="72B2A63C" w14:textId="77777777" w:rsidR="0054737D" w:rsidRPr="00411832" w:rsidRDefault="0054737D" w:rsidP="00330C7B">
            <w:pPr>
              <w:pStyle w:val="IRPsanstext"/>
              <w:spacing w:line="276" w:lineRule="auto"/>
              <w:jc w:val="center"/>
              <w:rPr>
                <w:rFonts w:eastAsia="Times New Roman" w:cs="Arial"/>
                <w:b/>
                <w:bCs/>
                <w:color w:val="FFFFFF"/>
                <w:sz w:val="16"/>
                <w:szCs w:val="16"/>
              </w:rPr>
            </w:pPr>
            <w:r w:rsidRPr="00411832">
              <w:rPr>
                <w:rFonts w:eastAsia="Times New Roman" w:cs="Arial"/>
                <w:b/>
                <w:bCs/>
                <w:color w:val="FFFFFF"/>
                <w:sz w:val="16"/>
                <w:szCs w:val="16"/>
              </w:rPr>
              <w:t xml:space="preserve">Reliability Risk TVar90 of VOLL </w:t>
            </w:r>
          </w:p>
        </w:tc>
        <w:tc>
          <w:tcPr>
            <w:tcW w:w="1001" w:type="dxa"/>
            <w:tcBorders>
              <w:top w:val="single" w:sz="4" w:space="0" w:color="auto"/>
              <w:left w:val="single" w:sz="4" w:space="0" w:color="auto"/>
              <w:right w:val="single" w:sz="4" w:space="0" w:color="auto"/>
            </w:tcBorders>
            <w:shd w:val="clear" w:color="auto" w:fill="006A71"/>
            <w:vAlign w:val="bottom"/>
          </w:tcPr>
          <w:p w14:paraId="4AA042A2" w14:textId="77777777" w:rsidR="0054737D" w:rsidRPr="00411832" w:rsidRDefault="0054737D" w:rsidP="00330C7B">
            <w:pPr>
              <w:pStyle w:val="IRPsanstext"/>
              <w:spacing w:line="276" w:lineRule="auto"/>
              <w:jc w:val="center"/>
              <w:rPr>
                <w:rFonts w:eastAsia="Times New Roman" w:cs="Arial"/>
                <w:b/>
                <w:bCs/>
                <w:color w:val="FFFFFF"/>
                <w:sz w:val="16"/>
                <w:szCs w:val="16"/>
              </w:rPr>
            </w:pPr>
            <w:r w:rsidRPr="00411832">
              <w:rPr>
                <w:rFonts w:eastAsia="Times New Roman" w:cs="Arial"/>
                <w:b/>
                <w:bCs/>
                <w:color w:val="FFFFFF"/>
                <w:sz w:val="16"/>
                <w:szCs w:val="16"/>
              </w:rPr>
              <w:t xml:space="preserve">Reduction in VOLL risk </w:t>
            </w:r>
          </w:p>
        </w:tc>
      </w:tr>
      <w:tr w:rsidR="0054737D" w:rsidRPr="00B956D8" w14:paraId="554FF342" w14:textId="77777777">
        <w:trPr>
          <w:trHeight w:val="372"/>
        </w:trPr>
        <w:tc>
          <w:tcPr>
            <w:tcW w:w="915" w:type="dxa"/>
            <w:tcBorders>
              <w:top w:val="single" w:sz="4" w:space="0" w:color="auto"/>
              <w:left w:val="single" w:sz="4" w:space="0" w:color="auto"/>
              <w:bottom w:val="single" w:sz="4" w:space="0" w:color="auto"/>
              <w:right w:val="nil"/>
            </w:tcBorders>
            <w:shd w:val="clear" w:color="auto" w:fill="auto"/>
            <w:noWrap/>
            <w:vAlign w:val="center"/>
          </w:tcPr>
          <w:p w14:paraId="21704449"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86209"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5D5DD7B" w14:textId="77777777" w:rsidR="0054737D" w:rsidRPr="00411832" w:rsidRDefault="0054737D" w:rsidP="0054737D">
            <w:pPr>
              <w:pStyle w:val="IRPsanstext"/>
              <w:jc w:val="center"/>
              <w:rPr>
                <w:rFonts w:eastAsia="Times New Roman" w:cs="Arial"/>
                <w:bCs/>
                <w:color w:val="000000"/>
                <w:sz w:val="16"/>
                <w:szCs w:val="16"/>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89E90A1"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98</w:t>
            </w: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14:paraId="461F14E7" w14:textId="77777777" w:rsidR="0054737D" w:rsidRPr="00411832" w:rsidRDefault="0054737D" w:rsidP="0054737D">
            <w:pPr>
              <w:pStyle w:val="IRPsanstext"/>
              <w:jc w:val="center"/>
              <w:rPr>
                <w:rFonts w:eastAsia="Times New Roman" w:cs="Arial"/>
                <w:bCs/>
                <w:color w:val="000000"/>
                <w:sz w:val="16"/>
                <w:szCs w:val="16"/>
              </w:rPr>
            </w:pPr>
          </w:p>
        </w:tc>
        <w:tc>
          <w:tcPr>
            <w:tcW w:w="811" w:type="dxa"/>
            <w:tcBorders>
              <w:top w:val="single" w:sz="4" w:space="0" w:color="auto"/>
              <w:left w:val="single" w:sz="4" w:space="0" w:color="auto"/>
              <w:bottom w:val="single" w:sz="4" w:space="0" w:color="auto"/>
              <w:right w:val="single" w:sz="4" w:space="0" w:color="auto"/>
            </w:tcBorders>
            <w:vAlign w:val="center"/>
          </w:tcPr>
          <w:p w14:paraId="3171C666" w14:textId="77777777" w:rsidR="0054737D" w:rsidRPr="00411832" w:rsidRDefault="0054737D" w:rsidP="0054737D">
            <w:pPr>
              <w:pStyle w:val="IRPsanstext"/>
              <w:jc w:val="center"/>
              <w:rPr>
                <w:rFonts w:eastAsia="Times New Roman" w:cs="Arial"/>
                <w:bCs/>
                <w:color w:val="000000"/>
                <w:sz w:val="16"/>
                <w:szCs w:val="16"/>
              </w:rPr>
            </w:pPr>
          </w:p>
        </w:tc>
        <w:tc>
          <w:tcPr>
            <w:tcW w:w="1159" w:type="dxa"/>
            <w:tcBorders>
              <w:top w:val="single" w:sz="4" w:space="0" w:color="auto"/>
              <w:left w:val="single" w:sz="4" w:space="0" w:color="auto"/>
              <w:bottom w:val="single" w:sz="4" w:space="0" w:color="auto"/>
              <w:right w:val="single" w:sz="4" w:space="0" w:color="auto"/>
            </w:tcBorders>
            <w:vAlign w:val="center"/>
          </w:tcPr>
          <w:p w14:paraId="74D500C8"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989</w:t>
            </w:r>
          </w:p>
        </w:tc>
        <w:tc>
          <w:tcPr>
            <w:tcW w:w="1001" w:type="dxa"/>
            <w:tcBorders>
              <w:top w:val="single" w:sz="4" w:space="0" w:color="auto"/>
              <w:left w:val="single" w:sz="4" w:space="0" w:color="auto"/>
              <w:bottom w:val="single" w:sz="4" w:space="0" w:color="auto"/>
              <w:right w:val="single" w:sz="4" w:space="0" w:color="auto"/>
            </w:tcBorders>
            <w:vAlign w:val="center"/>
          </w:tcPr>
          <w:p w14:paraId="2A8BEEAC" w14:textId="77777777" w:rsidR="0054737D" w:rsidRPr="00411832" w:rsidRDefault="0054737D" w:rsidP="0054737D">
            <w:pPr>
              <w:pStyle w:val="IRPsanstext"/>
              <w:jc w:val="center"/>
              <w:rPr>
                <w:rFonts w:eastAsia="Times New Roman" w:cs="Arial"/>
                <w:bCs/>
                <w:color w:val="000000"/>
                <w:sz w:val="16"/>
                <w:szCs w:val="16"/>
              </w:rPr>
            </w:pPr>
          </w:p>
        </w:tc>
      </w:tr>
      <w:tr w:rsidR="0054737D" w:rsidRPr="00B956D8" w14:paraId="5C1B48A5" w14:textId="77777777">
        <w:trPr>
          <w:trHeight w:val="372"/>
        </w:trPr>
        <w:tc>
          <w:tcPr>
            <w:tcW w:w="915" w:type="dxa"/>
            <w:tcBorders>
              <w:top w:val="single" w:sz="4" w:space="0" w:color="auto"/>
              <w:left w:val="single" w:sz="4" w:space="0" w:color="auto"/>
              <w:bottom w:val="single" w:sz="4" w:space="0" w:color="auto"/>
              <w:right w:val="nil"/>
            </w:tcBorders>
            <w:shd w:val="clear" w:color="auto" w:fill="auto"/>
            <w:noWrap/>
            <w:vAlign w:val="center"/>
          </w:tcPr>
          <w:p w14:paraId="7733FC58"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4C637"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18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514E467"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18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D8B14A5"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64</w:t>
            </w: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14:paraId="7BA3AD84"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33</w:t>
            </w:r>
          </w:p>
        </w:tc>
        <w:tc>
          <w:tcPr>
            <w:tcW w:w="811" w:type="dxa"/>
            <w:tcBorders>
              <w:top w:val="single" w:sz="4" w:space="0" w:color="auto"/>
              <w:left w:val="single" w:sz="4" w:space="0" w:color="auto"/>
              <w:bottom w:val="single" w:sz="4" w:space="0" w:color="auto"/>
              <w:right w:val="single" w:sz="4" w:space="0" w:color="auto"/>
            </w:tcBorders>
            <w:vAlign w:val="center"/>
          </w:tcPr>
          <w:p w14:paraId="5144AE44"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1.8</w:t>
            </w:r>
          </w:p>
        </w:tc>
        <w:tc>
          <w:tcPr>
            <w:tcW w:w="1159" w:type="dxa"/>
            <w:tcBorders>
              <w:top w:val="single" w:sz="4" w:space="0" w:color="auto"/>
              <w:left w:val="single" w:sz="4" w:space="0" w:color="auto"/>
              <w:bottom w:val="single" w:sz="4" w:space="0" w:color="auto"/>
              <w:right w:val="single" w:sz="4" w:space="0" w:color="auto"/>
            </w:tcBorders>
            <w:vAlign w:val="center"/>
          </w:tcPr>
          <w:p w14:paraId="52DE56B8"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641</w:t>
            </w:r>
          </w:p>
        </w:tc>
        <w:tc>
          <w:tcPr>
            <w:tcW w:w="1001" w:type="dxa"/>
            <w:tcBorders>
              <w:top w:val="single" w:sz="4" w:space="0" w:color="auto"/>
              <w:left w:val="single" w:sz="4" w:space="0" w:color="auto"/>
              <w:bottom w:val="single" w:sz="4" w:space="0" w:color="auto"/>
              <w:right w:val="single" w:sz="4" w:space="0" w:color="auto"/>
            </w:tcBorders>
            <w:vAlign w:val="center"/>
          </w:tcPr>
          <w:p w14:paraId="36B1BFE3"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348</w:t>
            </w:r>
          </w:p>
        </w:tc>
      </w:tr>
      <w:tr w:rsidR="0054737D" w:rsidRPr="00B956D8" w14:paraId="3731E55B" w14:textId="77777777">
        <w:trPr>
          <w:trHeight w:val="372"/>
        </w:trPr>
        <w:tc>
          <w:tcPr>
            <w:tcW w:w="915" w:type="dxa"/>
            <w:tcBorders>
              <w:top w:val="single" w:sz="4" w:space="0" w:color="auto"/>
              <w:left w:val="single" w:sz="4" w:space="0" w:color="auto"/>
              <w:bottom w:val="single" w:sz="4" w:space="0" w:color="auto"/>
              <w:right w:val="nil"/>
            </w:tcBorders>
            <w:shd w:val="clear" w:color="auto" w:fill="BFBFBF"/>
            <w:noWrap/>
            <w:vAlign w:val="center"/>
          </w:tcPr>
          <w:p w14:paraId="1DBED256"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234*</w:t>
            </w:r>
          </w:p>
        </w:tc>
        <w:tc>
          <w:tcPr>
            <w:tcW w:w="990"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3C97F267"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43</w:t>
            </w:r>
          </w:p>
        </w:tc>
        <w:tc>
          <w:tcPr>
            <w:tcW w:w="1170" w:type="dxa"/>
            <w:tcBorders>
              <w:top w:val="single" w:sz="4" w:space="0" w:color="auto"/>
              <w:left w:val="single" w:sz="4" w:space="0" w:color="auto"/>
              <w:bottom w:val="single" w:sz="4" w:space="0" w:color="auto"/>
              <w:right w:val="single" w:sz="4" w:space="0" w:color="auto"/>
            </w:tcBorders>
            <w:shd w:val="clear" w:color="auto" w:fill="BFBFBF"/>
            <w:vAlign w:val="center"/>
          </w:tcPr>
          <w:p w14:paraId="2C3B25FF"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25</w:t>
            </w:r>
          </w:p>
        </w:tc>
        <w:tc>
          <w:tcPr>
            <w:tcW w:w="990" w:type="dxa"/>
            <w:tcBorders>
              <w:top w:val="single" w:sz="4" w:space="0" w:color="auto"/>
              <w:left w:val="single" w:sz="4" w:space="0" w:color="auto"/>
              <w:bottom w:val="single" w:sz="4" w:space="0" w:color="auto"/>
              <w:right w:val="single" w:sz="4" w:space="0" w:color="auto"/>
            </w:tcBorders>
            <w:shd w:val="clear" w:color="auto" w:fill="BFBFBF"/>
            <w:vAlign w:val="center"/>
          </w:tcPr>
          <w:p w14:paraId="742D7389"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39</w:t>
            </w:r>
          </w:p>
        </w:tc>
        <w:tc>
          <w:tcPr>
            <w:tcW w:w="1529" w:type="dxa"/>
            <w:tcBorders>
              <w:top w:val="single" w:sz="4" w:space="0" w:color="auto"/>
              <w:left w:val="single" w:sz="4" w:space="0" w:color="auto"/>
              <w:bottom w:val="single" w:sz="4" w:space="0" w:color="auto"/>
              <w:right w:val="single" w:sz="4" w:space="0" w:color="auto"/>
            </w:tcBorders>
            <w:shd w:val="clear" w:color="auto" w:fill="BFBFBF"/>
            <w:vAlign w:val="center"/>
          </w:tcPr>
          <w:p w14:paraId="0EB64F0D"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25</w:t>
            </w:r>
          </w:p>
        </w:tc>
        <w:tc>
          <w:tcPr>
            <w:tcW w:w="811" w:type="dxa"/>
            <w:tcBorders>
              <w:top w:val="single" w:sz="4" w:space="0" w:color="auto"/>
              <w:left w:val="single" w:sz="4" w:space="0" w:color="auto"/>
              <w:bottom w:val="single" w:sz="4" w:space="0" w:color="auto"/>
              <w:right w:val="single" w:sz="4" w:space="0" w:color="auto"/>
            </w:tcBorders>
            <w:shd w:val="clear" w:color="auto" w:fill="BFBFBF"/>
            <w:vAlign w:val="center"/>
          </w:tcPr>
          <w:p w14:paraId="03035801"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1.0</w:t>
            </w:r>
          </w:p>
        </w:tc>
        <w:tc>
          <w:tcPr>
            <w:tcW w:w="1159" w:type="dxa"/>
            <w:tcBorders>
              <w:top w:val="single" w:sz="4" w:space="0" w:color="auto"/>
              <w:left w:val="single" w:sz="4" w:space="0" w:color="auto"/>
              <w:bottom w:val="single" w:sz="4" w:space="0" w:color="auto"/>
              <w:right w:val="single" w:sz="4" w:space="0" w:color="auto"/>
            </w:tcBorders>
            <w:shd w:val="clear" w:color="auto" w:fill="BFBFBF"/>
            <w:vAlign w:val="center"/>
          </w:tcPr>
          <w:p w14:paraId="3253CD45"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385</w:t>
            </w:r>
          </w:p>
        </w:tc>
        <w:tc>
          <w:tcPr>
            <w:tcW w:w="1001" w:type="dxa"/>
            <w:tcBorders>
              <w:top w:val="single" w:sz="4" w:space="0" w:color="auto"/>
              <w:left w:val="single" w:sz="4" w:space="0" w:color="auto"/>
              <w:bottom w:val="single" w:sz="4" w:space="0" w:color="auto"/>
              <w:right w:val="single" w:sz="4" w:space="0" w:color="auto"/>
            </w:tcBorders>
            <w:shd w:val="clear" w:color="auto" w:fill="BFBFBF"/>
            <w:vAlign w:val="center"/>
          </w:tcPr>
          <w:p w14:paraId="53F69EAB"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257</w:t>
            </w:r>
          </w:p>
        </w:tc>
      </w:tr>
      <w:tr w:rsidR="0054737D" w:rsidRPr="00B956D8" w14:paraId="38F71964" w14:textId="77777777">
        <w:trPr>
          <w:trHeight w:val="372"/>
        </w:trPr>
        <w:tc>
          <w:tcPr>
            <w:tcW w:w="915" w:type="dxa"/>
            <w:tcBorders>
              <w:top w:val="single" w:sz="4" w:space="0" w:color="auto"/>
              <w:left w:val="single" w:sz="4" w:space="0" w:color="auto"/>
              <w:bottom w:val="single" w:sz="4" w:space="0" w:color="auto"/>
              <w:right w:val="nil"/>
            </w:tcBorders>
            <w:shd w:val="clear" w:color="auto" w:fill="auto"/>
            <w:noWrap/>
            <w:vAlign w:val="center"/>
          </w:tcPr>
          <w:p w14:paraId="1038A8BB"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300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DCB26"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55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E575A00"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12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824B31A"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30</w:t>
            </w: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14:paraId="22F7C516"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9</w:t>
            </w:r>
          </w:p>
        </w:tc>
        <w:tc>
          <w:tcPr>
            <w:tcW w:w="811" w:type="dxa"/>
            <w:tcBorders>
              <w:top w:val="single" w:sz="4" w:space="0" w:color="auto"/>
              <w:left w:val="single" w:sz="4" w:space="0" w:color="auto"/>
              <w:bottom w:val="single" w:sz="4" w:space="0" w:color="auto"/>
              <w:right w:val="single" w:sz="4" w:space="0" w:color="auto"/>
            </w:tcBorders>
            <w:vAlign w:val="center"/>
          </w:tcPr>
          <w:p w14:paraId="1650B243"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0.7</w:t>
            </w:r>
          </w:p>
        </w:tc>
        <w:tc>
          <w:tcPr>
            <w:tcW w:w="1159" w:type="dxa"/>
            <w:tcBorders>
              <w:top w:val="single" w:sz="4" w:space="0" w:color="auto"/>
              <w:left w:val="single" w:sz="4" w:space="0" w:color="auto"/>
              <w:bottom w:val="single" w:sz="4" w:space="0" w:color="auto"/>
              <w:right w:val="single" w:sz="4" w:space="0" w:color="auto"/>
            </w:tcBorders>
            <w:vAlign w:val="center"/>
          </w:tcPr>
          <w:p w14:paraId="30D382F1"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299</w:t>
            </w:r>
          </w:p>
        </w:tc>
        <w:tc>
          <w:tcPr>
            <w:tcW w:w="1001" w:type="dxa"/>
            <w:tcBorders>
              <w:top w:val="single" w:sz="4" w:space="0" w:color="auto"/>
              <w:left w:val="single" w:sz="4" w:space="0" w:color="auto"/>
              <w:bottom w:val="single" w:sz="4" w:space="0" w:color="auto"/>
              <w:right w:val="single" w:sz="4" w:space="0" w:color="auto"/>
            </w:tcBorders>
            <w:vAlign w:val="center"/>
          </w:tcPr>
          <w:p w14:paraId="3D531FC8" w14:textId="77777777" w:rsidR="0054737D" w:rsidRPr="00411832" w:rsidRDefault="0054737D" w:rsidP="0054737D">
            <w:pPr>
              <w:pStyle w:val="IRPsanstext"/>
              <w:jc w:val="center"/>
              <w:rPr>
                <w:rFonts w:eastAsia="Times New Roman" w:cs="Arial"/>
                <w:bCs/>
                <w:color w:val="000000"/>
                <w:sz w:val="16"/>
                <w:szCs w:val="16"/>
              </w:rPr>
            </w:pPr>
            <w:r w:rsidRPr="00411832">
              <w:rPr>
                <w:rFonts w:eastAsia="Times New Roman" w:cs="Arial"/>
                <w:bCs/>
                <w:color w:val="000000"/>
                <w:sz w:val="16"/>
                <w:szCs w:val="16"/>
              </w:rPr>
              <w:t>86</w:t>
            </w:r>
          </w:p>
        </w:tc>
      </w:tr>
    </w:tbl>
    <w:p w14:paraId="7A95F415" w14:textId="77777777" w:rsidR="0054737D" w:rsidRDefault="0054737D" w:rsidP="0054737D">
      <w:pPr>
        <w:pStyle w:val="IRPtitle"/>
        <w:spacing w:line="300" w:lineRule="auto"/>
        <w:ind w:left="0" w:firstLine="0"/>
        <w:rPr>
          <w:rFonts w:ascii="Arial" w:hAnsi="Arial" w:cs="Arial"/>
          <w:sz w:val="16"/>
          <w:szCs w:val="16"/>
        </w:rPr>
      </w:pPr>
    </w:p>
    <w:p w14:paraId="65C1B2E7" w14:textId="77777777" w:rsidR="005078E2" w:rsidRPr="00553691" w:rsidRDefault="005078E2" w:rsidP="005078E2">
      <w:pPr>
        <w:pStyle w:val="IRPtitle"/>
        <w:spacing w:line="300" w:lineRule="auto"/>
        <w:ind w:left="0" w:firstLine="0"/>
        <w:rPr>
          <w:rFonts w:cs="Arial"/>
          <w:i/>
          <w:sz w:val="20"/>
          <w:szCs w:val="16"/>
        </w:rPr>
      </w:pPr>
      <w:r w:rsidRPr="00553691">
        <w:rPr>
          <w:rFonts w:cs="Arial"/>
          <w:i/>
          <w:sz w:val="20"/>
          <w:szCs w:val="16"/>
        </w:rPr>
        <w:t>* 2015 Optimal Planning Standard</w:t>
      </w:r>
    </w:p>
    <w:p w14:paraId="52F929B3" w14:textId="77777777" w:rsidR="00FF2CB2" w:rsidRDefault="00FF2CB2" w:rsidP="0054737D">
      <w:pPr>
        <w:pStyle w:val="IRPtitle"/>
        <w:spacing w:line="300" w:lineRule="auto"/>
        <w:ind w:left="0" w:firstLine="0"/>
        <w:rPr>
          <w:rFonts w:ascii="Arial" w:hAnsi="Arial" w:cs="Arial"/>
          <w:sz w:val="20"/>
          <w:szCs w:val="20"/>
        </w:rPr>
      </w:pPr>
    </w:p>
    <w:p w14:paraId="3BC19371" w14:textId="77777777" w:rsidR="0054737D" w:rsidRDefault="00855BD7" w:rsidP="00F26524">
      <w:pPr>
        <w:pStyle w:val="IRPsanstext"/>
      </w:pPr>
      <w:r>
        <w:t>Figure 6-4</w:t>
      </w:r>
      <w:r w:rsidR="0054737D" w:rsidRPr="009524AC">
        <w:t xml:space="preserve"> illustrates where the marginal benefit and marginal cost of reliability to customers intersects </w:t>
      </w:r>
      <w:r w:rsidR="0054737D">
        <w:t>using</w:t>
      </w:r>
      <w:r w:rsidR="0054737D" w:rsidRPr="009524AC">
        <w:t xml:space="preserve"> the </w:t>
      </w:r>
      <w:r w:rsidR="0054737D">
        <w:t>2015 O</w:t>
      </w:r>
      <w:r w:rsidR="0054737D" w:rsidRPr="009524AC">
        <w:t xml:space="preserve">ptimal </w:t>
      </w:r>
      <w:r w:rsidR="0054737D">
        <w:t>P</w:t>
      </w:r>
      <w:r w:rsidR="0054737D" w:rsidRPr="009524AC">
        <w:t xml:space="preserve">lanning </w:t>
      </w:r>
      <w:r w:rsidR="0054737D">
        <w:t>S</w:t>
      </w:r>
      <w:r>
        <w:t xml:space="preserve">tandard. </w:t>
      </w:r>
      <w:r w:rsidR="0054737D" w:rsidRPr="009524AC">
        <w:t>This chart shows that as generation increases, the incremental benefit created by that addition falls. This is because fewer and fewer outages are avoided by the increased generation. The incremental cost is constant (shown here as the incremental cost of adding 100 MW blocks of generation). The chart shows that if we stopped adding generation before 234 MW, we would be leaving value on the table for customers, because the benefits exceed costs up to that point.  On the other hand, adding generation beyond 234 MW would cost customers more than it saves, reducing the net benefit to customers to below the $</w:t>
      </w:r>
      <w:r w:rsidR="0054737D">
        <w:t xml:space="preserve">67 million per </w:t>
      </w:r>
      <w:r w:rsidR="0054737D" w:rsidRPr="009524AC">
        <w:t xml:space="preserve">year. </w:t>
      </w:r>
    </w:p>
    <w:p w14:paraId="0C42209C" w14:textId="77777777" w:rsidR="0054737D" w:rsidRPr="009524AC" w:rsidRDefault="0054737D" w:rsidP="0054737D">
      <w:pPr>
        <w:pStyle w:val="IRPtitle"/>
        <w:spacing w:line="300" w:lineRule="auto"/>
        <w:ind w:left="0" w:firstLine="0"/>
        <w:rPr>
          <w:rFonts w:ascii="Arial" w:hAnsi="Arial" w:cs="Arial"/>
          <w:sz w:val="20"/>
          <w:szCs w:val="20"/>
        </w:rPr>
      </w:pPr>
      <w:r w:rsidRPr="009524AC">
        <w:rPr>
          <w:rFonts w:ascii="Arial" w:hAnsi="Arial" w:cs="Arial"/>
          <w:sz w:val="20"/>
          <w:szCs w:val="20"/>
        </w:rPr>
        <w:t xml:space="preserve"> </w:t>
      </w:r>
    </w:p>
    <w:p w14:paraId="5FE9A9E1" w14:textId="77777777" w:rsidR="00855BD7" w:rsidRDefault="00855BD7">
      <w:r>
        <w:br w:type="page"/>
      </w:r>
    </w:p>
    <w:p w14:paraId="22271932" w14:textId="77777777" w:rsidR="0054737D" w:rsidRPr="00FF2CB2" w:rsidRDefault="00855BD7" w:rsidP="00FF2CB2">
      <w:pPr>
        <w:pStyle w:val="IRPsanstext"/>
        <w:spacing w:after="120"/>
        <w:jc w:val="center"/>
        <w:rPr>
          <w:i/>
        </w:rPr>
      </w:pPr>
      <w:r w:rsidRPr="00FF2CB2">
        <w:rPr>
          <w:i/>
        </w:rPr>
        <w:lastRenderedPageBreak/>
        <w:t>Figure 6-4</w:t>
      </w:r>
      <w:r w:rsidR="0054737D" w:rsidRPr="00FF2CB2">
        <w:rPr>
          <w:i/>
        </w:rPr>
        <w:t>: Marginal Benefit of Reliability, 2015 Optimal Planning Standard</w:t>
      </w:r>
    </w:p>
    <w:p w14:paraId="50FE61B0" w14:textId="77777777" w:rsidR="0054737D" w:rsidRDefault="0054737D" w:rsidP="0054737D">
      <w:r>
        <w:rPr>
          <w:noProof/>
          <w:lang w:eastAsia="en-US"/>
        </w:rPr>
        <w:drawing>
          <wp:inline distT="0" distB="0" distL="0" distR="0" wp14:anchorId="14142B93" wp14:editId="64D87440">
            <wp:extent cx="5320413" cy="292354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5320413" cy="2923540"/>
                    </a:xfrm>
                    <a:prstGeom prst="rect">
                      <a:avLst/>
                    </a:prstGeom>
                    <a:noFill/>
                    <a:ln w="9525">
                      <a:noFill/>
                      <a:miter lim="800000"/>
                      <a:headEnd/>
                      <a:tailEnd/>
                    </a:ln>
                  </pic:spPr>
                </pic:pic>
              </a:graphicData>
            </a:graphic>
          </wp:inline>
        </w:drawing>
      </w:r>
    </w:p>
    <w:p w14:paraId="49F68490" w14:textId="77777777" w:rsidR="0054737D" w:rsidRDefault="0054737D" w:rsidP="0054737D"/>
    <w:p w14:paraId="11486A2C" w14:textId="77777777" w:rsidR="0054737D" w:rsidRDefault="0054737D" w:rsidP="0054737D"/>
    <w:p w14:paraId="221DD601" w14:textId="77777777" w:rsidR="0054737D" w:rsidRPr="00D97A93" w:rsidRDefault="0054737D" w:rsidP="00F26524">
      <w:pPr>
        <w:pStyle w:val="IRPsanstext"/>
      </w:pPr>
      <w:r w:rsidRPr="009524AC">
        <w:t>Using this cost/benefit approach will enable us to continue to identi</w:t>
      </w:r>
      <w:r>
        <w:t>fy the optimal planning margin</w:t>
      </w:r>
      <w:r w:rsidRPr="009524AC">
        <w:t xml:space="preserve"> even as conditions in the region and PSE’s service territory change over time.</w:t>
      </w:r>
      <w:r>
        <w:t xml:space="preserve"> </w:t>
      </w:r>
    </w:p>
    <w:p w14:paraId="6DA7AACB" w14:textId="77777777" w:rsidR="0054737D" w:rsidRDefault="0054737D" w:rsidP="0054737D">
      <w:pPr>
        <w:spacing w:line="320" w:lineRule="exact"/>
        <w:rPr>
          <w:rFonts w:ascii="Arial" w:hAnsi="Arial" w:cs="Arial"/>
          <w:sz w:val="20"/>
          <w:szCs w:val="20"/>
        </w:rPr>
      </w:pPr>
    </w:p>
    <w:p w14:paraId="5450240F" w14:textId="77777777" w:rsidR="00855BD7" w:rsidRDefault="00855BD7">
      <w:pPr>
        <w:rPr>
          <w:rFonts w:ascii="Arial" w:hAnsi="Arial"/>
          <w:sz w:val="20"/>
          <w:szCs w:val="20"/>
        </w:rPr>
      </w:pPr>
      <w:r>
        <w:br w:type="page"/>
      </w:r>
    </w:p>
    <w:p w14:paraId="21842619" w14:textId="77777777" w:rsidR="0054737D" w:rsidRPr="00D02777" w:rsidRDefault="00855BD7" w:rsidP="0054737D">
      <w:pPr>
        <w:pStyle w:val="IRPsanstext"/>
      </w:pPr>
      <w:r>
        <w:lastRenderedPageBreak/>
        <w:t>Figure 6-5</w:t>
      </w:r>
      <w:r w:rsidR="0054737D" w:rsidRPr="004B7169">
        <w:t xml:space="preserve"> compares </w:t>
      </w:r>
      <w:r w:rsidR="0054737D">
        <w:t xml:space="preserve">the </w:t>
      </w:r>
      <w:r w:rsidR="0054737D" w:rsidRPr="004B7169">
        <w:t xml:space="preserve">winter peak </w:t>
      </w:r>
      <w:r w:rsidR="0054737D">
        <w:t xml:space="preserve">resource </w:t>
      </w:r>
      <w:r w:rsidR="0054737D" w:rsidRPr="004B7169">
        <w:t xml:space="preserve">need </w:t>
      </w:r>
      <w:r w:rsidR="0054737D">
        <w:t xml:space="preserve">under the 2013 Planning Standard </w:t>
      </w:r>
      <w:r w:rsidR="0054737D" w:rsidRPr="004B7169">
        <w:t xml:space="preserve">to </w:t>
      </w:r>
      <w:r w:rsidR="0054737D">
        <w:t xml:space="preserve">the </w:t>
      </w:r>
      <w:r w:rsidR="0054737D" w:rsidRPr="004B7169">
        <w:t xml:space="preserve">winter peak need </w:t>
      </w:r>
      <w:r w:rsidR="0054737D">
        <w:t>under the 2015 Optimal Planning Standard.</w:t>
      </w:r>
    </w:p>
    <w:p w14:paraId="65B64DF8" w14:textId="77777777" w:rsidR="0054737D" w:rsidRDefault="0054737D" w:rsidP="0054737D">
      <w:pPr>
        <w:pStyle w:val="IRPsanstext"/>
      </w:pPr>
    </w:p>
    <w:p w14:paraId="1DDA0879" w14:textId="77777777" w:rsidR="0054737D" w:rsidRPr="00884900" w:rsidRDefault="00855BD7" w:rsidP="0054737D">
      <w:pPr>
        <w:jc w:val="center"/>
        <w:rPr>
          <w:rFonts w:ascii="Arial" w:hAnsi="Arial"/>
          <w:i/>
          <w:sz w:val="20"/>
        </w:rPr>
      </w:pPr>
      <w:r>
        <w:rPr>
          <w:rFonts w:ascii="Arial" w:hAnsi="Arial"/>
          <w:i/>
          <w:sz w:val="20"/>
          <w:szCs w:val="20"/>
        </w:rPr>
        <w:t>Figure 6-5:</w:t>
      </w:r>
      <w:r w:rsidR="0054737D">
        <w:rPr>
          <w:rFonts w:ascii="Arial" w:hAnsi="Arial"/>
          <w:i/>
          <w:sz w:val="20"/>
          <w:szCs w:val="20"/>
        </w:rPr>
        <w:t xml:space="preserve"> December Peak Capacity Need </w:t>
      </w:r>
      <w:r w:rsidR="0054737D" w:rsidRPr="00884900">
        <w:rPr>
          <w:rFonts w:ascii="Arial" w:hAnsi="Arial"/>
          <w:i/>
          <w:sz w:val="20"/>
        </w:rPr>
        <w:t>after Demand-side Resources</w:t>
      </w:r>
      <w:r w:rsidR="0054737D">
        <w:rPr>
          <w:rFonts w:ascii="Arial" w:hAnsi="Arial"/>
          <w:i/>
          <w:sz w:val="20"/>
        </w:rPr>
        <w:t>,</w:t>
      </w:r>
    </w:p>
    <w:p w14:paraId="5083DA94" w14:textId="77777777" w:rsidR="0054737D" w:rsidRPr="00FF2CB2" w:rsidRDefault="0054737D" w:rsidP="00FF2CB2">
      <w:pPr>
        <w:jc w:val="center"/>
        <w:rPr>
          <w:rFonts w:ascii="Arial" w:hAnsi="Arial"/>
          <w:sz w:val="20"/>
        </w:rPr>
      </w:pPr>
      <w:r>
        <w:rPr>
          <w:rFonts w:ascii="Arial" w:hAnsi="Arial"/>
          <w:i/>
          <w:sz w:val="20"/>
          <w:szCs w:val="20"/>
        </w:rPr>
        <w:t>2015 and 2013 Planning Standards</w:t>
      </w:r>
    </w:p>
    <w:p w14:paraId="6D654AB0" w14:textId="77777777" w:rsidR="0054737D" w:rsidRDefault="0054737D" w:rsidP="0054737D">
      <w:pPr>
        <w:pStyle w:val="IRPsanstext"/>
        <w:rPr>
          <w:rFonts w:cs="Arial"/>
          <w:sz w:val="32"/>
          <w:szCs w:val="32"/>
        </w:rPr>
      </w:pPr>
      <w:r>
        <w:rPr>
          <w:noProof/>
          <w:lang w:eastAsia="en-US"/>
        </w:rPr>
        <w:drawing>
          <wp:anchor distT="0" distB="0" distL="114300" distR="114300" simplePos="0" relativeHeight="251664896" behindDoc="0" locked="0" layoutInCell="1" allowOverlap="1" wp14:anchorId="5EF0B0E3" wp14:editId="52BED50C">
            <wp:simplePos x="0" y="0"/>
            <wp:positionH relativeFrom="column">
              <wp:posOffset>53340</wp:posOffset>
            </wp:positionH>
            <wp:positionV relativeFrom="paragraph">
              <wp:posOffset>142875</wp:posOffset>
            </wp:positionV>
            <wp:extent cx="5060315" cy="3657600"/>
            <wp:effectExtent l="25400" t="0" r="0" b="0"/>
            <wp:wrapNone/>
            <wp:docPr id="18"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45"/>
                    <a:srcRect/>
                    <a:stretch>
                      <a:fillRect/>
                    </a:stretch>
                  </pic:blipFill>
                  <pic:spPr bwMode="auto">
                    <a:xfrm>
                      <a:off x="0" y="0"/>
                      <a:ext cx="5060315" cy="3657600"/>
                    </a:xfrm>
                    <a:prstGeom prst="rect">
                      <a:avLst/>
                    </a:prstGeom>
                    <a:noFill/>
                    <a:ln w="9525">
                      <a:noFill/>
                      <a:miter lim="800000"/>
                      <a:headEnd/>
                      <a:tailEnd/>
                    </a:ln>
                  </pic:spPr>
                </pic:pic>
              </a:graphicData>
            </a:graphic>
          </wp:anchor>
        </w:drawing>
      </w:r>
    </w:p>
    <w:p w14:paraId="61EF237E" w14:textId="77777777" w:rsidR="0054737D" w:rsidRDefault="0054737D" w:rsidP="0054737D">
      <w:pPr>
        <w:pStyle w:val="IRPsanstext"/>
        <w:rPr>
          <w:rFonts w:cs="Arial"/>
          <w:sz w:val="32"/>
          <w:szCs w:val="32"/>
        </w:rPr>
      </w:pPr>
    </w:p>
    <w:p w14:paraId="2E3185CC" w14:textId="77777777" w:rsidR="0054737D" w:rsidRDefault="0054737D" w:rsidP="0054737D">
      <w:pPr>
        <w:pStyle w:val="IRPsanstext"/>
        <w:rPr>
          <w:rFonts w:cs="Arial"/>
          <w:sz w:val="32"/>
          <w:szCs w:val="32"/>
        </w:rPr>
      </w:pPr>
    </w:p>
    <w:p w14:paraId="3CE6A19A" w14:textId="77777777" w:rsidR="0054737D" w:rsidRDefault="0054737D" w:rsidP="0054737D">
      <w:pPr>
        <w:pStyle w:val="IRPsanstext"/>
        <w:rPr>
          <w:rFonts w:cs="Arial"/>
          <w:sz w:val="32"/>
          <w:szCs w:val="32"/>
        </w:rPr>
      </w:pPr>
    </w:p>
    <w:p w14:paraId="76D25726" w14:textId="77777777" w:rsidR="0054737D" w:rsidRDefault="0054737D" w:rsidP="0054737D">
      <w:pPr>
        <w:pStyle w:val="IRPsanstext"/>
        <w:rPr>
          <w:rFonts w:cs="Arial"/>
          <w:sz w:val="32"/>
          <w:szCs w:val="32"/>
        </w:rPr>
      </w:pPr>
    </w:p>
    <w:p w14:paraId="7E665492" w14:textId="77777777" w:rsidR="0054737D" w:rsidRDefault="0054737D" w:rsidP="0054737D">
      <w:pPr>
        <w:pStyle w:val="IRPsanstext"/>
        <w:rPr>
          <w:rFonts w:cs="Arial"/>
          <w:sz w:val="32"/>
          <w:szCs w:val="32"/>
        </w:rPr>
      </w:pPr>
    </w:p>
    <w:p w14:paraId="36C76A56" w14:textId="77777777" w:rsidR="0054737D" w:rsidRDefault="0054737D" w:rsidP="0054737D">
      <w:pPr>
        <w:pStyle w:val="IRPsanstext"/>
        <w:rPr>
          <w:rFonts w:cs="Arial"/>
          <w:sz w:val="32"/>
          <w:szCs w:val="32"/>
        </w:rPr>
      </w:pPr>
    </w:p>
    <w:p w14:paraId="1B47447B" w14:textId="77777777" w:rsidR="0054737D" w:rsidRDefault="0054737D" w:rsidP="0054737D">
      <w:pPr>
        <w:pStyle w:val="IRPsanstext"/>
        <w:rPr>
          <w:rFonts w:cs="Arial"/>
          <w:sz w:val="32"/>
          <w:szCs w:val="32"/>
        </w:rPr>
      </w:pPr>
    </w:p>
    <w:p w14:paraId="181AD0FE" w14:textId="77777777" w:rsidR="0054737D" w:rsidRDefault="0054737D" w:rsidP="0054737D">
      <w:pPr>
        <w:pStyle w:val="IRPsanstext"/>
        <w:rPr>
          <w:rFonts w:cs="Arial"/>
          <w:sz w:val="32"/>
          <w:szCs w:val="32"/>
        </w:rPr>
      </w:pPr>
    </w:p>
    <w:p w14:paraId="57D05D7D" w14:textId="77777777" w:rsidR="0054737D" w:rsidRDefault="0054737D" w:rsidP="0054737D">
      <w:pPr>
        <w:pStyle w:val="IRPsanstext"/>
        <w:rPr>
          <w:rFonts w:cs="Arial"/>
          <w:sz w:val="32"/>
          <w:szCs w:val="32"/>
        </w:rPr>
      </w:pPr>
    </w:p>
    <w:p w14:paraId="6F9F6D9B" w14:textId="77777777" w:rsidR="0054737D" w:rsidRDefault="0054737D" w:rsidP="0054737D">
      <w:pPr>
        <w:rPr>
          <w:rFonts w:cs="Arial"/>
          <w:sz w:val="32"/>
          <w:szCs w:val="32"/>
        </w:rPr>
      </w:pPr>
    </w:p>
    <w:p w14:paraId="523CD469" w14:textId="77777777" w:rsidR="0054737D" w:rsidRDefault="0054737D" w:rsidP="0054737D">
      <w:pPr>
        <w:rPr>
          <w:rFonts w:cs="Arial"/>
          <w:sz w:val="32"/>
          <w:szCs w:val="32"/>
        </w:rPr>
      </w:pPr>
    </w:p>
    <w:p w14:paraId="02AD98CA" w14:textId="77777777" w:rsidR="0054737D" w:rsidRDefault="0054737D" w:rsidP="0054737D">
      <w:pPr>
        <w:rPr>
          <w:rFonts w:cs="Arial"/>
          <w:sz w:val="32"/>
          <w:szCs w:val="32"/>
        </w:rPr>
      </w:pPr>
    </w:p>
    <w:p w14:paraId="58CB2C49" w14:textId="77777777" w:rsidR="0054737D" w:rsidRDefault="0054737D" w:rsidP="0054737D">
      <w:pPr>
        <w:rPr>
          <w:rFonts w:cs="Arial"/>
          <w:sz w:val="32"/>
          <w:szCs w:val="32"/>
        </w:rPr>
      </w:pPr>
    </w:p>
    <w:p w14:paraId="056EE17D" w14:textId="77777777" w:rsidR="0054737D" w:rsidRDefault="0054737D" w:rsidP="0054737D">
      <w:pPr>
        <w:rPr>
          <w:rFonts w:cs="Arial"/>
          <w:sz w:val="32"/>
          <w:szCs w:val="32"/>
        </w:rPr>
      </w:pPr>
    </w:p>
    <w:p w14:paraId="09CD3149" w14:textId="77777777" w:rsidR="0054737D" w:rsidRDefault="0054737D" w:rsidP="0054737D">
      <w:pPr>
        <w:rPr>
          <w:rFonts w:cs="Arial"/>
          <w:sz w:val="32"/>
          <w:szCs w:val="32"/>
        </w:rPr>
      </w:pPr>
    </w:p>
    <w:p w14:paraId="1FE86BD4" w14:textId="77777777" w:rsidR="0054737D" w:rsidRDefault="0054737D" w:rsidP="0054737D">
      <w:pPr>
        <w:rPr>
          <w:rFonts w:cs="Arial"/>
          <w:sz w:val="32"/>
          <w:szCs w:val="32"/>
        </w:rPr>
      </w:pPr>
    </w:p>
    <w:p w14:paraId="327D613C" w14:textId="77777777" w:rsidR="0054737D" w:rsidRDefault="0054737D" w:rsidP="0054737D">
      <w:pPr>
        <w:rPr>
          <w:rFonts w:cs="Arial"/>
          <w:sz w:val="32"/>
          <w:szCs w:val="32"/>
        </w:rPr>
      </w:pPr>
    </w:p>
    <w:p w14:paraId="0F07FDA3" w14:textId="77777777" w:rsidR="0054737D" w:rsidRDefault="0054737D" w:rsidP="0054737D">
      <w:pPr>
        <w:spacing w:line="320" w:lineRule="exact"/>
        <w:rPr>
          <w:rFonts w:ascii="Arial" w:hAnsi="Arial" w:cs="Arial"/>
          <w:sz w:val="20"/>
          <w:szCs w:val="20"/>
        </w:rPr>
      </w:pPr>
    </w:p>
    <w:p w14:paraId="409A0A97" w14:textId="77777777" w:rsidR="0054737D" w:rsidRDefault="0054737D" w:rsidP="00F26524">
      <w:pPr>
        <w:pStyle w:val="IRPsanstext"/>
      </w:pPr>
      <w:r>
        <w:t>T</w:t>
      </w:r>
      <w:r w:rsidRPr="003742A6">
        <w:t>he ben</w:t>
      </w:r>
      <w:r>
        <w:t>efit/cost analysis in Figure</w:t>
      </w:r>
      <w:r w:rsidR="00855BD7">
        <w:t>s 6-3 and 6-4</w:t>
      </w:r>
      <w:r w:rsidRPr="003742A6">
        <w:t xml:space="preserve"> show a capacity addition of 234 MW, </w:t>
      </w:r>
      <w:r>
        <w:t>while</w:t>
      </w:r>
      <w:r w:rsidRPr="003742A6">
        <w:t xml:space="preserve"> the </w:t>
      </w:r>
      <w:r w:rsidR="00855BD7">
        <w:t>peak capacity need chart in Figure 6-5</w:t>
      </w:r>
      <w:r w:rsidRPr="003742A6">
        <w:t xml:space="preserve"> show</w:t>
      </w:r>
      <w:r>
        <w:t>s</w:t>
      </w:r>
      <w:r w:rsidRPr="003742A6">
        <w:t xml:space="preserve"> a 275 MW resource need in 2021 after DSM</w:t>
      </w:r>
      <w:r>
        <w:t xml:space="preserve">. </w:t>
      </w:r>
      <w:r w:rsidRPr="003742A6">
        <w:t>There are three reasons these numbers are slightly different:</w:t>
      </w:r>
    </w:p>
    <w:p w14:paraId="70951B6B" w14:textId="77777777" w:rsidR="0054737D" w:rsidRPr="003742A6" w:rsidRDefault="0054737D" w:rsidP="00F26524">
      <w:pPr>
        <w:pStyle w:val="IRPsanstext"/>
      </w:pPr>
    </w:p>
    <w:p w14:paraId="2349CC89" w14:textId="77777777" w:rsidR="0054737D" w:rsidRPr="003742A6" w:rsidRDefault="0054737D" w:rsidP="00F26524">
      <w:pPr>
        <w:pStyle w:val="IRPsanstext"/>
        <w:numPr>
          <w:ilvl w:val="0"/>
          <w:numId w:val="39"/>
        </w:numPr>
      </w:pPr>
      <w:r w:rsidRPr="005B61AC">
        <w:rPr>
          <w:b/>
        </w:rPr>
        <w:t xml:space="preserve">Estimated Conservation </w:t>
      </w:r>
      <w:proofErr w:type="spellStart"/>
      <w:r w:rsidRPr="005B61AC">
        <w:rPr>
          <w:b/>
        </w:rPr>
        <w:t>vs</w:t>
      </w:r>
      <w:proofErr w:type="spellEnd"/>
      <w:r w:rsidRPr="005B61AC">
        <w:rPr>
          <w:b/>
        </w:rPr>
        <w:t xml:space="preserve"> Forecast Conservation</w:t>
      </w:r>
      <w:r>
        <w:t>.</w:t>
      </w:r>
      <w:r w:rsidRPr="003742A6">
        <w:t xml:space="preserve"> The R</w:t>
      </w:r>
      <w:r>
        <w:t>AM</w:t>
      </w:r>
      <w:r w:rsidRPr="003742A6">
        <w:t xml:space="preserve"> analysis used to calculate the 234 MW capacity addition included conservation assumptions from the 2013 IRP, since 2015 IRP conservation savings cannot be determined until after the updated resource need has been established.</w:t>
      </w:r>
    </w:p>
    <w:p w14:paraId="61387690" w14:textId="77777777" w:rsidR="0054737D" w:rsidRPr="003742A6" w:rsidRDefault="0054737D" w:rsidP="00F26524">
      <w:pPr>
        <w:pStyle w:val="IRPsanstext"/>
        <w:numPr>
          <w:ilvl w:val="0"/>
          <w:numId w:val="39"/>
        </w:numPr>
      </w:pPr>
      <w:r w:rsidRPr="00FB64F8">
        <w:rPr>
          <w:b/>
        </w:rPr>
        <w:t>Operating Reserves</w:t>
      </w:r>
      <w:r>
        <w:rPr>
          <w:b/>
        </w:rPr>
        <w:t>.</w:t>
      </w:r>
      <w:r w:rsidRPr="003742A6">
        <w:t xml:space="preserve"> PSE’s operating reserve obligations vary as a function of the estimated and forecasted 2021 conservation-related peak load reductions.</w:t>
      </w:r>
    </w:p>
    <w:p w14:paraId="4E296780" w14:textId="77777777" w:rsidR="0054737D" w:rsidRPr="003742A6" w:rsidRDefault="0054737D" w:rsidP="00F26524">
      <w:pPr>
        <w:pStyle w:val="IRPsanstext"/>
        <w:numPr>
          <w:ilvl w:val="0"/>
          <w:numId w:val="39"/>
        </w:numPr>
      </w:pPr>
      <w:r w:rsidRPr="00FB64F8">
        <w:rPr>
          <w:b/>
        </w:rPr>
        <w:t>Mid-C Wholesale Purchases</w:t>
      </w:r>
      <w:r>
        <w:rPr>
          <w:b/>
        </w:rPr>
        <w:t>.</w:t>
      </w:r>
      <w:r w:rsidRPr="003742A6">
        <w:t xml:space="preserve"> The amounts of wholesale purchases that PSE can import from the Mid-C using its firm transmission rights is a function of the operating reserves being maintained at PSE’s Mid-C hydro plants.</w:t>
      </w:r>
    </w:p>
    <w:p w14:paraId="257476A3" w14:textId="77777777" w:rsidR="0054737D" w:rsidRPr="00884900" w:rsidRDefault="0054737D" w:rsidP="0054737D">
      <w:pPr>
        <w:pStyle w:val="IRPsanstext"/>
        <w:rPr>
          <w:rFonts w:cs="Arial"/>
        </w:rPr>
      </w:pPr>
      <w:r>
        <w:rPr>
          <w:rFonts w:cs="Arial"/>
          <w:sz w:val="32"/>
          <w:szCs w:val="32"/>
        </w:rPr>
        <w:br w:type="page"/>
      </w:r>
      <w:proofErr w:type="gramStart"/>
      <w:r w:rsidRPr="00FF2CB2">
        <w:rPr>
          <w:rFonts w:cs="Arial"/>
          <w:b/>
          <w:color w:val="156570"/>
          <w:sz w:val="28"/>
        </w:rPr>
        <w:lastRenderedPageBreak/>
        <w:t>Incremental Capacity Equivalents (ICE).</w:t>
      </w:r>
      <w:proofErr w:type="gramEnd"/>
      <w:r>
        <w:rPr>
          <w:rFonts w:cs="Arial"/>
        </w:rPr>
        <w:t xml:space="preserve"> </w:t>
      </w:r>
      <w:proofErr w:type="gramStart"/>
      <w:r w:rsidRPr="00884900">
        <w:rPr>
          <w:rFonts w:cs="Arial"/>
        </w:rPr>
        <w:t>The incremental capacity credits assigned to PSE’s existing and prospective resources were developed by applying the incremental capacity equivalent (ICE) approach</w:t>
      </w:r>
      <w:r w:rsidRPr="00884900">
        <w:rPr>
          <w:rStyle w:val="FootnoteReference"/>
          <w:rFonts w:cs="Arial"/>
        </w:rPr>
        <w:footnoteReference w:id="7"/>
      </w:r>
      <w:r w:rsidRPr="00884900">
        <w:rPr>
          <w:rFonts w:cs="Arial"/>
        </w:rPr>
        <w:t xml:space="preserve"> in the RAM</w:t>
      </w:r>
      <w:proofErr w:type="gramEnd"/>
      <w:r w:rsidRPr="00884900">
        <w:rPr>
          <w:rFonts w:cs="Arial"/>
        </w:rPr>
        <w:t xml:space="preserve">. In essence, the ICE approach identifies the equivalent capacity of a gas-fired peaking plant that would yield the same customer optimal EUE level as the capacity of a different resource such as a wind farm, energy storage facility, Colstrip or wholesale market purchases using PSE’s available firm Mid-C transmission import rights. The ratio of the equivalent gas </w:t>
      </w:r>
      <w:proofErr w:type="spellStart"/>
      <w:r w:rsidRPr="00884900">
        <w:rPr>
          <w:rFonts w:cs="Arial"/>
        </w:rPr>
        <w:t>peaker</w:t>
      </w:r>
      <w:proofErr w:type="spellEnd"/>
      <w:r w:rsidRPr="00884900">
        <w:rPr>
          <w:rFonts w:cs="Arial"/>
        </w:rPr>
        <w:t xml:space="preserve"> capacity to the alternative resource capacity is the incremental capacity equivalent (ICE); this value represents the capacity credit assigned to the alternative resource. For the 2015 IRP, ICE was calculated for existing and new wind projects, the Colstrip plant, and for wholesale market purchases.</w:t>
      </w:r>
      <w:r w:rsidRPr="00884900">
        <w:rPr>
          <w:rStyle w:val="FootnoteReference"/>
        </w:rPr>
        <w:footnoteReference w:id="8"/>
      </w:r>
      <w:r w:rsidRPr="00884900">
        <w:rPr>
          <w:rFonts w:cs="Arial"/>
        </w:rPr>
        <w:t xml:space="preserve"> </w:t>
      </w:r>
    </w:p>
    <w:p w14:paraId="7FF81C95" w14:textId="77777777" w:rsidR="0054737D" w:rsidRDefault="0054737D" w:rsidP="0054737D">
      <w:pPr>
        <w:pStyle w:val="IRPsanstext"/>
        <w:rPr>
          <w:b/>
          <w:color w:val="156570"/>
          <w:sz w:val="28"/>
        </w:rPr>
      </w:pPr>
    </w:p>
    <w:p w14:paraId="6C6D8A5F" w14:textId="77777777" w:rsidR="0054737D" w:rsidRPr="009A27E5" w:rsidRDefault="0054737D" w:rsidP="0054737D">
      <w:pPr>
        <w:pStyle w:val="IRPsanstext"/>
        <w:rPr>
          <w:b/>
          <w:color w:val="3366FF"/>
          <w:sz w:val="28"/>
        </w:rPr>
      </w:pPr>
      <w:r w:rsidRPr="00ED52D1">
        <w:rPr>
          <w:b/>
          <w:color w:val="156570"/>
          <w:sz w:val="28"/>
        </w:rPr>
        <w:t>Assessing the Capacity Contribution of Wholesale Market Purchases.</w:t>
      </w:r>
      <w:r>
        <w:rPr>
          <w:b/>
          <w:color w:val="3366FF"/>
          <w:sz w:val="28"/>
        </w:rPr>
        <w:t xml:space="preserve"> </w:t>
      </w:r>
      <w:r w:rsidRPr="003C60C4">
        <w:t xml:space="preserve">To </w:t>
      </w:r>
      <w:r>
        <w:t>include</w:t>
      </w:r>
      <w:r w:rsidRPr="003C60C4">
        <w:t xml:space="preserve"> </w:t>
      </w:r>
      <w:r>
        <w:t xml:space="preserve">wholesale </w:t>
      </w:r>
      <w:r w:rsidRPr="003C60C4">
        <w:t>market</w:t>
      </w:r>
      <w:r>
        <w:t xml:space="preserve"> reliability</w:t>
      </w:r>
      <w:r w:rsidRPr="003C60C4">
        <w:t xml:space="preserve"> risk</w:t>
      </w:r>
      <w:r>
        <w:t xml:space="preserve"> in the analysis</w:t>
      </w:r>
      <w:r w:rsidRPr="003C60C4">
        <w:t xml:space="preserve">, </w:t>
      </w:r>
      <w:r>
        <w:t xml:space="preserve">we applied ICE analysis to wholesale market purchases – the same approach we use to assess the peak capacity value of other variable energy resources like wind, solar and batteries. ICE analysis is an important part of PSE’s Resource Adequacy Model (RAM) because it allows us to assess the capacity value of resources with very different characteristics. </w:t>
      </w:r>
      <w:r w:rsidRPr="00942AD4">
        <w:t xml:space="preserve">ICE is defined </w:t>
      </w:r>
      <w:r>
        <w:t xml:space="preserve">and calculated </w:t>
      </w:r>
      <w:r w:rsidRPr="00942AD4">
        <w:t>as the change in capacity of a ge</w:t>
      </w:r>
      <w:r>
        <w:t>neric natural gas peaking plant</w:t>
      </w:r>
      <w:r w:rsidRPr="00942AD4">
        <w:t xml:space="preserve"> that results from adding to the system a different type of resource with any given set of energy production characteristics, while keeping the </w:t>
      </w:r>
      <w:r>
        <w:t xml:space="preserve">resource adequacy metric constant.   </w:t>
      </w:r>
    </w:p>
    <w:p w14:paraId="41623D4C" w14:textId="77777777" w:rsidR="0054737D" w:rsidRDefault="0054737D" w:rsidP="0054737D">
      <w:pPr>
        <w:pStyle w:val="IRPsanstext"/>
      </w:pPr>
    </w:p>
    <w:p w14:paraId="70D65DE7" w14:textId="77777777" w:rsidR="0054737D" w:rsidRDefault="0054737D" w:rsidP="0054737D">
      <w:pPr>
        <w:pStyle w:val="IRPsanstext"/>
      </w:pPr>
      <w:r>
        <w:t xml:space="preserve">Before performing the ICE analysis, we had to do two things: 1) determine what planning standards would be used in the ICE analysis (as discussed earlier), and 2) identify the impact that the regional resource adequacy forecasts would have on PSE’s system and customers. </w:t>
      </w:r>
    </w:p>
    <w:p w14:paraId="6ADD6A31" w14:textId="77777777" w:rsidR="0054737D" w:rsidRDefault="0054737D" w:rsidP="0054737D">
      <w:pPr>
        <w:pStyle w:val="IRPsanstext"/>
      </w:pPr>
    </w:p>
    <w:p w14:paraId="4B3FBCA1" w14:textId="77777777" w:rsidR="0054737D" w:rsidRPr="009A27E5" w:rsidRDefault="0054737D" w:rsidP="0054737D">
      <w:pPr>
        <w:pStyle w:val="IRPsanstext"/>
      </w:pPr>
      <w:r w:rsidRPr="009A27E5">
        <w:rPr>
          <w:b/>
        </w:rPr>
        <w:t>T</w:t>
      </w:r>
      <w:r w:rsidRPr="00847392">
        <w:rPr>
          <w:b/>
        </w:rPr>
        <w:t>RANSLATING REGIONAL FORECASTS TO PSE IMPACTS</w:t>
      </w:r>
    </w:p>
    <w:p w14:paraId="67345CCE" w14:textId="77777777" w:rsidR="0054737D" w:rsidRDefault="0054737D" w:rsidP="0054737D">
      <w:pPr>
        <w:pStyle w:val="IRPsanstext"/>
      </w:pPr>
      <w:r>
        <w:t>Determining the impact of regional deficit forecasts on PSE was accomplished as part of a study performed by Lloyd Reed of Reed Consulting for PSE. That study is reported in detail in Appendix G, Wholesale Market Risk. Most relevant to this discussion is that the study:</w:t>
      </w:r>
    </w:p>
    <w:p w14:paraId="5ED92F63" w14:textId="77777777" w:rsidR="0054737D" w:rsidRDefault="0054737D" w:rsidP="0054737D">
      <w:pPr>
        <w:pStyle w:val="IRPsanstext"/>
      </w:pPr>
    </w:p>
    <w:p w14:paraId="4CFBE007" w14:textId="77777777" w:rsidR="0054737D" w:rsidRPr="000E5866" w:rsidRDefault="0054737D" w:rsidP="00F26524">
      <w:pPr>
        <w:pStyle w:val="IRPsanstext"/>
        <w:numPr>
          <w:ilvl w:val="0"/>
          <w:numId w:val="14"/>
        </w:numPr>
      </w:pPr>
      <w:proofErr w:type="gramStart"/>
      <w:r>
        <w:t>id</w:t>
      </w:r>
      <w:r w:rsidRPr="000E5866">
        <w:t>entified</w:t>
      </w:r>
      <w:proofErr w:type="gramEnd"/>
      <w:r w:rsidRPr="000E5866">
        <w:t xml:space="preserve"> forecasted regional shortages, beginning with data from the </w:t>
      </w:r>
      <w:r>
        <w:t>NPCC</w:t>
      </w:r>
      <w:r w:rsidRPr="000E5866">
        <w:t xml:space="preserve"> and B</w:t>
      </w:r>
      <w:r>
        <w:t>PA’s regional adequacy analyses,</w:t>
      </w:r>
      <w:r>
        <w:rPr>
          <w:rStyle w:val="FootnoteReference"/>
        </w:rPr>
        <w:footnoteReference w:id="9"/>
      </w:r>
      <w:r w:rsidRPr="000E5866">
        <w:t xml:space="preserve"> </w:t>
      </w:r>
    </w:p>
    <w:p w14:paraId="75CE3811" w14:textId="77777777" w:rsidR="0054737D" w:rsidRPr="000E5866" w:rsidRDefault="0054737D" w:rsidP="00F26524">
      <w:pPr>
        <w:pStyle w:val="IRPsanstext"/>
        <w:numPr>
          <w:ilvl w:val="0"/>
          <w:numId w:val="14"/>
        </w:numPr>
      </w:pPr>
      <w:proofErr w:type="gramStart"/>
      <w:r>
        <w:t>al</w:t>
      </w:r>
      <w:r w:rsidRPr="000E5866">
        <w:t>located</w:t>
      </w:r>
      <w:proofErr w:type="gramEnd"/>
      <w:r w:rsidRPr="000E5866">
        <w:t xml:space="preserve"> those market shortages to PSE’s portfolio</w:t>
      </w:r>
      <w:r>
        <w:t>, and</w:t>
      </w:r>
    </w:p>
    <w:p w14:paraId="0349E7FB" w14:textId="77777777" w:rsidR="0054737D" w:rsidRPr="000E5866" w:rsidRDefault="0054737D" w:rsidP="00F26524">
      <w:pPr>
        <w:pStyle w:val="IRPsanstext"/>
        <w:numPr>
          <w:ilvl w:val="0"/>
          <w:numId w:val="14"/>
        </w:numPr>
      </w:pPr>
      <w:proofErr w:type="gramStart"/>
      <w:r>
        <w:t>modeled</w:t>
      </w:r>
      <w:proofErr w:type="gramEnd"/>
      <w:r>
        <w:t xml:space="preserve"> this allocation against 7</w:t>
      </w:r>
      <w:r w:rsidRPr="000E5866">
        <w:t xml:space="preserve"> potential resource configuration cases for the region.</w:t>
      </w:r>
    </w:p>
    <w:p w14:paraId="455528C7" w14:textId="77777777" w:rsidR="0054737D" w:rsidRDefault="0054737D" w:rsidP="0054737D">
      <w:pPr>
        <w:pStyle w:val="IRPsanstext"/>
      </w:pPr>
    </w:p>
    <w:p w14:paraId="6F0A34A8" w14:textId="77777777" w:rsidR="0054737D" w:rsidRDefault="0054737D" w:rsidP="0054737D">
      <w:pPr>
        <w:pStyle w:val="IRPsanstext"/>
      </w:pPr>
      <w:r>
        <w:lastRenderedPageBreak/>
        <w:t xml:space="preserve">For the input to the ICE analyses, PSE chose the regional resource configuration it judged most likely to be in place at 2021. This configuration (Wholesale Market Reliance Scenario 7) </w:t>
      </w:r>
      <w:proofErr w:type="gramStart"/>
      <w:r>
        <w:t>made  adjustments</w:t>
      </w:r>
      <w:proofErr w:type="gramEnd"/>
      <w:r>
        <w:t xml:space="preserve"> to the base assumptions about regional imports, resource additions and resource refinements used in the NPCC’s May 2015 Resource Adequacy Advisory Committee analysis, as was discussed in the previous section.</w:t>
      </w:r>
    </w:p>
    <w:p w14:paraId="7593041E" w14:textId="77777777" w:rsidR="0054737D" w:rsidRDefault="0054737D" w:rsidP="0054737D">
      <w:pPr>
        <w:pStyle w:val="IRPsanstext"/>
        <w:rPr>
          <w:b/>
        </w:rPr>
      </w:pPr>
    </w:p>
    <w:p w14:paraId="2411F31A" w14:textId="77777777" w:rsidR="0054737D" w:rsidRPr="00960A0C" w:rsidRDefault="0054737D" w:rsidP="0054737D">
      <w:pPr>
        <w:pStyle w:val="IRPsanstext"/>
        <w:rPr>
          <w:b/>
        </w:rPr>
      </w:pPr>
      <w:r w:rsidRPr="00960A0C">
        <w:rPr>
          <w:b/>
        </w:rPr>
        <w:t>ANALYSIS RESULTS</w:t>
      </w:r>
    </w:p>
    <w:p w14:paraId="5FA7FE31" w14:textId="77777777" w:rsidR="0054737D" w:rsidRDefault="0054737D" w:rsidP="0054737D">
      <w:pPr>
        <w:pStyle w:val="IRPsanstext"/>
      </w:pPr>
      <w:r>
        <w:t xml:space="preserve">Once the 2015 Optimal Planning Standard and associated reliability metrics were established and we determined which regional resource configuration to model, we could perform the ICE analysis to assess the peak capacity value of wholesale market purchases.  </w:t>
      </w:r>
    </w:p>
    <w:p w14:paraId="4ACF7E29" w14:textId="77777777" w:rsidR="0054737D" w:rsidRDefault="0054737D" w:rsidP="0054737D">
      <w:pPr>
        <w:pStyle w:val="IRPsanstext"/>
      </w:pPr>
    </w:p>
    <w:p w14:paraId="1527B500" w14:textId="77777777" w:rsidR="0054737D" w:rsidRDefault="00855BD7" w:rsidP="0054737D">
      <w:pPr>
        <w:pStyle w:val="IRPsanstext"/>
      </w:pPr>
      <w:r>
        <w:t>Figure 6-6</w:t>
      </w:r>
      <w:r w:rsidR="0054737D">
        <w:t xml:space="preserve"> summarizes the ICE analysis results for all capacity resources using both the 2013 Planning Standard and the 2015 Optimal Planning Standard.</w:t>
      </w:r>
    </w:p>
    <w:p w14:paraId="2F578D21" w14:textId="77777777" w:rsidR="0054737D" w:rsidRDefault="0054737D" w:rsidP="0054737D">
      <w:pPr>
        <w:pStyle w:val="IRPsanstext"/>
        <w:rPr>
          <w:b/>
          <w:color w:val="FF0000"/>
          <w:sz w:val="40"/>
        </w:rPr>
      </w:pPr>
    </w:p>
    <w:p w14:paraId="4CCDF372" w14:textId="77777777" w:rsidR="0054737D" w:rsidRPr="00FF2CB2" w:rsidRDefault="00855BD7" w:rsidP="0054737D">
      <w:pPr>
        <w:pStyle w:val="IRPsanstext"/>
        <w:jc w:val="center"/>
        <w:rPr>
          <w:rFonts w:eastAsia="Times New Roman" w:cs="Arial"/>
          <w:i/>
          <w:color w:val="000000"/>
          <w:spacing w:val="2"/>
        </w:rPr>
      </w:pPr>
      <w:r w:rsidRPr="00FF2CB2">
        <w:rPr>
          <w:rFonts w:eastAsia="Times New Roman" w:cs="Arial"/>
          <w:i/>
          <w:color w:val="000000"/>
          <w:spacing w:val="2"/>
        </w:rPr>
        <w:t>Figure 6-6:</w:t>
      </w:r>
      <w:r w:rsidR="0054737D" w:rsidRPr="00FF2CB2">
        <w:rPr>
          <w:rFonts w:eastAsia="Times New Roman" w:cs="Arial"/>
          <w:i/>
          <w:color w:val="000000"/>
          <w:spacing w:val="2"/>
        </w:rPr>
        <w:t xml:space="preserve"> Incremental Capacity Equivalent (ICE) Values/Capacity Credits </w:t>
      </w:r>
    </w:p>
    <w:p w14:paraId="140128B2" w14:textId="77777777" w:rsidR="0054737D" w:rsidRPr="00FF2CB2" w:rsidRDefault="0054737D" w:rsidP="00FF2CB2">
      <w:pPr>
        <w:pStyle w:val="IRPsanstext"/>
        <w:spacing w:after="120"/>
        <w:jc w:val="center"/>
        <w:rPr>
          <w:rFonts w:eastAsia="Times New Roman" w:cs="Arial"/>
          <w:i/>
          <w:color w:val="000000"/>
          <w:spacing w:val="2"/>
        </w:rPr>
      </w:pPr>
      <w:proofErr w:type="gramStart"/>
      <w:r w:rsidRPr="00FF2CB2">
        <w:rPr>
          <w:rFonts w:eastAsia="Times New Roman" w:cs="Arial"/>
          <w:i/>
          <w:color w:val="000000"/>
          <w:spacing w:val="2"/>
        </w:rPr>
        <w:t>for</w:t>
      </w:r>
      <w:proofErr w:type="gramEnd"/>
      <w:r w:rsidRPr="00FF2CB2">
        <w:rPr>
          <w:rFonts w:eastAsia="Times New Roman" w:cs="Arial"/>
          <w:i/>
          <w:color w:val="000000"/>
          <w:spacing w:val="2"/>
        </w:rPr>
        <w:t xml:space="preserve"> Winter 2020-2021</w:t>
      </w:r>
    </w:p>
    <w:tbl>
      <w:tblPr>
        <w:tblW w:w="8870" w:type="dxa"/>
        <w:jc w:val="center"/>
        <w:tblInd w:w="-759" w:type="dxa"/>
        <w:tblLayout w:type="fixed"/>
        <w:tblLook w:val="04A0" w:firstRow="1" w:lastRow="0" w:firstColumn="1" w:lastColumn="0" w:noHBand="0" w:noVBand="1"/>
      </w:tblPr>
      <w:tblGrid>
        <w:gridCol w:w="6624"/>
        <w:gridCol w:w="1099"/>
        <w:gridCol w:w="1147"/>
      </w:tblGrid>
      <w:tr w:rsidR="0054737D" w:rsidRPr="00B956D8" w14:paraId="378C44B3" w14:textId="77777777">
        <w:trPr>
          <w:trHeight w:val="375"/>
          <w:jc w:val="center"/>
        </w:trPr>
        <w:tc>
          <w:tcPr>
            <w:tcW w:w="8870" w:type="dxa"/>
            <w:gridSpan w:val="3"/>
            <w:tcBorders>
              <w:top w:val="single" w:sz="4" w:space="0" w:color="auto"/>
              <w:left w:val="single" w:sz="4" w:space="0" w:color="auto"/>
              <w:bottom w:val="single" w:sz="4" w:space="0" w:color="auto"/>
              <w:right w:val="single" w:sz="4" w:space="0" w:color="000000"/>
            </w:tcBorders>
            <w:shd w:val="clear" w:color="auto" w:fill="006A71"/>
            <w:noWrap/>
            <w:vAlign w:val="bottom"/>
          </w:tcPr>
          <w:p w14:paraId="0B82E4B2" w14:textId="77777777" w:rsidR="0054737D" w:rsidRPr="00411832" w:rsidRDefault="0054737D" w:rsidP="0054737D">
            <w:pPr>
              <w:pStyle w:val="IRPsanstext"/>
              <w:rPr>
                <w:rFonts w:eastAsia="Times New Roman" w:cs="Arial"/>
                <w:b/>
                <w:bCs/>
                <w:color w:val="FFFFFF"/>
              </w:rPr>
            </w:pPr>
            <w:r w:rsidRPr="00411832">
              <w:rPr>
                <w:rFonts w:eastAsia="Times New Roman" w:cs="Arial"/>
                <w:b/>
                <w:bCs/>
                <w:color w:val="FFFFFF"/>
              </w:rPr>
              <w:t>Incremental Capacity Equivalent for Winter 2020-2021</w:t>
            </w:r>
          </w:p>
        </w:tc>
      </w:tr>
      <w:tr w:rsidR="0054737D" w:rsidRPr="00B956D8" w14:paraId="121F48A4" w14:textId="77777777">
        <w:trPr>
          <w:trHeight w:val="315"/>
          <w:jc w:val="center"/>
        </w:trPr>
        <w:tc>
          <w:tcPr>
            <w:tcW w:w="6624" w:type="dxa"/>
            <w:tcBorders>
              <w:top w:val="nil"/>
              <w:left w:val="single" w:sz="4" w:space="0" w:color="auto"/>
              <w:bottom w:val="nil"/>
              <w:right w:val="nil"/>
            </w:tcBorders>
            <w:shd w:val="clear" w:color="auto" w:fill="006A71"/>
            <w:noWrap/>
            <w:vAlign w:val="bottom"/>
          </w:tcPr>
          <w:p w14:paraId="1B345E2C" w14:textId="77777777" w:rsidR="0054737D" w:rsidRPr="00411832" w:rsidRDefault="0054737D" w:rsidP="00330C7B">
            <w:pPr>
              <w:pStyle w:val="IRPsanstext"/>
              <w:spacing w:line="276" w:lineRule="auto"/>
              <w:rPr>
                <w:rFonts w:eastAsia="Times New Roman" w:cs="Arial"/>
                <w:color w:val="FFFFFF"/>
              </w:rPr>
            </w:pPr>
            <w:r w:rsidRPr="00411832">
              <w:rPr>
                <w:rFonts w:eastAsia="Times New Roman" w:cs="Arial"/>
                <w:color w:val="FFFFFF"/>
              </w:rPr>
              <w:t> </w:t>
            </w:r>
          </w:p>
        </w:tc>
        <w:tc>
          <w:tcPr>
            <w:tcW w:w="1099" w:type="dxa"/>
            <w:tcBorders>
              <w:top w:val="nil"/>
              <w:left w:val="single" w:sz="4" w:space="0" w:color="auto"/>
              <w:bottom w:val="nil"/>
              <w:right w:val="single" w:sz="4" w:space="0" w:color="auto"/>
            </w:tcBorders>
            <w:shd w:val="clear" w:color="auto" w:fill="006A71"/>
            <w:noWrap/>
            <w:vAlign w:val="bottom"/>
          </w:tcPr>
          <w:p w14:paraId="430D7AFA" w14:textId="77777777" w:rsidR="0054737D" w:rsidRPr="00411832" w:rsidRDefault="0054737D" w:rsidP="00330C7B">
            <w:pPr>
              <w:pStyle w:val="IRPsanstext"/>
              <w:spacing w:line="276" w:lineRule="auto"/>
              <w:rPr>
                <w:rFonts w:eastAsia="Times New Roman" w:cs="Arial"/>
                <w:b/>
                <w:bCs/>
                <w:color w:val="FFFFFF"/>
              </w:rPr>
            </w:pPr>
            <w:r w:rsidRPr="00411832">
              <w:rPr>
                <w:rFonts w:eastAsia="Times New Roman" w:cs="Arial"/>
                <w:b/>
                <w:bCs/>
                <w:color w:val="FFFFFF"/>
              </w:rPr>
              <w:t xml:space="preserve">2013 </w:t>
            </w:r>
          </w:p>
        </w:tc>
        <w:tc>
          <w:tcPr>
            <w:tcW w:w="1147" w:type="dxa"/>
            <w:tcBorders>
              <w:top w:val="nil"/>
              <w:left w:val="single" w:sz="4" w:space="0" w:color="auto"/>
              <w:bottom w:val="nil"/>
              <w:right w:val="single" w:sz="4" w:space="0" w:color="auto"/>
            </w:tcBorders>
            <w:shd w:val="clear" w:color="auto" w:fill="006A71"/>
            <w:vAlign w:val="center"/>
          </w:tcPr>
          <w:p w14:paraId="77339D1D" w14:textId="77777777" w:rsidR="0054737D" w:rsidRPr="00411832" w:rsidRDefault="0054737D" w:rsidP="00330C7B">
            <w:pPr>
              <w:pStyle w:val="IRPsanstext"/>
              <w:spacing w:line="276" w:lineRule="auto"/>
              <w:rPr>
                <w:rFonts w:eastAsia="Times New Roman" w:cs="Arial"/>
                <w:b/>
                <w:bCs/>
                <w:color w:val="FFFFFF"/>
              </w:rPr>
            </w:pPr>
            <w:r w:rsidRPr="00411832">
              <w:rPr>
                <w:rFonts w:eastAsia="Times New Roman" w:cs="Arial"/>
                <w:b/>
                <w:bCs/>
                <w:color w:val="FFFFFF"/>
              </w:rPr>
              <w:t xml:space="preserve">2015 </w:t>
            </w:r>
          </w:p>
        </w:tc>
      </w:tr>
      <w:tr w:rsidR="0054737D" w:rsidRPr="00B956D8" w14:paraId="2DEC5063" w14:textId="77777777">
        <w:trPr>
          <w:trHeight w:val="315"/>
          <w:jc w:val="center"/>
        </w:trPr>
        <w:tc>
          <w:tcPr>
            <w:tcW w:w="6624" w:type="dxa"/>
            <w:tcBorders>
              <w:top w:val="nil"/>
              <w:left w:val="single" w:sz="4" w:space="0" w:color="auto"/>
              <w:bottom w:val="single" w:sz="4" w:space="0" w:color="auto"/>
              <w:right w:val="nil"/>
            </w:tcBorders>
            <w:shd w:val="clear" w:color="auto" w:fill="006A71"/>
            <w:noWrap/>
            <w:vAlign w:val="bottom"/>
          </w:tcPr>
          <w:p w14:paraId="55326CA8" w14:textId="77777777" w:rsidR="0054737D" w:rsidRPr="00411832" w:rsidRDefault="0054737D" w:rsidP="00330C7B">
            <w:pPr>
              <w:pStyle w:val="IRPsanstext"/>
              <w:spacing w:line="276" w:lineRule="auto"/>
              <w:rPr>
                <w:rFonts w:eastAsia="Times New Roman" w:cs="Arial"/>
                <w:b/>
                <w:bCs/>
                <w:color w:val="FFFFFF"/>
              </w:rPr>
            </w:pPr>
            <w:r w:rsidRPr="00411832">
              <w:rPr>
                <w:rFonts w:eastAsia="Times New Roman" w:cs="Arial"/>
                <w:b/>
                <w:bCs/>
                <w:color w:val="FFFFFF"/>
              </w:rPr>
              <w:t>Resource Type</w:t>
            </w:r>
          </w:p>
        </w:tc>
        <w:tc>
          <w:tcPr>
            <w:tcW w:w="1099" w:type="dxa"/>
            <w:tcBorders>
              <w:top w:val="nil"/>
              <w:left w:val="single" w:sz="4" w:space="0" w:color="auto"/>
              <w:bottom w:val="single" w:sz="4" w:space="0" w:color="auto"/>
              <w:right w:val="single" w:sz="4" w:space="0" w:color="auto"/>
            </w:tcBorders>
            <w:shd w:val="clear" w:color="auto" w:fill="006A71"/>
            <w:noWrap/>
            <w:vAlign w:val="bottom"/>
          </w:tcPr>
          <w:p w14:paraId="0A7F41E6" w14:textId="77777777" w:rsidR="0054737D" w:rsidRPr="00411832" w:rsidRDefault="0054737D" w:rsidP="00330C7B">
            <w:pPr>
              <w:pStyle w:val="IRPsanstext"/>
              <w:spacing w:line="276" w:lineRule="auto"/>
              <w:rPr>
                <w:rFonts w:eastAsia="Times New Roman" w:cs="Arial"/>
                <w:b/>
                <w:bCs/>
                <w:color w:val="FFFFFF"/>
              </w:rPr>
            </w:pPr>
            <w:r w:rsidRPr="00411832">
              <w:rPr>
                <w:rFonts w:eastAsia="Times New Roman" w:cs="Arial"/>
                <w:b/>
                <w:bCs/>
                <w:color w:val="FFFFFF"/>
              </w:rPr>
              <w:t>Standard</w:t>
            </w:r>
          </w:p>
        </w:tc>
        <w:tc>
          <w:tcPr>
            <w:tcW w:w="1147" w:type="dxa"/>
            <w:tcBorders>
              <w:top w:val="nil"/>
              <w:left w:val="single" w:sz="4" w:space="0" w:color="auto"/>
              <w:bottom w:val="single" w:sz="4" w:space="0" w:color="auto"/>
              <w:right w:val="single" w:sz="4" w:space="0" w:color="auto"/>
            </w:tcBorders>
            <w:shd w:val="clear" w:color="auto" w:fill="006A71"/>
            <w:vAlign w:val="center"/>
          </w:tcPr>
          <w:p w14:paraId="4F0FD85D" w14:textId="77777777" w:rsidR="0054737D" w:rsidRPr="00411832" w:rsidRDefault="0054737D" w:rsidP="00330C7B">
            <w:pPr>
              <w:pStyle w:val="IRPsanstext"/>
              <w:spacing w:line="276" w:lineRule="auto"/>
              <w:rPr>
                <w:rFonts w:eastAsia="Times New Roman" w:cs="Arial"/>
                <w:b/>
                <w:bCs/>
                <w:color w:val="FFFFFF"/>
              </w:rPr>
            </w:pPr>
            <w:r w:rsidRPr="00411832">
              <w:rPr>
                <w:rFonts w:eastAsia="Times New Roman" w:cs="Arial"/>
                <w:b/>
                <w:bCs/>
                <w:color w:val="FFFFFF"/>
              </w:rPr>
              <w:t>Standard</w:t>
            </w:r>
          </w:p>
        </w:tc>
      </w:tr>
      <w:tr w:rsidR="0054737D" w:rsidRPr="00B956D8" w14:paraId="4A62FE04" w14:textId="77777777">
        <w:trPr>
          <w:trHeight w:val="359"/>
          <w:jc w:val="center"/>
        </w:trPr>
        <w:tc>
          <w:tcPr>
            <w:tcW w:w="6624" w:type="dxa"/>
            <w:tcBorders>
              <w:top w:val="single" w:sz="4" w:space="0" w:color="auto"/>
              <w:left w:val="single" w:sz="4" w:space="0" w:color="auto"/>
              <w:bottom w:val="nil"/>
              <w:right w:val="nil"/>
            </w:tcBorders>
            <w:shd w:val="clear" w:color="auto" w:fill="auto"/>
            <w:noWrap/>
            <w:vAlign w:val="center"/>
          </w:tcPr>
          <w:p w14:paraId="5DD4AF51" w14:textId="77777777" w:rsidR="0054737D" w:rsidRPr="00411832" w:rsidRDefault="0054737D" w:rsidP="0054737D">
            <w:pPr>
              <w:pStyle w:val="IRPsanstext"/>
              <w:rPr>
                <w:rFonts w:eastAsia="Times New Roman" w:cs="Arial"/>
                <w:b/>
                <w:bCs/>
                <w:color w:val="000000"/>
              </w:rPr>
            </w:pPr>
            <w:r w:rsidRPr="00411832">
              <w:rPr>
                <w:rFonts w:eastAsia="Times New Roman" w:cs="Arial"/>
                <w:b/>
                <w:bCs/>
                <w:color w:val="000000"/>
              </w:rPr>
              <w:t xml:space="preserve">Baseline: Natural Gas </w:t>
            </w:r>
            <w:proofErr w:type="spellStart"/>
            <w:r w:rsidRPr="00411832">
              <w:rPr>
                <w:rFonts w:eastAsia="Times New Roman" w:cs="Arial"/>
                <w:b/>
                <w:bCs/>
                <w:color w:val="000000"/>
              </w:rPr>
              <w:t>Peaker</w:t>
            </w:r>
            <w:proofErr w:type="spellEnd"/>
          </w:p>
        </w:tc>
        <w:tc>
          <w:tcPr>
            <w:tcW w:w="1099" w:type="dxa"/>
            <w:tcBorders>
              <w:top w:val="single" w:sz="4" w:space="0" w:color="auto"/>
              <w:left w:val="single" w:sz="4" w:space="0" w:color="auto"/>
              <w:bottom w:val="nil"/>
              <w:right w:val="single" w:sz="4" w:space="0" w:color="auto"/>
            </w:tcBorders>
            <w:shd w:val="clear" w:color="auto" w:fill="auto"/>
            <w:noWrap/>
            <w:vAlign w:val="center"/>
          </w:tcPr>
          <w:p w14:paraId="4356AFF6" w14:textId="77777777" w:rsidR="0054737D" w:rsidRPr="00411832" w:rsidRDefault="0054737D" w:rsidP="0054737D">
            <w:pPr>
              <w:pStyle w:val="IRPsanstext"/>
              <w:jc w:val="center"/>
              <w:rPr>
                <w:rFonts w:eastAsia="Times New Roman" w:cs="Arial"/>
                <w:b/>
                <w:bCs/>
                <w:color w:val="000000"/>
              </w:rPr>
            </w:pPr>
            <w:r w:rsidRPr="00411832">
              <w:rPr>
                <w:rFonts w:eastAsia="Times New Roman" w:cs="Arial"/>
                <w:b/>
                <w:bCs/>
                <w:color w:val="000000"/>
              </w:rPr>
              <w:t>100%</w:t>
            </w:r>
          </w:p>
        </w:tc>
        <w:tc>
          <w:tcPr>
            <w:tcW w:w="1147" w:type="dxa"/>
            <w:tcBorders>
              <w:top w:val="single" w:sz="4" w:space="0" w:color="auto"/>
              <w:left w:val="single" w:sz="4" w:space="0" w:color="auto"/>
              <w:bottom w:val="nil"/>
              <w:right w:val="single" w:sz="4" w:space="0" w:color="auto"/>
            </w:tcBorders>
            <w:vAlign w:val="center"/>
          </w:tcPr>
          <w:p w14:paraId="6FA93BAB" w14:textId="77777777" w:rsidR="0054737D" w:rsidRPr="00411832" w:rsidRDefault="0054737D" w:rsidP="0054737D">
            <w:pPr>
              <w:pStyle w:val="IRPsanstext"/>
              <w:jc w:val="center"/>
              <w:rPr>
                <w:rFonts w:eastAsia="Times New Roman" w:cs="Arial"/>
                <w:b/>
                <w:bCs/>
                <w:color w:val="000000"/>
              </w:rPr>
            </w:pPr>
            <w:r w:rsidRPr="00411832">
              <w:rPr>
                <w:rFonts w:eastAsia="Times New Roman" w:cs="Arial"/>
                <w:b/>
                <w:bCs/>
                <w:color w:val="000000"/>
              </w:rPr>
              <w:t>100%</w:t>
            </w:r>
          </w:p>
        </w:tc>
      </w:tr>
      <w:tr w:rsidR="0054737D" w:rsidRPr="00B956D8" w14:paraId="171BE04D" w14:textId="77777777">
        <w:trPr>
          <w:trHeight w:val="369"/>
          <w:jc w:val="center"/>
        </w:trPr>
        <w:tc>
          <w:tcPr>
            <w:tcW w:w="6624" w:type="dxa"/>
            <w:tcBorders>
              <w:top w:val="nil"/>
              <w:left w:val="single" w:sz="4" w:space="0" w:color="auto"/>
              <w:bottom w:val="nil"/>
              <w:right w:val="nil"/>
            </w:tcBorders>
            <w:shd w:val="clear" w:color="auto" w:fill="auto"/>
            <w:noWrap/>
            <w:vAlign w:val="center"/>
          </w:tcPr>
          <w:p w14:paraId="52B7B2B3"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1) Existing Wind (Cumulative = 822MW)</w:t>
            </w:r>
          </w:p>
        </w:tc>
        <w:tc>
          <w:tcPr>
            <w:tcW w:w="1099" w:type="dxa"/>
            <w:tcBorders>
              <w:top w:val="nil"/>
              <w:left w:val="single" w:sz="4" w:space="0" w:color="auto"/>
              <w:bottom w:val="nil"/>
              <w:right w:val="single" w:sz="4" w:space="0" w:color="auto"/>
            </w:tcBorders>
            <w:shd w:val="clear" w:color="auto" w:fill="auto"/>
            <w:noWrap/>
            <w:vAlign w:val="center"/>
          </w:tcPr>
          <w:p w14:paraId="6C4F4F4C"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12%</w:t>
            </w:r>
          </w:p>
        </w:tc>
        <w:tc>
          <w:tcPr>
            <w:tcW w:w="1147" w:type="dxa"/>
            <w:tcBorders>
              <w:top w:val="nil"/>
              <w:left w:val="single" w:sz="4" w:space="0" w:color="auto"/>
              <w:bottom w:val="nil"/>
              <w:right w:val="single" w:sz="4" w:space="0" w:color="auto"/>
            </w:tcBorders>
            <w:vAlign w:val="center"/>
          </w:tcPr>
          <w:p w14:paraId="39A20162"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9%</w:t>
            </w:r>
          </w:p>
        </w:tc>
      </w:tr>
      <w:tr w:rsidR="0054737D" w:rsidRPr="00B956D8" w14:paraId="36EDEBB2" w14:textId="77777777">
        <w:trPr>
          <w:trHeight w:val="351"/>
          <w:jc w:val="center"/>
        </w:trPr>
        <w:tc>
          <w:tcPr>
            <w:tcW w:w="6624" w:type="dxa"/>
            <w:tcBorders>
              <w:top w:val="nil"/>
              <w:left w:val="single" w:sz="4" w:space="0" w:color="auto"/>
              <w:bottom w:val="nil"/>
              <w:right w:val="nil"/>
            </w:tcBorders>
            <w:shd w:val="clear" w:color="auto" w:fill="auto"/>
            <w:noWrap/>
            <w:vAlign w:val="center"/>
          </w:tcPr>
          <w:p w14:paraId="23789954"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2) New Wind (SE Washington = 100MW)*</w:t>
            </w:r>
          </w:p>
        </w:tc>
        <w:tc>
          <w:tcPr>
            <w:tcW w:w="1099" w:type="dxa"/>
            <w:tcBorders>
              <w:top w:val="nil"/>
              <w:left w:val="single" w:sz="4" w:space="0" w:color="auto"/>
              <w:bottom w:val="nil"/>
              <w:right w:val="single" w:sz="4" w:space="0" w:color="auto"/>
            </w:tcBorders>
            <w:shd w:val="clear" w:color="auto" w:fill="auto"/>
            <w:noWrap/>
            <w:vAlign w:val="center"/>
          </w:tcPr>
          <w:p w14:paraId="649EFD8F"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8%</w:t>
            </w:r>
          </w:p>
        </w:tc>
        <w:tc>
          <w:tcPr>
            <w:tcW w:w="1147" w:type="dxa"/>
            <w:tcBorders>
              <w:top w:val="nil"/>
              <w:left w:val="single" w:sz="4" w:space="0" w:color="auto"/>
              <w:bottom w:val="nil"/>
              <w:right w:val="single" w:sz="4" w:space="0" w:color="auto"/>
            </w:tcBorders>
            <w:vAlign w:val="center"/>
          </w:tcPr>
          <w:p w14:paraId="4272532E"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8%</w:t>
            </w:r>
          </w:p>
        </w:tc>
      </w:tr>
      <w:tr w:rsidR="0054737D" w:rsidRPr="00B956D8" w14:paraId="7F8D6E37" w14:textId="77777777">
        <w:trPr>
          <w:trHeight w:val="351"/>
          <w:jc w:val="center"/>
        </w:trPr>
        <w:tc>
          <w:tcPr>
            <w:tcW w:w="6624" w:type="dxa"/>
            <w:tcBorders>
              <w:top w:val="nil"/>
              <w:left w:val="single" w:sz="4" w:space="0" w:color="auto"/>
              <w:bottom w:val="nil"/>
              <w:right w:val="nil"/>
            </w:tcBorders>
            <w:shd w:val="clear" w:color="auto" w:fill="auto"/>
            <w:noWrap/>
            <w:vAlign w:val="center"/>
          </w:tcPr>
          <w:p w14:paraId="6077D94A"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3) Batteries (4 hour discharge + min 4 hour recharge)</w:t>
            </w:r>
          </w:p>
        </w:tc>
        <w:tc>
          <w:tcPr>
            <w:tcW w:w="1099" w:type="dxa"/>
            <w:tcBorders>
              <w:top w:val="nil"/>
              <w:left w:val="single" w:sz="4" w:space="0" w:color="auto"/>
              <w:bottom w:val="nil"/>
              <w:right w:val="single" w:sz="4" w:space="0" w:color="auto"/>
            </w:tcBorders>
            <w:shd w:val="clear" w:color="auto" w:fill="auto"/>
            <w:noWrap/>
            <w:vAlign w:val="center"/>
          </w:tcPr>
          <w:p w14:paraId="70D7CC9D"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100%</w:t>
            </w:r>
          </w:p>
        </w:tc>
        <w:tc>
          <w:tcPr>
            <w:tcW w:w="1147" w:type="dxa"/>
            <w:tcBorders>
              <w:top w:val="nil"/>
              <w:left w:val="single" w:sz="4" w:space="0" w:color="auto"/>
              <w:bottom w:val="nil"/>
              <w:right w:val="single" w:sz="4" w:space="0" w:color="auto"/>
            </w:tcBorders>
            <w:vAlign w:val="center"/>
          </w:tcPr>
          <w:p w14:paraId="21D18FFC"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100%</w:t>
            </w:r>
          </w:p>
        </w:tc>
      </w:tr>
      <w:tr w:rsidR="0054737D" w:rsidRPr="00B956D8" w14:paraId="4BEF17E9" w14:textId="77777777">
        <w:trPr>
          <w:trHeight w:val="351"/>
          <w:jc w:val="center"/>
        </w:trPr>
        <w:tc>
          <w:tcPr>
            <w:tcW w:w="6624" w:type="dxa"/>
            <w:tcBorders>
              <w:top w:val="nil"/>
              <w:left w:val="single" w:sz="4" w:space="0" w:color="auto"/>
              <w:bottom w:val="nil"/>
              <w:right w:val="nil"/>
            </w:tcBorders>
            <w:shd w:val="clear" w:color="auto" w:fill="auto"/>
            <w:noWrap/>
            <w:vAlign w:val="center"/>
          </w:tcPr>
          <w:p w14:paraId="6FCA329B"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 xml:space="preserve">4) Colstrip </w:t>
            </w:r>
          </w:p>
        </w:tc>
        <w:tc>
          <w:tcPr>
            <w:tcW w:w="1099" w:type="dxa"/>
            <w:tcBorders>
              <w:top w:val="nil"/>
              <w:left w:val="single" w:sz="4" w:space="0" w:color="auto"/>
              <w:bottom w:val="nil"/>
              <w:right w:val="single" w:sz="4" w:space="0" w:color="auto"/>
            </w:tcBorders>
            <w:shd w:val="clear" w:color="auto" w:fill="auto"/>
            <w:noWrap/>
            <w:vAlign w:val="center"/>
          </w:tcPr>
          <w:p w14:paraId="3B04639D"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92%</w:t>
            </w:r>
          </w:p>
        </w:tc>
        <w:tc>
          <w:tcPr>
            <w:tcW w:w="1147" w:type="dxa"/>
            <w:tcBorders>
              <w:top w:val="nil"/>
              <w:left w:val="single" w:sz="4" w:space="0" w:color="auto"/>
              <w:bottom w:val="nil"/>
              <w:right w:val="single" w:sz="4" w:space="0" w:color="auto"/>
            </w:tcBorders>
            <w:vAlign w:val="center"/>
          </w:tcPr>
          <w:p w14:paraId="326E48E4"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90%</w:t>
            </w:r>
          </w:p>
        </w:tc>
      </w:tr>
      <w:tr w:rsidR="0054737D" w:rsidRPr="00B956D8" w14:paraId="20678A18" w14:textId="77777777">
        <w:trPr>
          <w:trHeight w:val="351"/>
          <w:jc w:val="center"/>
        </w:trPr>
        <w:tc>
          <w:tcPr>
            <w:tcW w:w="6624" w:type="dxa"/>
            <w:tcBorders>
              <w:top w:val="nil"/>
              <w:left w:val="single" w:sz="4" w:space="0" w:color="auto"/>
              <w:bottom w:val="single" w:sz="4" w:space="0" w:color="auto"/>
              <w:right w:val="nil"/>
            </w:tcBorders>
            <w:shd w:val="clear" w:color="auto" w:fill="auto"/>
            <w:noWrap/>
            <w:vAlign w:val="center"/>
          </w:tcPr>
          <w:p w14:paraId="2E75319E"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5) Available Mid-C Transmission (Wholesale Market Purchases)</w:t>
            </w:r>
          </w:p>
        </w:tc>
        <w:tc>
          <w:tcPr>
            <w:tcW w:w="1099" w:type="dxa"/>
            <w:tcBorders>
              <w:top w:val="nil"/>
              <w:left w:val="single" w:sz="4" w:space="0" w:color="auto"/>
              <w:bottom w:val="single" w:sz="4" w:space="0" w:color="auto"/>
              <w:right w:val="single" w:sz="4" w:space="0" w:color="auto"/>
            </w:tcBorders>
            <w:shd w:val="clear" w:color="auto" w:fill="auto"/>
            <w:noWrap/>
          </w:tcPr>
          <w:p w14:paraId="60FD4A6C"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100%</w:t>
            </w:r>
          </w:p>
        </w:tc>
        <w:tc>
          <w:tcPr>
            <w:tcW w:w="1147" w:type="dxa"/>
            <w:tcBorders>
              <w:top w:val="nil"/>
              <w:left w:val="single" w:sz="4" w:space="0" w:color="auto"/>
              <w:bottom w:val="single" w:sz="4" w:space="0" w:color="auto"/>
              <w:right w:val="single" w:sz="4" w:space="0" w:color="auto"/>
            </w:tcBorders>
          </w:tcPr>
          <w:p w14:paraId="701CEAC5"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84%</w:t>
            </w:r>
          </w:p>
        </w:tc>
      </w:tr>
    </w:tbl>
    <w:p w14:paraId="3F297E61" w14:textId="77777777" w:rsidR="0054737D" w:rsidRDefault="0054737D" w:rsidP="0054737D">
      <w:pPr>
        <w:pStyle w:val="IRPfooter"/>
        <w:rPr>
          <w:b/>
          <w:sz w:val="18"/>
        </w:rPr>
      </w:pPr>
      <w:r w:rsidRPr="00834C15">
        <w:rPr>
          <w:b/>
          <w:sz w:val="18"/>
        </w:rPr>
        <w:t xml:space="preserve"> </w:t>
      </w:r>
    </w:p>
    <w:p w14:paraId="35E229E7" w14:textId="77777777" w:rsidR="0054737D" w:rsidRPr="004B39D1" w:rsidRDefault="0054737D" w:rsidP="0054737D">
      <w:pPr>
        <w:pStyle w:val="IRPfooter"/>
        <w:rPr>
          <w:sz w:val="18"/>
        </w:rPr>
      </w:pPr>
      <w:r>
        <w:rPr>
          <w:sz w:val="18"/>
        </w:rPr>
        <w:t>*</w:t>
      </w:r>
      <w:r w:rsidRPr="00834C15">
        <w:rPr>
          <w:sz w:val="18"/>
        </w:rPr>
        <w:t>A southeast Washington wind location was chosen as the generic wind for this IRP</w:t>
      </w:r>
      <w:r>
        <w:rPr>
          <w:sz w:val="18"/>
        </w:rPr>
        <w:t>.</w:t>
      </w:r>
      <w:r w:rsidRPr="00834C15">
        <w:rPr>
          <w:sz w:val="18"/>
        </w:rPr>
        <w:t xml:space="preserve"> Good historical wind data exists for the area, PSE already owns development rights at the Lower Snake River site</w:t>
      </w:r>
      <w:r>
        <w:rPr>
          <w:sz w:val="18"/>
        </w:rPr>
        <w:t>,</w:t>
      </w:r>
      <w:r w:rsidRPr="00834C15">
        <w:rPr>
          <w:sz w:val="18"/>
        </w:rPr>
        <w:t xml:space="preserve"> and transmission to the grid already exists in this location. Comparison of improvements in the incremental capacity equivalents for other wind sites must account for the incremental transmission costs required to connect the site to the regional grid.</w:t>
      </w:r>
      <w:r>
        <w:rPr>
          <w:sz w:val="18"/>
        </w:rPr>
        <w:t xml:space="preserve"> (PSE examined the incremental capacity if a central Washington wind project in the 2011 IRP.)</w:t>
      </w:r>
    </w:p>
    <w:p w14:paraId="406E5484" w14:textId="77777777" w:rsidR="0054737D" w:rsidRDefault="0054737D" w:rsidP="0054737D">
      <w:pPr>
        <w:pStyle w:val="IRPtitle"/>
        <w:spacing w:line="300" w:lineRule="auto"/>
        <w:ind w:left="0" w:firstLine="0"/>
        <w:jc w:val="both"/>
        <w:rPr>
          <w:rFonts w:ascii="Arial" w:hAnsi="Arial" w:cs="Arial"/>
          <w:sz w:val="20"/>
          <w:szCs w:val="20"/>
        </w:rPr>
      </w:pPr>
    </w:p>
    <w:p w14:paraId="63AD1E5F" w14:textId="77777777" w:rsidR="0054737D" w:rsidRDefault="0054737D" w:rsidP="0054737D">
      <w:pPr>
        <w:rPr>
          <w:rFonts w:ascii="Arial" w:hAnsi="Arial" w:cs="Arial"/>
          <w:sz w:val="32"/>
          <w:szCs w:val="32"/>
        </w:rPr>
      </w:pPr>
      <w:r>
        <w:rPr>
          <w:rFonts w:cs="Arial"/>
          <w:sz w:val="32"/>
          <w:szCs w:val="32"/>
        </w:rPr>
        <w:br w:type="page"/>
      </w:r>
    </w:p>
    <w:p w14:paraId="03731B3A" w14:textId="77777777" w:rsidR="0054737D" w:rsidRPr="00B956D8" w:rsidRDefault="0054737D" w:rsidP="0054737D">
      <w:pPr>
        <w:pStyle w:val="IRPsanstext"/>
        <w:rPr>
          <w:rFonts w:cs="Arial"/>
          <w:sz w:val="32"/>
          <w:szCs w:val="32"/>
        </w:rPr>
      </w:pPr>
      <w:r w:rsidRPr="00B956D8">
        <w:rPr>
          <w:rFonts w:cs="Arial"/>
          <w:sz w:val="32"/>
          <w:szCs w:val="32"/>
        </w:rPr>
        <w:lastRenderedPageBreak/>
        <w:t xml:space="preserve">Components of Physical (Peak) Need </w:t>
      </w:r>
    </w:p>
    <w:p w14:paraId="71E82515" w14:textId="77777777" w:rsidR="0054737D" w:rsidRDefault="0054737D" w:rsidP="0054737D">
      <w:pPr>
        <w:pStyle w:val="IRPsanstext"/>
        <w:rPr>
          <w:rFonts w:cs="Arial"/>
        </w:rPr>
      </w:pPr>
    </w:p>
    <w:p w14:paraId="71E38C7D" w14:textId="77777777" w:rsidR="0054737D" w:rsidRPr="00B956D8" w:rsidRDefault="0054737D" w:rsidP="0054737D">
      <w:pPr>
        <w:pStyle w:val="IRPsanstext"/>
        <w:rPr>
          <w:rFonts w:cs="Arial"/>
        </w:rPr>
      </w:pPr>
      <w:r w:rsidRPr="00B956D8">
        <w:rPr>
          <w:rFonts w:cs="Arial"/>
        </w:rPr>
        <w:t xml:space="preserve">Physical need refers to the resources required to ensure reliable operation of the system. It is an operational requirement that includes three components: customer demand, planning margins and operating reserves. The word “load” – as in “PSE must meet load obligations” – specifically refers to customer demand plus planning margins plus operating reserve obligations. The planning margin and operating reserves are amounts over and above customer demand that ensure the system has enough flexibility to handle balancing needs and unexpected events such as variations in temperature, hydro and wind generation; equipment failure; or transmission interruption with minimal interruption of service. </w:t>
      </w:r>
    </w:p>
    <w:p w14:paraId="41918CF9" w14:textId="77777777" w:rsidR="0054737D" w:rsidRPr="00B956D8" w:rsidRDefault="0054737D" w:rsidP="0054737D">
      <w:pPr>
        <w:pStyle w:val="IRPsanstext"/>
        <w:rPr>
          <w:rFonts w:cs="Arial"/>
        </w:rPr>
      </w:pPr>
    </w:p>
    <w:p w14:paraId="07DA0626" w14:textId="77777777" w:rsidR="0054737D" w:rsidRPr="00B956D8" w:rsidRDefault="0054737D" w:rsidP="0054737D">
      <w:pPr>
        <w:pStyle w:val="IRPsanstext"/>
        <w:rPr>
          <w:rFonts w:cs="Arial"/>
        </w:rPr>
      </w:pPr>
      <w:r w:rsidRPr="00B956D8">
        <w:rPr>
          <w:rFonts w:cs="Arial"/>
        </w:rPr>
        <w:t xml:space="preserve">When we compare physical need with the peak capacity value of existing resources, the resulting gap identifies resource need. Each of these four components – customer demand, planning margins, operating reserves and existing resources – is reviewed below. </w:t>
      </w:r>
    </w:p>
    <w:p w14:paraId="522AA38A" w14:textId="77777777" w:rsidR="0054737D" w:rsidRPr="00B956D8" w:rsidRDefault="0054737D" w:rsidP="0054737D">
      <w:pPr>
        <w:pStyle w:val="IRPsanstext"/>
        <w:rPr>
          <w:rFonts w:cs="Arial"/>
        </w:rPr>
      </w:pPr>
    </w:p>
    <w:p w14:paraId="48D0C6C4" w14:textId="77777777" w:rsidR="0054737D" w:rsidRPr="00B956D8" w:rsidRDefault="0054737D" w:rsidP="0054737D">
      <w:pPr>
        <w:pStyle w:val="IRPsanstext"/>
        <w:rPr>
          <w:rFonts w:cs="Arial"/>
        </w:rPr>
      </w:pPr>
      <w:r w:rsidRPr="00B956D8">
        <w:rPr>
          <w:rFonts w:cs="Arial"/>
          <w:b/>
          <w:color w:val="156570"/>
          <w:sz w:val="28"/>
        </w:rPr>
        <w:t>Customer Demand.</w:t>
      </w:r>
      <w:r w:rsidRPr="00B956D8">
        <w:rPr>
          <w:rFonts w:cs="Arial"/>
        </w:rPr>
        <w:t xml:space="preserve"> PSE develops a range of demand forecasts for the 20-year IRP planning horizon using national, regional and local economic and population data.</w:t>
      </w:r>
      <w:r w:rsidRPr="00B956D8">
        <w:rPr>
          <w:rFonts w:cs="Arial"/>
          <w:vertAlign w:val="superscript"/>
        </w:rPr>
        <w:footnoteReference w:id="10"/>
      </w:r>
      <w:r w:rsidRPr="00B956D8">
        <w:rPr>
          <w:rFonts w:cs="Arial"/>
        </w:rPr>
        <w:t xml:space="preserve"> Chapter 5 presents the 2015 IRP Base, Low and High Demand Forecasts, and Appendix E delivers a detailed discussion of the econometric models used to develop them.</w:t>
      </w:r>
    </w:p>
    <w:p w14:paraId="0C661AAF" w14:textId="77777777" w:rsidR="0054737D" w:rsidRPr="00B956D8" w:rsidRDefault="0054737D" w:rsidP="0054737D">
      <w:pPr>
        <w:pStyle w:val="IRPsanstext"/>
        <w:rPr>
          <w:rFonts w:cs="Arial"/>
        </w:rPr>
      </w:pPr>
    </w:p>
    <w:p w14:paraId="441A5802" w14:textId="77777777" w:rsidR="0054737D" w:rsidRDefault="0054737D" w:rsidP="0054737D">
      <w:pPr>
        <w:pStyle w:val="IRPsanstext"/>
        <w:rPr>
          <w:rFonts w:cs="Arial"/>
        </w:rPr>
      </w:pPr>
      <w:r w:rsidRPr="00B956D8">
        <w:rPr>
          <w:rFonts w:cs="Arial"/>
        </w:rPr>
        <w:t>PSE is a winter-peaking utility, so we experience the highest end-use demand for electricity when the weather is coldest. Projecting peak energy demand begins with a forecast of how much power will be used at a temperature of 23 degrees Fahrenheit at SeaTac. This is considered a normal winter peak for PSE’s service territory. We also experience sustained strong demand during the summer air-conditioning season, although these highs do not reach winter peaks.</w:t>
      </w:r>
    </w:p>
    <w:p w14:paraId="41AF138D" w14:textId="77777777" w:rsidR="0054737D" w:rsidRPr="00B956D8" w:rsidRDefault="0054737D" w:rsidP="0054737D">
      <w:pPr>
        <w:pStyle w:val="IRPsanstext"/>
        <w:rPr>
          <w:rFonts w:cs="Arial"/>
        </w:rPr>
      </w:pPr>
    </w:p>
    <w:p w14:paraId="748DE55B" w14:textId="77777777" w:rsidR="0054737D" w:rsidRDefault="0054737D" w:rsidP="0054737D">
      <w:pPr>
        <w:pStyle w:val="IRPsanstext"/>
        <w:rPr>
          <w:rFonts w:cs="Arial"/>
        </w:rPr>
      </w:pPr>
      <w:r>
        <w:rPr>
          <w:rFonts w:cs="Arial"/>
          <w:b/>
          <w:color w:val="FF0000"/>
          <w:sz w:val="28"/>
        </w:rPr>
        <w:t xml:space="preserve"> </w:t>
      </w:r>
      <w:r w:rsidRPr="00B956D8">
        <w:rPr>
          <w:rFonts w:cs="Arial"/>
          <w:b/>
          <w:color w:val="156570"/>
          <w:sz w:val="28"/>
        </w:rPr>
        <w:t>Planning Margin.</w:t>
      </w:r>
      <w:r w:rsidRPr="00B956D8">
        <w:rPr>
          <w:rStyle w:val="FootnoteReference"/>
          <w:rFonts w:cs="Arial"/>
          <w:color w:val="156570"/>
          <w:sz w:val="28"/>
        </w:rPr>
        <w:footnoteReference w:id="11"/>
      </w:r>
      <w:r w:rsidRPr="00B956D8">
        <w:rPr>
          <w:rFonts w:cs="Arial"/>
        </w:rPr>
        <w:t xml:space="preserve"> Planning margins represent the amount of resources needed to achieve a specific planning standard reliability target. As discussed earlier in this chapter, this analysis tested t</w:t>
      </w:r>
      <w:r>
        <w:rPr>
          <w:rFonts w:cs="Arial"/>
        </w:rPr>
        <w:t>wo</w:t>
      </w:r>
      <w:r w:rsidRPr="00B956D8">
        <w:rPr>
          <w:rFonts w:cs="Arial"/>
        </w:rPr>
        <w:t xml:space="preserve"> planning standards. We performed significant amounts of portfolio analysis using each of the planning standards, because we were simultaneously analyzing resource needs and portfolio analysis. The planning standard made no difference in the mix of resources, only in the quantity of resources and the timing of their addition. </w:t>
      </w:r>
    </w:p>
    <w:p w14:paraId="02A4CBCC" w14:textId="77777777" w:rsidR="0054737D" w:rsidRDefault="0054737D" w:rsidP="0054737D">
      <w:pPr>
        <w:pStyle w:val="IRPsanstext"/>
        <w:rPr>
          <w:rFonts w:cs="Arial"/>
        </w:rPr>
      </w:pPr>
    </w:p>
    <w:p w14:paraId="072B0EC7" w14:textId="77777777" w:rsidR="0054737D" w:rsidRPr="00FF2CB2" w:rsidRDefault="0054737D" w:rsidP="00FF2CB2">
      <w:pPr>
        <w:spacing w:line="320" w:lineRule="exact"/>
        <w:rPr>
          <w:rFonts w:ascii="Arial" w:hAnsi="Arial" w:cs="Arial"/>
          <w:sz w:val="20"/>
          <w:szCs w:val="20"/>
        </w:rPr>
      </w:pPr>
      <w:r>
        <w:rPr>
          <w:rFonts w:ascii="Arial" w:hAnsi="Arial" w:cs="Arial"/>
          <w:sz w:val="20"/>
          <w:szCs w:val="20"/>
        </w:rPr>
        <w:lastRenderedPageBreak/>
        <w:t xml:space="preserve">The </w:t>
      </w:r>
      <w:r w:rsidRPr="007949E6">
        <w:rPr>
          <w:rFonts w:ascii="Arial" w:hAnsi="Arial" w:cs="Arial"/>
          <w:sz w:val="20"/>
          <w:szCs w:val="20"/>
        </w:rPr>
        <w:t xml:space="preserve">2015 </w:t>
      </w:r>
      <w:r>
        <w:rPr>
          <w:rFonts w:ascii="Arial" w:hAnsi="Arial" w:cs="Arial"/>
          <w:sz w:val="20"/>
          <w:szCs w:val="20"/>
        </w:rPr>
        <w:t>Optimal</w:t>
      </w:r>
      <w:r w:rsidRPr="007949E6">
        <w:rPr>
          <w:rFonts w:ascii="Arial" w:hAnsi="Arial" w:cs="Arial"/>
          <w:sz w:val="20"/>
          <w:szCs w:val="20"/>
        </w:rPr>
        <w:t xml:space="preserve"> Planning Standard (shown in Figure </w:t>
      </w:r>
      <w:r w:rsidRPr="00855BD7">
        <w:rPr>
          <w:rFonts w:ascii="Arial" w:hAnsi="Arial" w:cs="Arial"/>
          <w:sz w:val="20"/>
          <w:szCs w:val="20"/>
        </w:rPr>
        <w:t>6-</w:t>
      </w:r>
      <w:r w:rsidR="00855BD7" w:rsidRPr="00855BD7">
        <w:rPr>
          <w:rFonts w:ascii="Arial" w:hAnsi="Arial" w:cs="Arial"/>
          <w:sz w:val="20"/>
          <w:szCs w:val="20"/>
        </w:rPr>
        <w:t>3</w:t>
      </w:r>
      <w:r w:rsidRPr="007949E6">
        <w:rPr>
          <w:rFonts w:ascii="Arial" w:hAnsi="Arial" w:cs="Arial"/>
          <w:sz w:val="20"/>
          <w:szCs w:val="20"/>
        </w:rPr>
        <w:t xml:space="preserve"> above) </w:t>
      </w:r>
      <w:r>
        <w:rPr>
          <w:rFonts w:ascii="Arial" w:hAnsi="Arial" w:cs="Arial"/>
          <w:sz w:val="20"/>
          <w:szCs w:val="20"/>
        </w:rPr>
        <w:t>resulted in a 2021 planning margin of 20.0 percent, in part because incorporating wholesale market risk in the capacity value of short-term market purchases via ICE analysis reduced their peak capacity value by 269 MW. Using the 20.0 percent planning margin would have implicitly increased this 269 MW adjustment at the same rate as load growth</w:t>
      </w:r>
      <w:r w:rsidR="0096451E">
        <w:rPr>
          <w:rFonts w:ascii="Arial" w:hAnsi="Arial" w:cs="Arial"/>
          <w:sz w:val="20"/>
          <w:szCs w:val="20"/>
        </w:rPr>
        <w:t>, which would overstate resource need going forward. I</w:t>
      </w:r>
      <w:r>
        <w:rPr>
          <w:rFonts w:ascii="Arial" w:hAnsi="Arial" w:cs="Arial"/>
          <w:sz w:val="20"/>
          <w:szCs w:val="20"/>
        </w:rPr>
        <w:t xml:space="preserve">n order to avoid </w:t>
      </w:r>
      <w:r w:rsidR="0096451E">
        <w:rPr>
          <w:rFonts w:ascii="Arial" w:hAnsi="Arial" w:cs="Arial"/>
          <w:sz w:val="20"/>
          <w:szCs w:val="20"/>
        </w:rPr>
        <w:t>this,</w:t>
      </w:r>
      <w:r>
        <w:rPr>
          <w:rFonts w:ascii="Arial" w:hAnsi="Arial" w:cs="Arial"/>
          <w:sz w:val="20"/>
          <w:szCs w:val="20"/>
        </w:rPr>
        <w:t xml:space="preserve"> we pulled out </w:t>
      </w:r>
      <w:r w:rsidR="0096451E">
        <w:rPr>
          <w:rFonts w:ascii="Arial" w:hAnsi="Arial" w:cs="Arial"/>
          <w:sz w:val="20"/>
          <w:szCs w:val="20"/>
        </w:rPr>
        <w:t xml:space="preserve">the 269 MW </w:t>
      </w:r>
      <w:r>
        <w:rPr>
          <w:rFonts w:ascii="Arial" w:hAnsi="Arial" w:cs="Arial"/>
          <w:sz w:val="20"/>
          <w:szCs w:val="20"/>
        </w:rPr>
        <w:t>and treated it separately. We</w:t>
      </w:r>
      <w:r w:rsidRPr="007949E6">
        <w:rPr>
          <w:rFonts w:ascii="Arial" w:hAnsi="Arial" w:cs="Arial"/>
          <w:sz w:val="20"/>
          <w:szCs w:val="20"/>
        </w:rPr>
        <w:t xml:space="preserve"> adjusted </w:t>
      </w:r>
      <w:r>
        <w:rPr>
          <w:rFonts w:ascii="Arial" w:hAnsi="Arial" w:cs="Arial"/>
          <w:sz w:val="20"/>
          <w:szCs w:val="20"/>
        </w:rPr>
        <w:t>the</w:t>
      </w:r>
      <w:r w:rsidRPr="007949E6">
        <w:rPr>
          <w:rFonts w:ascii="Arial" w:hAnsi="Arial" w:cs="Arial"/>
          <w:sz w:val="20"/>
          <w:szCs w:val="20"/>
        </w:rPr>
        <w:t xml:space="preserve"> single 20.0</w:t>
      </w:r>
      <w:r>
        <w:rPr>
          <w:rFonts w:ascii="Arial" w:hAnsi="Arial" w:cs="Arial"/>
          <w:sz w:val="20"/>
          <w:szCs w:val="20"/>
        </w:rPr>
        <w:t xml:space="preserve"> percent</w:t>
      </w:r>
      <w:r w:rsidRPr="007949E6">
        <w:rPr>
          <w:rFonts w:ascii="Arial" w:hAnsi="Arial" w:cs="Arial"/>
          <w:sz w:val="20"/>
          <w:szCs w:val="20"/>
        </w:rPr>
        <w:t xml:space="preserve"> value to 13.7</w:t>
      </w:r>
      <w:r>
        <w:rPr>
          <w:rFonts w:ascii="Arial" w:hAnsi="Arial" w:cs="Arial"/>
          <w:sz w:val="20"/>
          <w:szCs w:val="20"/>
        </w:rPr>
        <w:t xml:space="preserve"> percent</w:t>
      </w:r>
      <w:r w:rsidRPr="007949E6">
        <w:rPr>
          <w:rFonts w:ascii="Arial" w:hAnsi="Arial" w:cs="Arial"/>
          <w:sz w:val="20"/>
          <w:szCs w:val="20"/>
        </w:rPr>
        <w:t xml:space="preserve"> plus a f</w:t>
      </w:r>
      <w:r>
        <w:rPr>
          <w:rFonts w:ascii="Arial" w:hAnsi="Arial" w:cs="Arial"/>
          <w:sz w:val="20"/>
          <w:szCs w:val="20"/>
        </w:rPr>
        <w:t>ixed 269 MW capacity adjustment</w:t>
      </w:r>
      <w:r w:rsidRPr="007949E6">
        <w:rPr>
          <w:rFonts w:ascii="Arial" w:hAnsi="Arial" w:cs="Arial"/>
          <w:sz w:val="20"/>
          <w:szCs w:val="20"/>
        </w:rPr>
        <w:t xml:space="preserve"> </w:t>
      </w:r>
      <w:r>
        <w:rPr>
          <w:rFonts w:ascii="Arial" w:hAnsi="Arial" w:cs="Arial"/>
          <w:sz w:val="20"/>
          <w:szCs w:val="20"/>
        </w:rPr>
        <w:t>to reflect</w:t>
      </w:r>
      <w:r w:rsidRPr="007949E6">
        <w:rPr>
          <w:rFonts w:ascii="Arial" w:hAnsi="Arial" w:cs="Arial"/>
          <w:sz w:val="20"/>
          <w:szCs w:val="20"/>
        </w:rPr>
        <w:t xml:space="preserve"> the wholesale market purchase risk component.</w:t>
      </w:r>
      <w:r w:rsidRPr="00637544">
        <w:rPr>
          <w:rFonts w:ascii="Arial" w:hAnsi="Arial" w:cs="Arial"/>
          <w:sz w:val="20"/>
          <w:szCs w:val="20"/>
        </w:rPr>
        <w:t xml:space="preserve"> This two-stage adjusted planning margin yields the same 1,059 MW capacity margin value for 2021</w:t>
      </w:r>
      <w:r>
        <w:rPr>
          <w:rFonts w:ascii="Arial" w:hAnsi="Arial" w:cs="Arial"/>
          <w:sz w:val="20"/>
          <w:szCs w:val="20"/>
        </w:rPr>
        <w:t>, as</w:t>
      </w:r>
      <w:r w:rsidRPr="00637544">
        <w:rPr>
          <w:rFonts w:ascii="Arial" w:hAnsi="Arial" w:cs="Arial"/>
          <w:sz w:val="20"/>
          <w:szCs w:val="20"/>
        </w:rPr>
        <w:t xml:space="preserve"> shown in Figure 6-</w:t>
      </w:r>
      <w:r w:rsidR="00855BD7">
        <w:rPr>
          <w:rFonts w:ascii="Arial" w:hAnsi="Arial" w:cs="Arial"/>
          <w:sz w:val="20"/>
          <w:szCs w:val="20"/>
        </w:rPr>
        <w:t>7</w:t>
      </w:r>
      <w:r w:rsidRPr="00637544">
        <w:rPr>
          <w:rFonts w:ascii="Arial" w:hAnsi="Arial" w:cs="Arial"/>
          <w:sz w:val="20"/>
          <w:szCs w:val="20"/>
        </w:rPr>
        <w:t>.</w:t>
      </w:r>
      <w:r>
        <w:rPr>
          <w:rFonts w:ascii="Arial" w:hAnsi="Arial" w:cs="Arial"/>
          <w:sz w:val="20"/>
          <w:szCs w:val="20"/>
        </w:rPr>
        <w:t xml:space="preserve">  We expect this planning margin to change as we regional resource adequacy assumptions are updated in the future and as changes to PSE’s existing portfolio are made.</w:t>
      </w:r>
    </w:p>
    <w:p w14:paraId="19E2AE95" w14:textId="77777777" w:rsidR="0054737D" w:rsidRPr="00C02518" w:rsidRDefault="0054737D" w:rsidP="0054737D">
      <w:pPr>
        <w:pStyle w:val="IRPsanstext"/>
      </w:pPr>
    </w:p>
    <w:p w14:paraId="28503CC6" w14:textId="77777777" w:rsidR="0054737D" w:rsidRPr="00FF2CB2" w:rsidRDefault="00855BD7" w:rsidP="00FF2CB2">
      <w:pPr>
        <w:pStyle w:val="IRPsanstext"/>
        <w:spacing w:after="120"/>
        <w:jc w:val="center"/>
        <w:rPr>
          <w:i/>
        </w:rPr>
      </w:pPr>
      <w:r w:rsidRPr="00FF2CB2">
        <w:rPr>
          <w:i/>
        </w:rPr>
        <w:t>Figure 6-7</w:t>
      </w:r>
      <w:r w:rsidR="0054737D" w:rsidRPr="00FF2CB2">
        <w:rPr>
          <w:i/>
        </w:rPr>
        <w:t>: Calculation of PSE’s 2021 Planning Margin</w:t>
      </w:r>
    </w:p>
    <w:tbl>
      <w:tblPr>
        <w:tblW w:w="8814" w:type="dxa"/>
        <w:jc w:val="center"/>
        <w:tblInd w:w="-2230" w:type="dxa"/>
        <w:tblBorders>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5124"/>
        <w:gridCol w:w="1800"/>
        <w:gridCol w:w="1890"/>
      </w:tblGrid>
      <w:tr w:rsidR="00626921" w:rsidRPr="00B956D8" w14:paraId="022C2554" w14:textId="77777777" w:rsidTr="00903F5B">
        <w:trPr>
          <w:trHeight w:val="315"/>
          <w:jc w:val="center"/>
        </w:trPr>
        <w:tc>
          <w:tcPr>
            <w:tcW w:w="5124" w:type="dxa"/>
            <w:shd w:val="clear" w:color="auto" w:fill="006A71"/>
            <w:noWrap/>
            <w:vAlign w:val="bottom"/>
          </w:tcPr>
          <w:p w14:paraId="29383A6E" w14:textId="77777777" w:rsidR="0054737D" w:rsidRPr="00411832" w:rsidRDefault="0054737D" w:rsidP="0054737D">
            <w:pPr>
              <w:pStyle w:val="IRPsanstext"/>
              <w:rPr>
                <w:rFonts w:eastAsia="Times New Roman" w:cs="Arial"/>
                <w:color w:val="FFFFFF"/>
              </w:rPr>
            </w:pPr>
            <w:r w:rsidRPr="00411832">
              <w:rPr>
                <w:rFonts w:eastAsia="Times New Roman" w:cs="Arial"/>
                <w:color w:val="FFFFFF"/>
              </w:rPr>
              <w:t> </w:t>
            </w:r>
          </w:p>
        </w:tc>
        <w:tc>
          <w:tcPr>
            <w:tcW w:w="1800" w:type="dxa"/>
            <w:shd w:val="clear" w:color="auto" w:fill="006A71"/>
            <w:noWrap/>
            <w:vAlign w:val="center"/>
          </w:tcPr>
          <w:p w14:paraId="6D265C85" w14:textId="77777777" w:rsidR="0054737D" w:rsidRPr="00411832" w:rsidRDefault="0054737D" w:rsidP="0054737D">
            <w:pPr>
              <w:pStyle w:val="IRPsanstext"/>
              <w:jc w:val="center"/>
              <w:rPr>
                <w:rFonts w:eastAsia="Times New Roman" w:cs="Arial"/>
                <w:b/>
                <w:bCs/>
                <w:color w:val="FFFFFF"/>
              </w:rPr>
            </w:pPr>
            <w:r w:rsidRPr="00411832">
              <w:rPr>
                <w:rFonts w:eastAsia="Times New Roman" w:cs="Arial"/>
                <w:b/>
                <w:bCs/>
                <w:color w:val="FFFFFF"/>
              </w:rPr>
              <w:t>Option A</w:t>
            </w:r>
          </w:p>
        </w:tc>
        <w:tc>
          <w:tcPr>
            <w:tcW w:w="1890" w:type="dxa"/>
            <w:shd w:val="clear" w:color="auto" w:fill="006A71"/>
            <w:vAlign w:val="center"/>
          </w:tcPr>
          <w:p w14:paraId="73B8589B" w14:textId="77777777" w:rsidR="0054737D" w:rsidRPr="00411832" w:rsidRDefault="0054737D" w:rsidP="0054737D">
            <w:pPr>
              <w:pStyle w:val="IRPsanstext"/>
              <w:jc w:val="center"/>
              <w:rPr>
                <w:rFonts w:eastAsia="Times New Roman" w:cs="Arial"/>
                <w:b/>
                <w:bCs/>
                <w:color w:val="FFFFFF"/>
              </w:rPr>
            </w:pPr>
            <w:r w:rsidRPr="00411832">
              <w:rPr>
                <w:rFonts w:eastAsia="Times New Roman" w:cs="Arial"/>
                <w:b/>
                <w:bCs/>
                <w:color w:val="FFFFFF"/>
              </w:rPr>
              <w:t>Option B</w:t>
            </w:r>
          </w:p>
        </w:tc>
      </w:tr>
      <w:tr w:rsidR="00626921" w:rsidRPr="00B956D8" w14:paraId="00C9D814" w14:textId="77777777" w:rsidTr="00903F5B">
        <w:trPr>
          <w:trHeight w:val="369"/>
          <w:jc w:val="center"/>
        </w:trPr>
        <w:tc>
          <w:tcPr>
            <w:tcW w:w="5124" w:type="dxa"/>
            <w:shd w:val="clear" w:color="auto" w:fill="auto"/>
            <w:noWrap/>
            <w:vAlign w:val="center"/>
          </w:tcPr>
          <w:p w14:paraId="72A0B418"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Planning Margin (% of Normal Peak Load)</w:t>
            </w:r>
          </w:p>
        </w:tc>
        <w:tc>
          <w:tcPr>
            <w:tcW w:w="1800" w:type="dxa"/>
            <w:shd w:val="clear" w:color="auto" w:fill="auto"/>
            <w:noWrap/>
            <w:vAlign w:val="center"/>
          </w:tcPr>
          <w:p w14:paraId="1A29FFD9"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20%</w:t>
            </w:r>
          </w:p>
        </w:tc>
        <w:tc>
          <w:tcPr>
            <w:tcW w:w="1890" w:type="dxa"/>
            <w:vAlign w:val="center"/>
          </w:tcPr>
          <w:p w14:paraId="5848ED70"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13.7%</w:t>
            </w:r>
          </w:p>
        </w:tc>
      </w:tr>
      <w:tr w:rsidR="00626921" w:rsidRPr="00B956D8" w14:paraId="2AF20CB7" w14:textId="77777777" w:rsidTr="00903F5B">
        <w:trPr>
          <w:trHeight w:val="351"/>
          <w:jc w:val="center"/>
        </w:trPr>
        <w:tc>
          <w:tcPr>
            <w:tcW w:w="5124" w:type="dxa"/>
            <w:shd w:val="clear" w:color="auto" w:fill="auto"/>
            <w:noWrap/>
            <w:vAlign w:val="center"/>
          </w:tcPr>
          <w:p w14:paraId="5A732A71"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Wholesale Market Purchase Risk Adjustment</w:t>
            </w:r>
          </w:p>
        </w:tc>
        <w:tc>
          <w:tcPr>
            <w:tcW w:w="1800" w:type="dxa"/>
            <w:shd w:val="clear" w:color="auto" w:fill="auto"/>
            <w:noWrap/>
            <w:vAlign w:val="center"/>
          </w:tcPr>
          <w:p w14:paraId="0F300D38"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0 MW</w:t>
            </w:r>
          </w:p>
        </w:tc>
        <w:tc>
          <w:tcPr>
            <w:tcW w:w="1890" w:type="dxa"/>
            <w:vAlign w:val="center"/>
          </w:tcPr>
          <w:p w14:paraId="4177C5F5"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269 MW</w:t>
            </w:r>
          </w:p>
        </w:tc>
      </w:tr>
      <w:tr w:rsidR="00626921" w:rsidRPr="00B956D8" w14:paraId="357299FC" w14:textId="77777777" w:rsidTr="00903F5B">
        <w:trPr>
          <w:trHeight w:val="351"/>
          <w:jc w:val="center"/>
        </w:trPr>
        <w:tc>
          <w:tcPr>
            <w:tcW w:w="5124" w:type="dxa"/>
            <w:shd w:val="clear" w:color="auto" w:fill="auto"/>
            <w:noWrap/>
            <w:vAlign w:val="center"/>
          </w:tcPr>
          <w:p w14:paraId="22DE919D"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 xml:space="preserve">Total Capacity above Normal </w:t>
            </w:r>
            <w:proofErr w:type="spellStart"/>
            <w:r w:rsidRPr="00411832">
              <w:rPr>
                <w:rFonts w:eastAsia="Times New Roman" w:cs="Arial"/>
                <w:bCs/>
                <w:color w:val="000000"/>
              </w:rPr>
              <w:t>Peaker</w:t>
            </w:r>
            <w:proofErr w:type="spellEnd"/>
          </w:p>
        </w:tc>
        <w:tc>
          <w:tcPr>
            <w:tcW w:w="1800" w:type="dxa"/>
            <w:shd w:val="clear" w:color="auto" w:fill="auto"/>
            <w:noWrap/>
            <w:vAlign w:val="center"/>
          </w:tcPr>
          <w:p w14:paraId="4F84F24D"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1,059 MW</w:t>
            </w:r>
          </w:p>
        </w:tc>
        <w:tc>
          <w:tcPr>
            <w:tcW w:w="1890" w:type="dxa"/>
            <w:vAlign w:val="center"/>
          </w:tcPr>
          <w:p w14:paraId="3A504BA4"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1,059 MW</w:t>
            </w:r>
          </w:p>
        </w:tc>
      </w:tr>
    </w:tbl>
    <w:p w14:paraId="088A365C" w14:textId="77777777" w:rsidR="0054737D" w:rsidRDefault="0054737D" w:rsidP="0054737D">
      <w:pPr>
        <w:pStyle w:val="IRPsanstext"/>
        <w:rPr>
          <w:rFonts w:cs="Arial"/>
          <w:b/>
          <w:color w:val="156570"/>
          <w:sz w:val="28"/>
        </w:rPr>
      </w:pPr>
    </w:p>
    <w:p w14:paraId="39542AC8" w14:textId="77777777" w:rsidR="0054737D" w:rsidRDefault="0054737D" w:rsidP="0054737D">
      <w:pPr>
        <w:pStyle w:val="IRPsanstext"/>
        <w:rPr>
          <w:rFonts w:cs="Arial"/>
          <w:b/>
          <w:color w:val="156570"/>
          <w:sz w:val="28"/>
        </w:rPr>
      </w:pPr>
    </w:p>
    <w:p w14:paraId="6CFA1FCF" w14:textId="77777777" w:rsidR="0054737D" w:rsidRPr="00B956D8" w:rsidRDefault="0054737D" w:rsidP="0054737D">
      <w:pPr>
        <w:pStyle w:val="IRPsanstext"/>
        <w:rPr>
          <w:rFonts w:cs="Arial"/>
        </w:rPr>
      </w:pPr>
      <w:r w:rsidRPr="00B956D8">
        <w:rPr>
          <w:rFonts w:cs="Arial"/>
          <w:b/>
          <w:color w:val="156570"/>
          <w:sz w:val="28"/>
        </w:rPr>
        <w:t>Operating Reserves.</w:t>
      </w:r>
      <w:r w:rsidRPr="00B956D8">
        <w:rPr>
          <w:rFonts w:cs="Arial"/>
        </w:rPr>
        <w:t xml:space="preserve"> North American Electric Reliability Council (NERC) standards require that utilities maintain </w:t>
      </w:r>
      <w:r>
        <w:rPr>
          <w:rFonts w:cs="Arial"/>
        </w:rPr>
        <w:t>capacity</w:t>
      </w:r>
      <w:r w:rsidRPr="00B956D8">
        <w:rPr>
          <w:rFonts w:cs="Arial"/>
        </w:rPr>
        <w:t xml:space="preserve"> “reserve</w:t>
      </w:r>
      <w:r>
        <w:rPr>
          <w:rFonts w:cs="Arial"/>
        </w:rPr>
        <w:t>s</w:t>
      </w:r>
      <w:r w:rsidRPr="00B956D8">
        <w:rPr>
          <w:rFonts w:cs="Arial"/>
        </w:rPr>
        <w:t xml:space="preserve">” in excess of end-use demand as a contingency in order to ensure continuous, reliable operation of the regional electric grid. PSE’s operating agreements with the Northwest Power Pool, therefore, require the company to maintain two kinds of operating reserves: contingency reserves and balancing reserves.  </w:t>
      </w:r>
    </w:p>
    <w:p w14:paraId="52A32A48" w14:textId="77777777" w:rsidR="0054737D" w:rsidRPr="00B956D8" w:rsidRDefault="0054737D" w:rsidP="0054737D">
      <w:pPr>
        <w:pStyle w:val="IRPsanstext"/>
        <w:rPr>
          <w:rFonts w:cs="Arial"/>
          <w:b/>
          <w:caps/>
        </w:rPr>
      </w:pPr>
    </w:p>
    <w:p w14:paraId="5899DD27" w14:textId="77777777" w:rsidR="0054737D" w:rsidRPr="00B956D8" w:rsidRDefault="0054737D" w:rsidP="0054737D">
      <w:pPr>
        <w:pStyle w:val="IRPsanstext"/>
        <w:rPr>
          <w:rFonts w:cs="Arial"/>
          <w:b/>
          <w:caps/>
        </w:rPr>
      </w:pPr>
      <w:r w:rsidRPr="00B956D8">
        <w:rPr>
          <w:rFonts w:cs="Arial"/>
          <w:b/>
          <w:caps/>
        </w:rPr>
        <w:t xml:space="preserve">Contingency Reserves  </w:t>
      </w:r>
    </w:p>
    <w:p w14:paraId="21C60892" w14:textId="77777777" w:rsidR="0054737D" w:rsidRPr="00B956D8" w:rsidRDefault="0054737D" w:rsidP="0054737D">
      <w:pPr>
        <w:pStyle w:val="IRPsanstext"/>
        <w:rPr>
          <w:rStyle w:val="IRPsanstextChar"/>
        </w:rPr>
      </w:pPr>
      <w:r w:rsidRPr="00B956D8">
        <w:rPr>
          <w:rStyle w:val="IRPsanstextChar"/>
          <w:rFonts w:cs="Arial"/>
        </w:rPr>
        <w:t>In the event of an unplanned outage, NWPP members can call on the contingency reserves of other members to cover the resource loss during the 60 minutes following the outage event.</w:t>
      </w:r>
    </w:p>
    <w:p w14:paraId="454395FE" w14:textId="77777777" w:rsidR="0054737D" w:rsidRPr="00B956D8" w:rsidRDefault="0054737D" w:rsidP="0054737D">
      <w:pPr>
        <w:pStyle w:val="IRPsanstext"/>
        <w:rPr>
          <w:rFonts w:eastAsia="Times New Roman" w:cs="Arial"/>
          <w:color w:val="000000"/>
          <w:spacing w:val="2"/>
          <w:sz w:val="24"/>
          <w:szCs w:val="19"/>
        </w:rPr>
      </w:pPr>
    </w:p>
    <w:p w14:paraId="4CDDF9A7" w14:textId="77777777" w:rsidR="0054737D" w:rsidRPr="00B956D8" w:rsidRDefault="0054737D" w:rsidP="0054737D">
      <w:pPr>
        <w:pStyle w:val="IRPsanstext"/>
        <w:rPr>
          <w:rFonts w:cs="Arial"/>
        </w:rPr>
      </w:pPr>
      <w:r>
        <w:rPr>
          <w:rFonts w:cs="Arial"/>
        </w:rPr>
        <w:br w:type="page"/>
      </w:r>
      <w:r w:rsidRPr="00B956D8">
        <w:rPr>
          <w:rFonts w:cs="Arial"/>
        </w:rPr>
        <w:lastRenderedPageBreak/>
        <w:t xml:space="preserve">The Federal Energy Regulatory Commission (FERC) approved a new rule that affects the amount of contingency reserves PSE must carry </w:t>
      </w:r>
      <w:r w:rsidRPr="00B956D8">
        <w:rPr>
          <w:rFonts w:cs="Arial"/>
        </w:rPr>
        <w:softHyphen/>
        <w:t xml:space="preserve">– Bal-002-WECC-1 – </w:t>
      </w:r>
      <w:proofErr w:type="gramStart"/>
      <w:r w:rsidRPr="00B956D8">
        <w:rPr>
          <w:rFonts w:cs="Arial"/>
        </w:rPr>
        <w:t>which</w:t>
      </w:r>
      <w:proofErr w:type="gramEnd"/>
      <w:r w:rsidRPr="00B956D8">
        <w:rPr>
          <w:rFonts w:cs="Arial"/>
        </w:rPr>
        <w:t xml:space="preserve"> took effect on October 1, 2014. The new rule requires PSE to carry reserve amounts equal to 3 percent of on-line generating resources (hydro, wind and thermal) plus 3 percent of load to meet contingency obligations. The terms “load” and “generation” in the new rule </w:t>
      </w:r>
      <w:proofErr w:type="gramStart"/>
      <w:r w:rsidRPr="00B956D8">
        <w:rPr>
          <w:rFonts w:cs="Arial"/>
        </w:rPr>
        <w:t>refer</w:t>
      </w:r>
      <w:proofErr w:type="gramEnd"/>
      <w:r w:rsidRPr="00B956D8">
        <w:rPr>
          <w:rFonts w:cs="Arial"/>
        </w:rPr>
        <w:t xml:space="preserve"> to the total net load and all generation in PSE’s Balancing Authority (BA). This increases PSE’s reserve requirement, because the rule now requires PSE to carry reserves for third-party loads and generation in addition to our own. The previous rule applied higher percentages (5 percent of hydro and wind and 7 percent of thermal resources) but to a smaller set of generating resources – only those owned and operated by PSE. </w:t>
      </w:r>
    </w:p>
    <w:p w14:paraId="7ABF6756" w14:textId="77777777" w:rsidR="0054737D" w:rsidRPr="00B956D8" w:rsidRDefault="0054737D" w:rsidP="0054737D">
      <w:pPr>
        <w:pStyle w:val="IRPsanstext"/>
        <w:rPr>
          <w:rFonts w:cs="Arial"/>
        </w:rPr>
      </w:pPr>
    </w:p>
    <w:p w14:paraId="1BEC4F1F" w14:textId="77777777" w:rsidR="0054737D" w:rsidRPr="00B956D8" w:rsidRDefault="0054737D" w:rsidP="0054737D">
      <w:pPr>
        <w:pStyle w:val="IRPsanstext"/>
        <w:rPr>
          <w:rFonts w:cs="Arial"/>
          <w:b/>
          <w:caps/>
        </w:rPr>
      </w:pPr>
      <w:r w:rsidRPr="00B956D8">
        <w:rPr>
          <w:rFonts w:cs="Arial"/>
          <w:b/>
          <w:caps/>
        </w:rPr>
        <w:t xml:space="preserve">Balancing Reserves </w:t>
      </w:r>
    </w:p>
    <w:p w14:paraId="53A41BEC" w14:textId="77777777" w:rsidR="0054737D" w:rsidRPr="00B956D8" w:rsidRDefault="0054737D" w:rsidP="0054737D">
      <w:pPr>
        <w:pStyle w:val="IRPsanstext"/>
        <w:rPr>
          <w:rFonts w:cs="Arial"/>
        </w:rPr>
      </w:pPr>
      <w:r w:rsidRPr="00B956D8">
        <w:rPr>
          <w:rFonts w:cs="Arial"/>
        </w:rPr>
        <w:t>Utilities must also have sufficient reserves available to maintain system reliability within the operating hour; this includes frequency support, managing load and variable resource forecast error, and actual load and generation deviations. Balancing reserves do not provide the same kind of short-term, forced-outage reliability benefit as contingency reserves, which are triggered only when certain criteria are met. Balancing reserves must be resources with the ability to ramp up and down instantaneously as loads and resources fluctuate each hour.</w:t>
      </w:r>
      <w:r w:rsidRPr="00B956D8">
        <w:rPr>
          <w:rFonts w:cs="Arial"/>
          <w:vertAlign w:val="superscript"/>
        </w:rPr>
        <w:footnoteReference w:id="12"/>
      </w:r>
      <w:r w:rsidRPr="00B956D8">
        <w:rPr>
          <w:rFonts w:cs="Arial"/>
          <w:vertAlign w:val="superscript"/>
        </w:rPr>
        <w:t xml:space="preserve"> </w:t>
      </w:r>
    </w:p>
    <w:p w14:paraId="59D00765" w14:textId="77777777" w:rsidR="0054737D" w:rsidRPr="00B956D8" w:rsidRDefault="0054737D" w:rsidP="0054737D">
      <w:pPr>
        <w:pStyle w:val="IRPsanstext"/>
        <w:rPr>
          <w:rFonts w:cs="Arial"/>
        </w:rPr>
      </w:pPr>
    </w:p>
    <w:p w14:paraId="1CB8A5A7" w14:textId="77777777" w:rsidR="0054737D" w:rsidRPr="00B956D8" w:rsidRDefault="0054737D" w:rsidP="0054737D">
      <w:pPr>
        <w:pStyle w:val="IRPsanstext"/>
        <w:rPr>
          <w:rFonts w:cs="Arial"/>
        </w:rPr>
      </w:pPr>
      <w:r w:rsidRPr="00B956D8">
        <w:rPr>
          <w:rFonts w:cs="Arial"/>
        </w:rPr>
        <w:t>For PSE, the amount of balancing reserves is 123 MW.</w:t>
      </w:r>
      <w:r w:rsidRPr="00B956D8">
        <w:rPr>
          <w:rFonts w:cs="Arial"/>
          <w:color w:val="3366FF"/>
        </w:rPr>
        <w:t xml:space="preserve"> </w:t>
      </w:r>
      <w:r w:rsidRPr="00B956D8">
        <w:rPr>
          <w:rFonts w:cs="Arial"/>
        </w:rPr>
        <w:t>This amount is based on a 95 percent confidence interval, or the amount of reserves that would capture 95 percent of the within-hour load and resource deviations. This confidence interval is derived from historical data during the months of December and January, to coincide with the period used for PSE’s winter-peak planning. A full description of how this number was calculated can be found in Appendix H, Operational Flexibility.</w:t>
      </w:r>
    </w:p>
    <w:p w14:paraId="72B7CA16" w14:textId="77777777" w:rsidR="00FF331D" w:rsidRDefault="00FF331D" w:rsidP="0054737D">
      <w:pPr>
        <w:pStyle w:val="IRPsanstext"/>
        <w:rPr>
          <w:rFonts w:cs="Arial"/>
        </w:rPr>
      </w:pPr>
    </w:p>
    <w:p w14:paraId="0FD0A6B4" w14:textId="77777777" w:rsidR="0054737D" w:rsidRPr="00B956D8" w:rsidRDefault="0054737D" w:rsidP="0054737D">
      <w:pPr>
        <w:pStyle w:val="IRPsanstext"/>
        <w:rPr>
          <w:rFonts w:cs="Arial"/>
          <w:sz w:val="24"/>
        </w:rPr>
      </w:pPr>
      <w:r w:rsidRPr="00B956D8">
        <w:rPr>
          <w:rFonts w:cs="Arial"/>
          <w:b/>
          <w:color w:val="156570"/>
          <w:sz w:val="28"/>
        </w:rPr>
        <w:t>Existing Resources.</w:t>
      </w:r>
      <w:r w:rsidRPr="00B956D8">
        <w:rPr>
          <w:rFonts w:cs="Arial"/>
        </w:rPr>
        <w:t xml:space="preserve"> In examining the peak capacity value of existing resources PSE performed t</w:t>
      </w:r>
      <w:r>
        <w:rPr>
          <w:rFonts w:cs="Arial"/>
        </w:rPr>
        <w:t>wo</w:t>
      </w:r>
      <w:r w:rsidRPr="00B956D8">
        <w:rPr>
          <w:rFonts w:cs="Arial"/>
        </w:rPr>
        <w:t xml:space="preserve"> sets of ICE analysis, one for each of the planning standards being examined. As mentioned earlier, ICE enables us to assess the capacity value of resources with very different characteristics. This value changes depending upon the planning standard applied, since ICE is defined and calculated as the change in capacity of a generic natural gas peaking plant that results from adding to the system a different type of resource with any given set of energy production characteristics, </w:t>
      </w:r>
      <w:r w:rsidRPr="00B956D8">
        <w:rPr>
          <w:rFonts w:cs="Arial"/>
          <w:i/>
        </w:rPr>
        <w:t>while keeping the resource adequacy metric constant</w:t>
      </w:r>
      <w:r w:rsidRPr="00B956D8">
        <w:rPr>
          <w:rFonts w:cs="Arial"/>
        </w:rPr>
        <w:t>. (Existing resources are described in detail in Appendix D.)</w:t>
      </w:r>
    </w:p>
    <w:p w14:paraId="529812D8" w14:textId="77777777" w:rsidR="0054737D" w:rsidRPr="00B956D8" w:rsidRDefault="0054737D" w:rsidP="0054737D">
      <w:pPr>
        <w:pStyle w:val="IRPsanstext"/>
        <w:rPr>
          <w:rFonts w:cs="Arial"/>
        </w:rPr>
      </w:pPr>
    </w:p>
    <w:p w14:paraId="2F17BEF0" w14:textId="77777777" w:rsidR="00FF331D" w:rsidRDefault="00FF331D">
      <w:pPr>
        <w:rPr>
          <w:rFonts w:ascii="Arial" w:hAnsi="Arial" w:cs="Arial"/>
          <w:b/>
          <w:caps/>
          <w:sz w:val="20"/>
          <w:szCs w:val="20"/>
        </w:rPr>
      </w:pPr>
      <w:r>
        <w:rPr>
          <w:rFonts w:cs="Arial"/>
          <w:b/>
          <w:caps/>
        </w:rPr>
        <w:br w:type="page"/>
      </w:r>
    </w:p>
    <w:p w14:paraId="3D04C831" w14:textId="77777777" w:rsidR="00903F5B" w:rsidRPr="00B956D8" w:rsidRDefault="0054737D" w:rsidP="0054737D">
      <w:pPr>
        <w:pStyle w:val="IRPsanstext"/>
        <w:rPr>
          <w:rFonts w:cs="Arial"/>
          <w:b/>
          <w:caps/>
        </w:rPr>
      </w:pPr>
      <w:r w:rsidRPr="00B956D8">
        <w:rPr>
          <w:rFonts w:cs="Arial"/>
          <w:b/>
          <w:caps/>
        </w:rPr>
        <w:lastRenderedPageBreak/>
        <w:t>SUMMARY of Existing ResourceS Assessment</w:t>
      </w:r>
    </w:p>
    <w:p w14:paraId="7B80D2D1" w14:textId="77777777" w:rsidR="0054737D" w:rsidRDefault="0054737D" w:rsidP="0054737D">
      <w:pPr>
        <w:pStyle w:val="IRPsanstext"/>
        <w:rPr>
          <w:rFonts w:cs="Arial"/>
        </w:rPr>
      </w:pPr>
      <w:r w:rsidRPr="00B956D8">
        <w:rPr>
          <w:rFonts w:cs="Arial"/>
        </w:rPr>
        <w:t>Figure 6-</w:t>
      </w:r>
      <w:r w:rsidR="00855BD7">
        <w:rPr>
          <w:rFonts w:cs="Arial"/>
        </w:rPr>
        <w:t>8</w:t>
      </w:r>
      <w:r w:rsidRPr="00B956D8">
        <w:rPr>
          <w:rFonts w:cs="Arial"/>
        </w:rPr>
        <w:t xml:space="preserve"> summarizes the </w:t>
      </w:r>
      <w:r>
        <w:rPr>
          <w:rFonts w:cs="Arial"/>
        </w:rPr>
        <w:t>winter peak capacity values for PSE’s existing supply-side resources.</w:t>
      </w:r>
    </w:p>
    <w:p w14:paraId="1824A605" w14:textId="77777777" w:rsidR="0054737D" w:rsidRDefault="0054737D" w:rsidP="0054737D">
      <w:pPr>
        <w:pStyle w:val="IRPsanstext"/>
        <w:jc w:val="center"/>
        <w:rPr>
          <w:rFonts w:cs="Arial"/>
          <w:i/>
        </w:rPr>
      </w:pPr>
    </w:p>
    <w:p w14:paraId="5101DEAA" w14:textId="77777777" w:rsidR="0054737D" w:rsidRPr="00B956D8" w:rsidRDefault="00855BD7" w:rsidP="0054737D">
      <w:pPr>
        <w:pStyle w:val="IRPsanstext"/>
        <w:jc w:val="center"/>
        <w:rPr>
          <w:rFonts w:cs="Arial"/>
          <w:i/>
        </w:rPr>
      </w:pPr>
      <w:r>
        <w:rPr>
          <w:rFonts w:cs="Arial"/>
          <w:i/>
        </w:rPr>
        <w:t>Figure 6-8</w:t>
      </w:r>
      <w:r w:rsidR="0054737D" w:rsidRPr="00B956D8">
        <w:rPr>
          <w:rFonts w:cs="Arial"/>
          <w:i/>
        </w:rPr>
        <w:t>: Existing Supply-side Resources</w:t>
      </w:r>
    </w:p>
    <w:p w14:paraId="4FC7F939" w14:textId="77777777" w:rsidR="0054737D" w:rsidRPr="00B956D8" w:rsidRDefault="0054737D" w:rsidP="0054737D">
      <w:pPr>
        <w:pStyle w:val="IRPsanstext"/>
        <w:spacing w:after="120"/>
        <w:jc w:val="center"/>
        <w:rPr>
          <w:rFonts w:cs="Arial"/>
          <w:i/>
        </w:rPr>
      </w:pPr>
      <w:r w:rsidRPr="00B956D8">
        <w:rPr>
          <w:rFonts w:cs="Arial"/>
          <w:i/>
        </w:rPr>
        <w:t>Nameplate Capacity and Winter Peak Capacity for December 2016</w:t>
      </w:r>
    </w:p>
    <w:tbl>
      <w:tblPr>
        <w:tblW w:w="8565" w:type="dxa"/>
        <w:tblInd w:w="93" w:type="dxa"/>
        <w:tblLayout w:type="fixed"/>
        <w:tblLook w:val="04A0" w:firstRow="1" w:lastRow="0" w:firstColumn="1" w:lastColumn="0" w:noHBand="0" w:noVBand="1"/>
      </w:tblPr>
      <w:tblGrid>
        <w:gridCol w:w="3165"/>
        <w:gridCol w:w="2430"/>
        <w:gridCol w:w="2970"/>
      </w:tblGrid>
      <w:tr w:rsidR="0054737D" w:rsidRPr="00B956D8" w14:paraId="29C91545" w14:textId="77777777">
        <w:trPr>
          <w:trHeight w:val="614"/>
        </w:trPr>
        <w:tc>
          <w:tcPr>
            <w:tcW w:w="3165" w:type="dxa"/>
            <w:tcBorders>
              <w:top w:val="single" w:sz="4" w:space="0" w:color="auto"/>
              <w:left w:val="single" w:sz="4" w:space="0" w:color="auto"/>
              <w:right w:val="single" w:sz="4" w:space="0" w:color="auto"/>
            </w:tcBorders>
            <w:shd w:val="clear" w:color="auto" w:fill="006A71"/>
            <w:noWrap/>
            <w:vAlign w:val="center"/>
          </w:tcPr>
          <w:p w14:paraId="45B0D4E7" w14:textId="77777777" w:rsidR="0054737D" w:rsidRPr="00411832" w:rsidRDefault="0054737D" w:rsidP="0054737D">
            <w:pPr>
              <w:pStyle w:val="IRPsanstext"/>
              <w:rPr>
                <w:rFonts w:eastAsia="Times New Roman" w:cs="Arial"/>
                <w:b/>
                <w:color w:val="FFFFFF"/>
              </w:rPr>
            </w:pPr>
            <w:r w:rsidRPr="00411832">
              <w:rPr>
                <w:rFonts w:eastAsia="Times New Roman" w:cs="Arial"/>
                <w:b/>
                <w:color w:val="FFFFFF"/>
              </w:rPr>
              <w:t>Type of Generation</w:t>
            </w:r>
          </w:p>
        </w:tc>
        <w:tc>
          <w:tcPr>
            <w:tcW w:w="2430" w:type="dxa"/>
            <w:tcBorders>
              <w:top w:val="single" w:sz="4" w:space="0" w:color="auto"/>
              <w:left w:val="single" w:sz="4" w:space="0" w:color="auto"/>
              <w:right w:val="single" w:sz="4" w:space="0" w:color="auto"/>
            </w:tcBorders>
            <w:shd w:val="clear" w:color="auto" w:fill="006A71"/>
            <w:noWrap/>
            <w:vAlign w:val="center"/>
          </w:tcPr>
          <w:p w14:paraId="2BE4698D" w14:textId="77777777" w:rsidR="0054737D" w:rsidRPr="00411832" w:rsidRDefault="0054737D" w:rsidP="0054737D">
            <w:pPr>
              <w:pStyle w:val="IRPsanstext"/>
              <w:jc w:val="center"/>
              <w:rPr>
                <w:rFonts w:eastAsia="Times New Roman" w:cs="Arial"/>
                <w:b/>
                <w:bCs/>
                <w:color w:val="FFFFFF"/>
              </w:rPr>
            </w:pPr>
            <w:r w:rsidRPr="00411832">
              <w:rPr>
                <w:rFonts w:eastAsia="Times New Roman" w:cs="Arial"/>
                <w:b/>
                <w:bCs/>
                <w:color w:val="FFFFFF"/>
              </w:rPr>
              <w:t>Nameplate Capacity (MW)</w:t>
            </w:r>
          </w:p>
        </w:tc>
        <w:tc>
          <w:tcPr>
            <w:tcW w:w="2970" w:type="dxa"/>
            <w:tcBorders>
              <w:top w:val="single" w:sz="4" w:space="0" w:color="auto"/>
              <w:left w:val="single" w:sz="4" w:space="0" w:color="auto"/>
              <w:right w:val="single" w:sz="4" w:space="0" w:color="auto"/>
            </w:tcBorders>
            <w:shd w:val="clear" w:color="auto" w:fill="006A71"/>
            <w:vAlign w:val="center"/>
          </w:tcPr>
          <w:p w14:paraId="74B21292" w14:textId="77777777" w:rsidR="0054737D" w:rsidRPr="00411832" w:rsidRDefault="0054737D" w:rsidP="0054737D">
            <w:pPr>
              <w:pStyle w:val="IRPsanstext"/>
              <w:jc w:val="center"/>
              <w:rPr>
                <w:rFonts w:eastAsia="Times New Roman" w:cs="Arial"/>
                <w:b/>
                <w:bCs/>
                <w:color w:val="FFFFFF"/>
              </w:rPr>
            </w:pPr>
            <w:r w:rsidRPr="00411832">
              <w:rPr>
                <w:rFonts w:eastAsia="Times New Roman" w:cs="Arial"/>
                <w:b/>
                <w:bCs/>
                <w:color w:val="FFFFFF"/>
              </w:rPr>
              <w:t>Winter Peak Capacity (MW)</w:t>
            </w:r>
          </w:p>
          <w:p w14:paraId="6E7F6EC3" w14:textId="77777777" w:rsidR="0054737D" w:rsidRPr="00411832" w:rsidRDefault="0054737D" w:rsidP="0054737D">
            <w:pPr>
              <w:pStyle w:val="IRPsanstext"/>
              <w:jc w:val="center"/>
              <w:rPr>
                <w:rFonts w:eastAsia="Times New Roman" w:cs="Arial"/>
                <w:b/>
                <w:bCs/>
                <w:color w:val="FFFFFF"/>
              </w:rPr>
            </w:pPr>
            <w:r w:rsidRPr="00411832">
              <w:rPr>
                <w:rFonts w:eastAsia="Times New Roman" w:cs="Arial"/>
                <w:b/>
                <w:bCs/>
                <w:color w:val="FFFFFF"/>
              </w:rPr>
              <w:t>2015 Standard</w:t>
            </w:r>
          </w:p>
        </w:tc>
      </w:tr>
      <w:tr w:rsidR="0054737D" w:rsidRPr="00B956D8" w14:paraId="398C0CF2" w14:textId="77777777">
        <w:trPr>
          <w:trHeight w:val="332"/>
        </w:trPr>
        <w:tc>
          <w:tcPr>
            <w:tcW w:w="3165" w:type="dxa"/>
            <w:tcBorders>
              <w:top w:val="single" w:sz="4" w:space="0" w:color="auto"/>
              <w:left w:val="single" w:sz="4" w:space="0" w:color="auto"/>
              <w:bottom w:val="single" w:sz="4" w:space="0" w:color="auto"/>
              <w:right w:val="nil"/>
            </w:tcBorders>
            <w:shd w:val="clear" w:color="auto" w:fill="auto"/>
            <w:noWrap/>
            <w:vAlign w:val="center"/>
          </w:tcPr>
          <w:p w14:paraId="2241B73C"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Hydro</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F30FE"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996</w:t>
            </w:r>
          </w:p>
        </w:tc>
        <w:tc>
          <w:tcPr>
            <w:tcW w:w="2970" w:type="dxa"/>
            <w:tcBorders>
              <w:top w:val="single" w:sz="4" w:space="0" w:color="auto"/>
              <w:left w:val="single" w:sz="4" w:space="0" w:color="auto"/>
              <w:bottom w:val="single" w:sz="4" w:space="0" w:color="auto"/>
              <w:right w:val="single" w:sz="4" w:space="0" w:color="auto"/>
            </w:tcBorders>
            <w:vAlign w:val="center"/>
          </w:tcPr>
          <w:p w14:paraId="1DA762F5"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897</w:t>
            </w:r>
          </w:p>
        </w:tc>
      </w:tr>
      <w:tr w:rsidR="0054737D" w:rsidRPr="00B956D8" w14:paraId="335084D0" w14:textId="77777777">
        <w:trPr>
          <w:trHeight w:val="332"/>
        </w:trPr>
        <w:tc>
          <w:tcPr>
            <w:tcW w:w="3165" w:type="dxa"/>
            <w:tcBorders>
              <w:top w:val="single" w:sz="4" w:space="0" w:color="auto"/>
              <w:left w:val="single" w:sz="4" w:space="0" w:color="auto"/>
              <w:bottom w:val="single" w:sz="4" w:space="0" w:color="auto"/>
              <w:right w:val="nil"/>
            </w:tcBorders>
            <w:shd w:val="clear" w:color="auto" w:fill="auto"/>
            <w:noWrap/>
            <w:vAlign w:val="center"/>
          </w:tcPr>
          <w:p w14:paraId="4CD985BE"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Colstrip</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C9E18"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677</w:t>
            </w:r>
          </w:p>
        </w:tc>
        <w:tc>
          <w:tcPr>
            <w:tcW w:w="2970" w:type="dxa"/>
            <w:tcBorders>
              <w:top w:val="single" w:sz="4" w:space="0" w:color="auto"/>
              <w:left w:val="single" w:sz="4" w:space="0" w:color="auto"/>
              <w:bottom w:val="single" w:sz="4" w:space="0" w:color="auto"/>
              <w:right w:val="single" w:sz="4" w:space="0" w:color="auto"/>
            </w:tcBorders>
            <w:vAlign w:val="center"/>
          </w:tcPr>
          <w:p w14:paraId="4379D0EA"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592</w:t>
            </w:r>
          </w:p>
        </w:tc>
      </w:tr>
      <w:tr w:rsidR="0054737D" w:rsidRPr="00B956D8" w14:paraId="77A5CCEE" w14:textId="77777777">
        <w:trPr>
          <w:trHeight w:val="332"/>
        </w:trPr>
        <w:tc>
          <w:tcPr>
            <w:tcW w:w="3165" w:type="dxa"/>
            <w:tcBorders>
              <w:top w:val="single" w:sz="4" w:space="0" w:color="auto"/>
              <w:left w:val="single" w:sz="4" w:space="0" w:color="auto"/>
              <w:bottom w:val="single" w:sz="4" w:space="0" w:color="auto"/>
              <w:right w:val="nil"/>
            </w:tcBorders>
            <w:shd w:val="clear" w:color="auto" w:fill="auto"/>
            <w:noWrap/>
            <w:vAlign w:val="center"/>
          </w:tcPr>
          <w:p w14:paraId="3303F74E"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Natural Gas</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3339B6" w14:textId="77777777" w:rsidR="0054737D" w:rsidRPr="00411832" w:rsidRDefault="0054737D" w:rsidP="0054737D">
            <w:pPr>
              <w:pStyle w:val="IRPsanstext"/>
              <w:jc w:val="center"/>
              <w:rPr>
                <w:rFonts w:eastAsia="Times New Roman" w:cs="Arial"/>
                <w:bCs/>
                <w:color w:val="000000"/>
                <w:vertAlign w:val="superscript"/>
              </w:rPr>
            </w:pPr>
            <w:r w:rsidRPr="00411832">
              <w:rPr>
                <w:rFonts w:eastAsia="Times New Roman" w:cs="Arial"/>
                <w:bCs/>
                <w:color w:val="000000"/>
              </w:rPr>
              <w:t>1,888</w:t>
            </w:r>
            <w:r w:rsidRPr="00411832">
              <w:rPr>
                <w:rFonts w:eastAsia="Times New Roman" w:cs="Arial"/>
                <w:bCs/>
                <w:color w:val="000000"/>
                <w:vertAlign w:val="superscript"/>
              </w:rPr>
              <w:t>1</w:t>
            </w:r>
          </w:p>
        </w:tc>
        <w:tc>
          <w:tcPr>
            <w:tcW w:w="2970" w:type="dxa"/>
            <w:tcBorders>
              <w:top w:val="single" w:sz="4" w:space="0" w:color="auto"/>
              <w:left w:val="single" w:sz="4" w:space="0" w:color="auto"/>
              <w:bottom w:val="single" w:sz="4" w:space="0" w:color="auto"/>
              <w:right w:val="single" w:sz="4" w:space="0" w:color="auto"/>
            </w:tcBorders>
            <w:vAlign w:val="center"/>
          </w:tcPr>
          <w:p w14:paraId="5A39D4CE"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2,008</w:t>
            </w:r>
          </w:p>
        </w:tc>
      </w:tr>
      <w:tr w:rsidR="0054737D" w:rsidRPr="00B956D8" w14:paraId="2E49EBE6" w14:textId="77777777">
        <w:trPr>
          <w:trHeight w:val="332"/>
        </w:trPr>
        <w:tc>
          <w:tcPr>
            <w:tcW w:w="3165" w:type="dxa"/>
            <w:tcBorders>
              <w:top w:val="single" w:sz="4" w:space="0" w:color="auto"/>
              <w:left w:val="single" w:sz="4" w:space="0" w:color="auto"/>
              <w:bottom w:val="single" w:sz="4" w:space="0" w:color="auto"/>
              <w:right w:val="nil"/>
            </w:tcBorders>
            <w:shd w:val="clear" w:color="auto" w:fill="auto"/>
            <w:noWrap/>
            <w:vAlign w:val="center"/>
          </w:tcPr>
          <w:p w14:paraId="2EB3CE75"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 xml:space="preserve">Wind </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42C0E"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823</w:t>
            </w:r>
            <w:r w:rsidRPr="00411832">
              <w:rPr>
                <w:rFonts w:eastAsia="Times New Roman" w:cs="Arial"/>
                <w:bCs/>
                <w:color w:val="000000"/>
                <w:vertAlign w:val="superscript"/>
              </w:rPr>
              <w:t>2</w:t>
            </w:r>
          </w:p>
        </w:tc>
        <w:tc>
          <w:tcPr>
            <w:tcW w:w="2970" w:type="dxa"/>
            <w:tcBorders>
              <w:top w:val="single" w:sz="4" w:space="0" w:color="auto"/>
              <w:left w:val="single" w:sz="4" w:space="0" w:color="auto"/>
              <w:bottom w:val="single" w:sz="4" w:space="0" w:color="auto"/>
              <w:right w:val="single" w:sz="4" w:space="0" w:color="auto"/>
            </w:tcBorders>
            <w:vAlign w:val="center"/>
          </w:tcPr>
          <w:p w14:paraId="121AEEDA"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74</w:t>
            </w:r>
          </w:p>
        </w:tc>
      </w:tr>
      <w:tr w:rsidR="0054737D" w:rsidRPr="00B956D8" w14:paraId="3170EF82" w14:textId="77777777">
        <w:trPr>
          <w:trHeight w:val="332"/>
        </w:trPr>
        <w:tc>
          <w:tcPr>
            <w:tcW w:w="3165" w:type="dxa"/>
            <w:tcBorders>
              <w:top w:val="single" w:sz="4" w:space="0" w:color="auto"/>
              <w:left w:val="single" w:sz="4" w:space="0" w:color="auto"/>
              <w:bottom w:val="single" w:sz="4" w:space="0" w:color="auto"/>
              <w:right w:val="nil"/>
            </w:tcBorders>
            <w:shd w:val="clear" w:color="auto" w:fill="auto"/>
            <w:noWrap/>
            <w:vAlign w:val="center"/>
          </w:tcPr>
          <w:p w14:paraId="64EBB410"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Contracts</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7BE07"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805</w:t>
            </w:r>
            <w:r w:rsidRPr="00411832">
              <w:rPr>
                <w:rFonts w:eastAsia="Times New Roman" w:cs="Arial"/>
                <w:bCs/>
                <w:color w:val="000000"/>
                <w:vertAlign w:val="superscript"/>
              </w:rPr>
              <w:t>3</w:t>
            </w:r>
          </w:p>
        </w:tc>
        <w:tc>
          <w:tcPr>
            <w:tcW w:w="2970" w:type="dxa"/>
            <w:tcBorders>
              <w:top w:val="single" w:sz="4" w:space="0" w:color="auto"/>
              <w:left w:val="single" w:sz="4" w:space="0" w:color="auto"/>
              <w:bottom w:val="single" w:sz="4" w:space="0" w:color="auto"/>
              <w:right w:val="single" w:sz="4" w:space="0" w:color="auto"/>
            </w:tcBorders>
            <w:vAlign w:val="center"/>
          </w:tcPr>
          <w:p w14:paraId="43F1E1D1"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765</w:t>
            </w:r>
          </w:p>
        </w:tc>
      </w:tr>
      <w:tr w:rsidR="0054737D" w:rsidRPr="00B956D8" w14:paraId="1A34E9ED" w14:textId="77777777">
        <w:trPr>
          <w:trHeight w:val="332"/>
        </w:trPr>
        <w:tc>
          <w:tcPr>
            <w:tcW w:w="3165" w:type="dxa"/>
            <w:tcBorders>
              <w:top w:val="single" w:sz="4" w:space="0" w:color="auto"/>
              <w:left w:val="single" w:sz="4" w:space="0" w:color="auto"/>
              <w:bottom w:val="single" w:sz="4" w:space="0" w:color="auto"/>
              <w:right w:val="nil"/>
            </w:tcBorders>
            <w:shd w:val="clear" w:color="auto" w:fill="auto"/>
            <w:noWrap/>
            <w:vAlign w:val="center"/>
          </w:tcPr>
          <w:p w14:paraId="54A12D3C" w14:textId="77777777" w:rsidR="0054737D" w:rsidRPr="00411832" w:rsidRDefault="0054737D" w:rsidP="0054737D">
            <w:pPr>
              <w:pStyle w:val="IRPsanstext"/>
              <w:rPr>
                <w:rFonts w:eastAsia="Times New Roman" w:cs="Arial"/>
                <w:bCs/>
                <w:color w:val="000000"/>
              </w:rPr>
            </w:pPr>
            <w:r w:rsidRPr="00411832">
              <w:rPr>
                <w:rFonts w:eastAsia="Times New Roman" w:cs="Arial"/>
                <w:bCs/>
                <w:color w:val="000000"/>
              </w:rPr>
              <w:t>Available Mid-C Transmission</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13CED"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2,331</w:t>
            </w:r>
          </w:p>
        </w:tc>
        <w:tc>
          <w:tcPr>
            <w:tcW w:w="2970" w:type="dxa"/>
            <w:tcBorders>
              <w:top w:val="single" w:sz="4" w:space="0" w:color="auto"/>
              <w:left w:val="single" w:sz="4" w:space="0" w:color="auto"/>
              <w:bottom w:val="single" w:sz="4" w:space="0" w:color="auto"/>
              <w:right w:val="single" w:sz="4" w:space="0" w:color="auto"/>
            </w:tcBorders>
            <w:vAlign w:val="center"/>
          </w:tcPr>
          <w:p w14:paraId="359B19AE" w14:textId="77777777" w:rsidR="0054737D" w:rsidRPr="00411832" w:rsidRDefault="0054737D" w:rsidP="0054737D">
            <w:pPr>
              <w:pStyle w:val="IRPsanstext"/>
              <w:jc w:val="center"/>
              <w:rPr>
                <w:rFonts w:eastAsia="Times New Roman" w:cs="Arial"/>
                <w:bCs/>
                <w:color w:val="000000"/>
              </w:rPr>
            </w:pPr>
            <w:r w:rsidRPr="00411832">
              <w:rPr>
                <w:rFonts w:eastAsia="Times New Roman" w:cs="Arial"/>
                <w:bCs/>
                <w:color w:val="000000"/>
              </w:rPr>
              <w:t>1,686</w:t>
            </w:r>
          </w:p>
        </w:tc>
      </w:tr>
      <w:tr w:rsidR="0054737D" w:rsidRPr="00B956D8" w14:paraId="0342315F" w14:textId="77777777">
        <w:trPr>
          <w:trHeight w:val="332"/>
        </w:trPr>
        <w:tc>
          <w:tcPr>
            <w:tcW w:w="3165" w:type="dxa"/>
            <w:tcBorders>
              <w:top w:val="single" w:sz="4" w:space="0" w:color="auto"/>
              <w:left w:val="single" w:sz="4" w:space="0" w:color="auto"/>
              <w:bottom w:val="single" w:sz="4" w:space="0" w:color="auto"/>
              <w:right w:val="nil"/>
            </w:tcBorders>
            <w:shd w:val="clear" w:color="auto" w:fill="D9D9D9"/>
            <w:noWrap/>
            <w:vAlign w:val="center"/>
          </w:tcPr>
          <w:p w14:paraId="7AFEE809" w14:textId="77777777" w:rsidR="0054737D" w:rsidRPr="00411832" w:rsidRDefault="0054737D" w:rsidP="0054737D">
            <w:pPr>
              <w:pStyle w:val="IRPsanstext"/>
              <w:rPr>
                <w:rFonts w:eastAsia="Times New Roman" w:cs="Arial"/>
                <w:b/>
                <w:bCs/>
                <w:color w:val="000000"/>
              </w:rPr>
            </w:pPr>
            <w:r w:rsidRPr="00411832">
              <w:rPr>
                <w:rFonts w:eastAsia="Times New Roman" w:cs="Arial"/>
                <w:b/>
                <w:bCs/>
                <w:color w:val="000000"/>
              </w:rPr>
              <w:t>Total Supply-side Resources</w:t>
            </w:r>
          </w:p>
        </w:tc>
        <w:tc>
          <w:tcPr>
            <w:tcW w:w="243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018914A" w14:textId="77777777" w:rsidR="0054737D" w:rsidRPr="00411832" w:rsidRDefault="0054737D" w:rsidP="0054737D">
            <w:pPr>
              <w:pStyle w:val="IRPsanstext"/>
              <w:jc w:val="center"/>
              <w:rPr>
                <w:rFonts w:eastAsia="Times New Roman" w:cs="Arial"/>
                <w:b/>
                <w:bCs/>
                <w:color w:val="000000"/>
              </w:rPr>
            </w:pPr>
            <w:r w:rsidRPr="00411832">
              <w:rPr>
                <w:rFonts w:eastAsia="Times New Roman" w:cs="Arial"/>
                <w:b/>
                <w:bCs/>
                <w:color w:val="000000"/>
              </w:rPr>
              <w:t>7,520</w:t>
            </w:r>
          </w:p>
        </w:tc>
        <w:tc>
          <w:tcPr>
            <w:tcW w:w="2970" w:type="dxa"/>
            <w:tcBorders>
              <w:top w:val="single" w:sz="4" w:space="0" w:color="auto"/>
              <w:left w:val="single" w:sz="4" w:space="0" w:color="auto"/>
              <w:bottom w:val="single" w:sz="4" w:space="0" w:color="auto"/>
              <w:right w:val="single" w:sz="4" w:space="0" w:color="auto"/>
            </w:tcBorders>
            <w:shd w:val="clear" w:color="auto" w:fill="D9D9D9"/>
            <w:vAlign w:val="center"/>
          </w:tcPr>
          <w:p w14:paraId="698A8CA3" w14:textId="77777777" w:rsidR="0054737D" w:rsidRPr="00411832" w:rsidRDefault="0054737D" w:rsidP="0054737D">
            <w:pPr>
              <w:pStyle w:val="IRPsanstext"/>
              <w:jc w:val="center"/>
              <w:rPr>
                <w:rFonts w:eastAsia="Times New Roman" w:cs="Arial"/>
                <w:b/>
                <w:bCs/>
                <w:color w:val="000000"/>
              </w:rPr>
            </w:pPr>
            <w:r w:rsidRPr="00411832">
              <w:rPr>
                <w:rFonts w:eastAsia="Times New Roman" w:cs="Arial"/>
                <w:b/>
                <w:bCs/>
                <w:color w:val="000000"/>
              </w:rPr>
              <w:t>6,022</w:t>
            </w:r>
          </w:p>
        </w:tc>
      </w:tr>
    </w:tbl>
    <w:p w14:paraId="1D6CA90F" w14:textId="77777777" w:rsidR="0054737D" w:rsidRPr="00B956D8" w:rsidRDefault="0054737D" w:rsidP="0054737D">
      <w:pPr>
        <w:pStyle w:val="IRPsanstext"/>
        <w:rPr>
          <w:rFonts w:cs="Arial"/>
          <w:i/>
          <w:sz w:val="16"/>
          <w:szCs w:val="16"/>
        </w:rPr>
      </w:pPr>
    </w:p>
    <w:p w14:paraId="6C9E69FC" w14:textId="77777777" w:rsidR="0054737D" w:rsidRPr="00FF2CB2" w:rsidRDefault="0054737D" w:rsidP="0054737D">
      <w:pPr>
        <w:pStyle w:val="IRPfooter"/>
        <w:rPr>
          <w:sz w:val="20"/>
          <w:szCs w:val="20"/>
        </w:rPr>
      </w:pPr>
      <w:r w:rsidRPr="00FF2CB2">
        <w:rPr>
          <w:sz w:val="20"/>
          <w:szCs w:val="20"/>
        </w:rPr>
        <w:t>NOTES</w:t>
      </w:r>
    </w:p>
    <w:p w14:paraId="1454C89C" w14:textId="77777777" w:rsidR="0054737D" w:rsidRPr="00FF2CB2" w:rsidRDefault="0054737D" w:rsidP="0054737D">
      <w:pPr>
        <w:pStyle w:val="IRPfooter"/>
        <w:rPr>
          <w:sz w:val="20"/>
          <w:szCs w:val="20"/>
        </w:rPr>
      </w:pPr>
      <w:r w:rsidRPr="00FF2CB2">
        <w:rPr>
          <w:sz w:val="20"/>
          <w:szCs w:val="20"/>
        </w:rPr>
        <w:t>1 The nameplate capacity for the natural gas units is based on the net maximum capacity that a unit can sustain over a 60 minutes when not restricted to ambient conditions.  Natural gas plants are more efficient in colder weather, so the winter peak capacity at 23 degrees F is higher than the nameplate capacity.</w:t>
      </w:r>
    </w:p>
    <w:p w14:paraId="13A0B70E" w14:textId="77777777" w:rsidR="0054737D" w:rsidRPr="00FF2CB2" w:rsidRDefault="0054737D" w:rsidP="0054737D">
      <w:pPr>
        <w:pStyle w:val="IRPfooter"/>
        <w:rPr>
          <w:sz w:val="20"/>
          <w:szCs w:val="20"/>
        </w:rPr>
      </w:pPr>
      <w:r w:rsidRPr="00FF2CB2">
        <w:rPr>
          <w:sz w:val="20"/>
          <w:szCs w:val="20"/>
        </w:rPr>
        <w:t>2 Includes Klondike III as a wind resource (50 MW)</w:t>
      </w:r>
    </w:p>
    <w:p w14:paraId="179B5846" w14:textId="77777777" w:rsidR="0054737D" w:rsidRPr="00FF2CB2" w:rsidRDefault="0054737D" w:rsidP="0054737D">
      <w:pPr>
        <w:pStyle w:val="IRPfooter"/>
        <w:rPr>
          <w:sz w:val="20"/>
          <w:szCs w:val="20"/>
        </w:rPr>
      </w:pPr>
      <w:r w:rsidRPr="00FF2CB2">
        <w:rPr>
          <w:sz w:val="20"/>
          <w:szCs w:val="20"/>
        </w:rPr>
        <w:t>3 Includes Centralia contract at 380 MW in December 2016</w:t>
      </w:r>
    </w:p>
    <w:p w14:paraId="3D963425" w14:textId="77777777" w:rsidR="0054737D" w:rsidRPr="00B956D8" w:rsidRDefault="0054737D" w:rsidP="0054737D">
      <w:pPr>
        <w:pStyle w:val="IRPsanstext"/>
        <w:rPr>
          <w:rFonts w:cs="Arial"/>
          <w:strike/>
          <w:sz w:val="24"/>
        </w:rPr>
      </w:pPr>
    </w:p>
    <w:p w14:paraId="465B4A8E" w14:textId="77777777" w:rsidR="0054737D" w:rsidRDefault="0054737D" w:rsidP="0054737D">
      <w:pPr>
        <w:pStyle w:val="IRPsanstext"/>
        <w:rPr>
          <w:rFonts w:cs="Arial"/>
        </w:rPr>
      </w:pPr>
      <w:r w:rsidRPr="00B956D8">
        <w:rPr>
          <w:rFonts w:cs="Arial"/>
        </w:rPr>
        <w:t xml:space="preserve">For the winter months of 2016, PSE is currently forecast to have a total of 1,881 MW of BPA transmission capacity and 450 MW of owned transmission capacity, for a total of 2,331 MW. A portion of the capacity, </w:t>
      </w:r>
      <w:r>
        <w:rPr>
          <w:rFonts w:cs="Arial"/>
        </w:rPr>
        <w:t>645</w:t>
      </w:r>
      <w:r w:rsidRPr="00B956D8">
        <w:rPr>
          <w:rFonts w:cs="Arial"/>
        </w:rPr>
        <w:t xml:space="preserve"> MW, is allocated to long-term contracts and existing resources such as PSE’s portion of the Mid-C hydro projects. This leaves 1,6</w:t>
      </w:r>
      <w:r>
        <w:rPr>
          <w:rFonts w:cs="Arial"/>
        </w:rPr>
        <w:t>86</w:t>
      </w:r>
      <w:r w:rsidRPr="00B956D8">
        <w:rPr>
          <w:rFonts w:cs="Arial"/>
        </w:rPr>
        <w:t xml:space="preserve"> MW of capacity available for short-term market purchases. The specific allocation of that capacity as of December 2016 is listed below in Figure 6-</w:t>
      </w:r>
      <w:r w:rsidR="00855BD7">
        <w:rPr>
          <w:rFonts w:cs="Arial"/>
        </w:rPr>
        <w:t>9</w:t>
      </w:r>
      <w:r w:rsidRPr="00B956D8">
        <w:rPr>
          <w:rFonts w:cs="Arial"/>
        </w:rPr>
        <w:t>. The capacities and contract periods for the various BPA contracts are reported in Appendix D, and PSE’s forecast Mid-C peak transmission capacities are included as part of the resource stack in Figure 6-1</w:t>
      </w:r>
      <w:r w:rsidR="00855BD7">
        <w:rPr>
          <w:rFonts w:cs="Arial"/>
        </w:rPr>
        <w:t>0</w:t>
      </w:r>
      <w:r w:rsidRPr="00B956D8">
        <w:rPr>
          <w:rFonts w:cs="Arial"/>
        </w:rPr>
        <w:t xml:space="preserve">, Electric Peak Capacity Need. </w:t>
      </w:r>
    </w:p>
    <w:p w14:paraId="3747FEA1" w14:textId="77777777" w:rsidR="0054737D" w:rsidRPr="00B956D8" w:rsidRDefault="0054737D" w:rsidP="0054737D">
      <w:pPr>
        <w:pStyle w:val="IRPsanstext"/>
        <w:rPr>
          <w:rFonts w:cs="Arial"/>
        </w:rPr>
      </w:pPr>
    </w:p>
    <w:p w14:paraId="6000468B" w14:textId="77777777" w:rsidR="0054737D" w:rsidRPr="00B956D8" w:rsidRDefault="0054737D" w:rsidP="0054737D">
      <w:pPr>
        <w:pStyle w:val="IRPsanstext"/>
        <w:spacing w:after="120"/>
        <w:jc w:val="center"/>
        <w:rPr>
          <w:rFonts w:cs="Arial"/>
          <w:i/>
        </w:rPr>
      </w:pPr>
      <w:r w:rsidRPr="00B956D8">
        <w:rPr>
          <w:rFonts w:cs="Arial"/>
          <w:i/>
        </w:rPr>
        <w:t>Figure 6-</w:t>
      </w:r>
      <w:r w:rsidR="00855BD7">
        <w:rPr>
          <w:rFonts w:cs="Arial"/>
          <w:i/>
        </w:rPr>
        <w:t>9</w:t>
      </w:r>
      <w:r w:rsidRPr="00B956D8">
        <w:rPr>
          <w:rFonts w:cs="Arial"/>
          <w:i/>
        </w:rPr>
        <w:t>: PSE Mid-C Transmission Capacity as of December 2016</w:t>
      </w:r>
    </w:p>
    <w:tbl>
      <w:tblPr>
        <w:tblW w:w="8487" w:type="dxa"/>
        <w:jc w:val="center"/>
        <w:tblInd w:w="-600" w:type="dxa"/>
        <w:tblLook w:val="04A0" w:firstRow="1" w:lastRow="0" w:firstColumn="1" w:lastColumn="0" w:noHBand="0" w:noVBand="1"/>
      </w:tblPr>
      <w:tblGrid>
        <w:gridCol w:w="5691"/>
        <w:gridCol w:w="2796"/>
      </w:tblGrid>
      <w:tr w:rsidR="0054737D" w:rsidRPr="00B956D8" w14:paraId="6F6A1E11" w14:textId="77777777">
        <w:trPr>
          <w:trHeight w:val="232"/>
          <w:jc w:val="center"/>
        </w:trPr>
        <w:tc>
          <w:tcPr>
            <w:tcW w:w="5691" w:type="dxa"/>
            <w:tcBorders>
              <w:top w:val="single" w:sz="4" w:space="0" w:color="auto"/>
              <w:left w:val="single" w:sz="4" w:space="0" w:color="auto"/>
              <w:bottom w:val="single" w:sz="8" w:space="0" w:color="auto"/>
              <w:right w:val="single" w:sz="4" w:space="0" w:color="auto"/>
            </w:tcBorders>
            <w:shd w:val="clear" w:color="auto" w:fill="006A71"/>
            <w:vAlign w:val="center"/>
          </w:tcPr>
          <w:p w14:paraId="059F3D75" w14:textId="77777777" w:rsidR="0054737D" w:rsidRPr="00411832" w:rsidRDefault="0054737D" w:rsidP="0054737D">
            <w:pPr>
              <w:pStyle w:val="IRPsanstext"/>
              <w:rPr>
                <w:rFonts w:cs="Arial"/>
                <w:b/>
                <w:bCs/>
                <w:color w:val="FFFFFF"/>
              </w:rPr>
            </w:pPr>
          </w:p>
        </w:tc>
        <w:tc>
          <w:tcPr>
            <w:tcW w:w="2796" w:type="dxa"/>
            <w:tcBorders>
              <w:top w:val="single" w:sz="4" w:space="0" w:color="auto"/>
              <w:left w:val="single" w:sz="4" w:space="0" w:color="auto"/>
              <w:bottom w:val="single" w:sz="8" w:space="0" w:color="auto"/>
              <w:right w:val="single" w:sz="4" w:space="0" w:color="auto"/>
            </w:tcBorders>
            <w:shd w:val="clear" w:color="auto" w:fill="006A71"/>
            <w:vAlign w:val="center"/>
          </w:tcPr>
          <w:p w14:paraId="490567C0" w14:textId="77777777" w:rsidR="0054737D" w:rsidRPr="00411832" w:rsidRDefault="0054737D" w:rsidP="0054737D">
            <w:pPr>
              <w:pStyle w:val="IRPsanstext"/>
              <w:jc w:val="center"/>
              <w:rPr>
                <w:rFonts w:cs="Arial"/>
                <w:b/>
                <w:bCs/>
                <w:color w:val="FFFFFF"/>
              </w:rPr>
            </w:pPr>
            <w:r w:rsidRPr="00411832">
              <w:rPr>
                <w:rFonts w:eastAsia="Times New Roman" w:cs="Arial"/>
                <w:b/>
                <w:bCs/>
                <w:color w:val="FFFFFF"/>
              </w:rPr>
              <w:t>Winter Peak Capacity (MW)</w:t>
            </w:r>
          </w:p>
        </w:tc>
      </w:tr>
      <w:tr w:rsidR="0054737D" w:rsidRPr="00B956D8" w14:paraId="7314E427" w14:textId="77777777">
        <w:trPr>
          <w:trHeight w:hRule="exact" w:val="110"/>
          <w:jc w:val="center"/>
        </w:trPr>
        <w:tc>
          <w:tcPr>
            <w:tcW w:w="8487" w:type="dxa"/>
            <w:gridSpan w:val="2"/>
            <w:tcBorders>
              <w:top w:val="nil"/>
              <w:left w:val="single" w:sz="4" w:space="0" w:color="auto"/>
              <w:bottom w:val="single" w:sz="8" w:space="0" w:color="auto"/>
              <w:right w:val="single" w:sz="4" w:space="0" w:color="auto"/>
            </w:tcBorders>
            <w:shd w:val="clear" w:color="auto" w:fill="808080"/>
            <w:vAlign w:val="center"/>
          </w:tcPr>
          <w:p w14:paraId="551072E7" w14:textId="77777777" w:rsidR="0054737D" w:rsidRPr="00411832" w:rsidRDefault="0054737D" w:rsidP="0054737D">
            <w:pPr>
              <w:pStyle w:val="IRPsanstext"/>
              <w:rPr>
                <w:rFonts w:cs="Arial"/>
              </w:rPr>
            </w:pPr>
          </w:p>
        </w:tc>
      </w:tr>
      <w:tr w:rsidR="0054737D" w:rsidRPr="00B956D8" w14:paraId="7A6AFA9E" w14:textId="77777777">
        <w:trPr>
          <w:trHeight w:val="205"/>
          <w:jc w:val="center"/>
        </w:trPr>
        <w:tc>
          <w:tcPr>
            <w:tcW w:w="5691" w:type="dxa"/>
            <w:tcBorders>
              <w:top w:val="nil"/>
              <w:left w:val="single" w:sz="4" w:space="0" w:color="auto"/>
              <w:bottom w:val="single" w:sz="8" w:space="0" w:color="auto"/>
              <w:right w:val="single" w:sz="4" w:space="0" w:color="auto"/>
            </w:tcBorders>
            <w:shd w:val="clear" w:color="auto" w:fill="auto"/>
            <w:vAlign w:val="center"/>
          </w:tcPr>
          <w:p w14:paraId="03819D04" w14:textId="77777777" w:rsidR="0054737D" w:rsidRPr="00411832" w:rsidRDefault="0054737D" w:rsidP="0054737D">
            <w:pPr>
              <w:pStyle w:val="IRPsanstext"/>
              <w:rPr>
                <w:rFonts w:cs="Arial"/>
              </w:rPr>
            </w:pPr>
            <w:r w:rsidRPr="00411832">
              <w:rPr>
                <w:rFonts w:cs="Arial"/>
              </w:rPr>
              <w:t>Total Mid-C Transmission</w:t>
            </w:r>
          </w:p>
        </w:tc>
        <w:tc>
          <w:tcPr>
            <w:tcW w:w="2796" w:type="dxa"/>
            <w:tcBorders>
              <w:top w:val="nil"/>
              <w:left w:val="single" w:sz="4" w:space="0" w:color="auto"/>
              <w:bottom w:val="single" w:sz="8" w:space="0" w:color="auto"/>
              <w:right w:val="single" w:sz="4" w:space="0" w:color="auto"/>
            </w:tcBorders>
            <w:shd w:val="clear" w:color="auto" w:fill="auto"/>
            <w:vAlign w:val="center"/>
          </w:tcPr>
          <w:p w14:paraId="1E7144D9" w14:textId="77777777" w:rsidR="0054737D" w:rsidRPr="00411832" w:rsidRDefault="0054737D" w:rsidP="0054737D">
            <w:pPr>
              <w:pStyle w:val="IRPsanstext"/>
              <w:jc w:val="center"/>
              <w:rPr>
                <w:rFonts w:cs="Arial"/>
              </w:rPr>
            </w:pPr>
            <w:r w:rsidRPr="00411832">
              <w:rPr>
                <w:rFonts w:cs="Arial"/>
              </w:rPr>
              <w:t>2,331</w:t>
            </w:r>
          </w:p>
        </w:tc>
      </w:tr>
      <w:tr w:rsidR="0054737D" w:rsidRPr="00B956D8" w14:paraId="31F147D1" w14:textId="77777777">
        <w:trPr>
          <w:trHeight w:val="205"/>
          <w:jc w:val="center"/>
        </w:trPr>
        <w:tc>
          <w:tcPr>
            <w:tcW w:w="5691" w:type="dxa"/>
            <w:tcBorders>
              <w:top w:val="nil"/>
              <w:left w:val="single" w:sz="4" w:space="0" w:color="auto"/>
              <w:bottom w:val="single" w:sz="8" w:space="0" w:color="auto"/>
              <w:right w:val="single" w:sz="4" w:space="0" w:color="auto"/>
            </w:tcBorders>
            <w:shd w:val="clear" w:color="auto" w:fill="auto"/>
            <w:vAlign w:val="center"/>
          </w:tcPr>
          <w:p w14:paraId="751D6BAB" w14:textId="77777777" w:rsidR="0054737D" w:rsidRPr="00411832" w:rsidRDefault="0054737D" w:rsidP="0054737D">
            <w:pPr>
              <w:pStyle w:val="IRPsanstext"/>
              <w:rPr>
                <w:rFonts w:cs="Arial"/>
              </w:rPr>
            </w:pPr>
            <w:r w:rsidRPr="00411832">
              <w:rPr>
                <w:rFonts w:cs="Arial"/>
              </w:rPr>
              <w:t>Allocated to Long-term Resources &amp; Contracts</w:t>
            </w:r>
          </w:p>
        </w:tc>
        <w:tc>
          <w:tcPr>
            <w:tcW w:w="2796" w:type="dxa"/>
            <w:tcBorders>
              <w:top w:val="nil"/>
              <w:left w:val="single" w:sz="4" w:space="0" w:color="auto"/>
              <w:bottom w:val="single" w:sz="8" w:space="0" w:color="auto"/>
              <w:right w:val="single" w:sz="4" w:space="0" w:color="auto"/>
            </w:tcBorders>
            <w:shd w:val="clear" w:color="auto" w:fill="auto"/>
            <w:vAlign w:val="center"/>
          </w:tcPr>
          <w:p w14:paraId="04B86B19" w14:textId="77777777" w:rsidR="0054737D" w:rsidRPr="00411832" w:rsidRDefault="0054737D" w:rsidP="0054737D">
            <w:pPr>
              <w:pStyle w:val="IRPsanstext"/>
              <w:jc w:val="center"/>
              <w:rPr>
                <w:rFonts w:cs="Arial"/>
              </w:rPr>
            </w:pPr>
            <w:r w:rsidRPr="00411832">
              <w:rPr>
                <w:rFonts w:cs="Arial"/>
              </w:rPr>
              <w:t>(645)</w:t>
            </w:r>
          </w:p>
        </w:tc>
      </w:tr>
      <w:tr w:rsidR="0054737D" w:rsidRPr="00B956D8" w14:paraId="17B7D109" w14:textId="77777777">
        <w:trPr>
          <w:trHeight w:val="340"/>
          <w:jc w:val="center"/>
        </w:trPr>
        <w:tc>
          <w:tcPr>
            <w:tcW w:w="5691" w:type="dxa"/>
            <w:tcBorders>
              <w:top w:val="nil"/>
              <w:left w:val="single" w:sz="4" w:space="0" w:color="auto"/>
              <w:bottom w:val="single" w:sz="4" w:space="0" w:color="auto"/>
              <w:right w:val="single" w:sz="4" w:space="0" w:color="auto"/>
            </w:tcBorders>
            <w:shd w:val="clear" w:color="auto" w:fill="D6CFCD"/>
            <w:vAlign w:val="center"/>
          </w:tcPr>
          <w:p w14:paraId="105CFD70" w14:textId="77777777" w:rsidR="0054737D" w:rsidRPr="00411832" w:rsidRDefault="0054737D" w:rsidP="0054737D">
            <w:pPr>
              <w:pStyle w:val="IRPsanstext"/>
              <w:rPr>
                <w:rFonts w:cs="Arial"/>
              </w:rPr>
            </w:pPr>
            <w:r w:rsidRPr="00411832">
              <w:rPr>
                <w:rFonts w:cs="Arial"/>
              </w:rPr>
              <w:t>Available for short-term wholesale market purchases</w:t>
            </w:r>
          </w:p>
        </w:tc>
        <w:tc>
          <w:tcPr>
            <w:tcW w:w="2796" w:type="dxa"/>
            <w:tcBorders>
              <w:top w:val="nil"/>
              <w:left w:val="single" w:sz="4" w:space="0" w:color="auto"/>
              <w:bottom w:val="single" w:sz="4" w:space="0" w:color="auto"/>
              <w:right w:val="single" w:sz="4" w:space="0" w:color="auto"/>
            </w:tcBorders>
            <w:shd w:val="clear" w:color="auto" w:fill="D6CFCD"/>
            <w:vAlign w:val="center"/>
          </w:tcPr>
          <w:p w14:paraId="5A73635D" w14:textId="77777777" w:rsidR="0054737D" w:rsidRPr="00411832" w:rsidRDefault="0054737D" w:rsidP="0054737D">
            <w:pPr>
              <w:pStyle w:val="IRPsanstext"/>
              <w:jc w:val="center"/>
            </w:pPr>
            <w:r w:rsidRPr="00411832">
              <w:rPr>
                <w:rFonts w:cs="Arial"/>
              </w:rPr>
              <w:t>1,686</w:t>
            </w:r>
          </w:p>
        </w:tc>
      </w:tr>
    </w:tbl>
    <w:p w14:paraId="01DB0F7B" w14:textId="77777777" w:rsidR="00FF331D" w:rsidRDefault="00FF331D">
      <w:pPr>
        <w:rPr>
          <w:rFonts w:ascii="Arial" w:hAnsi="Arial" w:cs="Arial"/>
          <w:sz w:val="32"/>
          <w:szCs w:val="32"/>
        </w:rPr>
      </w:pPr>
      <w:r>
        <w:rPr>
          <w:rFonts w:cs="Arial"/>
          <w:sz w:val="32"/>
          <w:szCs w:val="32"/>
        </w:rPr>
        <w:br w:type="page"/>
      </w:r>
    </w:p>
    <w:p w14:paraId="4BED808E" w14:textId="77777777" w:rsidR="00B956D8" w:rsidRPr="00B956D8" w:rsidRDefault="00B956D8" w:rsidP="00B956D8">
      <w:pPr>
        <w:pStyle w:val="IRPsanstext"/>
        <w:rPr>
          <w:rFonts w:cs="Arial"/>
          <w:sz w:val="32"/>
          <w:szCs w:val="32"/>
        </w:rPr>
      </w:pPr>
      <w:r w:rsidRPr="00B956D8">
        <w:rPr>
          <w:rFonts w:cs="Arial"/>
          <w:sz w:val="32"/>
          <w:szCs w:val="32"/>
        </w:rPr>
        <w:lastRenderedPageBreak/>
        <w:t>Peak Capacity Need</w:t>
      </w:r>
    </w:p>
    <w:p w14:paraId="71699B21" w14:textId="77777777" w:rsidR="00B956D8" w:rsidRDefault="00B956D8" w:rsidP="00B956D8">
      <w:pPr>
        <w:pStyle w:val="IRPsanstext"/>
        <w:rPr>
          <w:rFonts w:cs="Arial"/>
        </w:rPr>
      </w:pPr>
    </w:p>
    <w:p w14:paraId="7B714622" w14:textId="77777777" w:rsidR="007E0F1E" w:rsidRDefault="00855BD7" w:rsidP="00B956D8">
      <w:pPr>
        <w:pStyle w:val="IRPsanstext"/>
        <w:rPr>
          <w:rFonts w:cs="Arial"/>
        </w:rPr>
      </w:pPr>
      <w:r>
        <w:rPr>
          <w:rFonts w:cs="Arial"/>
        </w:rPr>
        <w:t>Figure 6-10</w:t>
      </w:r>
      <w:r w:rsidR="00B956D8" w:rsidRPr="00B956D8">
        <w:rPr>
          <w:rFonts w:cs="Arial"/>
        </w:rPr>
        <w:t xml:space="preserve"> shows the physical reliability need for the three demand scenarios modeled in this IRP. This picture applies the optimal planning standard (2015), and it incorporates the ICE adjustment to wholesale market purchases discussed above.  Before any additional demand-side resources, peak capacity need in the base case is </w:t>
      </w:r>
      <w:r w:rsidR="00415B12">
        <w:rPr>
          <w:rFonts w:cs="Arial"/>
        </w:rPr>
        <w:t xml:space="preserve">almost 900 </w:t>
      </w:r>
      <w:r w:rsidR="004148A3">
        <w:rPr>
          <w:rFonts w:cs="Arial"/>
        </w:rPr>
        <w:t>MW by 2021</w:t>
      </w:r>
      <w:r w:rsidR="00B956D8" w:rsidRPr="00415B12">
        <w:rPr>
          <w:rFonts w:cs="Arial"/>
        </w:rPr>
        <w:t xml:space="preserve"> and over </w:t>
      </w:r>
      <w:r w:rsidR="00415B12" w:rsidRPr="00415B12">
        <w:t>2,700</w:t>
      </w:r>
      <w:r w:rsidR="00B956D8" w:rsidRPr="00415B12">
        <w:rPr>
          <w:rFonts w:cs="Arial"/>
        </w:rPr>
        <w:t xml:space="preserve"> MW</w:t>
      </w:r>
      <w:r w:rsidR="00B956D8" w:rsidRPr="00B956D8">
        <w:rPr>
          <w:rFonts w:cs="Arial"/>
        </w:rPr>
        <w:t xml:space="preserve"> by the end of the planning period. This</w:t>
      </w:r>
      <w:r w:rsidR="00591EC7">
        <w:rPr>
          <w:rFonts w:cs="Arial"/>
        </w:rPr>
        <w:t xml:space="preserve"> picture differs from Figure </w:t>
      </w:r>
      <w:r w:rsidRPr="00855BD7">
        <w:rPr>
          <w:rFonts w:cs="Arial"/>
        </w:rPr>
        <w:t>6-5</w:t>
      </w:r>
      <w:r w:rsidR="00B956D8" w:rsidRPr="00B956D8">
        <w:rPr>
          <w:rFonts w:cs="Arial"/>
        </w:rPr>
        <w:t xml:space="preserve"> above, because it includes no demand-side resources past the study period’s start date. One of the major tasks of the IRP analysis is to identify the most cost-effective amount of conservation to include in the resource plan, and to accomplish this it is necessary to start with peak need forecasts that do not include forward projections of conservation savings. </w:t>
      </w:r>
    </w:p>
    <w:p w14:paraId="439C7E03" w14:textId="77777777" w:rsidR="00591EC7" w:rsidRPr="007E0F1E" w:rsidRDefault="00591EC7" w:rsidP="00B956D8">
      <w:pPr>
        <w:pStyle w:val="IRPsanstext"/>
        <w:rPr>
          <w:rFonts w:cs="Arial"/>
        </w:rPr>
      </w:pPr>
    </w:p>
    <w:p w14:paraId="659B1613" w14:textId="77777777" w:rsidR="00B956D8" w:rsidRPr="00B956D8" w:rsidRDefault="0030002A" w:rsidP="00B956D8">
      <w:pPr>
        <w:pStyle w:val="IRPsanstext"/>
        <w:jc w:val="center"/>
        <w:rPr>
          <w:rFonts w:cs="Arial"/>
          <w:i/>
        </w:rPr>
      </w:pPr>
      <w:r w:rsidRPr="0030002A">
        <w:rPr>
          <w:noProof/>
          <w:lang w:eastAsia="en-US"/>
        </w:rPr>
        <w:drawing>
          <wp:anchor distT="0" distB="0" distL="114300" distR="114300" simplePos="0" relativeHeight="251658752" behindDoc="0" locked="0" layoutInCell="1" allowOverlap="1" wp14:anchorId="7E000C5D" wp14:editId="62E75846">
            <wp:simplePos x="0" y="0"/>
            <wp:positionH relativeFrom="column">
              <wp:posOffset>0</wp:posOffset>
            </wp:positionH>
            <wp:positionV relativeFrom="paragraph">
              <wp:posOffset>665480</wp:posOffset>
            </wp:positionV>
            <wp:extent cx="5486400" cy="3997960"/>
            <wp:effectExtent l="0" t="0" r="0" b="2540"/>
            <wp:wrapTopAndBottom/>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86400" cy="3997960"/>
                    </a:xfrm>
                    <a:prstGeom prst="rect">
                      <a:avLst/>
                    </a:prstGeom>
                    <a:noFill/>
                    <a:ln>
                      <a:noFill/>
                    </a:ln>
                  </pic:spPr>
                </pic:pic>
              </a:graphicData>
            </a:graphic>
          </wp:anchor>
        </w:drawing>
      </w:r>
      <w:r w:rsidR="00B956D8" w:rsidRPr="00DC1A9D">
        <w:rPr>
          <w:rFonts w:cs="Arial"/>
          <w:i/>
        </w:rPr>
        <w:t>Figure 6-1</w:t>
      </w:r>
      <w:r w:rsidR="00855BD7">
        <w:rPr>
          <w:rFonts w:cs="Arial"/>
          <w:i/>
        </w:rPr>
        <w:t>0</w:t>
      </w:r>
      <w:r w:rsidR="00B956D8" w:rsidRPr="00DC1A9D">
        <w:rPr>
          <w:rFonts w:cs="Arial"/>
          <w:i/>
        </w:rPr>
        <w:t>:  Electric Peak Capacity Need</w:t>
      </w:r>
      <w:r w:rsidR="00FF331D">
        <w:rPr>
          <w:rFonts w:cs="Arial"/>
          <w:i/>
        </w:rPr>
        <w:t>*</w:t>
      </w:r>
    </w:p>
    <w:p w14:paraId="09AAC0B4" w14:textId="77777777" w:rsidR="00B956D8" w:rsidRPr="00B956D8" w:rsidRDefault="00B956D8" w:rsidP="00B956D8">
      <w:pPr>
        <w:pStyle w:val="IRPsanstext"/>
        <w:jc w:val="center"/>
        <w:rPr>
          <w:rFonts w:cs="Arial"/>
          <w:i/>
        </w:rPr>
      </w:pPr>
      <w:r w:rsidRPr="00B956D8">
        <w:rPr>
          <w:rFonts w:cs="Arial"/>
          <w:i/>
        </w:rPr>
        <w:t>(Physical Reliability Need, Peak Hour Need Compared with Existing Resources)</w:t>
      </w:r>
    </w:p>
    <w:p w14:paraId="76AF7F25" w14:textId="77777777" w:rsidR="00B956D8" w:rsidRPr="00B956D8" w:rsidRDefault="00B956D8" w:rsidP="00B956D8">
      <w:pPr>
        <w:pStyle w:val="IRPsanstext"/>
        <w:rPr>
          <w:rFonts w:cs="Arial"/>
          <w:i/>
        </w:rPr>
      </w:pPr>
    </w:p>
    <w:p w14:paraId="45ADB2C4" w14:textId="77777777" w:rsidR="00B956D8" w:rsidRPr="00B956D8" w:rsidRDefault="00B956D8" w:rsidP="00B956D8">
      <w:pPr>
        <w:pStyle w:val="IRPsanstext"/>
        <w:rPr>
          <w:rFonts w:cs="Arial"/>
          <w:i/>
        </w:rPr>
      </w:pPr>
    </w:p>
    <w:p w14:paraId="33AFDAA7" w14:textId="77777777" w:rsidR="00FF331D" w:rsidRDefault="00FF331D">
      <w:pPr>
        <w:rPr>
          <w:rFonts w:ascii="Palatino" w:hAnsi="Palatino"/>
          <w:i/>
          <w:caps/>
          <w:sz w:val="20"/>
          <w:szCs w:val="20"/>
        </w:rPr>
      </w:pPr>
      <w:r>
        <w:rPr>
          <w:rFonts w:ascii="Palatino" w:hAnsi="Palatino"/>
          <w:i/>
          <w:caps/>
          <w:sz w:val="20"/>
          <w:szCs w:val="20"/>
        </w:rPr>
        <w:t>* S</w:t>
      </w:r>
      <w:r>
        <w:rPr>
          <w:rFonts w:ascii="Palatino" w:hAnsi="Palatino"/>
          <w:i/>
          <w:sz w:val="20"/>
          <w:szCs w:val="20"/>
        </w:rPr>
        <w:t>ee note next page.</w:t>
      </w:r>
      <w:r>
        <w:rPr>
          <w:rFonts w:ascii="Palatino" w:hAnsi="Palatino"/>
          <w:i/>
          <w:caps/>
          <w:sz w:val="20"/>
          <w:szCs w:val="20"/>
        </w:rPr>
        <w:br w:type="page"/>
      </w:r>
    </w:p>
    <w:p w14:paraId="7C63FD26" w14:textId="77777777" w:rsidR="00B956D8" w:rsidRPr="00FF331D" w:rsidRDefault="00FF331D" w:rsidP="00FF331D">
      <w:pPr>
        <w:spacing w:line="320" w:lineRule="exact"/>
        <w:rPr>
          <w:rFonts w:ascii="Palatino" w:hAnsi="Palatino"/>
          <w:i/>
          <w:sz w:val="20"/>
          <w:szCs w:val="20"/>
        </w:rPr>
      </w:pPr>
      <w:r>
        <w:rPr>
          <w:rStyle w:val="IRPsanstextChar1"/>
        </w:rPr>
        <w:lastRenderedPageBreak/>
        <w:t>NOTE</w:t>
      </w:r>
      <w:r w:rsidRPr="00FF331D">
        <w:rPr>
          <w:rStyle w:val="IRPsanstextChar1"/>
        </w:rPr>
        <w:t xml:space="preserve">: </w:t>
      </w:r>
      <w:r w:rsidR="007E0F1E" w:rsidRPr="00FF331D">
        <w:rPr>
          <w:rStyle w:val="IRPsanstextChar1"/>
        </w:rPr>
        <w:t xml:space="preserve">The physical characteristics of the electric grid are very complex, so for planning purposes we simplify physical resource need into a peak hour capacity metric using PSE’s Resource Adequacy </w:t>
      </w:r>
      <w:r w:rsidR="00D64911" w:rsidRPr="00FF331D">
        <w:rPr>
          <w:rStyle w:val="IRPsanstextChar1"/>
        </w:rPr>
        <w:t>M</w:t>
      </w:r>
      <w:r w:rsidR="007E0F1E" w:rsidRPr="00FF331D">
        <w:rPr>
          <w:rStyle w:val="IRPsanstextChar1"/>
        </w:rPr>
        <w:t xml:space="preserve">odel (RAM). </w:t>
      </w:r>
      <w:r w:rsidR="00270B96" w:rsidRPr="00FF331D">
        <w:rPr>
          <w:rStyle w:val="IRPsanstextChar1"/>
        </w:rPr>
        <w:t xml:space="preserve">The RAM analysis produces reliability metrics that allow us to assess physical resource adequacy risk; these include LOLP (loss of load probability), EUE (expected </w:t>
      </w:r>
      <w:proofErr w:type="spellStart"/>
      <w:r w:rsidR="00270B96" w:rsidRPr="00FF331D">
        <w:rPr>
          <w:rStyle w:val="IRPsanstextChar1"/>
        </w:rPr>
        <w:t>unserved</w:t>
      </w:r>
      <w:proofErr w:type="spellEnd"/>
      <w:r w:rsidR="00270B96" w:rsidRPr="00FF331D">
        <w:rPr>
          <w:rStyle w:val="IRPsanstextChar1"/>
        </w:rPr>
        <w:t xml:space="preserve"> energy) and LOLH (loss of load hours)</w:t>
      </w:r>
      <w:r w:rsidR="007E0F1E" w:rsidRPr="00FF331D">
        <w:rPr>
          <w:rStyle w:val="IRPsanstextChar1"/>
        </w:rPr>
        <w:t xml:space="preserve">.  We can simplify physical resource need in this way because PSE is much less hydro-dependent than other utilities in the region, and because resources in the IRP are assumed to be available year round. </w:t>
      </w:r>
      <w:r w:rsidR="007E0F1E" w:rsidRPr="00FF331D" w:rsidDel="00455D92">
        <w:rPr>
          <w:rStyle w:val="IRPsanstextChar1"/>
        </w:rPr>
        <w:t>If PSE were more hydro-dependent, issues like the sustained peaking capability of hydro and annual energy constraints could be important; likewise, if seasonal resources or contracts were contemplated, supplemental capacity metrics may be appropriate to ensure adequate reliability in all seasons.</w:t>
      </w:r>
      <w:r w:rsidR="007E0F1E" w:rsidRPr="007E0F1E">
        <w:t xml:space="preserve"> </w:t>
      </w:r>
      <w:r w:rsidR="00B956D8" w:rsidRPr="00B956D8">
        <w:rPr>
          <w:rFonts w:cs="Arial"/>
        </w:rPr>
        <w:br w:type="page"/>
      </w:r>
      <w:r w:rsidR="00B956D8" w:rsidRPr="00F26524">
        <w:rPr>
          <w:rFonts w:ascii="Arial" w:hAnsi="Arial" w:cs="Arial"/>
          <w:sz w:val="32"/>
          <w:szCs w:val="32"/>
        </w:rPr>
        <w:lastRenderedPageBreak/>
        <w:t>Energy Need</w:t>
      </w:r>
    </w:p>
    <w:p w14:paraId="22F39BC2" w14:textId="77777777" w:rsidR="00B956D8" w:rsidRDefault="00B956D8" w:rsidP="00B956D8">
      <w:pPr>
        <w:pStyle w:val="IRPsanstext"/>
        <w:rPr>
          <w:rFonts w:cs="Arial"/>
        </w:rPr>
      </w:pPr>
    </w:p>
    <w:p w14:paraId="76AB2C2D" w14:textId="77777777" w:rsidR="00B956D8" w:rsidRPr="00B956D8" w:rsidRDefault="00B956D8" w:rsidP="00B956D8">
      <w:pPr>
        <w:pStyle w:val="IRPsanstext"/>
        <w:rPr>
          <w:rFonts w:cs="Arial"/>
        </w:rPr>
      </w:pPr>
      <w:r w:rsidRPr="00B956D8">
        <w:rPr>
          <w:rFonts w:cs="Arial"/>
        </w:rPr>
        <w:t xml:space="preserve">Compared to the physical planning constraints that define peak resource need, meeting customers’ “energy need” for PSE is more of a financial concept that involves minimizing costs. Portfolios are required to cover the amount of energy needed to meet physical loads, but our models also examine how to do this most economically. </w:t>
      </w:r>
    </w:p>
    <w:p w14:paraId="1FCABE39" w14:textId="77777777" w:rsidR="00B956D8" w:rsidRPr="00B956D8" w:rsidRDefault="00B956D8" w:rsidP="00B956D8">
      <w:pPr>
        <w:pStyle w:val="IRPsanstext"/>
        <w:rPr>
          <w:rFonts w:cs="Arial"/>
        </w:rPr>
      </w:pPr>
    </w:p>
    <w:p w14:paraId="3FF05E8F" w14:textId="77777777" w:rsidR="00B956D8" w:rsidRPr="00B956D8" w:rsidRDefault="00B956D8" w:rsidP="00B956D8">
      <w:pPr>
        <w:pStyle w:val="IRPsanstext"/>
        <w:rPr>
          <w:rFonts w:cs="Arial"/>
        </w:rPr>
      </w:pPr>
      <w:r w:rsidRPr="00B956D8">
        <w:rPr>
          <w:rFonts w:cs="Arial"/>
        </w:rPr>
        <w:t xml:space="preserve">Unlike utilities in the region that are heavily dependent on hydro, PSE has thermal resources that </w:t>
      </w:r>
      <w:r w:rsidRPr="0026312D">
        <w:rPr>
          <w:rFonts w:cs="Arial"/>
        </w:rPr>
        <w:t>can</w:t>
      </w:r>
      <w:r w:rsidRPr="00D64911">
        <w:rPr>
          <w:rFonts w:cs="Arial"/>
        </w:rPr>
        <w:t xml:space="preserve"> </w:t>
      </w:r>
      <w:r w:rsidRPr="00B956D8">
        <w:rPr>
          <w:rFonts w:cs="Arial"/>
        </w:rPr>
        <w:t xml:space="preserve">be used to generate electricity if needed. In fact, PSE could generate significantly more energy than needed to meet our load on an average monthly or annual basis, but it is often more cost effective to purchase wholesale market energy than to run our high-variable cost thermal resources. We do not constrain (or force) the model to dispatch resources that are not economical; if it is less expensive to buy power than to dispatch a generator, the model will choose to buy power in the market. Similarly, if a zero (or negative) marginal cost resource like wind is available, PSE’s models will displace higher-cost market purchases and use the wind to meet the energy need.   </w:t>
      </w:r>
    </w:p>
    <w:p w14:paraId="0368633A" w14:textId="77777777" w:rsidR="00B956D8" w:rsidRPr="00B956D8" w:rsidRDefault="00B956D8" w:rsidP="00B956D8">
      <w:pPr>
        <w:pStyle w:val="IRPsanstext"/>
        <w:rPr>
          <w:rFonts w:cs="Arial"/>
        </w:rPr>
      </w:pPr>
    </w:p>
    <w:p w14:paraId="56B3624A" w14:textId="77777777" w:rsidR="00B956D8" w:rsidRPr="00B956D8" w:rsidRDefault="00B956D8" w:rsidP="00B956D8">
      <w:pPr>
        <w:pStyle w:val="IRPsanstext"/>
        <w:rPr>
          <w:rFonts w:cs="Arial"/>
        </w:rPr>
      </w:pPr>
      <w:r w:rsidRPr="00B956D8">
        <w:rPr>
          <w:rFonts w:cs="Arial"/>
        </w:rPr>
        <w:t>Figure 6-1</w:t>
      </w:r>
      <w:r w:rsidR="00855BD7">
        <w:rPr>
          <w:rFonts w:cs="Arial"/>
        </w:rPr>
        <w:t>1</w:t>
      </w:r>
      <w:r w:rsidRPr="00B956D8">
        <w:rPr>
          <w:rFonts w:cs="Arial"/>
        </w:rPr>
        <w:t xml:space="preserve"> illustrates the company’s energy position across the planning horizon, based on the energy load forecasts and economic dispatches of the 2015 IRP Base Scenario presented in Chapter 4, Key </w:t>
      </w:r>
      <w:r w:rsidR="00834C15">
        <w:rPr>
          <w:rFonts w:cs="Arial"/>
        </w:rPr>
        <w:t xml:space="preserve">Analytical </w:t>
      </w:r>
      <w:r w:rsidRPr="00B956D8">
        <w:rPr>
          <w:rFonts w:cs="Arial"/>
        </w:rPr>
        <w:t xml:space="preserve">Assumptions. </w:t>
      </w:r>
    </w:p>
    <w:p w14:paraId="3ACE8FE4" w14:textId="77777777" w:rsidR="00B956D8" w:rsidRPr="00B956D8" w:rsidRDefault="00B956D8" w:rsidP="00B956D8">
      <w:pPr>
        <w:pStyle w:val="IRPsanstext"/>
        <w:rPr>
          <w:rFonts w:cs="Arial"/>
        </w:rPr>
      </w:pPr>
    </w:p>
    <w:p w14:paraId="217303F5" w14:textId="77777777" w:rsidR="00B956D8" w:rsidRDefault="00B956D8">
      <w:pPr>
        <w:rPr>
          <w:rFonts w:ascii="Arial" w:hAnsi="Arial" w:cs="Arial"/>
          <w:i/>
          <w:sz w:val="20"/>
          <w:szCs w:val="20"/>
        </w:rPr>
      </w:pPr>
      <w:r>
        <w:rPr>
          <w:rFonts w:cs="Arial"/>
          <w:i/>
        </w:rPr>
        <w:br w:type="page"/>
      </w:r>
    </w:p>
    <w:p w14:paraId="546B9795" w14:textId="77777777" w:rsidR="00B956D8" w:rsidRDefault="00B956D8" w:rsidP="005B2F54">
      <w:pPr>
        <w:pStyle w:val="IRPsanstext"/>
        <w:jc w:val="center"/>
        <w:rPr>
          <w:rFonts w:cs="Arial"/>
          <w:i/>
        </w:rPr>
      </w:pPr>
      <w:r w:rsidRPr="00B956D8">
        <w:rPr>
          <w:rFonts w:cs="Arial"/>
          <w:i/>
        </w:rPr>
        <w:lastRenderedPageBreak/>
        <w:t>Figure 6-1</w:t>
      </w:r>
      <w:r w:rsidR="00855BD7">
        <w:rPr>
          <w:rFonts w:cs="Arial"/>
          <w:i/>
        </w:rPr>
        <w:t>1</w:t>
      </w:r>
      <w:r w:rsidRPr="00B956D8">
        <w:rPr>
          <w:rFonts w:cs="Arial"/>
          <w:i/>
        </w:rPr>
        <w:t xml:space="preserve">: Annual Energy Position </w:t>
      </w:r>
    </w:p>
    <w:p w14:paraId="3EA31734" w14:textId="77777777" w:rsidR="004C3537" w:rsidRPr="00B956D8" w:rsidRDefault="004C3537" w:rsidP="005B2F54">
      <w:pPr>
        <w:pStyle w:val="IRPsanstext"/>
        <w:jc w:val="center"/>
        <w:rPr>
          <w:rFonts w:cs="Arial"/>
          <w:i/>
        </w:rPr>
      </w:pPr>
      <w:r>
        <w:rPr>
          <w:rFonts w:cs="Arial"/>
          <w:i/>
        </w:rPr>
        <w:t xml:space="preserve">Resource Economic Dispatch </w:t>
      </w:r>
      <w:r w:rsidR="00B303DC">
        <w:rPr>
          <w:rFonts w:cs="Arial"/>
          <w:i/>
        </w:rPr>
        <w:t>from</w:t>
      </w:r>
      <w:r>
        <w:rPr>
          <w:rFonts w:cs="Arial"/>
          <w:i/>
        </w:rPr>
        <w:t xml:space="preserve"> Base Scenario</w:t>
      </w:r>
    </w:p>
    <w:p w14:paraId="11BE0B32" w14:textId="77777777" w:rsidR="00B956D8" w:rsidRPr="00B956D8" w:rsidRDefault="00542866" w:rsidP="00B956D8">
      <w:pPr>
        <w:pStyle w:val="IRPsanstext"/>
        <w:rPr>
          <w:rFonts w:cs="Arial"/>
          <w:highlight w:val="cyan"/>
        </w:rPr>
      </w:pPr>
      <w:r>
        <w:rPr>
          <w:noProof/>
          <w:lang w:eastAsia="en-US"/>
        </w:rPr>
        <w:drawing>
          <wp:anchor distT="0" distB="0" distL="114300" distR="114300" simplePos="0" relativeHeight="251663872" behindDoc="0" locked="0" layoutInCell="1" allowOverlap="1" wp14:anchorId="60326572" wp14:editId="086AB576">
            <wp:simplePos x="0" y="0"/>
            <wp:positionH relativeFrom="column">
              <wp:posOffset>2540</wp:posOffset>
            </wp:positionH>
            <wp:positionV relativeFrom="paragraph">
              <wp:posOffset>121920</wp:posOffset>
            </wp:positionV>
            <wp:extent cx="5486400" cy="396430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6400" cy="3964305"/>
                    </a:xfrm>
                    <a:prstGeom prst="rect">
                      <a:avLst/>
                    </a:prstGeom>
                    <a:noFill/>
                    <a:ln>
                      <a:noFill/>
                    </a:ln>
                  </pic:spPr>
                </pic:pic>
              </a:graphicData>
            </a:graphic>
          </wp:anchor>
        </w:drawing>
      </w:r>
    </w:p>
    <w:p w14:paraId="42C046D2" w14:textId="77777777" w:rsidR="00B956D8" w:rsidRPr="00B956D8" w:rsidRDefault="00B956D8" w:rsidP="00B956D8">
      <w:pPr>
        <w:pStyle w:val="IRPsanstext"/>
        <w:rPr>
          <w:rFonts w:cs="Arial"/>
        </w:rPr>
      </w:pPr>
    </w:p>
    <w:p w14:paraId="6569AEF8" w14:textId="77777777" w:rsidR="00493E0D" w:rsidRPr="00493E0D" w:rsidRDefault="00B956D8" w:rsidP="00493E0D">
      <w:pPr>
        <w:pStyle w:val="IRPsanstext"/>
        <w:rPr>
          <w:sz w:val="32"/>
          <w:szCs w:val="32"/>
        </w:rPr>
      </w:pPr>
      <w:r w:rsidRPr="00B956D8">
        <w:rPr>
          <w:rFonts w:cs="Arial"/>
        </w:rPr>
        <w:br w:type="page"/>
      </w:r>
      <w:r w:rsidR="00493E0D" w:rsidRPr="00493E0D">
        <w:rPr>
          <w:sz w:val="32"/>
          <w:szCs w:val="32"/>
        </w:rPr>
        <w:lastRenderedPageBreak/>
        <w:t xml:space="preserve">Renewable Need </w:t>
      </w:r>
    </w:p>
    <w:p w14:paraId="226A4147" w14:textId="77777777" w:rsidR="00493E0D" w:rsidRDefault="00493E0D" w:rsidP="00493E0D">
      <w:pPr>
        <w:pStyle w:val="IRPsanstext"/>
      </w:pPr>
    </w:p>
    <w:p w14:paraId="61570AD2" w14:textId="77777777" w:rsidR="00493E0D" w:rsidRPr="00493E0D" w:rsidRDefault="00493E0D" w:rsidP="00493E0D">
      <w:pPr>
        <w:pStyle w:val="IRPsanstext"/>
      </w:pPr>
      <w:r w:rsidRPr="00493E0D">
        <w:t>Washington State’s renewable portfolio standard (RPS) requires PSE to meet specific percentages of our load with renewable resources or renewable energy credits (RECs) by specific dates. The main provisions of the statute (RCW 19.285) are summarized below.</w:t>
      </w:r>
    </w:p>
    <w:p w14:paraId="634705CF" w14:textId="77777777" w:rsidR="00493E0D" w:rsidRPr="00493E0D" w:rsidRDefault="00493E0D" w:rsidP="00493E0D">
      <w:pPr>
        <w:pStyle w:val="IRPsanstext"/>
      </w:pPr>
    </w:p>
    <w:p w14:paraId="36B6C924" w14:textId="77777777" w:rsidR="00493E0D" w:rsidRPr="00493E0D" w:rsidRDefault="00493E0D" w:rsidP="0054737D">
      <w:pPr>
        <w:pStyle w:val="IRPsanstext"/>
        <w:ind w:left="720"/>
        <w:rPr>
          <w:b/>
        </w:rPr>
      </w:pPr>
      <w:r w:rsidRPr="00493E0D">
        <w:rPr>
          <w:b/>
        </w:rPr>
        <w:t>Washington State RPS Targets</w:t>
      </w:r>
    </w:p>
    <w:p w14:paraId="1D4F35FC" w14:textId="77777777" w:rsidR="00493E0D" w:rsidRPr="00493E0D" w:rsidRDefault="00493E0D" w:rsidP="0054737D">
      <w:pPr>
        <w:pStyle w:val="IRPsanstext"/>
        <w:ind w:left="720"/>
        <w:rPr>
          <w:i/>
        </w:rPr>
      </w:pPr>
      <w:r w:rsidRPr="00493E0D">
        <w:rPr>
          <w:i/>
        </w:rPr>
        <w:t>Renewable resources must comprise:</w:t>
      </w:r>
    </w:p>
    <w:p w14:paraId="02D6B81A" w14:textId="77777777" w:rsidR="00493E0D" w:rsidRPr="00493E0D" w:rsidRDefault="00493E0D" w:rsidP="00FF331D">
      <w:pPr>
        <w:pStyle w:val="IRPsanstext"/>
        <w:ind w:left="720"/>
      </w:pPr>
      <w:r w:rsidRPr="00493E0D">
        <w:t>3 percent of supply-side resources by 2012</w:t>
      </w:r>
    </w:p>
    <w:p w14:paraId="02616FBA" w14:textId="77777777" w:rsidR="00493E0D" w:rsidRPr="00493E0D" w:rsidRDefault="00493E0D" w:rsidP="00FF331D">
      <w:pPr>
        <w:pStyle w:val="IRPsanstext"/>
        <w:ind w:left="720"/>
      </w:pPr>
      <w:r w:rsidRPr="00493E0D">
        <w:t>9 percent of supply-side resources by 2016</w:t>
      </w:r>
    </w:p>
    <w:p w14:paraId="6F07E17A" w14:textId="77777777" w:rsidR="00493E0D" w:rsidRPr="00493E0D" w:rsidRDefault="00493E0D" w:rsidP="00FF331D">
      <w:pPr>
        <w:pStyle w:val="IRPsanstext"/>
        <w:ind w:left="720"/>
      </w:pPr>
      <w:r w:rsidRPr="00493E0D">
        <w:t>15 percent of supply-side resources by 2020</w:t>
      </w:r>
    </w:p>
    <w:p w14:paraId="1C61EAEC" w14:textId="77777777" w:rsidR="00493E0D" w:rsidRPr="00493E0D" w:rsidRDefault="00493E0D" w:rsidP="00493E0D">
      <w:pPr>
        <w:pStyle w:val="IRPsanstext"/>
      </w:pPr>
    </w:p>
    <w:p w14:paraId="737E1767" w14:textId="77777777" w:rsidR="00493E0D" w:rsidRPr="00493E0D" w:rsidRDefault="00493E0D" w:rsidP="00493E0D">
      <w:pPr>
        <w:pStyle w:val="IRPsanstext"/>
      </w:pPr>
      <w:r w:rsidRPr="00493E0D">
        <w:t xml:space="preserve">PSE has sufficient qualifying renewable resources to meet RPS requirements through 2022, including the ability to bank </w:t>
      </w:r>
      <w:proofErr w:type="spellStart"/>
      <w:r w:rsidRPr="00493E0D">
        <w:t>RECs.</w:t>
      </w:r>
      <w:proofErr w:type="spellEnd"/>
      <w:r w:rsidRPr="00493E0D">
        <w:t xml:space="preserve"> For all practical purposes, wind remains the main resource available to fulfill RPS requirements for PSE. Existing hydroelectric resources may not be counted towards RPS goals except under certain circumstances for new run of river and efficiency upgrades, and other renewable technologies are not yet capable of producing power on a large enough scale to make substantial contributions to meeting the targets. </w:t>
      </w:r>
    </w:p>
    <w:p w14:paraId="4754C90C" w14:textId="77777777" w:rsidR="00493E0D" w:rsidRPr="00493E0D" w:rsidRDefault="00493E0D" w:rsidP="00493E0D">
      <w:pPr>
        <w:pStyle w:val="IRPsanstext"/>
      </w:pPr>
    </w:p>
    <w:p w14:paraId="1AB1AA4D" w14:textId="77777777" w:rsidR="00493E0D" w:rsidRPr="00493E0D" w:rsidRDefault="00493E0D" w:rsidP="00493E0D">
      <w:pPr>
        <w:pStyle w:val="IRPsanstext"/>
      </w:pPr>
      <w:r w:rsidRPr="00493E0D">
        <w:rPr>
          <w:b/>
        </w:rPr>
        <w:t xml:space="preserve">EMERGING RESOURCES STUDIES </w:t>
      </w:r>
    </w:p>
    <w:p w14:paraId="2CDF16C1" w14:textId="77777777" w:rsidR="00493E0D" w:rsidRPr="00493E0D" w:rsidRDefault="00493E0D" w:rsidP="00493E0D">
      <w:pPr>
        <w:pStyle w:val="IRPsanstext"/>
      </w:pPr>
      <w:r w:rsidRPr="00493E0D">
        <w:t>PSE continues to monitor emerging resources that may develop effective utility applications. This IRP tests portfolio sensitivities that incorporate renewable resources such as battery storage and distributed solar generation. The results of these sensitivity analyses are discussed later in</w:t>
      </w:r>
      <w:r w:rsidR="00834C15">
        <w:t xml:space="preserve"> this chapter</w:t>
      </w:r>
      <w:r w:rsidRPr="00493E0D">
        <w:t xml:space="preserve"> and in more detail in Appendix L, Electric Energy Storage, and Appendix M, Distributed Solar.</w:t>
      </w:r>
    </w:p>
    <w:p w14:paraId="0578A83C" w14:textId="77777777" w:rsidR="00493E0D" w:rsidRPr="00493E0D" w:rsidRDefault="00493E0D" w:rsidP="00493E0D">
      <w:pPr>
        <w:pStyle w:val="IRPsanstext"/>
      </w:pPr>
    </w:p>
    <w:p w14:paraId="00DAA92B" w14:textId="77777777" w:rsidR="00493E0D" w:rsidRPr="00493E0D" w:rsidRDefault="00493E0D" w:rsidP="00493E0D">
      <w:pPr>
        <w:pStyle w:val="IRPsanstext"/>
      </w:pPr>
      <w:r w:rsidRPr="00493E0D">
        <w:rPr>
          <w:b/>
          <w:caps/>
        </w:rPr>
        <w:t>Renewable Resources Influence Supply-side Resource Decisions</w:t>
      </w:r>
      <w:r w:rsidRPr="00493E0D">
        <w:t xml:space="preserve"> </w:t>
      </w:r>
    </w:p>
    <w:p w14:paraId="5F987FE8" w14:textId="77777777" w:rsidR="00493E0D" w:rsidRPr="00493E0D" w:rsidRDefault="00493E0D" w:rsidP="00493E0D">
      <w:pPr>
        <w:pStyle w:val="IRPsanstext"/>
      </w:pPr>
      <w:r w:rsidRPr="00493E0D">
        <w:t xml:space="preserve">Adding wind to the portfolio increases the need for stand-by backup generation that can be turned on and off or adjusted up or down quickly. The amount of electricity supplied to the system by wind drops off when the wind stops, but customer need does not, therefore, as the amount of wind in the portfolio increases, so does the need for reliable backup generation. </w:t>
      </w:r>
    </w:p>
    <w:p w14:paraId="786FC457" w14:textId="77777777" w:rsidR="00493E0D" w:rsidRPr="00493E0D" w:rsidRDefault="00493E0D" w:rsidP="00493E0D">
      <w:pPr>
        <w:pStyle w:val="IRPsanstext"/>
      </w:pPr>
    </w:p>
    <w:p w14:paraId="72CC39D5" w14:textId="77777777" w:rsidR="00493E0D" w:rsidRPr="00493E0D" w:rsidRDefault="00493E0D" w:rsidP="00493E0D">
      <w:pPr>
        <w:pStyle w:val="IRPsanstext"/>
        <w:rPr>
          <w:b/>
          <w:caps/>
        </w:rPr>
      </w:pPr>
      <w:r w:rsidRPr="00493E0D">
        <w:rPr>
          <w:b/>
          <w:caps/>
        </w:rPr>
        <w:t xml:space="preserve">Demand-side Achievements Affect Renewable Amounts </w:t>
      </w:r>
    </w:p>
    <w:p w14:paraId="1FD3A6E1" w14:textId="77777777" w:rsidR="00493E0D" w:rsidRPr="00493E0D" w:rsidRDefault="00493E0D" w:rsidP="00493E0D">
      <w:pPr>
        <w:pStyle w:val="IRPsanstext"/>
        <w:rPr>
          <w:b/>
        </w:rPr>
      </w:pPr>
      <w:r w:rsidRPr="00493E0D">
        <w:t>Washington’s renewable portfolio standard calculates the required amount of renewable resources as a percentage of megawatt hour (</w:t>
      </w:r>
      <w:proofErr w:type="spellStart"/>
      <w:r w:rsidRPr="00493E0D">
        <w:t>MWh</w:t>
      </w:r>
      <w:proofErr w:type="spellEnd"/>
      <w:r w:rsidRPr="00493E0D">
        <w:t xml:space="preserve">) sales; therefore, if </w:t>
      </w:r>
      <w:proofErr w:type="spellStart"/>
      <w:r w:rsidRPr="00493E0D">
        <w:t>MWh</w:t>
      </w:r>
      <w:proofErr w:type="spellEnd"/>
      <w:r w:rsidRPr="00493E0D">
        <w:t xml:space="preserve"> sales decrease, so does the amount of renewables we need. Achieving demand-side resources (DSR) targets has precisely this effect: DSR decreases sales volumes, which then decreases the amount of renewable resources needed. </w:t>
      </w:r>
    </w:p>
    <w:p w14:paraId="15B5BB04" w14:textId="77777777" w:rsidR="00493E0D" w:rsidRPr="00493E0D" w:rsidRDefault="00493E0D" w:rsidP="00493E0D">
      <w:pPr>
        <w:pStyle w:val="IRPsanstext"/>
      </w:pPr>
    </w:p>
    <w:p w14:paraId="77D4418C" w14:textId="77777777" w:rsidR="00493E0D" w:rsidRPr="00493E0D" w:rsidRDefault="00493E0D" w:rsidP="00493E0D">
      <w:pPr>
        <w:pStyle w:val="IRPsanstext"/>
      </w:pPr>
      <w:proofErr w:type="gramStart"/>
      <w:r w:rsidRPr="00493E0D">
        <w:rPr>
          <w:b/>
          <w:color w:val="156570"/>
          <w:sz w:val="28"/>
          <w:szCs w:val="28"/>
        </w:rPr>
        <w:lastRenderedPageBreak/>
        <w:t>REC Banking Provision.</w:t>
      </w:r>
      <w:proofErr w:type="gramEnd"/>
      <w:r w:rsidRPr="00493E0D">
        <w:t xml:space="preserve"> Washington’s renewable portfolio standard allows for REC banking. Unused RECs can be banked forward one year or can be borrowed from one year in the future. In this IRP, PSE assumes that the company would employ a REC banking strategy that would push the need for additional RECs further into the future.</w:t>
      </w:r>
    </w:p>
    <w:p w14:paraId="24E3816F" w14:textId="77777777" w:rsidR="00493E0D" w:rsidRPr="00493E0D" w:rsidRDefault="00493E0D" w:rsidP="00493E0D">
      <w:pPr>
        <w:pStyle w:val="IRPsanstext"/>
      </w:pPr>
    </w:p>
    <w:p w14:paraId="46E9569E" w14:textId="77777777" w:rsidR="00493E0D" w:rsidRPr="00493E0D" w:rsidRDefault="00493E0D" w:rsidP="00493E0D">
      <w:pPr>
        <w:pStyle w:val="IRPsanstext"/>
      </w:pPr>
      <w:r w:rsidRPr="00493E0D">
        <w:t>Figure 6-1</w:t>
      </w:r>
      <w:r w:rsidR="00855BD7">
        <w:t>2</w:t>
      </w:r>
      <w:r w:rsidRPr="00493E0D">
        <w:t xml:space="preserve"> illustrates the need for renewable energy – namely wind – after accounting for REC banking and the savings from demand-side resources that were found cost effective for the 2015 IRP.</w:t>
      </w:r>
    </w:p>
    <w:p w14:paraId="00ACB655" w14:textId="77777777" w:rsidR="00493E0D" w:rsidRPr="00493E0D" w:rsidRDefault="00493E0D" w:rsidP="00493E0D">
      <w:pPr>
        <w:pStyle w:val="IRPsanstext"/>
        <w:rPr>
          <w:i/>
        </w:rPr>
      </w:pPr>
    </w:p>
    <w:p w14:paraId="7CDB8091" w14:textId="77777777" w:rsidR="00493E0D" w:rsidRPr="00493E0D" w:rsidRDefault="00493E0D" w:rsidP="00493E0D">
      <w:pPr>
        <w:pStyle w:val="IRPsanstext"/>
        <w:jc w:val="center"/>
        <w:rPr>
          <w:i/>
        </w:rPr>
      </w:pPr>
      <w:r w:rsidRPr="00493E0D">
        <w:rPr>
          <w:i/>
        </w:rPr>
        <w:t>Figure 6-1</w:t>
      </w:r>
      <w:r w:rsidR="00855BD7">
        <w:rPr>
          <w:i/>
        </w:rPr>
        <w:t>2</w:t>
      </w:r>
      <w:r w:rsidRPr="00493E0D">
        <w:rPr>
          <w:i/>
        </w:rPr>
        <w:t>: REC Need Based on Achievement of All Cost-effective DSR</w:t>
      </w:r>
    </w:p>
    <w:p w14:paraId="0BE02288" w14:textId="77777777" w:rsidR="00493E0D" w:rsidRPr="00493E0D" w:rsidRDefault="00F26524" w:rsidP="00493E0D">
      <w:pPr>
        <w:pStyle w:val="IRPsanstext"/>
        <w:rPr>
          <w:highlight w:val="yellow"/>
        </w:rPr>
      </w:pPr>
      <w:r w:rsidRPr="00493E0D">
        <w:rPr>
          <w:noProof/>
          <w:lang w:eastAsia="en-US"/>
        </w:rPr>
        <w:drawing>
          <wp:anchor distT="0" distB="0" distL="114300" distR="114300" simplePos="0" relativeHeight="251636224" behindDoc="0" locked="0" layoutInCell="1" allowOverlap="1" wp14:anchorId="00C02AB1" wp14:editId="67326BF7">
            <wp:simplePos x="0" y="0"/>
            <wp:positionH relativeFrom="column">
              <wp:posOffset>51435</wp:posOffset>
            </wp:positionH>
            <wp:positionV relativeFrom="paragraph">
              <wp:posOffset>137160</wp:posOffset>
            </wp:positionV>
            <wp:extent cx="5372100" cy="375793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3521"/>
                    <a:stretch/>
                  </pic:blipFill>
                  <pic:spPr bwMode="auto">
                    <a:xfrm>
                      <a:off x="0" y="0"/>
                      <a:ext cx="5372100" cy="3757930"/>
                    </a:xfrm>
                    <a:prstGeom prst="rect">
                      <a:avLst/>
                    </a:prstGeom>
                    <a:noFill/>
                    <a:ln>
                      <a:noFill/>
                    </a:ln>
                    <a:extLst>
                      <a:ext uri="{53640926-AAD7-44d8-BBD7-CCE9431645EC}">
                        <a14:shadowObscured xmlns:a14="http://schemas.microsoft.com/office/drawing/2010/main"/>
                      </a:ext>
                    </a:extLst>
                  </pic:spPr>
                </pic:pic>
              </a:graphicData>
            </a:graphic>
          </wp:anchor>
        </w:drawing>
      </w:r>
      <w:r w:rsidR="00493E0D" w:rsidRPr="00493E0D" w:rsidDel="003C5492">
        <w:rPr>
          <w:highlight w:val="yellow"/>
        </w:rPr>
        <w:t xml:space="preserve"> </w:t>
      </w:r>
    </w:p>
    <w:p w14:paraId="309970FB" w14:textId="77777777" w:rsidR="00493E0D" w:rsidRPr="00493E0D" w:rsidRDefault="00493E0D" w:rsidP="00493E0D">
      <w:pPr>
        <w:pStyle w:val="IRPsanstext"/>
        <w:rPr>
          <w:highlight w:val="yellow"/>
        </w:rPr>
      </w:pPr>
    </w:p>
    <w:p w14:paraId="09902228" w14:textId="77777777" w:rsidR="00493E0D" w:rsidRPr="00493E0D" w:rsidRDefault="00493E0D" w:rsidP="00493E0D">
      <w:pPr>
        <w:pStyle w:val="IRPsanstext"/>
      </w:pPr>
      <w:r w:rsidRPr="00493E0D">
        <w:rPr>
          <w:b/>
          <w:caps/>
        </w:rPr>
        <w:br w:type="page"/>
      </w:r>
    </w:p>
    <w:p w14:paraId="797B0B41" w14:textId="77777777" w:rsidR="00AD0F38" w:rsidRPr="00AD0F38" w:rsidRDefault="00AD0F38" w:rsidP="00AD0F38">
      <w:pPr>
        <w:rPr>
          <w:rFonts w:ascii="Arial" w:hAnsi="Arial"/>
          <w:b/>
          <w:caps/>
          <w:color w:val="156570"/>
          <w:sz w:val="32"/>
        </w:rPr>
      </w:pPr>
      <w:r w:rsidRPr="00AD0F38">
        <w:rPr>
          <w:rFonts w:ascii="Arial" w:hAnsi="Arial"/>
          <w:b/>
          <w:caps/>
          <w:color w:val="156570"/>
          <w:sz w:val="32"/>
        </w:rPr>
        <w:lastRenderedPageBreak/>
        <w:t xml:space="preserve">Assumptions and Alternatives  </w:t>
      </w:r>
    </w:p>
    <w:p w14:paraId="006BBBB2" w14:textId="77777777" w:rsidR="00AD0F38" w:rsidRDefault="00AD0F38" w:rsidP="00AD0F38">
      <w:pPr>
        <w:spacing w:line="300" w:lineRule="auto"/>
        <w:rPr>
          <w:rFonts w:ascii="Arial" w:hAnsi="Arial"/>
          <w:sz w:val="20"/>
        </w:rPr>
      </w:pPr>
    </w:p>
    <w:p w14:paraId="400C518A" w14:textId="77777777" w:rsidR="00AD0F38" w:rsidRDefault="00AD0F38" w:rsidP="00B57114">
      <w:pPr>
        <w:pStyle w:val="IRPsanstext"/>
      </w:pPr>
      <w:r w:rsidRPr="005F72B2">
        <w:t>The scenarios, sensitivities and resource alternatives used in the electric analysis are summarized here for convenience.</w:t>
      </w:r>
      <w:r>
        <w:rPr>
          <w:rStyle w:val="FootnoteReference"/>
        </w:rPr>
        <w:footnoteReference w:id="13"/>
      </w:r>
      <w:r w:rsidRPr="005F72B2">
        <w:t xml:space="preserve"> </w:t>
      </w:r>
    </w:p>
    <w:p w14:paraId="33A0E59D" w14:textId="77777777" w:rsidR="00AD0F38" w:rsidRDefault="00AD0F38" w:rsidP="00B57114">
      <w:pPr>
        <w:pStyle w:val="IRPsanstext"/>
      </w:pPr>
    </w:p>
    <w:p w14:paraId="3E958C1B" w14:textId="77777777" w:rsidR="00AD0F38" w:rsidRPr="009A27E5" w:rsidRDefault="00AD0F38" w:rsidP="00B57114">
      <w:pPr>
        <w:pStyle w:val="IRPsanstext"/>
        <w:rPr>
          <w:sz w:val="32"/>
        </w:rPr>
      </w:pPr>
      <w:r w:rsidRPr="009A27E5">
        <w:rPr>
          <w:sz w:val="32"/>
        </w:rPr>
        <w:t>Scenarios and Sensitivities</w:t>
      </w:r>
    </w:p>
    <w:p w14:paraId="0A2CBA02" w14:textId="77777777" w:rsidR="00AD0F38" w:rsidRPr="005F72B2" w:rsidRDefault="00AD0F38" w:rsidP="00B57114">
      <w:pPr>
        <w:pStyle w:val="IRPsanstext"/>
      </w:pPr>
    </w:p>
    <w:p w14:paraId="70E89C2A" w14:textId="77777777" w:rsidR="00AD0F38" w:rsidRDefault="00AD0F38" w:rsidP="00B57114">
      <w:pPr>
        <w:pStyle w:val="IRPsanstext"/>
      </w:pPr>
      <w:r w:rsidRPr="005F72B2">
        <w:t xml:space="preserve">Scenarios enable us to test how resource portfolio costs and risks respond to changes in economic conditions, environmental regulation, natural gas prices and energy policy. Sensitivities start with the Base Scenario assumptions and change one variable. They allow us to isolate the effect of an individual variable </w:t>
      </w:r>
      <w:r>
        <w:t xml:space="preserve">on the portfolio, </w:t>
      </w:r>
      <w:r w:rsidRPr="005F72B2">
        <w:t xml:space="preserve">so </w:t>
      </w:r>
      <w:r>
        <w:t xml:space="preserve">that </w:t>
      </w:r>
      <w:r w:rsidRPr="005F72B2">
        <w:t xml:space="preserve">we can consider how different combinations of resources would affect costs, cost risks and emissions. </w:t>
      </w:r>
    </w:p>
    <w:p w14:paraId="26BBF55D" w14:textId="77777777" w:rsidR="00AD0F38" w:rsidRPr="000E5866" w:rsidRDefault="00AD0F38" w:rsidP="00B57114">
      <w:pPr>
        <w:pStyle w:val="IRPsanstext"/>
      </w:pPr>
    </w:p>
    <w:p w14:paraId="13C0BF3D" w14:textId="77777777" w:rsidR="00AD0F38" w:rsidRPr="00B80F26" w:rsidRDefault="00AD0F38" w:rsidP="00B57114">
      <w:pPr>
        <w:pStyle w:val="IRPsanstext"/>
        <w:spacing w:after="120"/>
        <w:jc w:val="center"/>
        <w:rPr>
          <w:i/>
        </w:rPr>
      </w:pPr>
      <w:r w:rsidRPr="00B80F26">
        <w:rPr>
          <w:i/>
        </w:rPr>
        <w:t>Figure 6-</w:t>
      </w:r>
      <w:r>
        <w:rPr>
          <w:i/>
        </w:rPr>
        <w:t>1</w:t>
      </w:r>
      <w:r w:rsidR="00855BD7">
        <w:rPr>
          <w:i/>
        </w:rPr>
        <w:t>3</w:t>
      </w:r>
      <w:r w:rsidRPr="00B80F26">
        <w:rPr>
          <w:i/>
        </w:rPr>
        <w:t>: 2015 IRP Scenarios</w:t>
      </w:r>
    </w:p>
    <w:tbl>
      <w:tblPr>
        <w:tblW w:w="8520" w:type="dxa"/>
        <w:jc w:val="center"/>
        <w:tblInd w:w="-1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50"/>
        <w:gridCol w:w="3600"/>
        <w:gridCol w:w="1350"/>
        <w:gridCol w:w="1440"/>
        <w:gridCol w:w="1380"/>
      </w:tblGrid>
      <w:tr w:rsidR="00B57114" w:rsidRPr="00CD1BE6" w14:paraId="70CE869B" w14:textId="77777777">
        <w:trPr>
          <w:jc w:val="center"/>
        </w:trPr>
        <w:tc>
          <w:tcPr>
            <w:tcW w:w="750" w:type="dxa"/>
            <w:shd w:val="clear" w:color="auto" w:fill="15666F"/>
            <w:vAlign w:val="center"/>
          </w:tcPr>
          <w:p w14:paraId="64754174" w14:textId="77777777" w:rsidR="00AD0F38" w:rsidRPr="00C01576" w:rsidRDefault="00AD0F38" w:rsidP="00B57114">
            <w:pPr>
              <w:pStyle w:val="IRPsanstext"/>
              <w:rPr>
                <w:color w:val="FFFFFF" w:themeColor="background1"/>
              </w:rPr>
            </w:pPr>
          </w:p>
        </w:tc>
        <w:tc>
          <w:tcPr>
            <w:tcW w:w="3600" w:type="dxa"/>
            <w:shd w:val="clear" w:color="auto" w:fill="15666F"/>
            <w:vAlign w:val="center"/>
          </w:tcPr>
          <w:p w14:paraId="015CE51F" w14:textId="77777777" w:rsidR="00AD0F38" w:rsidRPr="00C01576" w:rsidRDefault="00AD0F38" w:rsidP="00B57114">
            <w:pPr>
              <w:pStyle w:val="IRPsanstext"/>
              <w:rPr>
                <w:b/>
                <w:color w:val="FFFFFF" w:themeColor="background1"/>
              </w:rPr>
            </w:pPr>
            <w:r w:rsidRPr="00C01576">
              <w:rPr>
                <w:b/>
                <w:color w:val="FFFFFF" w:themeColor="background1"/>
              </w:rPr>
              <w:t>Scenario Name</w:t>
            </w:r>
          </w:p>
        </w:tc>
        <w:tc>
          <w:tcPr>
            <w:tcW w:w="1350" w:type="dxa"/>
            <w:shd w:val="clear" w:color="auto" w:fill="15666F"/>
            <w:vAlign w:val="center"/>
          </w:tcPr>
          <w:p w14:paraId="63CE91E7" w14:textId="77777777" w:rsidR="00AD0F38" w:rsidRPr="00C01576" w:rsidRDefault="00AD0F38" w:rsidP="00B57114">
            <w:pPr>
              <w:pStyle w:val="IRPsanstext"/>
              <w:rPr>
                <w:b/>
                <w:color w:val="FFFFFF" w:themeColor="background1"/>
              </w:rPr>
            </w:pPr>
            <w:r w:rsidRPr="00C01576">
              <w:rPr>
                <w:b/>
                <w:color w:val="FFFFFF" w:themeColor="background1"/>
              </w:rPr>
              <w:t>Gas Price</w:t>
            </w:r>
          </w:p>
        </w:tc>
        <w:tc>
          <w:tcPr>
            <w:tcW w:w="1440" w:type="dxa"/>
            <w:shd w:val="clear" w:color="auto" w:fill="15666F"/>
            <w:vAlign w:val="center"/>
          </w:tcPr>
          <w:p w14:paraId="06C03B3E" w14:textId="77777777" w:rsidR="00AD0F38" w:rsidRPr="00C01576" w:rsidRDefault="00AD0F38" w:rsidP="00B57114">
            <w:pPr>
              <w:pStyle w:val="IRPsanstext"/>
              <w:rPr>
                <w:b/>
                <w:color w:val="FFFFFF" w:themeColor="background1"/>
              </w:rPr>
            </w:pPr>
            <w:r w:rsidRPr="00C01576">
              <w:rPr>
                <w:b/>
                <w:color w:val="FFFFFF" w:themeColor="background1"/>
              </w:rPr>
              <w:t>CO</w:t>
            </w:r>
            <w:r w:rsidRPr="00C01576">
              <w:rPr>
                <w:b/>
                <w:color w:val="FFFFFF" w:themeColor="background1"/>
                <w:vertAlign w:val="subscript"/>
              </w:rPr>
              <w:t>2</w:t>
            </w:r>
            <w:r w:rsidRPr="00C01576">
              <w:rPr>
                <w:b/>
                <w:color w:val="FFFFFF" w:themeColor="background1"/>
              </w:rPr>
              <w:t xml:space="preserve"> Price</w:t>
            </w:r>
          </w:p>
        </w:tc>
        <w:tc>
          <w:tcPr>
            <w:tcW w:w="1380" w:type="dxa"/>
            <w:shd w:val="clear" w:color="auto" w:fill="15666F"/>
            <w:vAlign w:val="center"/>
          </w:tcPr>
          <w:p w14:paraId="17AD5CD1" w14:textId="77777777" w:rsidR="00AD0F38" w:rsidRPr="00C01576" w:rsidRDefault="00AD0F38" w:rsidP="00B57114">
            <w:pPr>
              <w:pStyle w:val="IRPsanstext"/>
              <w:rPr>
                <w:b/>
                <w:color w:val="FFFFFF" w:themeColor="background1"/>
              </w:rPr>
            </w:pPr>
            <w:r w:rsidRPr="00C01576">
              <w:rPr>
                <w:b/>
                <w:color w:val="FFFFFF" w:themeColor="background1"/>
              </w:rPr>
              <w:t>Demand</w:t>
            </w:r>
          </w:p>
        </w:tc>
      </w:tr>
      <w:tr w:rsidR="00B57114" w:rsidRPr="00B57114" w14:paraId="01340E63" w14:textId="77777777">
        <w:trPr>
          <w:jc w:val="center"/>
        </w:trPr>
        <w:tc>
          <w:tcPr>
            <w:tcW w:w="750" w:type="dxa"/>
          </w:tcPr>
          <w:p w14:paraId="3E0EC97E" w14:textId="77777777" w:rsidR="00AD0F38" w:rsidRPr="00834C15" w:rsidRDefault="00AD0F38" w:rsidP="00B57114">
            <w:pPr>
              <w:pStyle w:val="IRPsanstext"/>
              <w:rPr>
                <w:rFonts w:cs="Arial"/>
              </w:rPr>
            </w:pPr>
            <w:r w:rsidRPr="00B57114">
              <w:rPr>
                <w:rFonts w:cs="Arial"/>
              </w:rPr>
              <w:t>1</w:t>
            </w:r>
          </w:p>
        </w:tc>
        <w:tc>
          <w:tcPr>
            <w:tcW w:w="3600" w:type="dxa"/>
          </w:tcPr>
          <w:p w14:paraId="5854B0E0" w14:textId="77777777" w:rsidR="00AD0F38" w:rsidRPr="00B57114" w:rsidRDefault="00AD0F38" w:rsidP="00B57114">
            <w:pPr>
              <w:pStyle w:val="IRPsanstext"/>
              <w:rPr>
                <w:rFonts w:cs="Arial"/>
              </w:rPr>
            </w:pPr>
            <w:r w:rsidRPr="00B57114">
              <w:rPr>
                <w:rFonts w:cs="Arial"/>
              </w:rPr>
              <w:t xml:space="preserve">Low Scenario </w:t>
            </w:r>
          </w:p>
        </w:tc>
        <w:tc>
          <w:tcPr>
            <w:tcW w:w="1350" w:type="dxa"/>
            <w:shd w:val="clear" w:color="auto" w:fill="auto"/>
          </w:tcPr>
          <w:p w14:paraId="441273DE" w14:textId="77777777" w:rsidR="00AD0F38" w:rsidRPr="00B57114" w:rsidRDefault="00AD0F38" w:rsidP="00B57114">
            <w:pPr>
              <w:pStyle w:val="IRPsanstext"/>
              <w:rPr>
                <w:rFonts w:cs="Arial"/>
              </w:rPr>
            </w:pPr>
            <w:r w:rsidRPr="00B57114">
              <w:rPr>
                <w:rFonts w:cs="Arial"/>
              </w:rPr>
              <w:t>Low</w:t>
            </w:r>
          </w:p>
        </w:tc>
        <w:tc>
          <w:tcPr>
            <w:tcW w:w="1440" w:type="dxa"/>
            <w:shd w:val="clear" w:color="auto" w:fill="auto"/>
          </w:tcPr>
          <w:p w14:paraId="12F3D41B" w14:textId="77777777" w:rsidR="00AD0F38" w:rsidRPr="00B57114" w:rsidRDefault="00AD0F38" w:rsidP="00B57114">
            <w:pPr>
              <w:pStyle w:val="IRPsanstext"/>
              <w:rPr>
                <w:rFonts w:cs="Arial"/>
              </w:rPr>
            </w:pPr>
            <w:r w:rsidRPr="00B57114">
              <w:rPr>
                <w:rFonts w:cs="Arial"/>
              </w:rPr>
              <w:t>None</w:t>
            </w:r>
          </w:p>
        </w:tc>
        <w:tc>
          <w:tcPr>
            <w:tcW w:w="1380" w:type="dxa"/>
            <w:shd w:val="clear" w:color="auto" w:fill="auto"/>
          </w:tcPr>
          <w:p w14:paraId="2F1CDC16" w14:textId="77777777" w:rsidR="00AD0F38" w:rsidRPr="00B57114" w:rsidRDefault="00AD0F38" w:rsidP="00B57114">
            <w:pPr>
              <w:pStyle w:val="IRPsanstext"/>
              <w:rPr>
                <w:rFonts w:cs="Arial"/>
              </w:rPr>
            </w:pPr>
            <w:r w:rsidRPr="00B57114">
              <w:rPr>
                <w:rFonts w:cs="Arial"/>
              </w:rPr>
              <w:t>Low</w:t>
            </w:r>
          </w:p>
        </w:tc>
      </w:tr>
      <w:tr w:rsidR="00B57114" w:rsidRPr="00B57114" w14:paraId="72F03E09" w14:textId="77777777">
        <w:trPr>
          <w:jc w:val="center"/>
        </w:trPr>
        <w:tc>
          <w:tcPr>
            <w:tcW w:w="750" w:type="dxa"/>
            <w:shd w:val="clear" w:color="auto" w:fill="auto"/>
          </w:tcPr>
          <w:p w14:paraId="4518B000" w14:textId="77777777" w:rsidR="00AD0F38" w:rsidRPr="00B57114" w:rsidRDefault="00AD0F38" w:rsidP="00B57114">
            <w:pPr>
              <w:pStyle w:val="IRPsanstext"/>
              <w:rPr>
                <w:rFonts w:cs="Arial"/>
              </w:rPr>
            </w:pPr>
            <w:r w:rsidRPr="00B57114">
              <w:rPr>
                <w:rFonts w:cs="Arial"/>
              </w:rPr>
              <w:t>2</w:t>
            </w:r>
          </w:p>
        </w:tc>
        <w:tc>
          <w:tcPr>
            <w:tcW w:w="3600" w:type="dxa"/>
            <w:shd w:val="clear" w:color="auto" w:fill="auto"/>
          </w:tcPr>
          <w:p w14:paraId="5F24C724" w14:textId="77777777" w:rsidR="00AD0F38" w:rsidRPr="00B57114" w:rsidRDefault="00AD0F38" w:rsidP="00B57114">
            <w:pPr>
              <w:pStyle w:val="IRPsanstext"/>
              <w:rPr>
                <w:rFonts w:cs="Arial"/>
              </w:rPr>
            </w:pPr>
            <w:r w:rsidRPr="00B57114">
              <w:rPr>
                <w:rFonts w:cs="Arial"/>
              </w:rPr>
              <w:t xml:space="preserve">Base Scenario </w:t>
            </w:r>
          </w:p>
        </w:tc>
        <w:tc>
          <w:tcPr>
            <w:tcW w:w="1350" w:type="dxa"/>
            <w:shd w:val="clear" w:color="auto" w:fill="auto"/>
          </w:tcPr>
          <w:p w14:paraId="20F89EE6" w14:textId="77777777" w:rsidR="00AD0F38" w:rsidRPr="00B57114" w:rsidRDefault="00AD0F38" w:rsidP="00B57114">
            <w:pPr>
              <w:pStyle w:val="IRPsanstext"/>
              <w:rPr>
                <w:rFonts w:cs="Arial"/>
              </w:rPr>
            </w:pPr>
            <w:r w:rsidRPr="00B57114">
              <w:rPr>
                <w:rFonts w:cs="Arial"/>
              </w:rPr>
              <w:t>Mid</w:t>
            </w:r>
          </w:p>
        </w:tc>
        <w:tc>
          <w:tcPr>
            <w:tcW w:w="1440" w:type="dxa"/>
            <w:shd w:val="clear" w:color="auto" w:fill="auto"/>
          </w:tcPr>
          <w:p w14:paraId="7CF4A9D4" w14:textId="77777777" w:rsidR="00AD0F38" w:rsidRPr="00B57114" w:rsidRDefault="00AD0F38" w:rsidP="00B57114">
            <w:pPr>
              <w:pStyle w:val="IRPsanstext"/>
              <w:rPr>
                <w:rFonts w:cs="Arial"/>
              </w:rPr>
            </w:pPr>
            <w:r w:rsidRPr="00B57114">
              <w:rPr>
                <w:rFonts w:cs="Arial"/>
              </w:rPr>
              <w:t>Mid</w:t>
            </w:r>
          </w:p>
        </w:tc>
        <w:tc>
          <w:tcPr>
            <w:tcW w:w="1380" w:type="dxa"/>
            <w:shd w:val="clear" w:color="auto" w:fill="auto"/>
          </w:tcPr>
          <w:p w14:paraId="512426C5" w14:textId="77777777" w:rsidR="00AD0F38" w:rsidRPr="00B57114" w:rsidRDefault="00AD0F38" w:rsidP="00B57114">
            <w:pPr>
              <w:pStyle w:val="IRPsanstext"/>
              <w:rPr>
                <w:rFonts w:cs="Arial"/>
              </w:rPr>
            </w:pPr>
            <w:r w:rsidRPr="00B57114">
              <w:rPr>
                <w:rFonts w:cs="Arial"/>
              </w:rPr>
              <w:t>Mid</w:t>
            </w:r>
          </w:p>
        </w:tc>
      </w:tr>
      <w:tr w:rsidR="00B57114" w:rsidRPr="00B57114" w14:paraId="19BF6DA0" w14:textId="77777777">
        <w:trPr>
          <w:jc w:val="center"/>
        </w:trPr>
        <w:tc>
          <w:tcPr>
            <w:tcW w:w="750" w:type="dxa"/>
            <w:shd w:val="clear" w:color="auto" w:fill="auto"/>
          </w:tcPr>
          <w:p w14:paraId="0588E3BF" w14:textId="77777777" w:rsidR="00AD0F38" w:rsidRPr="00B57114" w:rsidRDefault="00AD0F38" w:rsidP="00B57114">
            <w:pPr>
              <w:pStyle w:val="IRPsanstext"/>
              <w:rPr>
                <w:rFonts w:cs="Arial"/>
              </w:rPr>
            </w:pPr>
            <w:r w:rsidRPr="00B57114">
              <w:rPr>
                <w:rFonts w:cs="Arial"/>
              </w:rPr>
              <w:t>3</w:t>
            </w:r>
          </w:p>
        </w:tc>
        <w:tc>
          <w:tcPr>
            <w:tcW w:w="3600" w:type="dxa"/>
            <w:shd w:val="clear" w:color="auto" w:fill="auto"/>
          </w:tcPr>
          <w:p w14:paraId="6F95CF41" w14:textId="77777777" w:rsidR="00AD0F38" w:rsidRPr="00B57114" w:rsidRDefault="00AD0F38" w:rsidP="00B57114">
            <w:pPr>
              <w:pStyle w:val="IRPsanstext"/>
              <w:rPr>
                <w:rFonts w:cs="Arial"/>
              </w:rPr>
            </w:pPr>
            <w:r w:rsidRPr="00B57114">
              <w:rPr>
                <w:rFonts w:cs="Arial"/>
              </w:rPr>
              <w:t xml:space="preserve">High Scenario </w:t>
            </w:r>
          </w:p>
        </w:tc>
        <w:tc>
          <w:tcPr>
            <w:tcW w:w="1350" w:type="dxa"/>
            <w:shd w:val="clear" w:color="auto" w:fill="auto"/>
          </w:tcPr>
          <w:p w14:paraId="613CEBA5" w14:textId="77777777" w:rsidR="00AD0F38" w:rsidRPr="00B57114" w:rsidRDefault="00AD0F38" w:rsidP="00B57114">
            <w:pPr>
              <w:pStyle w:val="IRPsanstext"/>
              <w:rPr>
                <w:rFonts w:cs="Arial"/>
              </w:rPr>
            </w:pPr>
            <w:r w:rsidRPr="00B57114">
              <w:rPr>
                <w:rFonts w:cs="Arial"/>
              </w:rPr>
              <w:t>High</w:t>
            </w:r>
          </w:p>
        </w:tc>
        <w:tc>
          <w:tcPr>
            <w:tcW w:w="1440" w:type="dxa"/>
            <w:shd w:val="clear" w:color="auto" w:fill="auto"/>
          </w:tcPr>
          <w:p w14:paraId="7928FCAB" w14:textId="77777777" w:rsidR="00AD0F38" w:rsidRPr="00B57114" w:rsidRDefault="00AD0F38" w:rsidP="00B57114">
            <w:pPr>
              <w:pStyle w:val="IRPsanstext"/>
              <w:rPr>
                <w:rFonts w:cs="Arial"/>
              </w:rPr>
            </w:pPr>
            <w:r w:rsidRPr="00B57114">
              <w:rPr>
                <w:rFonts w:cs="Arial"/>
              </w:rPr>
              <w:t>High</w:t>
            </w:r>
          </w:p>
        </w:tc>
        <w:tc>
          <w:tcPr>
            <w:tcW w:w="1380" w:type="dxa"/>
            <w:shd w:val="clear" w:color="auto" w:fill="auto"/>
          </w:tcPr>
          <w:p w14:paraId="34722342" w14:textId="77777777" w:rsidR="00AD0F38" w:rsidRPr="00B57114" w:rsidRDefault="00AD0F38" w:rsidP="00B57114">
            <w:pPr>
              <w:pStyle w:val="IRPsanstext"/>
              <w:rPr>
                <w:rFonts w:cs="Arial"/>
              </w:rPr>
            </w:pPr>
            <w:r w:rsidRPr="00B57114">
              <w:rPr>
                <w:rFonts w:cs="Arial"/>
              </w:rPr>
              <w:t>High</w:t>
            </w:r>
          </w:p>
        </w:tc>
      </w:tr>
      <w:tr w:rsidR="00B57114" w:rsidRPr="00B57114" w14:paraId="533C31D4" w14:textId="77777777">
        <w:trPr>
          <w:jc w:val="center"/>
        </w:trPr>
        <w:tc>
          <w:tcPr>
            <w:tcW w:w="750" w:type="dxa"/>
          </w:tcPr>
          <w:p w14:paraId="5FDD5403" w14:textId="77777777" w:rsidR="00AD0F38" w:rsidRPr="00B57114" w:rsidRDefault="00AD0F38" w:rsidP="00B57114">
            <w:pPr>
              <w:pStyle w:val="IRPsanstext"/>
              <w:rPr>
                <w:rFonts w:cs="Arial"/>
              </w:rPr>
            </w:pPr>
            <w:r w:rsidRPr="00B57114">
              <w:rPr>
                <w:rFonts w:cs="Arial"/>
              </w:rPr>
              <w:t>4</w:t>
            </w:r>
          </w:p>
        </w:tc>
        <w:tc>
          <w:tcPr>
            <w:tcW w:w="3600" w:type="dxa"/>
          </w:tcPr>
          <w:p w14:paraId="48ECDC78" w14:textId="77777777" w:rsidR="00AD0F38" w:rsidRPr="00B57114" w:rsidRDefault="00AD0F38" w:rsidP="00B57114">
            <w:pPr>
              <w:pStyle w:val="IRPsanstext"/>
              <w:rPr>
                <w:rFonts w:cs="Arial"/>
              </w:rPr>
            </w:pPr>
            <w:r w:rsidRPr="00B57114">
              <w:rPr>
                <w:rFonts w:cs="Arial"/>
              </w:rPr>
              <w:t xml:space="preserve">Base + Low Gas Price </w:t>
            </w:r>
          </w:p>
        </w:tc>
        <w:tc>
          <w:tcPr>
            <w:tcW w:w="1350" w:type="dxa"/>
            <w:shd w:val="clear" w:color="auto" w:fill="auto"/>
          </w:tcPr>
          <w:p w14:paraId="41D2B838" w14:textId="77777777" w:rsidR="00AD0F38" w:rsidRPr="00B57114" w:rsidRDefault="00AD0F38" w:rsidP="00B57114">
            <w:pPr>
              <w:pStyle w:val="IRPsanstext"/>
              <w:rPr>
                <w:rFonts w:cs="Arial"/>
              </w:rPr>
            </w:pPr>
            <w:r w:rsidRPr="00B57114">
              <w:rPr>
                <w:rFonts w:cs="Arial"/>
              </w:rPr>
              <w:t>Low</w:t>
            </w:r>
          </w:p>
        </w:tc>
        <w:tc>
          <w:tcPr>
            <w:tcW w:w="1440" w:type="dxa"/>
          </w:tcPr>
          <w:p w14:paraId="4BF200E7" w14:textId="77777777" w:rsidR="00AD0F38" w:rsidRPr="00B57114" w:rsidRDefault="00AD0F38" w:rsidP="00B57114">
            <w:pPr>
              <w:pStyle w:val="IRPsanstext"/>
              <w:rPr>
                <w:rFonts w:cs="Arial"/>
              </w:rPr>
            </w:pPr>
            <w:r w:rsidRPr="00B57114">
              <w:rPr>
                <w:rFonts w:cs="Arial"/>
              </w:rPr>
              <w:t>Mid</w:t>
            </w:r>
          </w:p>
        </w:tc>
        <w:tc>
          <w:tcPr>
            <w:tcW w:w="1380" w:type="dxa"/>
          </w:tcPr>
          <w:p w14:paraId="1E197F7A" w14:textId="77777777" w:rsidR="00AD0F38" w:rsidRPr="00B57114" w:rsidRDefault="00AD0F38" w:rsidP="00B57114">
            <w:pPr>
              <w:pStyle w:val="IRPsanstext"/>
              <w:rPr>
                <w:rFonts w:cs="Arial"/>
              </w:rPr>
            </w:pPr>
            <w:r w:rsidRPr="00B57114">
              <w:rPr>
                <w:rFonts w:cs="Arial"/>
              </w:rPr>
              <w:t>Mid</w:t>
            </w:r>
          </w:p>
        </w:tc>
      </w:tr>
      <w:tr w:rsidR="00B57114" w:rsidRPr="00B57114" w14:paraId="30D7452F" w14:textId="77777777">
        <w:trPr>
          <w:jc w:val="center"/>
        </w:trPr>
        <w:tc>
          <w:tcPr>
            <w:tcW w:w="750" w:type="dxa"/>
            <w:shd w:val="clear" w:color="auto" w:fill="auto"/>
          </w:tcPr>
          <w:p w14:paraId="475068EF" w14:textId="77777777" w:rsidR="00AD0F38" w:rsidRPr="00B57114" w:rsidRDefault="00AD0F38" w:rsidP="00B57114">
            <w:pPr>
              <w:pStyle w:val="IRPsanstext"/>
              <w:rPr>
                <w:rFonts w:cs="Arial"/>
              </w:rPr>
            </w:pPr>
            <w:r w:rsidRPr="00B57114">
              <w:rPr>
                <w:rFonts w:cs="Arial"/>
              </w:rPr>
              <w:t>5</w:t>
            </w:r>
          </w:p>
        </w:tc>
        <w:tc>
          <w:tcPr>
            <w:tcW w:w="3600" w:type="dxa"/>
            <w:shd w:val="clear" w:color="auto" w:fill="auto"/>
          </w:tcPr>
          <w:p w14:paraId="72D66745" w14:textId="77777777" w:rsidR="00AD0F38" w:rsidRPr="00B57114" w:rsidRDefault="00AD0F38" w:rsidP="00B57114">
            <w:pPr>
              <w:pStyle w:val="IRPsanstext"/>
              <w:rPr>
                <w:rFonts w:cs="Arial"/>
              </w:rPr>
            </w:pPr>
            <w:r w:rsidRPr="00B57114">
              <w:rPr>
                <w:rFonts w:cs="Arial"/>
              </w:rPr>
              <w:t xml:space="preserve">Base + High Gas Price </w:t>
            </w:r>
          </w:p>
        </w:tc>
        <w:tc>
          <w:tcPr>
            <w:tcW w:w="1350" w:type="dxa"/>
            <w:shd w:val="clear" w:color="auto" w:fill="auto"/>
          </w:tcPr>
          <w:p w14:paraId="2644C917" w14:textId="77777777" w:rsidR="00AD0F38" w:rsidRPr="00B57114" w:rsidRDefault="00AD0F38" w:rsidP="00B57114">
            <w:pPr>
              <w:pStyle w:val="IRPsanstext"/>
              <w:rPr>
                <w:rFonts w:cs="Arial"/>
              </w:rPr>
            </w:pPr>
            <w:r w:rsidRPr="00B57114">
              <w:rPr>
                <w:rFonts w:cs="Arial"/>
              </w:rPr>
              <w:t>High</w:t>
            </w:r>
          </w:p>
        </w:tc>
        <w:tc>
          <w:tcPr>
            <w:tcW w:w="1440" w:type="dxa"/>
            <w:shd w:val="clear" w:color="auto" w:fill="auto"/>
          </w:tcPr>
          <w:p w14:paraId="37E3371F" w14:textId="77777777" w:rsidR="00AD0F38" w:rsidRPr="00B57114" w:rsidRDefault="00AD0F38" w:rsidP="00B57114">
            <w:pPr>
              <w:pStyle w:val="IRPsanstext"/>
              <w:rPr>
                <w:rFonts w:cs="Arial"/>
              </w:rPr>
            </w:pPr>
            <w:r w:rsidRPr="00B57114">
              <w:rPr>
                <w:rFonts w:cs="Arial"/>
              </w:rPr>
              <w:t>Mid</w:t>
            </w:r>
          </w:p>
        </w:tc>
        <w:tc>
          <w:tcPr>
            <w:tcW w:w="1380" w:type="dxa"/>
            <w:shd w:val="clear" w:color="auto" w:fill="auto"/>
          </w:tcPr>
          <w:p w14:paraId="22C669D8" w14:textId="77777777" w:rsidR="00AD0F38" w:rsidRPr="00B57114" w:rsidRDefault="00AD0F38" w:rsidP="00B57114">
            <w:pPr>
              <w:pStyle w:val="IRPsanstext"/>
              <w:rPr>
                <w:rFonts w:cs="Arial"/>
              </w:rPr>
            </w:pPr>
            <w:r w:rsidRPr="00B57114">
              <w:rPr>
                <w:rFonts w:cs="Arial"/>
              </w:rPr>
              <w:t>Mid</w:t>
            </w:r>
          </w:p>
        </w:tc>
      </w:tr>
      <w:tr w:rsidR="00B57114" w:rsidRPr="00B57114" w14:paraId="0A9CAEBB" w14:textId="77777777">
        <w:trPr>
          <w:jc w:val="center"/>
        </w:trPr>
        <w:tc>
          <w:tcPr>
            <w:tcW w:w="750" w:type="dxa"/>
          </w:tcPr>
          <w:p w14:paraId="4D85DB03" w14:textId="77777777" w:rsidR="00AD0F38" w:rsidRPr="00B57114" w:rsidRDefault="00AD0F38" w:rsidP="00B57114">
            <w:pPr>
              <w:pStyle w:val="IRPsanstext"/>
              <w:rPr>
                <w:rFonts w:cs="Arial"/>
              </w:rPr>
            </w:pPr>
            <w:r w:rsidRPr="00B57114">
              <w:rPr>
                <w:rFonts w:cs="Arial"/>
              </w:rPr>
              <w:t>6</w:t>
            </w:r>
          </w:p>
        </w:tc>
        <w:tc>
          <w:tcPr>
            <w:tcW w:w="3600" w:type="dxa"/>
          </w:tcPr>
          <w:p w14:paraId="232FF21C" w14:textId="77777777" w:rsidR="00AD0F38" w:rsidRPr="00B57114" w:rsidRDefault="00AD0F38" w:rsidP="00B57114">
            <w:pPr>
              <w:pStyle w:val="IRPsanstext"/>
              <w:rPr>
                <w:rFonts w:cs="Arial"/>
              </w:rPr>
            </w:pPr>
            <w:r w:rsidRPr="00B57114">
              <w:rPr>
                <w:rFonts w:cs="Arial"/>
              </w:rPr>
              <w:t xml:space="preserve">Base + Very High Gas Price </w:t>
            </w:r>
          </w:p>
        </w:tc>
        <w:tc>
          <w:tcPr>
            <w:tcW w:w="1350" w:type="dxa"/>
            <w:shd w:val="clear" w:color="auto" w:fill="auto"/>
          </w:tcPr>
          <w:p w14:paraId="0167E4DB" w14:textId="77777777" w:rsidR="00AD0F38" w:rsidRPr="00B57114" w:rsidRDefault="00AD0F38" w:rsidP="00B57114">
            <w:pPr>
              <w:pStyle w:val="IRPsanstext"/>
              <w:rPr>
                <w:rFonts w:cs="Arial"/>
              </w:rPr>
            </w:pPr>
            <w:r w:rsidRPr="00B57114">
              <w:rPr>
                <w:rFonts w:cs="Arial"/>
              </w:rPr>
              <w:t>Very High</w:t>
            </w:r>
          </w:p>
        </w:tc>
        <w:tc>
          <w:tcPr>
            <w:tcW w:w="1440" w:type="dxa"/>
          </w:tcPr>
          <w:p w14:paraId="09C36062" w14:textId="77777777" w:rsidR="00AD0F38" w:rsidRPr="00B57114" w:rsidRDefault="00AD0F38" w:rsidP="00B57114">
            <w:pPr>
              <w:pStyle w:val="IRPsanstext"/>
              <w:rPr>
                <w:rFonts w:cs="Arial"/>
              </w:rPr>
            </w:pPr>
            <w:r w:rsidRPr="00B57114">
              <w:rPr>
                <w:rFonts w:cs="Arial"/>
              </w:rPr>
              <w:t>Mid</w:t>
            </w:r>
          </w:p>
        </w:tc>
        <w:tc>
          <w:tcPr>
            <w:tcW w:w="1380" w:type="dxa"/>
          </w:tcPr>
          <w:p w14:paraId="27553345" w14:textId="77777777" w:rsidR="00AD0F38" w:rsidRPr="00B57114" w:rsidRDefault="00AD0F38" w:rsidP="00B57114">
            <w:pPr>
              <w:pStyle w:val="IRPsanstext"/>
              <w:rPr>
                <w:rFonts w:cs="Arial"/>
              </w:rPr>
            </w:pPr>
            <w:r w:rsidRPr="00B57114">
              <w:rPr>
                <w:rFonts w:cs="Arial"/>
              </w:rPr>
              <w:t>Mid</w:t>
            </w:r>
          </w:p>
        </w:tc>
      </w:tr>
      <w:tr w:rsidR="00B57114" w:rsidRPr="00B57114" w14:paraId="524DB315" w14:textId="77777777">
        <w:trPr>
          <w:jc w:val="center"/>
        </w:trPr>
        <w:tc>
          <w:tcPr>
            <w:tcW w:w="750" w:type="dxa"/>
            <w:shd w:val="clear" w:color="auto" w:fill="auto"/>
          </w:tcPr>
          <w:p w14:paraId="37E7F0CC" w14:textId="77777777" w:rsidR="00AD0F38" w:rsidRPr="00B57114" w:rsidRDefault="00AD0F38" w:rsidP="00B57114">
            <w:pPr>
              <w:pStyle w:val="IRPsanstext"/>
              <w:rPr>
                <w:rFonts w:cs="Arial"/>
              </w:rPr>
            </w:pPr>
            <w:r w:rsidRPr="00B57114">
              <w:rPr>
                <w:rFonts w:cs="Arial"/>
              </w:rPr>
              <w:t>7</w:t>
            </w:r>
          </w:p>
        </w:tc>
        <w:tc>
          <w:tcPr>
            <w:tcW w:w="3600" w:type="dxa"/>
            <w:shd w:val="clear" w:color="auto" w:fill="auto"/>
          </w:tcPr>
          <w:p w14:paraId="580D8E6C" w14:textId="77777777" w:rsidR="00AD0F38" w:rsidRPr="00B57114" w:rsidRDefault="00AD0F38" w:rsidP="00B57114">
            <w:pPr>
              <w:pStyle w:val="IRPsanstext"/>
              <w:rPr>
                <w:rFonts w:cs="Arial"/>
              </w:rPr>
            </w:pPr>
            <w:r w:rsidRPr="00B57114">
              <w:rPr>
                <w:rFonts w:cs="Arial"/>
              </w:rPr>
              <w:t>Base + No CO</w:t>
            </w:r>
            <w:r w:rsidRPr="00B57114">
              <w:rPr>
                <w:rFonts w:cs="Arial"/>
                <w:vertAlign w:val="subscript"/>
              </w:rPr>
              <w:t>2</w:t>
            </w:r>
            <w:r w:rsidRPr="00B57114">
              <w:rPr>
                <w:rFonts w:cs="Arial"/>
              </w:rPr>
              <w:t xml:space="preserve"> </w:t>
            </w:r>
          </w:p>
        </w:tc>
        <w:tc>
          <w:tcPr>
            <w:tcW w:w="1350" w:type="dxa"/>
            <w:shd w:val="clear" w:color="auto" w:fill="auto"/>
          </w:tcPr>
          <w:p w14:paraId="1B1DB255" w14:textId="77777777" w:rsidR="00AD0F38" w:rsidRPr="00B57114" w:rsidRDefault="00AD0F38" w:rsidP="00B57114">
            <w:pPr>
              <w:pStyle w:val="IRPsanstext"/>
              <w:rPr>
                <w:rFonts w:cs="Arial"/>
              </w:rPr>
            </w:pPr>
            <w:r w:rsidRPr="00B57114">
              <w:rPr>
                <w:rFonts w:cs="Arial"/>
              </w:rPr>
              <w:t>Mid</w:t>
            </w:r>
          </w:p>
        </w:tc>
        <w:tc>
          <w:tcPr>
            <w:tcW w:w="1440" w:type="dxa"/>
            <w:shd w:val="clear" w:color="auto" w:fill="auto"/>
          </w:tcPr>
          <w:p w14:paraId="5D4F2C56" w14:textId="77777777" w:rsidR="00AD0F38" w:rsidRPr="00B57114" w:rsidRDefault="00AD0F38" w:rsidP="00B57114">
            <w:pPr>
              <w:pStyle w:val="IRPsanstext"/>
              <w:rPr>
                <w:rFonts w:cs="Arial"/>
              </w:rPr>
            </w:pPr>
            <w:r w:rsidRPr="00B57114">
              <w:rPr>
                <w:rFonts w:cs="Arial"/>
              </w:rPr>
              <w:t>None</w:t>
            </w:r>
          </w:p>
        </w:tc>
        <w:tc>
          <w:tcPr>
            <w:tcW w:w="1380" w:type="dxa"/>
            <w:shd w:val="clear" w:color="auto" w:fill="auto"/>
          </w:tcPr>
          <w:p w14:paraId="4164C7B1" w14:textId="77777777" w:rsidR="00AD0F38" w:rsidRPr="00B57114" w:rsidRDefault="00AD0F38" w:rsidP="00B57114">
            <w:pPr>
              <w:pStyle w:val="IRPsanstext"/>
              <w:rPr>
                <w:rFonts w:cs="Arial"/>
              </w:rPr>
            </w:pPr>
            <w:r w:rsidRPr="00B57114">
              <w:rPr>
                <w:rFonts w:cs="Arial"/>
              </w:rPr>
              <w:t>Mid</w:t>
            </w:r>
          </w:p>
        </w:tc>
      </w:tr>
      <w:tr w:rsidR="00B57114" w:rsidRPr="00B57114" w14:paraId="60C18F22" w14:textId="77777777">
        <w:trPr>
          <w:jc w:val="center"/>
        </w:trPr>
        <w:tc>
          <w:tcPr>
            <w:tcW w:w="750" w:type="dxa"/>
          </w:tcPr>
          <w:p w14:paraId="09DC080C" w14:textId="77777777" w:rsidR="00AD0F38" w:rsidRPr="00B57114" w:rsidRDefault="00AD0F38" w:rsidP="00B57114">
            <w:pPr>
              <w:pStyle w:val="IRPsanstext"/>
              <w:rPr>
                <w:rFonts w:cs="Arial"/>
              </w:rPr>
            </w:pPr>
            <w:r w:rsidRPr="00B57114">
              <w:rPr>
                <w:rFonts w:cs="Arial"/>
              </w:rPr>
              <w:t>8</w:t>
            </w:r>
          </w:p>
        </w:tc>
        <w:tc>
          <w:tcPr>
            <w:tcW w:w="3600" w:type="dxa"/>
          </w:tcPr>
          <w:p w14:paraId="592D588C" w14:textId="77777777" w:rsidR="00AD0F38" w:rsidRPr="00B57114" w:rsidRDefault="00AD0F38" w:rsidP="00B57114">
            <w:pPr>
              <w:pStyle w:val="IRPsanstext"/>
              <w:rPr>
                <w:rFonts w:cs="Arial"/>
              </w:rPr>
            </w:pPr>
            <w:r w:rsidRPr="00B57114">
              <w:rPr>
                <w:rFonts w:cs="Arial"/>
              </w:rPr>
              <w:t>Base + High CO</w:t>
            </w:r>
            <w:r w:rsidRPr="00B57114">
              <w:rPr>
                <w:rFonts w:cs="Arial"/>
                <w:vertAlign w:val="subscript"/>
              </w:rPr>
              <w:t>2</w:t>
            </w:r>
            <w:r w:rsidRPr="00B57114">
              <w:rPr>
                <w:rFonts w:cs="Arial"/>
              </w:rPr>
              <w:t xml:space="preserve"> </w:t>
            </w:r>
          </w:p>
        </w:tc>
        <w:tc>
          <w:tcPr>
            <w:tcW w:w="1350" w:type="dxa"/>
          </w:tcPr>
          <w:p w14:paraId="3BAAE8CC" w14:textId="77777777" w:rsidR="00AD0F38" w:rsidRPr="00B57114" w:rsidRDefault="00AD0F38" w:rsidP="00B57114">
            <w:pPr>
              <w:pStyle w:val="IRPsanstext"/>
              <w:rPr>
                <w:rFonts w:cs="Arial"/>
              </w:rPr>
            </w:pPr>
            <w:r w:rsidRPr="00B57114">
              <w:rPr>
                <w:rFonts w:cs="Arial"/>
              </w:rPr>
              <w:t>Mid</w:t>
            </w:r>
          </w:p>
        </w:tc>
        <w:tc>
          <w:tcPr>
            <w:tcW w:w="1440" w:type="dxa"/>
            <w:shd w:val="clear" w:color="auto" w:fill="auto"/>
          </w:tcPr>
          <w:p w14:paraId="26B1B034" w14:textId="77777777" w:rsidR="00AD0F38" w:rsidRPr="00B57114" w:rsidRDefault="00AD0F38" w:rsidP="00B57114">
            <w:pPr>
              <w:pStyle w:val="IRPsanstext"/>
              <w:rPr>
                <w:rFonts w:cs="Arial"/>
              </w:rPr>
            </w:pPr>
            <w:r w:rsidRPr="00B57114">
              <w:rPr>
                <w:rFonts w:cs="Arial"/>
              </w:rPr>
              <w:t>High</w:t>
            </w:r>
          </w:p>
        </w:tc>
        <w:tc>
          <w:tcPr>
            <w:tcW w:w="1380" w:type="dxa"/>
          </w:tcPr>
          <w:p w14:paraId="09C1896B" w14:textId="77777777" w:rsidR="00AD0F38" w:rsidRPr="00B57114" w:rsidRDefault="00AD0F38" w:rsidP="00B57114">
            <w:pPr>
              <w:pStyle w:val="IRPsanstext"/>
              <w:rPr>
                <w:rFonts w:cs="Arial"/>
              </w:rPr>
            </w:pPr>
            <w:r w:rsidRPr="00B57114">
              <w:rPr>
                <w:rFonts w:cs="Arial"/>
              </w:rPr>
              <w:t>Mid</w:t>
            </w:r>
          </w:p>
        </w:tc>
      </w:tr>
      <w:tr w:rsidR="00B57114" w:rsidRPr="00B57114" w14:paraId="714466A2" w14:textId="77777777">
        <w:trPr>
          <w:jc w:val="center"/>
        </w:trPr>
        <w:tc>
          <w:tcPr>
            <w:tcW w:w="750" w:type="dxa"/>
            <w:shd w:val="clear" w:color="auto" w:fill="auto"/>
          </w:tcPr>
          <w:p w14:paraId="7C9CED34" w14:textId="77777777" w:rsidR="00AD0F38" w:rsidRPr="00B57114" w:rsidRDefault="00AD0F38" w:rsidP="00B57114">
            <w:pPr>
              <w:pStyle w:val="IRPsanstext"/>
              <w:rPr>
                <w:rFonts w:cs="Arial"/>
              </w:rPr>
            </w:pPr>
            <w:r w:rsidRPr="00B57114">
              <w:rPr>
                <w:rFonts w:cs="Arial"/>
              </w:rPr>
              <w:t>9</w:t>
            </w:r>
          </w:p>
        </w:tc>
        <w:tc>
          <w:tcPr>
            <w:tcW w:w="3600" w:type="dxa"/>
            <w:shd w:val="clear" w:color="auto" w:fill="auto"/>
          </w:tcPr>
          <w:p w14:paraId="2B44ECA3" w14:textId="77777777" w:rsidR="00AD0F38" w:rsidRPr="00B57114" w:rsidRDefault="00AD0F38" w:rsidP="00B57114">
            <w:pPr>
              <w:pStyle w:val="IRPsanstext"/>
              <w:rPr>
                <w:rFonts w:cs="Arial"/>
              </w:rPr>
            </w:pPr>
            <w:r w:rsidRPr="00B57114">
              <w:rPr>
                <w:rFonts w:cs="Arial"/>
              </w:rPr>
              <w:t xml:space="preserve">Base + Low Demand </w:t>
            </w:r>
          </w:p>
        </w:tc>
        <w:tc>
          <w:tcPr>
            <w:tcW w:w="1350" w:type="dxa"/>
            <w:shd w:val="clear" w:color="auto" w:fill="auto"/>
          </w:tcPr>
          <w:p w14:paraId="0E36EFBA" w14:textId="77777777" w:rsidR="00AD0F38" w:rsidRPr="00B57114" w:rsidRDefault="00AD0F38" w:rsidP="00B57114">
            <w:pPr>
              <w:pStyle w:val="IRPsanstext"/>
              <w:rPr>
                <w:rFonts w:cs="Arial"/>
              </w:rPr>
            </w:pPr>
            <w:r w:rsidRPr="00B57114">
              <w:rPr>
                <w:rFonts w:cs="Arial"/>
              </w:rPr>
              <w:t>Mid</w:t>
            </w:r>
          </w:p>
        </w:tc>
        <w:tc>
          <w:tcPr>
            <w:tcW w:w="1440" w:type="dxa"/>
            <w:shd w:val="clear" w:color="auto" w:fill="auto"/>
          </w:tcPr>
          <w:p w14:paraId="6C97631F" w14:textId="77777777" w:rsidR="00AD0F38" w:rsidRPr="00B57114" w:rsidRDefault="00AD0F38" w:rsidP="00B57114">
            <w:pPr>
              <w:pStyle w:val="IRPsanstext"/>
              <w:rPr>
                <w:rFonts w:cs="Arial"/>
              </w:rPr>
            </w:pPr>
            <w:r w:rsidRPr="00B57114">
              <w:rPr>
                <w:rFonts w:cs="Arial"/>
              </w:rPr>
              <w:t>Mid</w:t>
            </w:r>
          </w:p>
        </w:tc>
        <w:tc>
          <w:tcPr>
            <w:tcW w:w="1380" w:type="dxa"/>
            <w:shd w:val="clear" w:color="auto" w:fill="auto"/>
          </w:tcPr>
          <w:p w14:paraId="06C29114" w14:textId="77777777" w:rsidR="00AD0F38" w:rsidRPr="00B57114" w:rsidRDefault="00AD0F38" w:rsidP="00B57114">
            <w:pPr>
              <w:pStyle w:val="IRPsanstext"/>
              <w:rPr>
                <w:rFonts w:cs="Arial"/>
              </w:rPr>
            </w:pPr>
            <w:r w:rsidRPr="00B57114">
              <w:rPr>
                <w:rFonts w:cs="Arial"/>
              </w:rPr>
              <w:t>Low</w:t>
            </w:r>
          </w:p>
        </w:tc>
      </w:tr>
      <w:tr w:rsidR="00B57114" w:rsidRPr="00B57114" w14:paraId="37BA5E9F" w14:textId="77777777">
        <w:trPr>
          <w:trHeight w:val="350"/>
          <w:jc w:val="center"/>
        </w:trPr>
        <w:tc>
          <w:tcPr>
            <w:tcW w:w="750" w:type="dxa"/>
          </w:tcPr>
          <w:p w14:paraId="682241CC" w14:textId="77777777" w:rsidR="00AD0F38" w:rsidRPr="00B57114" w:rsidRDefault="00AD0F38" w:rsidP="00B57114">
            <w:pPr>
              <w:pStyle w:val="IRPsanstext"/>
              <w:rPr>
                <w:rFonts w:cs="Arial"/>
              </w:rPr>
            </w:pPr>
            <w:r w:rsidRPr="00B57114">
              <w:rPr>
                <w:rFonts w:cs="Arial"/>
              </w:rPr>
              <w:t>10</w:t>
            </w:r>
          </w:p>
        </w:tc>
        <w:tc>
          <w:tcPr>
            <w:tcW w:w="3600" w:type="dxa"/>
          </w:tcPr>
          <w:p w14:paraId="05430D26" w14:textId="77777777" w:rsidR="00AD0F38" w:rsidRPr="00B57114" w:rsidRDefault="00AD0F38" w:rsidP="00B57114">
            <w:pPr>
              <w:pStyle w:val="IRPsanstext"/>
              <w:rPr>
                <w:rFonts w:cs="Arial"/>
              </w:rPr>
            </w:pPr>
            <w:r w:rsidRPr="00B57114">
              <w:rPr>
                <w:rFonts w:cs="Arial"/>
              </w:rPr>
              <w:t xml:space="preserve">Base + High Demand </w:t>
            </w:r>
          </w:p>
        </w:tc>
        <w:tc>
          <w:tcPr>
            <w:tcW w:w="1350" w:type="dxa"/>
          </w:tcPr>
          <w:p w14:paraId="785C1CB4" w14:textId="77777777" w:rsidR="00AD0F38" w:rsidRPr="00B57114" w:rsidRDefault="00AD0F38" w:rsidP="00B57114">
            <w:pPr>
              <w:pStyle w:val="IRPsanstext"/>
              <w:rPr>
                <w:rFonts w:cs="Arial"/>
              </w:rPr>
            </w:pPr>
            <w:r w:rsidRPr="00B57114">
              <w:rPr>
                <w:rFonts w:cs="Arial"/>
              </w:rPr>
              <w:t>Mid</w:t>
            </w:r>
          </w:p>
        </w:tc>
        <w:tc>
          <w:tcPr>
            <w:tcW w:w="1440" w:type="dxa"/>
          </w:tcPr>
          <w:p w14:paraId="00C6248C" w14:textId="77777777" w:rsidR="00AD0F38" w:rsidRPr="00B57114" w:rsidRDefault="00AD0F38" w:rsidP="00B57114">
            <w:pPr>
              <w:pStyle w:val="IRPsanstext"/>
              <w:rPr>
                <w:rFonts w:cs="Arial"/>
              </w:rPr>
            </w:pPr>
            <w:r w:rsidRPr="00B57114">
              <w:rPr>
                <w:rFonts w:cs="Arial"/>
              </w:rPr>
              <w:t>Mid</w:t>
            </w:r>
          </w:p>
        </w:tc>
        <w:tc>
          <w:tcPr>
            <w:tcW w:w="1380" w:type="dxa"/>
            <w:shd w:val="clear" w:color="auto" w:fill="auto"/>
          </w:tcPr>
          <w:p w14:paraId="4C74CBC7" w14:textId="77777777" w:rsidR="00AD0F38" w:rsidRPr="00B57114" w:rsidRDefault="00AD0F38" w:rsidP="00B57114">
            <w:pPr>
              <w:pStyle w:val="IRPsanstext"/>
              <w:rPr>
                <w:rFonts w:cs="Arial"/>
              </w:rPr>
            </w:pPr>
            <w:r w:rsidRPr="00B57114">
              <w:rPr>
                <w:rFonts w:cs="Arial"/>
              </w:rPr>
              <w:t>High</w:t>
            </w:r>
          </w:p>
        </w:tc>
      </w:tr>
    </w:tbl>
    <w:p w14:paraId="03CCCA17" w14:textId="77777777" w:rsidR="00AD0F38" w:rsidRDefault="00AD0F38" w:rsidP="00B57114">
      <w:pPr>
        <w:pStyle w:val="IRPsanstext"/>
      </w:pPr>
    </w:p>
    <w:p w14:paraId="62717D0A" w14:textId="77777777" w:rsidR="00AD0F38" w:rsidRPr="003519C3" w:rsidRDefault="00AD0F38" w:rsidP="00B57114">
      <w:pPr>
        <w:spacing w:after="120"/>
        <w:jc w:val="center"/>
        <w:rPr>
          <w:rFonts w:ascii="Arial" w:hAnsi="Arial"/>
          <w:i/>
          <w:sz w:val="20"/>
        </w:rPr>
      </w:pPr>
      <w:r w:rsidRPr="003519C3">
        <w:rPr>
          <w:sz w:val="20"/>
        </w:rPr>
        <w:br w:type="page"/>
      </w:r>
      <w:r w:rsidRPr="003519C3">
        <w:rPr>
          <w:rFonts w:ascii="Arial" w:hAnsi="Arial"/>
          <w:i/>
          <w:sz w:val="20"/>
        </w:rPr>
        <w:lastRenderedPageBreak/>
        <w:t>Fig 6-1</w:t>
      </w:r>
      <w:r w:rsidR="00855BD7">
        <w:rPr>
          <w:rFonts w:ascii="Arial" w:hAnsi="Arial"/>
          <w:i/>
          <w:sz w:val="20"/>
        </w:rPr>
        <w:t>4</w:t>
      </w:r>
      <w:r w:rsidRPr="003519C3">
        <w:rPr>
          <w:rFonts w:ascii="Arial" w:hAnsi="Arial"/>
          <w:i/>
          <w:sz w:val="20"/>
        </w:rPr>
        <w:t>: 2015 IRP Portfolio Sensitivities</w:t>
      </w:r>
    </w:p>
    <w:tbl>
      <w:tblPr>
        <w:tblW w:w="0" w:type="auto"/>
        <w:jc w:val="center"/>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7"/>
        <w:gridCol w:w="3441"/>
        <w:gridCol w:w="4680"/>
      </w:tblGrid>
      <w:tr w:rsidR="00AD0F38" w:rsidRPr="00CD1BE6" w14:paraId="4F51C175" w14:textId="77777777">
        <w:trPr>
          <w:trHeight w:val="431"/>
          <w:tblHeader/>
          <w:jc w:val="center"/>
        </w:trPr>
        <w:tc>
          <w:tcPr>
            <w:tcW w:w="447" w:type="dxa"/>
            <w:shd w:val="clear" w:color="auto" w:fill="15666F"/>
          </w:tcPr>
          <w:p w14:paraId="36D6DAAD" w14:textId="77777777" w:rsidR="00AD0F38" w:rsidRPr="00F854BA" w:rsidRDefault="00AD0F38" w:rsidP="00AD0F38">
            <w:pPr>
              <w:spacing w:before="120" w:after="120"/>
              <w:rPr>
                <w:rFonts w:ascii="Arial" w:hAnsi="Arial" w:cs="Arial"/>
                <w:sz w:val="20"/>
                <w:szCs w:val="20"/>
              </w:rPr>
            </w:pPr>
          </w:p>
        </w:tc>
        <w:tc>
          <w:tcPr>
            <w:tcW w:w="3441" w:type="dxa"/>
            <w:shd w:val="clear" w:color="auto" w:fill="15666F"/>
          </w:tcPr>
          <w:p w14:paraId="6B8FE3DB" w14:textId="77777777" w:rsidR="00AD0F38" w:rsidRPr="0054737D" w:rsidRDefault="00AD0F38" w:rsidP="00AD0F38">
            <w:pPr>
              <w:spacing w:before="120" w:after="120"/>
              <w:rPr>
                <w:rFonts w:ascii="Arial" w:hAnsi="Arial" w:cs="Arial"/>
                <w:b/>
                <w:color w:val="FFFFFF" w:themeColor="background1"/>
                <w:sz w:val="20"/>
                <w:szCs w:val="20"/>
              </w:rPr>
            </w:pPr>
            <w:r w:rsidRPr="0054737D">
              <w:rPr>
                <w:rFonts w:ascii="Arial" w:hAnsi="Arial" w:cs="Arial"/>
                <w:b/>
                <w:color w:val="FFFFFF" w:themeColor="background1"/>
                <w:sz w:val="20"/>
                <w:szCs w:val="20"/>
              </w:rPr>
              <w:t xml:space="preserve">Sensitivities </w:t>
            </w:r>
          </w:p>
        </w:tc>
        <w:tc>
          <w:tcPr>
            <w:tcW w:w="4680" w:type="dxa"/>
            <w:shd w:val="clear" w:color="auto" w:fill="15666F"/>
          </w:tcPr>
          <w:p w14:paraId="0A252D91" w14:textId="77777777" w:rsidR="00AD0F38" w:rsidRPr="0054737D" w:rsidRDefault="00AD0F38" w:rsidP="00AD0F38">
            <w:pPr>
              <w:spacing w:before="120" w:after="120"/>
              <w:rPr>
                <w:rFonts w:ascii="Arial" w:hAnsi="Arial" w:cs="Arial"/>
                <w:b/>
                <w:color w:val="FFFFFF" w:themeColor="background1"/>
                <w:sz w:val="20"/>
                <w:szCs w:val="20"/>
              </w:rPr>
            </w:pPr>
            <w:r w:rsidRPr="0054737D">
              <w:rPr>
                <w:rFonts w:ascii="Arial" w:hAnsi="Arial" w:cs="Arial"/>
                <w:b/>
                <w:color w:val="FFFFFF" w:themeColor="background1"/>
                <w:sz w:val="20"/>
                <w:szCs w:val="20"/>
              </w:rPr>
              <w:t>Alternatives Analyzed</w:t>
            </w:r>
          </w:p>
        </w:tc>
      </w:tr>
      <w:tr w:rsidR="00AD0F38" w:rsidRPr="00CD1BE6" w14:paraId="194345CF" w14:textId="77777777">
        <w:trPr>
          <w:trHeight w:val="350"/>
          <w:tblHeader/>
          <w:jc w:val="center"/>
        </w:trPr>
        <w:tc>
          <w:tcPr>
            <w:tcW w:w="8568" w:type="dxa"/>
            <w:gridSpan w:val="3"/>
            <w:shd w:val="clear" w:color="auto" w:fill="F2F2F2"/>
          </w:tcPr>
          <w:p w14:paraId="0E777EAC" w14:textId="77777777" w:rsidR="00AD0F38" w:rsidRPr="00F854BA" w:rsidRDefault="00AD0F38" w:rsidP="00AD0F38">
            <w:pPr>
              <w:spacing w:before="60" w:after="60"/>
              <w:jc w:val="center"/>
              <w:rPr>
                <w:rFonts w:ascii="Arial" w:hAnsi="Arial" w:cs="Arial"/>
                <w:sz w:val="20"/>
                <w:szCs w:val="20"/>
              </w:rPr>
            </w:pPr>
            <w:r w:rsidRPr="00F854BA">
              <w:rPr>
                <w:rFonts w:ascii="Arial" w:hAnsi="Arial" w:cs="Arial"/>
                <w:sz w:val="20"/>
                <w:szCs w:val="20"/>
              </w:rPr>
              <w:t>Electric Analysis</w:t>
            </w:r>
          </w:p>
        </w:tc>
      </w:tr>
      <w:tr w:rsidR="00AD0F38" w:rsidRPr="00CD1BE6" w14:paraId="7390A6FE" w14:textId="77777777">
        <w:trPr>
          <w:tblHeader/>
          <w:jc w:val="center"/>
        </w:trPr>
        <w:tc>
          <w:tcPr>
            <w:tcW w:w="447" w:type="dxa"/>
            <w:shd w:val="clear" w:color="auto" w:fill="F2F2F2"/>
          </w:tcPr>
          <w:p w14:paraId="44D9C7F4" w14:textId="77777777" w:rsidR="00AD0F38" w:rsidRPr="00F854BA" w:rsidRDefault="00AD0F38" w:rsidP="00AD0F38">
            <w:pPr>
              <w:spacing w:before="120" w:after="120"/>
              <w:rPr>
                <w:rFonts w:ascii="Arial" w:hAnsi="Arial" w:cs="Arial"/>
                <w:sz w:val="20"/>
                <w:szCs w:val="20"/>
              </w:rPr>
            </w:pPr>
            <w:r w:rsidRPr="00F854BA">
              <w:rPr>
                <w:rFonts w:ascii="Arial" w:hAnsi="Arial" w:cs="Arial"/>
                <w:sz w:val="20"/>
                <w:szCs w:val="20"/>
              </w:rPr>
              <w:t>A</w:t>
            </w:r>
          </w:p>
        </w:tc>
        <w:tc>
          <w:tcPr>
            <w:tcW w:w="3441" w:type="dxa"/>
            <w:shd w:val="clear" w:color="auto" w:fill="F2F2F2"/>
          </w:tcPr>
          <w:p w14:paraId="71D8A67E"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Colstrip</w:t>
            </w:r>
          </w:p>
          <w:p w14:paraId="1F781B39"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 xml:space="preserve">If Colstrip units are retired, what’s the most cost-effective way to replace those resources? </w:t>
            </w:r>
          </w:p>
        </w:tc>
        <w:tc>
          <w:tcPr>
            <w:tcW w:w="4680" w:type="dxa"/>
            <w:shd w:val="clear" w:color="auto" w:fill="F2F2F2"/>
          </w:tcPr>
          <w:p w14:paraId="5DB91F77" w14:textId="77777777" w:rsidR="00AD0F38" w:rsidRPr="00834C15" w:rsidRDefault="00AD0F38" w:rsidP="00AD0F38">
            <w:pPr>
              <w:spacing w:before="60" w:after="60"/>
              <w:rPr>
                <w:rFonts w:ascii="Arial" w:hAnsi="Arial" w:cs="Arial"/>
                <w:i/>
                <w:sz w:val="16"/>
                <w:szCs w:val="20"/>
              </w:rPr>
            </w:pPr>
            <w:r w:rsidRPr="00834C15">
              <w:rPr>
                <w:rFonts w:ascii="Arial" w:hAnsi="Arial" w:cs="Arial"/>
                <w:i/>
                <w:sz w:val="16"/>
                <w:szCs w:val="20"/>
              </w:rPr>
              <w:t>Baseline – All 4 Colstrip units remain in service</w:t>
            </w:r>
          </w:p>
          <w:p w14:paraId="21F8F631"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1. Retire Units 1 &amp; 2 in 2026.</w:t>
            </w:r>
          </w:p>
          <w:p w14:paraId="67098719"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2. Retire all 4 units in 2026.</w:t>
            </w:r>
          </w:p>
        </w:tc>
      </w:tr>
      <w:tr w:rsidR="00AD0F38" w:rsidRPr="00CD1BE6" w14:paraId="4D3F3BC6" w14:textId="77777777">
        <w:trPr>
          <w:tblHeader/>
          <w:jc w:val="center"/>
        </w:trPr>
        <w:tc>
          <w:tcPr>
            <w:tcW w:w="447" w:type="dxa"/>
          </w:tcPr>
          <w:p w14:paraId="0F63411B" w14:textId="77777777" w:rsidR="00AD0F38" w:rsidRPr="00F854BA" w:rsidRDefault="00AD0F38" w:rsidP="00AD0F38">
            <w:pPr>
              <w:spacing w:before="120" w:after="120"/>
              <w:rPr>
                <w:rFonts w:ascii="Arial" w:hAnsi="Arial" w:cs="Arial"/>
                <w:sz w:val="20"/>
                <w:szCs w:val="20"/>
              </w:rPr>
            </w:pPr>
            <w:r w:rsidRPr="00F854BA">
              <w:rPr>
                <w:rFonts w:ascii="Arial" w:hAnsi="Arial" w:cs="Arial"/>
                <w:sz w:val="20"/>
                <w:szCs w:val="20"/>
              </w:rPr>
              <w:t>B</w:t>
            </w:r>
          </w:p>
        </w:tc>
        <w:tc>
          <w:tcPr>
            <w:tcW w:w="3441" w:type="dxa"/>
          </w:tcPr>
          <w:p w14:paraId="6DC572C3"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Demand-side Resources (DSR)</w:t>
            </w:r>
          </w:p>
          <w:p w14:paraId="4AD08765"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How much does DSR reduce cost, risk and emissions?</w:t>
            </w:r>
          </w:p>
        </w:tc>
        <w:tc>
          <w:tcPr>
            <w:tcW w:w="4680" w:type="dxa"/>
          </w:tcPr>
          <w:p w14:paraId="3CE6FE8A" w14:textId="77777777" w:rsidR="00AD0F38" w:rsidRPr="00834C15" w:rsidRDefault="00AD0F38" w:rsidP="00AD0F38">
            <w:pPr>
              <w:spacing w:before="60" w:after="60"/>
              <w:rPr>
                <w:rFonts w:ascii="Arial" w:hAnsi="Arial" w:cs="Arial"/>
                <w:i/>
                <w:sz w:val="16"/>
                <w:szCs w:val="20"/>
              </w:rPr>
            </w:pPr>
            <w:r w:rsidRPr="00834C15">
              <w:rPr>
                <w:rFonts w:ascii="Arial" w:hAnsi="Arial" w:cs="Arial"/>
                <w:i/>
                <w:sz w:val="16"/>
                <w:szCs w:val="20"/>
              </w:rPr>
              <w:t>Baseline – All cost-effective DSR per RCW 19.285 requirements</w:t>
            </w:r>
          </w:p>
          <w:p w14:paraId="04BFCD9A" w14:textId="77777777" w:rsidR="00AD0F38" w:rsidRPr="00834C15" w:rsidRDefault="009E6CD9" w:rsidP="00AD0F38">
            <w:pPr>
              <w:spacing w:before="60" w:after="60"/>
              <w:rPr>
                <w:rFonts w:ascii="Arial" w:hAnsi="Arial" w:cs="Arial"/>
                <w:sz w:val="16"/>
                <w:szCs w:val="20"/>
              </w:rPr>
            </w:pPr>
            <w:r>
              <w:rPr>
                <w:rFonts w:ascii="Arial" w:hAnsi="Arial" w:cs="Arial"/>
                <w:sz w:val="16"/>
                <w:szCs w:val="20"/>
              </w:rPr>
              <w:t>1</w:t>
            </w:r>
            <w:r w:rsidR="00AD0F38" w:rsidRPr="00834C15">
              <w:rPr>
                <w:rFonts w:ascii="Arial" w:hAnsi="Arial" w:cs="Arial"/>
                <w:sz w:val="16"/>
                <w:szCs w:val="20"/>
              </w:rPr>
              <w:t>. No DSR. All needs are met with supply-side resources.</w:t>
            </w:r>
          </w:p>
        </w:tc>
      </w:tr>
      <w:tr w:rsidR="00AD0F38" w:rsidRPr="00CD1BE6" w14:paraId="0935E90A" w14:textId="77777777">
        <w:trPr>
          <w:tblHeader/>
          <w:jc w:val="center"/>
        </w:trPr>
        <w:tc>
          <w:tcPr>
            <w:tcW w:w="447" w:type="dxa"/>
            <w:shd w:val="clear" w:color="auto" w:fill="F2F2F2" w:themeFill="background1" w:themeFillShade="F2"/>
          </w:tcPr>
          <w:p w14:paraId="0DE508EE" w14:textId="77777777" w:rsidR="00AD0F38" w:rsidRPr="00F854BA" w:rsidRDefault="00AD0F38" w:rsidP="00AD0F38">
            <w:pPr>
              <w:spacing w:before="120" w:after="120"/>
              <w:rPr>
                <w:rFonts w:ascii="Arial" w:hAnsi="Arial" w:cs="Arial"/>
                <w:sz w:val="20"/>
                <w:szCs w:val="20"/>
              </w:rPr>
            </w:pPr>
            <w:r w:rsidRPr="00F854BA">
              <w:rPr>
                <w:rFonts w:ascii="Arial" w:hAnsi="Arial" w:cs="Arial"/>
                <w:sz w:val="20"/>
                <w:szCs w:val="20"/>
              </w:rPr>
              <w:t>C</w:t>
            </w:r>
          </w:p>
        </w:tc>
        <w:tc>
          <w:tcPr>
            <w:tcW w:w="3441" w:type="dxa"/>
            <w:shd w:val="clear" w:color="auto" w:fill="F2F2F2" w:themeFill="background1" w:themeFillShade="F2"/>
          </w:tcPr>
          <w:p w14:paraId="26943874"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Thermal Mix</w:t>
            </w:r>
          </w:p>
          <w:p w14:paraId="1F467124"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How does changing the mix of resources affect portfolio cost and risk?</w:t>
            </w:r>
          </w:p>
        </w:tc>
        <w:tc>
          <w:tcPr>
            <w:tcW w:w="4680" w:type="dxa"/>
            <w:shd w:val="clear" w:color="auto" w:fill="F2F2F2" w:themeFill="background1" w:themeFillShade="F2"/>
          </w:tcPr>
          <w:p w14:paraId="6C6F31FD" w14:textId="77777777" w:rsidR="00AD0F38" w:rsidRPr="00834C15" w:rsidRDefault="00AD0F38" w:rsidP="00AD0F38">
            <w:pPr>
              <w:spacing w:before="60" w:after="60"/>
              <w:rPr>
                <w:rFonts w:ascii="Arial" w:hAnsi="Arial" w:cs="Arial"/>
                <w:i/>
                <w:sz w:val="16"/>
                <w:szCs w:val="20"/>
              </w:rPr>
            </w:pPr>
            <w:r w:rsidRPr="00834C15">
              <w:rPr>
                <w:rFonts w:ascii="Arial" w:hAnsi="Arial" w:cs="Arial"/>
                <w:i/>
                <w:sz w:val="16"/>
                <w:szCs w:val="20"/>
              </w:rPr>
              <w:t xml:space="preserve">Baseline – All </w:t>
            </w:r>
            <w:proofErr w:type="spellStart"/>
            <w:r w:rsidRPr="00834C15">
              <w:rPr>
                <w:rFonts w:ascii="Arial" w:hAnsi="Arial" w:cs="Arial"/>
                <w:i/>
                <w:sz w:val="16"/>
                <w:szCs w:val="20"/>
              </w:rPr>
              <w:t>peakers</w:t>
            </w:r>
            <w:proofErr w:type="spellEnd"/>
            <w:r w:rsidRPr="00834C15">
              <w:rPr>
                <w:rFonts w:ascii="Arial" w:hAnsi="Arial" w:cs="Arial"/>
                <w:i/>
                <w:sz w:val="16"/>
                <w:szCs w:val="20"/>
              </w:rPr>
              <w:t xml:space="preserve"> selected as lowest cost in the Base Scenario deterministic portfolio.</w:t>
            </w:r>
          </w:p>
          <w:p w14:paraId="00DDB4CB" w14:textId="77777777" w:rsidR="00AD0F38" w:rsidRPr="00834C15" w:rsidRDefault="009E6CD9" w:rsidP="00AD0F38">
            <w:pPr>
              <w:spacing w:before="60" w:after="60"/>
              <w:rPr>
                <w:rFonts w:ascii="Arial" w:hAnsi="Arial" w:cs="Arial"/>
                <w:sz w:val="16"/>
                <w:szCs w:val="20"/>
              </w:rPr>
            </w:pPr>
            <w:r>
              <w:rPr>
                <w:rFonts w:ascii="Arial" w:hAnsi="Arial" w:cs="Arial"/>
                <w:sz w:val="16"/>
                <w:szCs w:val="20"/>
              </w:rPr>
              <w:t>1</w:t>
            </w:r>
            <w:r w:rsidR="00AD0F38" w:rsidRPr="00834C15">
              <w:rPr>
                <w:rFonts w:ascii="Arial" w:hAnsi="Arial" w:cs="Arial"/>
                <w:sz w:val="16"/>
                <w:szCs w:val="20"/>
              </w:rPr>
              <w:t xml:space="preserve">. All CCCT </w:t>
            </w:r>
          </w:p>
          <w:p w14:paraId="546D8937" w14:textId="77777777" w:rsidR="00AD0F38" w:rsidRPr="00834C15" w:rsidRDefault="009E6CD9" w:rsidP="00AD0F38">
            <w:pPr>
              <w:spacing w:before="60" w:after="60"/>
              <w:rPr>
                <w:rFonts w:ascii="Arial" w:hAnsi="Arial" w:cs="Arial"/>
                <w:sz w:val="16"/>
                <w:szCs w:val="20"/>
              </w:rPr>
            </w:pPr>
            <w:r>
              <w:rPr>
                <w:rFonts w:ascii="Arial" w:hAnsi="Arial" w:cs="Arial"/>
                <w:sz w:val="16"/>
                <w:szCs w:val="20"/>
              </w:rPr>
              <w:t>2</w:t>
            </w:r>
            <w:r w:rsidR="00AD0F38" w:rsidRPr="00834C15">
              <w:rPr>
                <w:rFonts w:ascii="Arial" w:hAnsi="Arial" w:cs="Arial"/>
                <w:sz w:val="16"/>
                <w:szCs w:val="20"/>
              </w:rPr>
              <w:t xml:space="preserve">. Mix CCCT and frame </w:t>
            </w:r>
            <w:proofErr w:type="spellStart"/>
            <w:r w:rsidR="00AD0F38" w:rsidRPr="00834C15">
              <w:rPr>
                <w:rFonts w:ascii="Arial" w:hAnsi="Arial" w:cs="Arial"/>
                <w:sz w:val="16"/>
                <w:szCs w:val="20"/>
              </w:rPr>
              <w:t>peaker</w:t>
            </w:r>
            <w:proofErr w:type="spellEnd"/>
            <w:r w:rsidR="00AD0F38" w:rsidRPr="00834C15">
              <w:rPr>
                <w:rFonts w:ascii="Arial" w:hAnsi="Arial" w:cs="Arial"/>
                <w:sz w:val="16"/>
                <w:szCs w:val="20"/>
              </w:rPr>
              <w:t xml:space="preserve"> </w:t>
            </w:r>
          </w:p>
        </w:tc>
      </w:tr>
      <w:tr w:rsidR="00AD0F38" w:rsidRPr="00CD1BE6" w14:paraId="0D3ADED2" w14:textId="77777777">
        <w:trPr>
          <w:tblHeader/>
          <w:jc w:val="center"/>
        </w:trPr>
        <w:tc>
          <w:tcPr>
            <w:tcW w:w="447" w:type="dxa"/>
          </w:tcPr>
          <w:p w14:paraId="7439CC58" w14:textId="77777777" w:rsidR="00AD0F38" w:rsidRPr="00F854BA" w:rsidRDefault="00AD0F38" w:rsidP="00AD0F38">
            <w:pPr>
              <w:spacing w:before="120" w:after="120"/>
              <w:rPr>
                <w:rFonts w:ascii="Arial" w:hAnsi="Arial" w:cs="Arial"/>
                <w:sz w:val="20"/>
                <w:szCs w:val="20"/>
              </w:rPr>
            </w:pPr>
            <w:r w:rsidRPr="00F854BA">
              <w:rPr>
                <w:rFonts w:ascii="Arial" w:hAnsi="Arial" w:cs="Arial"/>
                <w:sz w:val="20"/>
                <w:szCs w:val="20"/>
              </w:rPr>
              <w:t>D</w:t>
            </w:r>
          </w:p>
        </w:tc>
        <w:tc>
          <w:tcPr>
            <w:tcW w:w="3441" w:type="dxa"/>
          </w:tcPr>
          <w:p w14:paraId="68613025"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Gas Plant Location</w:t>
            </w:r>
          </w:p>
          <w:p w14:paraId="7380F619"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What if the gas plants were built in eastern Washington instead of PSE service territory?</w:t>
            </w:r>
          </w:p>
        </w:tc>
        <w:tc>
          <w:tcPr>
            <w:tcW w:w="4680" w:type="dxa"/>
          </w:tcPr>
          <w:p w14:paraId="356E042F" w14:textId="77777777" w:rsidR="00AD0F38" w:rsidRPr="00834C15" w:rsidRDefault="00AD0F38" w:rsidP="00AD0F38">
            <w:pPr>
              <w:spacing w:before="60" w:after="60"/>
              <w:rPr>
                <w:rFonts w:ascii="Arial" w:hAnsi="Arial" w:cs="Arial"/>
                <w:i/>
                <w:sz w:val="16"/>
                <w:szCs w:val="20"/>
              </w:rPr>
            </w:pPr>
            <w:r w:rsidRPr="00834C15">
              <w:rPr>
                <w:rFonts w:ascii="Arial" w:hAnsi="Arial" w:cs="Arial"/>
                <w:i/>
                <w:sz w:val="16"/>
                <w:szCs w:val="20"/>
              </w:rPr>
              <w:t>Baseline – Gas plants located in PSE Service territory</w:t>
            </w:r>
          </w:p>
          <w:p w14:paraId="58A35684" w14:textId="77777777" w:rsidR="00AD0F38" w:rsidRPr="00834C15" w:rsidRDefault="009E6CD9" w:rsidP="00AD0F38">
            <w:pPr>
              <w:spacing w:before="60" w:after="60"/>
              <w:rPr>
                <w:rFonts w:ascii="Arial" w:hAnsi="Arial" w:cs="Arial"/>
                <w:sz w:val="16"/>
                <w:szCs w:val="20"/>
              </w:rPr>
            </w:pPr>
            <w:r>
              <w:rPr>
                <w:rFonts w:ascii="Arial" w:hAnsi="Arial" w:cs="Arial"/>
                <w:sz w:val="16"/>
                <w:szCs w:val="20"/>
              </w:rPr>
              <w:t>1</w:t>
            </w:r>
            <w:r w:rsidR="00AD0F38" w:rsidRPr="00834C15">
              <w:rPr>
                <w:rFonts w:ascii="Arial" w:hAnsi="Arial" w:cs="Arial"/>
                <w:sz w:val="16"/>
                <w:szCs w:val="20"/>
              </w:rPr>
              <w:t>. Model gas plants with gas transport costs and transmission costs from eastern Washington.</w:t>
            </w:r>
          </w:p>
        </w:tc>
      </w:tr>
      <w:tr w:rsidR="00AD0F38" w:rsidRPr="00CD1BE6" w14:paraId="14D11111" w14:textId="77777777">
        <w:trPr>
          <w:tblHeader/>
          <w:jc w:val="center"/>
        </w:trPr>
        <w:tc>
          <w:tcPr>
            <w:tcW w:w="447" w:type="dxa"/>
            <w:shd w:val="clear" w:color="auto" w:fill="F2F2F2" w:themeFill="background1" w:themeFillShade="F2"/>
          </w:tcPr>
          <w:p w14:paraId="2682E21A" w14:textId="77777777" w:rsidR="00AD0F38" w:rsidRPr="00F854BA" w:rsidRDefault="00AD0F38" w:rsidP="00AD0F38">
            <w:pPr>
              <w:spacing w:before="120" w:after="120"/>
              <w:rPr>
                <w:rFonts w:ascii="Arial" w:hAnsi="Arial" w:cs="Arial"/>
                <w:sz w:val="20"/>
                <w:szCs w:val="20"/>
              </w:rPr>
            </w:pPr>
            <w:r w:rsidRPr="00F854BA">
              <w:rPr>
                <w:rFonts w:ascii="Arial" w:hAnsi="Arial" w:cs="Arial"/>
                <w:sz w:val="20"/>
                <w:szCs w:val="20"/>
              </w:rPr>
              <w:t>E</w:t>
            </w:r>
          </w:p>
        </w:tc>
        <w:tc>
          <w:tcPr>
            <w:tcW w:w="3441" w:type="dxa"/>
            <w:shd w:val="clear" w:color="auto" w:fill="F2F2F2" w:themeFill="background1" w:themeFillShade="F2"/>
          </w:tcPr>
          <w:p w14:paraId="0628C1B0"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 xml:space="preserve">Gas Transport/Oil Backup for </w:t>
            </w:r>
            <w:proofErr w:type="spellStart"/>
            <w:r w:rsidRPr="00834C15">
              <w:rPr>
                <w:rFonts w:ascii="Arial" w:hAnsi="Arial" w:cs="Arial"/>
                <w:sz w:val="16"/>
                <w:szCs w:val="20"/>
              </w:rPr>
              <w:t>Peakers</w:t>
            </w:r>
            <w:proofErr w:type="spellEnd"/>
          </w:p>
          <w:p w14:paraId="649B1FED"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 xml:space="preserve">What if </w:t>
            </w:r>
            <w:proofErr w:type="spellStart"/>
            <w:r w:rsidRPr="00834C15">
              <w:rPr>
                <w:rFonts w:ascii="Arial" w:hAnsi="Arial" w:cs="Arial"/>
                <w:sz w:val="16"/>
                <w:szCs w:val="20"/>
              </w:rPr>
              <w:t>peakers</w:t>
            </w:r>
            <w:proofErr w:type="spellEnd"/>
            <w:r w:rsidRPr="00834C15">
              <w:rPr>
                <w:rFonts w:ascii="Arial" w:hAnsi="Arial" w:cs="Arial"/>
                <w:sz w:val="16"/>
                <w:szCs w:val="20"/>
              </w:rPr>
              <w:t xml:space="preserve"> cannot rely on oil for backup fuel and must have firm gas supply instead?</w:t>
            </w:r>
          </w:p>
        </w:tc>
        <w:tc>
          <w:tcPr>
            <w:tcW w:w="4680" w:type="dxa"/>
            <w:shd w:val="clear" w:color="auto" w:fill="F2F2F2" w:themeFill="background1" w:themeFillShade="F2"/>
          </w:tcPr>
          <w:p w14:paraId="2E24C0A2" w14:textId="77777777" w:rsidR="00AD0F38" w:rsidRPr="00834C15" w:rsidRDefault="00AD0F38" w:rsidP="00AD0F38">
            <w:pPr>
              <w:spacing w:before="60" w:after="60"/>
              <w:rPr>
                <w:rFonts w:ascii="Arial" w:hAnsi="Arial" w:cs="Arial"/>
                <w:i/>
                <w:sz w:val="16"/>
                <w:szCs w:val="20"/>
              </w:rPr>
            </w:pPr>
            <w:r w:rsidRPr="00834C15">
              <w:rPr>
                <w:rFonts w:ascii="Arial" w:hAnsi="Arial" w:cs="Arial"/>
                <w:i/>
                <w:sz w:val="16"/>
                <w:szCs w:val="20"/>
              </w:rPr>
              <w:t xml:space="preserve">Baseline </w:t>
            </w:r>
            <w:proofErr w:type="gramStart"/>
            <w:r w:rsidRPr="00834C15">
              <w:rPr>
                <w:rFonts w:ascii="Arial" w:hAnsi="Arial" w:cs="Arial"/>
                <w:i/>
                <w:sz w:val="16"/>
                <w:szCs w:val="20"/>
              </w:rPr>
              <w:t>–  50</w:t>
            </w:r>
            <w:proofErr w:type="gramEnd"/>
            <w:r w:rsidRPr="00834C15">
              <w:rPr>
                <w:rFonts w:ascii="Arial" w:hAnsi="Arial" w:cs="Arial"/>
                <w:i/>
                <w:sz w:val="16"/>
                <w:szCs w:val="20"/>
              </w:rPr>
              <w:t>% firm pipeline capacity with 48 hours of oil backup</w:t>
            </w:r>
          </w:p>
          <w:p w14:paraId="52FED227" w14:textId="77777777" w:rsidR="00AD0F38" w:rsidRPr="00834C15" w:rsidRDefault="009E6CD9" w:rsidP="00AD0F38">
            <w:pPr>
              <w:spacing w:before="60" w:after="60"/>
              <w:rPr>
                <w:rFonts w:ascii="Arial" w:hAnsi="Arial" w:cs="Arial"/>
                <w:sz w:val="16"/>
                <w:szCs w:val="20"/>
              </w:rPr>
            </w:pPr>
            <w:r>
              <w:rPr>
                <w:rFonts w:ascii="Arial" w:hAnsi="Arial" w:cs="Arial"/>
                <w:sz w:val="16"/>
                <w:szCs w:val="20"/>
              </w:rPr>
              <w:t>1</w:t>
            </w:r>
            <w:r w:rsidR="00AD0F38" w:rsidRPr="00834C15">
              <w:rPr>
                <w:rFonts w:ascii="Arial" w:hAnsi="Arial" w:cs="Arial"/>
                <w:sz w:val="16"/>
                <w:szCs w:val="20"/>
              </w:rPr>
              <w:t>. 100% firm pipeline capacity with no oil backup</w:t>
            </w:r>
          </w:p>
        </w:tc>
      </w:tr>
      <w:tr w:rsidR="00AD0F38" w:rsidRPr="00CD1BE6" w14:paraId="72C52EDF" w14:textId="77777777">
        <w:trPr>
          <w:tblHeader/>
          <w:jc w:val="center"/>
        </w:trPr>
        <w:tc>
          <w:tcPr>
            <w:tcW w:w="447" w:type="dxa"/>
            <w:shd w:val="clear" w:color="auto" w:fill="auto"/>
          </w:tcPr>
          <w:p w14:paraId="3388660F" w14:textId="77777777" w:rsidR="00AD0F38" w:rsidRPr="00F854BA" w:rsidRDefault="00AD0F38" w:rsidP="00AD0F38">
            <w:pPr>
              <w:spacing w:before="120" w:after="120"/>
              <w:rPr>
                <w:rFonts w:ascii="Arial" w:hAnsi="Arial" w:cs="Arial"/>
                <w:sz w:val="20"/>
                <w:szCs w:val="20"/>
              </w:rPr>
            </w:pPr>
            <w:r w:rsidRPr="00F854BA">
              <w:rPr>
                <w:rFonts w:ascii="Arial" w:hAnsi="Arial" w:cs="Arial"/>
                <w:sz w:val="20"/>
                <w:szCs w:val="20"/>
              </w:rPr>
              <w:t>F</w:t>
            </w:r>
          </w:p>
        </w:tc>
        <w:tc>
          <w:tcPr>
            <w:tcW w:w="3441" w:type="dxa"/>
            <w:shd w:val="clear" w:color="auto" w:fill="auto"/>
          </w:tcPr>
          <w:p w14:paraId="12C01FB9"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Energy Storage/Flexibility</w:t>
            </w:r>
          </w:p>
          <w:p w14:paraId="6F8DC09D"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 xml:space="preserve">What is the cost difference between a portfolio with and without energy storage? How do energy storage resources impact system flexibility? </w:t>
            </w:r>
          </w:p>
        </w:tc>
        <w:tc>
          <w:tcPr>
            <w:tcW w:w="4680" w:type="dxa"/>
            <w:shd w:val="clear" w:color="auto" w:fill="auto"/>
          </w:tcPr>
          <w:p w14:paraId="2C234105" w14:textId="77777777" w:rsidR="00AD0F38" w:rsidRPr="00834C15" w:rsidRDefault="00AD0F38" w:rsidP="00AD0F38">
            <w:pPr>
              <w:spacing w:before="60" w:after="60"/>
              <w:rPr>
                <w:rFonts w:ascii="Arial" w:hAnsi="Arial" w:cs="Arial"/>
                <w:i/>
                <w:sz w:val="16"/>
                <w:szCs w:val="20"/>
              </w:rPr>
            </w:pPr>
            <w:r w:rsidRPr="00834C15">
              <w:rPr>
                <w:rFonts w:ascii="Arial" w:hAnsi="Arial" w:cs="Arial"/>
                <w:i/>
                <w:sz w:val="16"/>
                <w:szCs w:val="20"/>
              </w:rPr>
              <w:t xml:space="preserve">Baseline – </w:t>
            </w:r>
            <w:r w:rsidR="007E0F1E">
              <w:rPr>
                <w:rFonts w:ascii="Arial" w:hAnsi="Arial" w:cs="Arial"/>
                <w:i/>
                <w:sz w:val="16"/>
                <w:szCs w:val="20"/>
              </w:rPr>
              <w:t>B</w:t>
            </w:r>
            <w:r w:rsidRPr="00834C15">
              <w:rPr>
                <w:rFonts w:ascii="Arial" w:hAnsi="Arial" w:cs="Arial"/>
                <w:i/>
                <w:sz w:val="16"/>
                <w:szCs w:val="20"/>
              </w:rPr>
              <w:t xml:space="preserve">atteries </w:t>
            </w:r>
            <w:r w:rsidR="00367AB0">
              <w:rPr>
                <w:rFonts w:ascii="Arial" w:hAnsi="Arial" w:cs="Arial"/>
                <w:i/>
                <w:sz w:val="16"/>
                <w:szCs w:val="20"/>
              </w:rPr>
              <w:t>and pumped hyd</w:t>
            </w:r>
            <w:r w:rsidR="007E0F1E">
              <w:rPr>
                <w:rFonts w:ascii="Arial" w:hAnsi="Arial" w:cs="Arial"/>
                <w:i/>
                <w:sz w:val="16"/>
                <w:szCs w:val="20"/>
              </w:rPr>
              <w:t>ro included only when chosen</w:t>
            </w:r>
            <w:r w:rsidRPr="00834C15">
              <w:rPr>
                <w:rFonts w:ascii="Arial" w:hAnsi="Arial" w:cs="Arial"/>
                <w:i/>
                <w:sz w:val="16"/>
                <w:szCs w:val="20"/>
              </w:rPr>
              <w:t xml:space="preserve"> economically</w:t>
            </w:r>
          </w:p>
          <w:p w14:paraId="5F822B90" w14:textId="77777777" w:rsidR="00AD0F38" w:rsidRPr="00834C15" w:rsidRDefault="009E6CD9" w:rsidP="00AD0F38">
            <w:pPr>
              <w:spacing w:before="60" w:after="60"/>
              <w:rPr>
                <w:rFonts w:ascii="Arial" w:hAnsi="Arial" w:cs="Arial"/>
                <w:sz w:val="16"/>
                <w:szCs w:val="20"/>
              </w:rPr>
            </w:pPr>
            <w:r>
              <w:rPr>
                <w:rFonts w:ascii="Arial" w:hAnsi="Arial" w:cs="Arial"/>
                <w:sz w:val="16"/>
                <w:szCs w:val="20"/>
              </w:rPr>
              <w:t>1</w:t>
            </w:r>
            <w:r w:rsidR="00AD0F38" w:rsidRPr="00834C15">
              <w:rPr>
                <w:rFonts w:ascii="Arial" w:hAnsi="Arial" w:cs="Arial"/>
                <w:sz w:val="16"/>
                <w:szCs w:val="20"/>
              </w:rPr>
              <w:t xml:space="preserve">. Add 80 MW </w:t>
            </w:r>
            <w:proofErr w:type="gramStart"/>
            <w:r w:rsidR="00AD0F38" w:rsidRPr="00834C15">
              <w:rPr>
                <w:rFonts w:ascii="Arial" w:hAnsi="Arial" w:cs="Arial"/>
                <w:sz w:val="16"/>
                <w:szCs w:val="20"/>
              </w:rPr>
              <w:t>battery</w:t>
            </w:r>
            <w:proofErr w:type="gramEnd"/>
            <w:r w:rsidR="00AD0F38" w:rsidRPr="00834C15">
              <w:rPr>
                <w:rFonts w:ascii="Arial" w:hAnsi="Arial" w:cs="Arial"/>
                <w:sz w:val="16"/>
                <w:szCs w:val="20"/>
              </w:rPr>
              <w:t xml:space="preserve"> in 2023 instead of economically chosen </w:t>
            </w:r>
            <w:proofErr w:type="spellStart"/>
            <w:r w:rsidR="00AD0F38" w:rsidRPr="00834C15">
              <w:rPr>
                <w:rFonts w:ascii="Arial" w:hAnsi="Arial" w:cs="Arial"/>
                <w:sz w:val="16"/>
                <w:szCs w:val="20"/>
              </w:rPr>
              <w:t>peaker</w:t>
            </w:r>
            <w:proofErr w:type="spellEnd"/>
            <w:r w:rsidR="00AD0F38" w:rsidRPr="00834C15">
              <w:rPr>
                <w:rFonts w:ascii="Arial" w:hAnsi="Arial" w:cs="Arial"/>
                <w:sz w:val="16"/>
                <w:szCs w:val="20"/>
              </w:rPr>
              <w:t xml:space="preserve">. </w:t>
            </w:r>
          </w:p>
          <w:p w14:paraId="1FCE2FD8" w14:textId="77777777" w:rsidR="00AD0F38" w:rsidRPr="00834C15" w:rsidRDefault="009E6CD9" w:rsidP="00AD0F38">
            <w:pPr>
              <w:spacing w:before="60" w:after="60"/>
              <w:rPr>
                <w:rFonts w:ascii="Arial" w:hAnsi="Arial" w:cs="Arial"/>
                <w:sz w:val="16"/>
                <w:szCs w:val="20"/>
              </w:rPr>
            </w:pPr>
            <w:r>
              <w:rPr>
                <w:rFonts w:ascii="Arial" w:hAnsi="Arial" w:cs="Arial"/>
                <w:sz w:val="16"/>
                <w:szCs w:val="20"/>
              </w:rPr>
              <w:t>2</w:t>
            </w:r>
            <w:r w:rsidR="00AD0F38" w:rsidRPr="00834C15">
              <w:rPr>
                <w:rFonts w:ascii="Arial" w:hAnsi="Arial" w:cs="Arial"/>
                <w:sz w:val="16"/>
                <w:szCs w:val="20"/>
              </w:rPr>
              <w:t xml:space="preserve">. Add 80 MW pumped hydro storage in 2023 instead of economically chosen </w:t>
            </w:r>
            <w:proofErr w:type="spellStart"/>
            <w:r w:rsidR="00AD0F38" w:rsidRPr="00834C15">
              <w:rPr>
                <w:rFonts w:ascii="Arial" w:hAnsi="Arial" w:cs="Arial"/>
                <w:sz w:val="16"/>
                <w:szCs w:val="20"/>
              </w:rPr>
              <w:t>peaker</w:t>
            </w:r>
            <w:proofErr w:type="spellEnd"/>
            <w:r w:rsidR="00AD0F38" w:rsidRPr="00834C15">
              <w:rPr>
                <w:rFonts w:ascii="Arial" w:hAnsi="Arial" w:cs="Arial"/>
                <w:sz w:val="16"/>
                <w:szCs w:val="20"/>
              </w:rPr>
              <w:t>.</w:t>
            </w:r>
          </w:p>
          <w:p w14:paraId="440E46F6" w14:textId="77777777" w:rsidR="00AD0F38" w:rsidRPr="00834C15" w:rsidRDefault="009E6CD9" w:rsidP="00AD0F38">
            <w:pPr>
              <w:spacing w:before="60" w:after="60"/>
              <w:rPr>
                <w:rFonts w:ascii="Arial" w:hAnsi="Arial" w:cs="Arial"/>
                <w:sz w:val="16"/>
                <w:szCs w:val="20"/>
              </w:rPr>
            </w:pPr>
            <w:r>
              <w:rPr>
                <w:rFonts w:ascii="Arial" w:hAnsi="Arial" w:cs="Arial"/>
                <w:sz w:val="16"/>
                <w:szCs w:val="20"/>
              </w:rPr>
              <w:t>3</w:t>
            </w:r>
            <w:r w:rsidR="00AD0F38" w:rsidRPr="00834C15">
              <w:rPr>
                <w:rFonts w:ascii="Arial" w:hAnsi="Arial" w:cs="Arial"/>
                <w:sz w:val="16"/>
                <w:szCs w:val="20"/>
              </w:rPr>
              <w:t xml:space="preserve">. Add 200 MW of pumped hydro storage in 2023 instead of economically chosen </w:t>
            </w:r>
            <w:proofErr w:type="spellStart"/>
            <w:r w:rsidR="00AD0F38" w:rsidRPr="00834C15">
              <w:rPr>
                <w:rFonts w:ascii="Arial" w:hAnsi="Arial" w:cs="Arial"/>
                <w:sz w:val="16"/>
                <w:szCs w:val="20"/>
              </w:rPr>
              <w:t>peaker</w:t>
            </w:r>
            <w:proofErr w:type="spellEnd"/>
            <w:r w:rsidR="00AD0F38" w:rsidRPr="00834C15">
              <w:rPr>
                <w:rFonts w:ascii="Arial" w:hAnsi="Arial" w:cs="Arial"/>
                <w:sz w:val="16"/>
                <w:szCs w:val="20"/>
              </w:rPr>
              <w:t xml:space="preserve">. </w:t>
            </w:r>
          </w:p>
        </w:tc>
      </w:tr>
      <w:tr w:rsidR="00AD0F38" w:rsidRPr="00CD1BE6" w14:paraId="7151ADCE" w14:textId="77777777">
        <w:trPr>
          <w:tblHeader/>
          <w:jc w:val="center"/>
        </w:trPr>
        <w:tc>
          <w:tcPr>
            <w:tcW w:w="447" w:type="dxa"/>
            <w:shd w:val="clear" w:color="auto" w:fill="F2F2F2"/>
          </w:tcPr>
          <w:p w14:paraId="11A4033F" w14:textId="77777777" w:rsidR="00AD0F38" w:rsidRPr="00F854BA" w:rsidRDefault="00AD0F38" w:rsidP="00AD0F38">
            <w:pPr>
              <w:spacing w:before="120" w:after="120"/>
              <w:rPr>
                <w:rFonts w:ascii="Arial" w:hAnsi="Arial" w:cs="Arial"/>
                <w:sz w:val="20"/>
                <w:szCs w:val="20"/>
              </w:rPr>
            </w:pPr>
            <w:r w:rsidRPr="00F854BA">
              <w:rPr>
                <w:rFonts w:ascii="Arial" w:hAnsi="Arial" w:cs="Arial"/>
                <w:sz w:val="20"/>
                <w:szCs w:val="20"/>
              </w:rPr>
              <w:t>G</w:t>
            </w:r>
          </w:p>
        </w:tc>
        <w:tc>
          <w:tcPr>
            <w:tcW w:w="3441" w:type="dxa"/>
            <w:shd w:val="clear" w:color="auto" w:fill="F2F2F2"/>
          </w:tcPr>
          <w:p w14:paraId="5C1D4075"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Reciprocating Engine/Flexibility</w:t>
            </w:r>
          </w:p>
          <w:p w14:paraId="693EA7A9"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 xml:space="preserve">How do reciprocating </w:t>
            </w:r>
            <w:proofErr w:type="spellStart"/>
            <w:r w:rsidRPr="00834C15">
              <w:rPr>
                <w:rFonts w:ascii="Arial" w:hAnsi="Arial" w:cs="Arial"/>
                <w:sz w:val="16"/>
                <w:szCs w:val="20"/>
              </w:rPr>
              <w:t>peakers</w:t>
            </w:r>
            <w:proofErr w:type="spellEnd"/>
            <w:r w:rsidRPr="00834C15">
              <w:rPr>
                <w:rFonts w:ascii="Arial" w:hAnsi="Arial" w:cs="Arial"/>
                <w:sz w:val="16"/>
                <w:szCs w:val="20"/>
              </w:rPr>
              <w:t xml:space="preserve"> affect system flexibility? </w:t>
            </w:r>
          </w:p>
          <w:p w14:paraId="23B2F276" w14:textId="77777777" w:rsidR="00AD0F38" w:rsidRPr="00834C15" w:rsidRDefault="00AD0F38" w:rsidP="00AD0F38">
            <w:pPr>
              <w:spacing w:before="60" w:after="60"/>
              <w:rPr>
                <w:rFonts w:ascii="Arial" w:hAnsi="Arial" w:cs="Arial"/>
                <w:sz w:val="16"/>
                <w:szCs w:val="20"/>
              </w:rPr>
            </w:pPr>
          </w:p>
        </w:tc>
        <w:tc>
          <w:tcPr>
            <w:tcW w:w="4680" w:type="dxa"/>
            <w:shd w:val="clear" w:color="auto" w:fill="F2F2F2"/>
          </w:tcPr>
          <w:p w14:paraId="230C5A35" w14:textId="77777777" w:rsidR="00AD0F38" w:rsidRPr="00834C15" w:rsidRDefault="00AD0F38" w:rsidP="00AD0F38">
            <w:pPr>
              <w:spacing w:before="60" w:after="60"/>
              <w:rPr>
                <w:rFonts w:ascii="Arial" w:hAnsi="Arial" w:cs="Arial"/>
                <w:i/>
                <w:sz w:val="16"/>
                <w:szCs w:val="20"/>
              </w:rPr>
            </w:pPr>
            <w:r w:rsidRPr="00834C15">
              <w:rPr>
                <w:rFonts w:ascii="Arial" w:hAnsi="Arial" w:cs="Arial"/>
                <w:i/>
                <w:sz w:val="16"/>
                <w:szCs w:val="20"/>
              </w:rPr>
              <w:t xml:space="preserve">Baseline – Reciprocating </w:t>
            </w:r>
            <w:proofErr w:type="spellStart"/>
            <w:r w:rsidRPr="00834C15">
              <w:rPr>
                <w:rFonts w:ascii="Arial" w:hAnsi="Arial" w:cs="Arial"/>
                <w:i/>
                <w:sz w:val="16"/>
                <w:szCs w:val="20"/>
              </w:rPr>
              <w:t>peakers</w:t>
            </w:r>
            <w:proofErr w:type="spellEnd"/>
            <w:r w:rsidRPr="00834C15">
              <w:rPr>
                <w:rFonts w:ascii="Arial" w:hAnsi="Arial" w:cs="Arial"/>
                <w:i/>
                <w:sz w:val="16"/>
                <w:szCs w:val="20"/>
              </w:rPr>
              <w:t xml:space="preserve"> modeled at 220 MW with an all-in cost of $1,599 per kW</w:t>
            </w:r>
          </w:p>
          <w:p w14:paraId="2BED65B8" w14:textId="77777777" w:rsidR="00AD0F38" w:rsidRPr="00834C15" w:rsidRDefault="009E6CD9" w:rsidP="00AD0F38">
            <w:pPr>
              <w:spacing w:before="60" w:after="60"/>
              <w:rPr>
                <w:rFonts w:ascii="Arial" w:hAnsi="Arial" w:cs="Arial"/>
                <w:sz w:val="16"/>
                <w:szCs w:val="20"/>
              </w:rPr>
            </w:pPr>
            <w:r>
              <w:rPr>
                <w:rFonts w:ascii="Arial" w:hAnsi="Arial" w:cs="Arial"/>
                <w:sz w:val="16"/>
                <w:szCs w:val="20"/>
              </w:rPr>
              <w:t>1</w:t>
            </w:r>
            <w:r w:rsidR="00AD0F38" w:rsidRPr="00834C15">
              <w:rPr>
                <w:rFonts w:ascii="Arial" w:hAnsi="Arial" w:cs="Arial"/>
                <w:sz w:val="16"/>
                <w:szCs w:val="20"/>
              </w:rPr>
              <w:t xml:space="preserve">. Model lower capital cost </w:t>
            </w:r>
            <w:proofErr w:type="gramStart"/>
            <w:r w:rsidR="00AD0F38" w:rsidRPr="00834C15">
              <w:rPr>
                <w:rFonts w:ascii="Arial" w:hAnsi="Arial" w:cs="Arial"/>
                <w:sz w:val="16"/>
                <w:szCs w:val="20"/>
              </w:rPr>
              <w:t xml:space="preserve">for 75 MW </w:t>
            </w:r>
            <w:proofErr w:type="spellStart"/>
            <w:r w:rsidR="00AD0F38" w:rsidRPr="00834C15">
              <w:rPr>
                <w:rFonts w:ascii="Arial" w:hAnsi="Arial" w:cs="Arial"/>
                <w:sz w:val="16"/>
                <w:szCs w:val="20"/>
              </w:rPr>
              <w:t>recip</w:t>
            </w:r>
            <w:proofErr w:type="spellEnd"/>
            <w:r w:rsidR="00AD0F38" w:rsidRPr="00834C15">
              <w:rPr>
                <w:rFonts w:ascii="Arial" w:hAnsi="Arial" w:cs="Arial"/>
                <w:sz w:val="16"/>
                <w:szCs w:val="20"/>
              </w:rPr>
              <w:t xml:space="preserve"> </w:t>
            </w:r>
            <w:proofErr w:type="spellStart"/>
            <w:r w:rsidR="00AD0F38" w:rsidRPr="00834C15">
              <w:rPr>
                <w:rFonts w:ascii="Arial" w:hAnsi="Arial" w:cs="Arial"/>
                <w:sz w:val="16"/>
                <w:szCs w:val="20"/>
              </w:rPr>
              <w:t>peaker</w:t>
            </w:r>
            <w:proofErr w:type="spellEnd"/>
            <w:proofErr w:type="gramEnd"/>
            <w:r w:rsidR="00AD0F38" w:rsidRPr="00834C15">
              <w:rPr>
                <w:rFonts w:ascii="Arial" w:hAnsi="Arial" w:cs="Arial"/>
                <w:sz w:val="16"/>
                <w:szCs w:val="20"/>
              </w:rPr>
              <w:t>.</w:t>
            </w:r>
          </w:p>
          <w:p w14:paraId="4D63FBBD" w14:textId="77777777" w:rsidR="00AD0F38" w:rsidRPr="00834C15" w:rsidRDefault="009E6CD9" w:rsidP="00AD0F38">
            <w:pPr>
              <w:spacing w:before="60" w:after="60"/>
              <w:rPr>
                <w:rFonts w:ascii="Arial" w:hAnsi="Arial" w:cs="Arial"/>
                <w:sz w:val="16"/>
                <w:szCs w:val="20"/>
              </w:rPr>
            </w:pPr>
            <w:r>
              <w:rPr>
                <w:rFonts w:ascii="Arial" w:hAnsi="Arial" w:cs="Arial"/>
                <w:sz w:val="16"/>
                <w:szCs w:val="20"/>
              </w:rPr>
              <w:t>2</w:t>
            </w:r>
            <w:r w:rsidR="00AD0F38" w:rsidRPr="00834C15">
              <w:rPr>
                <w:rFonts w:ascii="Arial" w:hAnsi="Arial" w:cs="Arial"/>
                <w:sz w:val="16"/>
                <w:szCs w:val="20"/>
              </w:rPr>
              <w:t xml:space="preserve">. Add </w:t>
            </w:r>
            <w:proofErr w:type="gramStart"/>
            <w:r w:rsidR="00AD0F38" w:rsidRPr="00834C15">
              <w:rPr>
                <w:rFonts w:ascii="Arial" w:hAnsi="Arial" w:cs="Arial"/>
                <w:sz w:val="16"/>
                <w:szCs w:val="20"/>
              </w:rPr>
              <w:t xml:space="preserve">75 MW </w:t>
            </w:r>
            <w:proofErr w:type="spellStart"/>
            <w:r w:rsidR="00AD0F38" w:rsidRPr="00834C15">
              <w:rPr>
                <w:rFonts w:ascii="Arial" w:hAnsi="Arial" w:cs="Arial"/>
                <w:sz w:val="16"/>
                <w:szCs w:val="20"/>
              </w:rPr>
              <w:t>recip</w:t>
            </w:r>
            <w:proofErr w:type="spellEnd"/>
            <w:r w:rsidR="00AD0F38" w:rsidRPr="00834C15">
              <w:rPr>
                <w:rFonts w:ascii="Arial" w:hAnsi="Arial" w:cs="Arial"/>
                <w:sz w:val="16"/>
                <w:szCs w:val="20"/>
              </w:rPr>
              <w:t xml:space="preserve"> </w:t>
            </w:r>
            <w:proofErr w:type="spellStart"/>
            <w:r w:rsidR="00AD0F38" w:rsidRPr="00834C15">
              <w:rPr>
                <w:rFonts w:ascii="Arial" w:hAnsi="Arial" w:cs="Arial"/>
                <w:sz w:val="16"/>
                <w:szCs w:val="20"/>
              </w:rPr>
              <w:t>peaker</w:t>
            </w:r>
            <w:proofErr w:type="spellEnd"/>
            <w:proofErr w:type="gramEnd"/>
            <w:r w:rsidR="00AD0F38" w:rsidRPr="00834C15">
              <w:rPr>
                <w:rFonts w:ascii="Arial" w:hAnsi="Arial" w:cs="Arial"/>
                <w:sz w:val="16"/>
                <w:szCs w:val="20"/>
              </w:rPr>
              <w:t xml:space="preserve"> with lower capital cost in 2023.</w:t>
            </w:r>
          </w:p>
          <w:p w14:paraId="0FBD6ED5" w14:textId="77777777" w:rsidR="00AD0F38" w:rsidRPr="00834C15" w:rsidRDefault="009E6CD9" w:rsidP="00AD0F38">
            <w:pPr>
              <w:spacing w:before="60" w:after="60"/>
              <w:rPr>
                <w:rFonts w:ascii="Arial" w:hAnsi="Arial" w:cs="Arial"/>
                <w:sz w:val="16"/>
                <w:szCs w:val="20"/>
              </w:rPr>
            </w:pPr>
            <w:r>
              <w:rPr>
                <w:rFonts w:ascii="Arial" w:hAnsi="Arial" w:cs="Arial"/>
                <w:sz w:val="16"/>
                <w:szCs w:val="20"/>
              </w:rPr>
              <w:t>3</w:t>
            </w:r>
            <w:r w:rsidR="00AD0F38" w:rsidRPr="00834C15">
              <w:rPr>
                <w:rFonts w:ascii="Arial" w:hAnsi="Arial" w:cs="Arial"/>
                <w:sz w:val="16"/>
                <w:szCs w:val="20"/>
              </w:rPr>
              <w:t xml:space="preserve">. Add </w:t>
            </w:r>
            <w:proofErr w:type="gramStart"/>
            <w:r w:rsidR="00AD0F38" w:rsidRPr="00834C15">
              <w:rPr>
                <w:rFonts w:ascii="Arial" w:hAnsi="Arial" w:cs="Arial"/>
                <w:sz w:val="16"/>
                <w:szCs w:val="20"/>
              </w:rPr>
              <w:t xml:space="preserve">75 MW </w:t>
            </w:r>
            <w:proofErr w:type="spellStart"/>
            <w:r w:rsidR="00AD0F38" w:rsidRPr="00834C15">
              <w:rPr>
                <w:rFonts w:ascii="Arial" w:hAnsi="Arial" w:cs="Arial"/>
                <w:sz w:val="16"/>
                <w:szCs w:val="20"/>
              </w:rPr>
              <w:t>recip</w:t>
            </w:r>
            <w:proofErr w:type="spellEnd"/>
            <w:r w:rsidR="00AD0F38" w:rsidRPr="00834C15">
              <w:rPr>
                <w:rFonts w:ascii="Arial" w:hAnsi="Arial" w:cs="Arial"/>
                <w:sz w:val="16"/>
                <w:szCs w:val="20"/>
              </w:rPr>
              <w:t xml:space="preserve"> </w:t>
            </w:r>
            <w:proofErr w:type="spellStart"/>
            <w:r w:rsidR="00AD0F38" w:rsidRPr="00834C15">
              <w:rPr>
                <w:rFonts w:ascii="Arial" w:hAnsi="Arial" w:cs="Arial"/>
                <w:sz w:val="16"/>
                <w:szCs w:val="20"/>
              </w:rPr>
              <w:t>peaker</w:t>
            </w:r>
            <w:proofErr w:type="spellEnd"/>
            <w:proofErr w:type="gramEnd"/>
            <w:r w:rsidR="00AD0F38" w:rsidRPr="00834C15">
              <w:rPr>
                <w:rFonts w:ascii="Arial" w:hAnsi="Arial" w:cs="Arial"/>
                <w:sz w:val="16"/>
                <w:szCs w:val="20"/>
              </w:rPr>
              <w:t xml:space="preserve"> with lower capital cost and flexibility credit in 2023.</w:t>
            </w:r>
          </w:p>
        </w:tc>
      </w:tr>
      <w:tr w:rsidR="00AD0F38" w:rsidRPr="00CD1BE6" w14:paraId="00224C71" w14:textId="77777777">
        <w:trPr>
          <w:tblHeader/>
          <w:jc w:val="center"/>
        </w:trPr>
        <w:tc>
          <w:tcPr>
            <w:tcW w:w="447" w:type="dxa"/>
            <w:shd w:val="clear" w:color="auto" w:fill="auto"/>
          </w:tcPr>
          <w:p w14:paraId="65859C2A" w14:textId="77777777" w:rsidR="00AD0F38" w:rsidRPr="00F854BA" w:rsidRDefault="00AD0F38" w:rsidP="00AD0F38">
            <w:pPr>
              <w:spacing w:before="120" w:after="120"/>
              <w:rPr>
                <w:rFonts w:ascii="Arial" w:hAnsi="Arial" w:cs="Arial"/>
                <w:sz w:val="20"/>
                <w:szCs w:val="20"/>
              </w:rPr>
            </w:pPr>
            <w:r w:rsidRPr="00F854BA">
              <w:rPr>
                <w:rFonts w:ascii="Arial" w:hAnsi="Arial" w:cs="Arial"/>
                <w:sz w:val="20"/>
                <w:szCs w:val="20"/>
              </w:rPr>
              <w:t>H</w:t>
            </w:r>
          </w:p>
        </w:tc>
        <w:tc>
          <w:tcPr>
            <w:tcW w:w="3441" w:type="dxa"/>
            <w:shd w:val="clear" w:color="auto" w:fill="auto"/>
          </w:tcPr>
          <w:p w14:paraId="51C4D97D"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Montana Wind</w:t>
            </w:r>
          </w:p>
          <w:p w14:paraId="07D86F46"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Update transmission cost for Montana wind to be more optimistic if Colstrip continues to operate. Will MT wind be chosen in lowest cost portfolio?</w:t>
            </w:r>
          </w:p>
        </w:tc>
        <w:tc>
          <w:tcPr>
            <w:tcW w:w="4680" w:type="dxa"/>
            <w:shd w:val="clear" w:color="auto" w:fill="auto"/>
          </w:tcPr>
          <w:p w14:paraId="15318243" w14:textId="77777777" w:rsidR="00AD0F38" w:rsidRPr="00834C15" w:rsidRDefault="00AD0F38" w:rsidP="00AD0F38">
            <w:pPr>
              <w:spacing w:before="60" w:after="60"/>
              <w:rPr>
                <w:rFonts w:ascii="Arial" w:hAnsi="Arial" w:cs="Arial"/>
                <w:i/>
                <w:sz w:val="16"/>
                <w:szCs w:val="20"/>
              </w:rPr>
            </w:pPr>
            <w:r w:rsidRPr="00834C15">
              <w:rPr>
                <w:rFonts w:ascii="Arial" w:hAnsi="Arial" w:cs="Arial"/>
                <w:i/>
                <w:sz w:val="16"/>
                <w:szCs w:val="20"/>
              </w:rPr>
              <w:t>Baseline – PSE cost estimate for transmission upgrades to Montana</w:t>
            </w:r>
          </w:p>
          <w:p w14:paraId="275EEFCD" w14:textId="77777777" w:rsidR="00AD0F38" w:rsidRPr="00834C15" w:rsidRDefault="009E6CD9" w:rsidP="00AD0F38">
            <w:pPr>
              <w:spacing w:before="60" w:after="60"/>
              <w:rPr>
                <w:rFonts w:ascii="Arial" w:hAnsi="Arial" w:cs="Arial"/>
                <w:sz w:val="16"/>
                <w:szCs w:val="20"/>
              </w:rPr>
            </w:pPr>
            <w:r>
              <w:rPr>
                <w:rFonts w:ascii="Arial" w:hAnsi="Arial" w:cs="Arial"/>
                <w:sz w:val="16"/>
                <w:szCs w:val="20"/>
              </w:rPr>
              <w:t>1</w:t>
            </w:r>
            <w:r w:rsidR="00AD0F38" w:rsidRPr="00834C15">
              <w:rPr>
                <w:rFonts w:ascii="Arial" w:hAnsi="Arial" w:cs="Arial"/>
                <w:sz w:val="16"/>
                <w:szCs w:val="20"/>
              </w:rPr>
              <w:t>. Lower transmission cost estimate</w:t>
            </w:r>
          </w:p>
        </w:tc>
      </w:tr>
      <w:tr w:rsidR="00AD0F38" w:rsidRPr="00CD1BE6" w14:paraId="5E62E0B5" w14:textId="77777777">
        <w:trPr>
          <w:tblHeader/>
          <w:jc w:val="center"/>
        </w:trPr>
        <w:tc>
          <w:tcPr>
            <w:tcW w:w="447" w:type="dxa"/>
            <w:shd w:val="clear" w:color="auto" w:fill="F2F2F2"/>
          </w:tcPr>
          <w:p w14:paraId="3EDB2AAC" w14:textId="77777777" w:rsidR="00AD0F38" w:rsidRPr="00F854BA" w:rsidRDefault="00AD0F38" w:rsidP="00AD0F38">
            <w:pPr>
              <w:spacing w:before="120" w:after="120"/>
              <w:rPr>
                <w:rFonts w:ascii="Arial" w:hAnsi="Arial" w:cs="Arial"/>
                <w:sz w:val="20"/>
                <w:szCs w:val="20"/>
              </w:rPr>
            </w:pPr>
            <w:r w:rsidRPr="00F854BA">
              <w:rPr>
                <w:rFonts w:ascii="Arial" w:hAnsi="Arial" w:cs="Arial"/>
                <w:sz w:val="20"/>
                <w:szCs w:val="20"/>
              </w:rPr>
              <w:t>I</w:t>
            </w:r>
          </w:p>
        </w:tc>
        <w:tc>
          <w:tcPr>
            <w:tcW w:w="3441" w:type="dxa"/>
            <w:shd w:val="clear" w:color="auto" w:fill="F2F2F2"/>
          </w:tcPr>
          <w:p w14:paraId="7900D4FC"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Solar Penetration</w:t>
            </w:r>
          </w:p>
          <w:p w14:paraId="2FF7C13B"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What if customers install significantly more rooftop solar than expected?</w:t>
            </w:r>
          </w:p>
        </w:tc>
        <w:tc>
          <w:tcPr>
            <w:tcW w:w="4680" w:type="dxa"/>
            <w:shd w:val="clear" w:color="auto" w:fill="F2F2F2"/>
          </w:tcPr>
          <w:p w14:paraId="4EBCCDAC" w14:textId="77777777" w:rsidR="00AD0F38" w:rsidRPr="009E6CD9" w:rsidRDefault="00AD0F38" w:rsidP="00AD0F38">
            <w:pPr>
              <w:spacing w:before="60" w:after="60"/>
              <w:rPr>
                <w:rFonts w:ascii="Arial" w:hAnsi="Arial" w:cs="Arial"/>
                <w:i/>
                <w:sz w:val="16"/>
                <w:szCs w:val="20"/>
              </w:rPr>
            </w:pPr>
            <w:r w:rsidRPr="009E6CD9">
              <w:rPr>
                <w:rFonts w:ascii="Arial" w:hAnsi="Arial" w:cs="Arial"/>
                <w:i/>
                <w:sz w:val="16"/>
                <w:szCs w:val="20"/>
              </w:rPr>
              <w:t>Baseline – Rooftop solar growth based on current growth forecast trend</w:t>
            </w:r>
          </w:p>
          <w:p w14:paraId="3C2B2623" w14:textId="77777777" w:rsidR="00AD0F38" w:rsidRPr="00834C15" w:rsidRDefault="009E6CD9" w:rsidP="00AD0F38">
            <w:pPr>
              <w:spacing w:before="60" w:after="60"/>
              <w:rPr>
                <w:rFonts w:ascii="Arial" w:hAnsi="Arial" w:cs="Arial"/>
                <w:sz w:val="16"/>
                <w:szCs w:val="20"/>
              </w:rPr>
            </w:pPr>
            <w:r>
              <w:rPr>
                <w:rFonts w:ascii="Arial" w:hAnsi="Arial" w:cs="Arial"/>
                <w:sz w:val="16"/>
                <w:szCs w:val="20"/>
              </w:rPr>
              <w:t>1</w:t>
            </w:r>
            <w:r w:rsidR="00AD0F38" w:rsidRPr="00834C15">
              <w:rPr>
                <w:rFonts w:ascii="Arial" w:hAnsi="Arial" w:cs="Arial"/>
                <w:sz w:val="16"/>
                <w:szCs w:val="20"/>
              </w:rPr>
              <w:t>. Maximum potential capture of rooftop solar</w:t>
            </w:r>
          </w:p>
        </w:tc>
      </w:tr>
      <w:tr w:rsidR="00AD0F38" w:rsidRPr="00CD1BE6" w14:paraId="29D58F80" w14:textId="77777777">
        <w:trPr>
          <w:tblHeader/>
          <w:jc w:val="center"/>
        </w:trPr>
        <w:tc>
          <w:tcPr>
            <w:tcW w:w="447" w:type="dxa"/>
          </w:tcPr>
          <w:p w14:paraId="12537159" w14:textId="77777777" w:rsidR="00AD0F38" w:rsidRPr="00F854BA" w:rsidRDefault="00AD0F38" w:rsidP="00AD0F38">
            <w:pPr>
              <w:spacing w:before="120" w:after="120"/>
              <w:rPr>
                <w:rFonts w:ascii="Arial" w:hAnsi="Arial" w:cs="Arial"/>
                <w:sz w:val="20"/>
                <w:szCs w:val="20"/>
              </w:rPr>
            </w:pPr>
            <w:r w:rsidRPr="00F854BA">
              <w:rPr>
                <w:rFonts w:ascii="Arial" w:hAnsi="Arial" w:cs="Arial"/>
                <w:sz w:val="20"/>
                <w:szCs w:val="20"/>
              </w:rPr>
              <w:t>J</w:t>
            </w:r>
          </w:p>
        </w:tc>
        <w:tc>
          <w:tcPr>
            <w:tcW w:w="3441" w:type="dxa"/>
          </w:tcPr>
          <w:p w14:paraId="263024E5"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Carbon Reduction</w:t>
            </w:r>
          </w:p>
          <w:p w14:paraId="20043C8F" w14:textId="77777777" w:rsidR="00AD0F38" w:rsidRPr="00834C15" w:rsidRDefault="00AD0F38" w:rsidP="00AD0F38">
            <w:pPr>
              <w:spacing w:before="60" w:after="60"/>
              <w:rPr>
                <w:rFonts w:ascii="Arial" w:hAnsi="Arial" w:cs="Arial"/>
                <w:sz w:val="16"/>
                <w:szCs w:val="20"/>
              </w:rPr>
            </w:pPr>
            <w:r w:rsidRPr="00834C15">
              <w:rPr>
                <w:rFonts w:ascii="Arial" w:hAnsi="Arial" w:cs="Arial"/>
                <w:sz w:val="16"/>
                <w:szCs w:val="20"/>
              </w:rPr>
              <w:t>How does increasing renewable resources and DSR beyond requirements affect carbon reduction and portfolio costs?</w:t>
            </w:r>
          </w:p>
        </w:tc>
        <w:tc>
          <w:tcPr>
            <w:tcW w:w="4680" w:type="dxa"/>
          </w:tcPr>
          <w:p w14:paraId="5D940BD8" w14:textId="77777777" w:rsidR="00AD0F38" w:rsidRPr="009E6CD9" w:rsidRDefault="00AD0F38" w:rsidP="00AD0F38">
            <w:pPr>
              <w:spacing w:before="60" w:after="60"/>
              <w:rPr>
                <w:rFonts w:ascii="Arial" w:hAnsi="Arial" w:cs="Arial"/>
                <w:i/>
                <w:sz w:val="16"/>
                <w:szCs w:val="20"/>
              </w:rPr>
            </w:pPr>
            <w:r w:rsidRPr="009E6CD9">
              <w:rPr>
                <w:rFonts w:ascii="Arial" w:hAnsi="Arial" w:cs="Arial"/>
                <w:i/>
                <w:sz w:val="16"/>
                <w:szCs w:val="20"/>
              </w:rPr>
              <w:t xml:space="preserve">Baseline – Renewable resources and DSR per RCW 19.285 requirements </w:t>
            </w:r>
          </w:p>
          <w:p w14:paraId="13974BC4" w14:textId="77777777" w:rsidR="00AD0F38" w:rsidRPr="00834C15" w:rsidRDefault="009E6CD9" w:rsidP="00AD0F38">
            <w:pPr>
              <w:spacing w:before="60" w:after="60"/>
              <w:rPr>
                <w:rFonts w:ascii="Arial" w:hAnsi="Arial" w:cs="Arial"/>
                <w:sz w:val="16"/>
                <w:szCs w:val="20"/>
              </w:rPr>
            </w:pPr>
            <w:r>
              <w:rPr>
                <w:rFonts w:ascii="Arial" w:hAnsi="Arial" w:cs="Arial"/>
                <w:sz w:val="16"/>
                <w:szCs w:val="20"/>
              </w:rPr>
              <w:t>1</w:t>
            </w:r>
            <w:r w:rsidR="00AD0F38" w:rsidRPr="00834C15">
              <w:rPr>
                <w:rFonts w:ascii="Arial" w:hAnsi="Arial" w:cs="Arial"/>
                <w:sz w:val="16"/>
                <w:szCs w:val="20"/>
              </w:rPr>
              <w:t>. Add 300 MW of wind beyond renewable requirements.</w:t>
            </w:r>
          </w:p>
          <w:p w14:paraId="2E426011" w14:textId="77777777" w:rsidR="00AD0F38" w:rsidRPr="00834C15" w:rsidRDefault="009E6CD9" w:rsidP="00AD0F38">
            <w:pPr>
              <w:spacing w:before="60" w:after="60"/>
              <w:rPr>
                <w:rFonts w:ascii="Arial" w:hAnsi="Arial" w:cs="Arial"/>
                <w:sz w:val="16"/>
                <w:szCs w:val="20"/>
              </w:rPr>
            </w:pPr>
            <w:r>
              <w:rPr>
                <w:rFonts w:ascii="Arial" w:hAnsi="Arial" w:cs="Arial"/>
                <w:sz w:val="16"/>
                <w:szCs w:val="20"/>
              </w:rPr>
              <w:t>2</w:t>
            </w:r>
            <w:r w:rsidR="00AD0F38" w:rsidRPr="00834C15">
              <w:rPr>
                <w:rFonts w:ascii="Arial" w:hAnsi="Arial" w:cs="Arial"/>
                <w:sz w:val="16"/>
                <w:szCs w:val="20"/>
              </w:rPr>
              <w:t>. Add 300 MW of utility-scale solar beyond renewable requirements.</w:t>
            </w:r>
          </w:p>
          <w:p w14:paraId="436C390D" w14:textId="77777777" w:rsidR="00AD0F38" w:rsidRPr="00834C15" w:rsidRDefault="009E6CD9" w:rsidP="00AD0F38">
            <w:pPr>
              <w:spacing w:before="60" w:after="60"/>
              <w:rPr>
                <w:rFonts w:ascii="Arial" w:hAnsi="Arial" w:cs="Arial"/>
                <w:sz w:val="16"/>
                <w:szCs w:val="20"/>
              </w:rPr>
            </w:pPr>
            <w:r>
              <w:rPr>
                <w:rFonts w:ascii="Arial" w:hAnsi="Arial" w:cs="Arial"/>
                <w:sz w:val="16"/>
                <w:szCs w:val="20"/>
              </w:rPr>
              <w:t>3</w:t>
            </w:r>
            <w:r w:rsidR="00AD0F38" w:rsidRPr="00834C15">
              <w:rPr>
                <w:rFonts w:ascii="Arial" w:hAnsi="Arial" w:cs="Arial"/>
                <w:sz w:val="16"/>
                <w:szCs w:val="20"/>
              </w:rPr>
              <w:t>. Increase DSR beyond requirements.</w:t>
            </w:r>
          </w:p>
        </w:tc>
      </w:tr>
    </w:tbl>
    <w:p w14:paraId="00EEEAEF" w14:textId="77777777" w:rsidR="00F854BA" w:rsidRDefault="00F854BA" w:rsidP="00AD0F38">
      <w:pPr>
        <w:rPr>
          <w:rFonts w:ascii="Arial" w:hAnsi="Arial"/>
          <w:sz w:val="36"/>
        </w:rPr>
      </w:pPr>
    </w:p>
    <w:p w14:paraId="68B78699" w14:textId="77777777" w:rsidR="00AD0F38" w:rsidRPr="009E6CD9" w:rsidRDefault="00F854BA" w:rsidP="009E6CD9">
      <w:pPr>
        <w:pStyle w:val="IRPsecthead1serif"/>
      </w:pPr>
      <w:r>
        <w:br w:type="page"/>
      </w:r>
      <w:r w:rsidR="00AD0F38" w:rsidRPr="00F854BA">
        <w:lastRenderedPageBreak/>
        <w:t>Available Resource Alternatives</w:t>
      </w:r>
    </w:p>
    <w:p w14:paraId="63B38920" w14:textId="77777777" w:rsidR="00AD0F38" w:rsidRPr="00F854BA" w:rsidRDefault="00AD0F38" w:rsidP="009E6CD9">
      <w:pPr>
        <w:pStyle w:val="IRPsecthead1serif"/>
        <w:rPr>
          <w:b/>
          <w:color w:val="3366FF"/>
        </w:rPr>
      </w:pPr>
    </w:p>
    <w:p w14:paraId="79A08B5B" w14:textId="77777777" w:rsidR="00AD0F38" w:rsidRPr="00F854BA" w:rsidRDefault="00AD0F38" w:rsidP="00F854BA">
      <w:pPr>
        <w:pStyle w:val="IRPsanstext"/>
      </w:pPr>
      <w:r w:rsidRPr="00F854BA">
        <w:t>Existing resources and resource alternatives are described in detail in Appendix D.</w:t>
      </w:r>
    </w:p>
    <w:p w14:paraId="1F0F1021" w14:textId="77777777" w:rsidR="00AD0F38" w:rsidRPr="00F854BA" w:rsidRDefault="00AD0F38" w:rsidP="00F854BA">
      <w:pPr>
        <w:pStyle w:val="IRPsanstext"/>
        <w:rPr>
          <w:b/>
          <w:color w:val="3366FF"/>
        </w:rPr>
      </w:pPr>
    </w:p>
    <w:p w14:paraId="1FEA9563" w14:textId="77777777" w:rsidR="00AD0F38" w:rsidRPr="00F854BA" w:rsidRDefault="00AD0F38" w:rsidP="00F854BA">
      <w:pPr>
        <w:pStyle w:val="IRPsanstext"/>
        <w:rPr>
          <w:b/>
          <w:color w:val="156570"/>
          <w:sz w:val="28"/>
          <w:szCs w:val="28"/>
        </w:rPr>
      </w:pPr>
      <w:r w:rsidRPr="00F854BA">
        <w:rPr>
          <w:b/>
          <w:color w:val="156570"/>
          <w:sz w:val="28"/>
          <w:szCs w:val="28"/>
        </w:rPr>
        <w:t>Supply-side Resources</w:t>
      </w:r>
    </w:p>
    <w:p w14:paraId="0571B0D0" w14:textId="77777777" w:rsidR="00AD0F38" w:rsidRPr="00F854BA" w:rsidRDefault="00AD0F38" w:rsidP="00F854BA">
      <w:pPr>
        <w:pStyle w:val="IRPsanstext"/>
      </w:pPr>
    </w:p>
    <w:p w14:paraId="7598D7BA" w14:textId="77777777" w:rsidR="00AD0F38" w:rsidRPr="00F854BA" w:rsidRDefault="00AD0F38" w:rsidP="009E6CD9">
      <w:pPr>
        <w:pStyle w:val="IRPsanstext"/>
      </w:pPr>
      <w:proofErr w:type="gramStart"/>
      <w:r w:rsidRPr="00F854BA">
        <w:rPr>
          <w:b/>
        </w:rPr>
        <w:t>Short-term Wholesale Market Purchases.</w:t>
      </w:r>
      <w:proofErr w:type="gramEnd"/>
      <w:r w:rsidRPr="00F854BA">
        <w:t xml:space="preserve">  PSE relies on short-term wholesale market purchases for both peak capacity and energy. </w:t>
      </w:r>
      <w:r w:rsidR="0045538F">
        <w:t>The short</w:t>
      </w:r>
      <w:r w:rsidR="007E0F1E">
        <w:t>-</w:t>
      </w:r>
      <w:r w:rsidR="0045538F">
        <w:t xml:space="preserve">term market purchases use the transmission contracts with Bonneville Power Administration to carry electricity from contracted wholesale market purchases to PSE’s service territory. </w:t>
      </w:r>
      <w:r w:rsidRPr="00F854BA">
        <w:t>A more detailed discussion of the wholesale market is included in Appendix G.</w:t>
      </w:r>
    </w:p>
    <w:p w14:paraId="0398F54F" w14:textId="77777777" w:rsidR="00AD0F38" w:rsidRPr="00F854BA" w:rsidRDefault="00AD0F38" w:rsidP="00F854BA">
      <w:pPr>
        <w:pStyle w:val="IRPsanstext"/>
        <w:ind w:left="720"/>
      </w:pPr>
    </w:p>
    <w:p w14:paraId="1E077932" w14:textId="77777777" w:rsidR="00AD0F38" w:rsidRPr="00F854BA" w:rsidRDefault="00AD0F38" w:rsidP="009E6CD9">
      <w:pPr>
        <w:pStyle w:val="IRPsanstext"/>
      </w:pPr>
      <w:proofErr w:type="gramStart"/>
      <w:r w:rsidRPr="00F854BA">
        <w:rPr>
          <w:b/>
        </w:rPr>
        <w:t>Combined-cycle Combustion Turbines (CCCTs).</w:t>
      </w:r>
      <w:proofErr w:type="gramEnd"/>
      <w:r w:rsidRPr="00F854BA">
        <w:t xml:space="preserve">   F-type, 1x1 engines with wet cooling towers are assumed to generate 335 MW plus 50 MW of duct firing and be located in PSE’s service territory.</w:t>
      </w:r>
    </w:p>
    <w:p w14:paraId="1FC12E0F" w14:textId="77777777" w:rsidR="00AD0F38" w:rsidRPr="00F854BA" w:rsidRDefault="00AD0F38" w:rsidP="00F854BA">
      <w:pPr>
        <w:pStyle w:val="IRPsanstext"/>
        <w:ind w:left="720"/>
      </w:pPr>
    </w:p>
    <w:p w14:paraId="5110C672" w14:textId="77777777" w:rsidR="00AD0F38" w:rsidRPr="00F854BA" w:rsidRDefault="00AD0F38" w:rsidP="009E6CD9">
      <w:pPr>
        <w:pStyle w:val="IRPsanstext"/>
      </w:pPr>
      <w:proofErr w:type="gramStart"/>
      <w:r w:rsidRPr="00F854BA">
        <w:rPr>
          <w:b/>
        </w:rPr>
        <w:t xml:space="preserve">Simple-cycle Combustion Turbines (Frame </w:t>
      </w:r>
      <w:proofErr w:type="spellStart"/>
      <w:r w:rsidRPr="00F854BA">
        <w:rPr>
          <w:b/>
        </w:rPr>
        <w:t>Peakers</w:t>
      </w:r>
      <w:proofErr w:type="spellEnd"/>
      <w:r w:rsidRPr="00F854BA">
        <w:rPr>
          <w:b/>
        </w:rPr>
        <w:t>).</w:t>
      </w:r>
      <w:proofErr w:type="gramEnd"/>
      <w:r w:rsidRPr="00F854BA">
        <w:t xml:space="preserve">    F-type, wet-cooled turbines are assumed to generate 228 MW and located in PSE’s service territory. Those modeled without 48 hours of oil backup were required to have firm gas pipeline capacity to cover 12 hours of operation and gas storage.</w:t>
      </w:r>
    </w:p>
    <w:p w14:paraId="0B99EAD2" w14:textId="77777777" w:rsidR="00AD0F38" w:rsidRPr="00F854BA" w:rsidRDefault="00AD0F38" w:rsidP="00F854BA">
      <w:pPr>
        <w:pStyle w:val="IRPsanstext"/>
        <w:ind w:left="720"/>
      </w:pPr>
    </w:p>
    <w:p w14:paraId="2AD220E1" w14:textId="77777777" w:rsidR="00AD0F38" w:rsidRPr="00F854BA" w:rsidRDefault="00AD0F38" w:rsidP="009E6CD9">
      <w:pPr>
        <w:pStyle w:val="IRPsanstext"/>
      </w:pPr>
      <w:proofErr w:type="spellStart"/>
      <w:proofErr w:type="gramStart"/>
      <w:r w:rsidRPr="00F854BA">
        <w:rPr>
          <w:b/>
        </w:rPr>
        <w:t>Aeroderivative</w:t>
      </w:r>
      <w:proofErr w:type="spellEnd"/>
      <w:r w:rsidRPr="00F854BA">
        <w:rPr>
          <w:b/>
        </w:rPr>
        <w:t xml:space="preserve"> Combustion Turbines (Aero </w:t>
      </w:r>
      <w:proofErr w:type="spellStart"/>
      <w:r w:rsidRPr="00F854BA">
        <w:rPr>
          <w:b/>
        </w:rPr>
        <w:t>Peakers</w:t>
      </w:r>
      <w:proofErr w:type="spellEnd"/>
      <w:r w:rsidRPr="00F854BA">
        <w:rPr>
          <w:b/>
        </w:rPr>
        <w:t>).</w:t>
      </w:r>
      <w:proofErr w:type="gramEnd"/>
      <w:r w:rsidRPr="00F854BA">
        <w:rPr>
          <w:b/>
        </w:rPr>
        <w:t xml:space="preserve">   </w:t>
      </w:r>
      <w:r w:rsidRPr="00F854BA">
        <w:t xml:space="preserve">The 2-turbine design with wet cooling is assumed to generate a total of 203 MW and </w:t>
      </w:r>
      <w:r w:rsidR="007E0F1E">
        <w:t xml:space="preserve">to be </w:t>
      </w:r>
      <w:r w:rsidRPr="00F854BA">
        <w:t xml:space="preserve">located in PSE’s service territory. Those modeled without 48 hours of oil backup were required to have firm gas pipeline capacity to cover 12 hours of operation and gas storage.   </w:t>
      </w:r>
    </w:p>
    <w:p w14:paraId="5A44201E" w14:textId="77777777" w:rsidR="00AD0F38" w:rsidRPr="00F854BA" w:rsidRDefault="00AD0F38" w:rsidP="00F854BA">
      <w:pPr>
        <w:pStyle w:val="IRPsanstext"/>
        <w:ind w:left="720"/>
      </w:pPr>
    </w:p>
    <w:p w14:paraId="02910A93" w14:textId="77777777" w:rsidR="00AD0F38" w:rsidRPr="00F854BA" w:rsidRDefault="00AD0F38" w:rsidP="009E6CD9">
      <w:pPr>
        <w:pStyle w:val="IRPsanstext"/>
      </w:pPr>
      <w:proofErr w:type="gramStart"/>
      <w:r w:rsidRPr="00F854BA">
        <w:rPr>
          <w:b/>
        </w:rPr>
        <w:t>Reciprocating Engines (</w:t>
      </w:r>
      <w:proofErr w:type="spellStart"/>
      <w:r w:rsidRPr="00F854BA">
        <w:rPr>
          <w:b/>
        </w:rPr>
        <w:t>Recip</w:t>
      </w:r>
      <w:proofErr w:type="spellEnd"/>
      <w:r w:rsidRPr="00F854BA">
        <w:rPr>
          <w:b/>
        </w:rPr>
        <w:t xml:space="preserve"> </w:t>
      </w:r>
      <w:proofErr w:type="spellStart"/>
      <w:r w:rsidRPr="00F854BA">
        <w:rPr>
          <w:b/>
        </w:rPr>
        <w:t>Peakers</w:t>
      </w:r>
      <w:proofErr w:type="spellEnd"/>
      <w:r w:rsidRPr="00F854BA">
        <w:rPr>
          <w:b/>
        </w:rPr>
        <w:t>).</w:t>
      </w:r>
      <w:proofErr w:type="gramEnd"/>
      <w:r w:rsidRPr="00F854BA">
        <w:t xml:space="preserve">   This 12-engine design (18.3 MW each) with wet cooling is assumed to generate a total of 220 MW and </w:t>
      </w:r>
      <w:r w:rsidR="007E0F1E">
        <w:t xml:space="preserve">to be </w:t>
      </w:r>
      <w:r w:rsidRPr="00F854BA">
        <w:t>located in PSE’s service territory.</w:t>
      </w:r>
    </w:p>
    <w:p w14:paraId="114F5D8E" w14:textId="77777777" w:rsidR="00AD0F38" w:rsidRPr="00F854BA" w:rsidRDefault="00AD0F38" w:rsidP="00F854BA">
      <w:pPr>
        <w:pStyle w:val="IRPsanstext"/>
        <w:ind w:left="720"/>
      </w:pPr>
    </w:p>
    <w:p w14:paraId="2CC4D440" w14:textId="77777777" w:rsidR="00AD0F38" w:rsidRPr="00F854BA" w:rsidRDefault="00AD0F38" w:rsidP="009E6CD9">
      <w:pPr>
        <w:pStyle w:val="IRPsanstext"/>
      </w:pPr>
      <w:r w:rsidRPr="00F854BA">
        <w:rPr>
          <w:b/>
        </w:rPr>
        <w:t>Wind.</w:t>
      </w:r>
      <w:r w:rsidRPr="00F854BA">
        <w:t xml:space="preserve">  Wind was modeled in southeast Washington and central Montana. Washington wind is assumed to have a capacity factor of 34 percent. Montana wind is assumed to be located east of the continental divide and have a capacity factor of 41 percent.</w:t>
      </w:r>
    </w:p>
    <w:p w14:paraId="160F668E" w14:textId="77777777" w:rsidR="00AD0F38" w:rsidRPr="00F854BA" w:rsidRDefault="00AD0F38" w:rsidP="00F854BA">
      <w:pPr>
        <w:pStyle w:val="IRPsanstext"/>
        <w:ind w:left="720"/>
      </w:pPr>
    </w:p>
    <w:p w14:paraId="67DE1E1D" w14:textId="77777777" w:rsidR="00AD0F38" w:rsidRPr="00F854BA" w:rsidRDefault="00AD0F38" w:rsidP="009E6CD9">
      <w:pPr>
        <w:pStyle w:val="IRPsanstext"/>
      </w:pPr>
      <w:r w:rsidRPr="00F854BA">
        <w:rPr>
          <w:b/>
        </w:rPr>
        <w:t>Energy Storage.</w:t>
      </w:r>
      <w:r w:rsidRPr="00F854BA">
        <w:t xml:space="preserve">  Two energy storage technologies are modeled: batteries and pumped hydro. The generic battery resource is lithium-ion technology.  Pumped hydro resources are generally large, on the order of 400 MW to 3,000 MW. This analysis assumes PSE would split the output of a pumped hydro storage project with other interested parties. </w:t>
      </w:r>
    </w:p>
    <w:p w14:paraId="4F363825" w14:textId="77777777" w:rsidR="00AD0F38" w:rsidRPr="00F854BA" w:rsidRDefault="00AD0F38" w:rsidP="00F854BA">
      <w:pPr>
        <w:pStyle w:val="IRPsanstext"/>
        <w:ind w:left="720"/>
      </w:pPr>
    </w:p>
    <w:p w14:paraId="6E14B5B6" w14:textId="77777777" w:rsidR="009E6CD9" w:rsidRDefault="00AD0F38" w:rsidP="009E6CD9">
      <w:pPr>
        <w:pStyle w:val="IRPsanstext"/>
      </w:pPr>
      <w:r w:rsidRPr="00F854BA">
        <w:rPr>
          <w:b/>
        </w:rPr>
        <w:t>Solar.</w:t>
      </w:r>
      <w:r w:rsidRPr="00F854BA">
        <w:t xml:space="preserve">  Utility-scale solar PV is assumed to be located in central to southern Washington, use a fixed tilt system, and have a capacity factor of 20 percent.</w:t>
      </w:r>
    </w:p>
    <w:p w14:paraId="2B8BF1E4" w14:textId="77777777" w:rsidR="00AD0F38" w:rsidRPr="00F854BA" w:rsidRDefault="00AD0F38" w:rsidP="00F854BA">
      <w:pPr>
        <w:pStyle w:val="IRPsanstext"/>
        <w:rPr>
          <w:b/>
          <w:color w:val="156570"/>
          <w:sz w:val="28"/>
          <w:szCs w:val="28"/>
        </w:rPr>
      </w:pPr>
      <w:r w:rsidRPr="00F854BA">
        <w:rPr>
          <w:b/>
          <w:color w:val="156570"/>
          <w:sz w:val="28"/>
          <w:szCs w:val="28"/>
        </w:rPr>
        <w:lastRenderedPageBreak/>
        <w:t>Demand-side Resources</w:t>
      </w:r>
    </w:p>
    <w:p w14:paraId="32CB8B86" w14:textId="77777777" w:rsidR="009E6CD9" w:rsidRDefault="009E6CD9" w:rsidP="009E6CD9">
      <w:pPr>
        <w:pStyle w:val="IRPsanstext"/>
      </w:pPr>
    </w:p>
    <w:p w14:paraId="45B46966" w14:textId="77777777" w:rsidR="00AD0F38" w:rsidRPr="00F854BA" w:rsidRDefault="00AD0F38" w:rsidP="009E6CD9">
      <w:pPr>
        <w:pStyle w:val="IRPsanstext"/>
      </w:pPr>
      <w:r w:rsidRPr="00F854BA">
        <w:rPr>
          <w:b/>
        </w:rPr>
        <w:t>Energy Efficiency Measures.</w:t>
      </w:r>
      <w:r w:rsidRPr="00F854BA">
        <w:t xml:space="preserve"> This label is used for a wide variety of measures that result in less energy being used to accomplish the same amount of work. These measures often focus on retrofitting programs and new construction codes and standards and include measures like appliance upgrades, building envelope upgrades, heating and cooling systems and lighting changes.</w:t>
      </w:r>
    </w:p>
    <w:p w14:paraId="353C401A" w14:textId="77777777" w:rsidR="009E6CD9" w:rsidRDefault="009E6CD9" w:rsidP="009E6CD9">
      <w:pPr>
        <w:pStyle w:val="IRPsanstext"/>
      </w:pPr>
    </w:p>
    <w:p w14:paraId="6373FB50" w14:textId="77777777" w:rsidR="00AD0F38" w:rsidRPr="00F854BA" w:rsidRDefault="00AD0F38" w:rsidP="009E6CD9">
      <w:pPr>
        <w:pStyle w:val="IRPsanstext"/>
      </w:pPr>
      <w:r w:rsidRPr="00F854BA">
        <w:rPr>
          <w:b/>
        </w:rPr>
        <w:t>Demand-response.</w:t>
      </w:r>
      <w:r w:rsidRPr="00F854BA">
        <w:t xml:space="preserve"> Demand-response resources are flexible, price-responsive loads, which may be curtailed or interrupted during system emergencies or when wholesale market prices exceed the utility’s supply cost.</w:t>
      </w:r>
    </w:p>
    <w:p w14:paraId="737D0C0B" w14:textId="77777777" w:rsidR="009E6CD9" w:rsidRDefault="009E6CD9" w:rsidP="009E6CD9">
      <w:pPr>
        <w:pStyle w:val="IRPsanstext"/>
      </w:pPr>
    </w:p>
    <w:p w14:paraId="1F43F5FD" w14:textId="77777777" w:rsidR="00AD0F38" w:rsidRPr="00F854BA" w:rsidRDefault="00AD0F38" w:rsidP="009E6CD9">
      <w:pPr>
        <w:pStyle w:val="IRPsanstext"/>
      </w:pPr>
      <w:r w:rsidRPr="00F854BA">
        <w:rPr>
          <w:b/>
        </w:rPr>
        <w:t>Distributed Generation.</w:t>
      </w:r>
      <w:r w:rsidRPr="00F854BA">
        <w:t xml:space="preserve"> Distributed generation refers to small-scale electricity generators (like rooftop solar panels) located close to the source of the customer’s load. </w:t>
      </w:r>
    </w:p>
    <w:p w14:paraId="0D40A548" w14:textId="77777777" w:rsidR="00AD0F38" w:rsidRPr="00F854BA" w:rsidRDefault="00AD0F38" w:rsidP="00F854BA">
      <w:pPr>
        <w:pStyle w:val="IRPsanstext"/>
        <w:ind w:left="720"/>
      </w:pPr>
      <w:r w:rsidRPr="00F854BA">
        <w:t xml:space="preserve"> </w:t>
      </w:r>
    </w:p>
    <w:p w14:paraId="041181BE" w14:textId="77777777" w:rsidR="00AD0F38" w:rsidRPr="00F854BA" w:rsidRDefault="00AD0F38" w:rsidP="009E6CD9">
      <w:pPr>
        <w:pStyle w:val="IRPsanstext"/>
      </w:pPr>
      <w:r w:rsidRPr="00F854BA">
        <w:rPr>
          <w:b/>
        </w:rPr>
        <w:t>Distributed Efficiency (Voltage Reduction and Phase Balancing).</w:t>
      </w:r>
      <w:r w:rsidRPr="00F854BA">
        <w:t xml:space="preserve"> Voltage reduction is the practice of reducing the voltage on distribution circuits to reduce energy consumption. Phase balancing eliminates total current flow losses that can reduce energy loss.</w:t>
      </w:r>
    </w:p>
    <w:p w14:paraId="2EAB0D8C" w14:textId="77777777" w:rsidR="00AD0F38" w:rsidRPr="00F854BA" w:rsidRDefault="00AD0F38" w:rsidP="00F854BA">
      <w:pPr>
        <w:pStyle w:val="IRPsanstext"/>
        <w:ind w:left="720"/>
      </w:pPr>
    </w:p>
    <w:p w14:paraId="73337E2F" w14:textId="77777777" w:rsidR="00AD0F38" w:rsidRPr="00F854BA" w:rsidRDefault="00AD0F38" w:rsidP="009E6CD9">
      <w:pPr>
        <w:pStyle w:val="IRPsanstext"/>
      </w:pPr>
      <w:r w:rsidRPr="00F854BA">
        <w:rPr>
          <w:b/>
        </w:rPr>
        <w:t xml:space="preserve">Generation Efficiency. </w:t>
      </w:r>
      <w:r w:rsidRPr="00F854BA">
        <w:t>Energy efficiency improvements at PSE generating plant facilities.</w:t>
      </w:r>
    </w:p>
    <w:p w14:paraId="197CD879" w14:textId="77777777" w:rsidR="00AD0F38" w:rsidRPr="00F854BA" w:rsidRDefault="00AD0F38" w:rsidP="00F854BA">
      <w:pPr>
        <w:pStyle w:val="IRPsanstext"/>
        <w:ind w:left="720"/>
      </w:pPr>
      <w:r w:rsidRPr="00F854BA">
        <w:t xml:space="preserve"> </w:t>
      </w:r>
    </w:p>
    <w:p w14:paraId="6589561F" w14:textId="77777777" w:rsidR="00AD0F38" w:rsidRPr="00F854BA" w:rsidRDefault="00AD0F38" w:rsidP="009E6CD9">
      <w:pPr>
        <w:pStyle w:val="IRPsanstext"/>
      </w:pPr>
      <w:proofErr w:type="gramStart"/>
      <w:r w:rsidRPr="00F854BA">
        <w:rPr>
          <w:b/>
        </w:rPr>
        <w:t>Codes and Standards.</w:t>
      </w:r>
      <w:proofErr w:type="gramEnd"/>
      <w:r w:rsidRPr="00F854BA">
        <w:t xml:space="preserve"> No-cost energy efficiency measures that work their way to the market via new efficiency standards that originate from federal and state codes/standards. </w:t>
      </w:r>
    </w:p>
    <w:p w14:paraId="60B9DDFE" w14:textId="77777777" w:rsidR="00AD0F38" w:rsidRPr="00F854BA" w:rsidRDefault="00AD0F38" w:rsidP="00AD0F38">
      <w:pPr>
        <w:spacing w:line="300" w:lineRule="auto"/>
        <w:rPr>
          <w:rFonts w:ascii="Arial" w:hAnsi="Arial"/>
          <w:b/>
          <w:caps/>
          <w:color w:val="156570"/>
          <w:sz w:val="32"/>
          <w:szCs w:val="32"/>
        </w:rPr>
      </w:pPr>
      <w:r w:rsidRPr="003519C3">
        <w:rPr>
          <w:color w:val="3366FF"/>
          <w:sz w:val="36"/>
        </w:rPr>
        <w:br w:type="page"/>
      </w:r>
      <w:r w:rsidRPr="00F854BA">
        <w:rPr>
          <w:rFonts w:ascii="Arial" w:hAnsi="Arial"/>
          <w:b/>
          <w:color w:val="156570"/>
          <w:sz w:val="32"/>
          <w:szCs w:val="32"/>
        </w:rPr>
        <w:lastRenderedPageBreak/>
        <w:t xml:space="preserve">TWO </w:t>
      </w:r>
      <w:r w:rsidRPr="00F854BA">
        <w:rPr>
          <w:rFonts w:ascii="Arial" w:hAnsi="Arial"/>
          <w:b/>
          <w:caps/>
          <w:color w:val="156570"/>
          <w:sz w:val="32"/>
          <w:szCs w:val="32"/>
        </w:rPr>
        <w:t xml:space="preserve">types of Analysis </w:t>
      </w:r>
    </w:p>
    <w:p w14:paraId="55864758" w14:textId="77777777" w:rsidR="00AD0F38" w:rsidRPr="00F854BA" w:rsidRDefault="00AD0F38" w:rsidP="00F854BA">
      <w:pPr>
        <w:pStyle w:val="IRPsanstext"/>
        <w:rPr>
          <w:rFonts w:cs="Arial"/>
        </w:rPr>
      </w:pPr>
    </w:p>
    <w:p w14:paraId="1B6BCE4B" w14:textId="77777777" w:rsidR="00AD0F38" w:rsidRPr="00F854BA" w:rsidRDefault="00AD0F38" w:rsidP="00F854BA">
      <w:pPr>
        <w:pStyle w:val="IRPsanstext"/>
        <w:rPr>
          <w:rFonts w:cs="Arial"/>
        </w:rPr>
      </w:pPr>
      <w:r w:rsidRPr="00F854BA">
        <w:rPr>
          <w:rFonts w:cs="Arial"/>
        </w:rPr>
        <w:t>PSE uses two types of analysis to develop its resource plan: deterministic optimization analysis and stochastic risk analysis.</w:t>
      </w:r>
      <w:r w:rsidRPr="00F854BA">
        <w:rPr>
          <w:rStyle w:val="FootnoteReference"/>
          <w:rFonts w:cs="Arial"/>
        </w:rPr>
        <w:footnoteReference w:id="14"/>
      </w:r>
      <w:r w:rsidRPr="00F854BA">
        <w:rPr>
          <w:rFonts w:cs="Arial"/>
        </w:rPr>
        <w:t xml:space="preserve">  </w:t>
      </w:r>
    </w:p>
    <w:p w14:paraId="11D5C620" w14:textId="77777777" w:rsidR="00AD0F38" w:rsidRPr="00F854BA" w:rsidRDefault="00AD0F38" w:rsidP="00F854BA">
      <w:pPr>
        <w:pStyle w:val="IRPsanstext"/>
        <w:rPr>
          <w:rFonts w:cs="Arial"/>
        </w:rPr>
      </w:pPr>
    </w:p>
    <w:p w14:paraId="511E79EA" w14:textId="77777777" w:rsidR="00AD0F38" w:rsidRPr="00F854BA" w:rsidRDefault="00AD0F38" w:rsidP="00F854BA">
      <w:pPr>
        <w:pStyle w:val="IRPsanstext"/>
        <w:rPr>
          <w:rFonts w:cs="Arial"/>
          <w:b/>
          <w:caps/>
        </w:rPr>
      </w:pPr>
      <w:r w:rsidRPr="00F854BA">
        <w:rPr>
          <w:rFonts w:cs="Arial"/>
          <w:b/>
          <w:caps/>
        </w:rPr>
        <w:t xml:space="preserve">Deterministic portfolio Optimization Analysis </w:t>
      </w:r>
    </w:p>
    <w:p w14:paraId="1937DA01" w14:textId="77777777" w:rsidR="00AD0F38" w:rsidRPr="00F854BA" w:rsidRDefault="00AD0F38" w:rsidP="00F854BA">
      <w:pPr>
        <w:pStyle w:val="IRPsanstext"/>
        <w:rPr>
          <w:rFonts w:cs="Arial"/>
        </w:rPr>
      </w:pPr>
      <w:r w:rsidRPr="00F854BA">
        <w:rPr>
          <w:rFonts w:cs="Arial"/>
        </w:rPr>
        <w:t xml:space="preserve">All scenarios and sensitivities are subjected to deterministic portfolio analysis. This is the first stage of the resource plan analysis. It identifies least-cost portfolio – that is, the mix of demand-side and supply-side resources that will meet need under the given set of static assumptions defined in the scenario or sensitivity. This stage helps us to learn how specific input assumptions, or combinations of assumptions, can impact the least-cost mix of resources. </w:t>
      </w:r>
    </w:p>
    <w:p w14:paraId="0EB32398" w14:textId="77777777" w:rsidR="00AD0F38" w:rsidRPr="00F854BA" w:rsidRDefault="00AD0F38" w:rsidP="00F854BA">
      <w:pPr>
        <w:pStyle w:val="IRPsanstext"/>
        <w:rPr>
          <w:rFonts w:cs="Arial"/>
        </w:rPr>
      </w:pPr>
    </w:p>
    <w:p w14:paraId="09693FC9" w14:textId="77777777" w:rsidR="00AD0F38" w:rsidRPr="00F854BA" w:rsidRDefault="00AD0F38" w:rsidP="00F854BA">
      <w:pPr>
        <w:pStyle w:val="IRPsanstext"/>
        <w:rPr>
          <w:rFonts w:cs="Arial"/>
          <w:b/>
          <w:caps/>
        </w:rPr>
      </w:pPr>
      <w:r w:rsidRPr="00F854BA">
        <w:rPr>
          <w:rFonts w:cs="Arial"/>
          <w:b/>
          <w:caps/>
        </w:rPr>
        <w:t xml:space="preserve">CANDIDATE RESOURCE </w:t>
      </w:r>
      <w:r w:rsidR="00367AB0">
        <w:rPr>
          <w:rFonts w:cs="Arial"/>
          <w:b/>
          <w:caps/>
        </w:rPr>
        <w:t>Strat</w:t>
      </w:r>
      <w:r w:rsidR="00A33D5B">
        <w:rPr>
          <w:rFonts w:cs="Arial"/>
          <w:b/>
          <w:caps/>
        </w:rPr>
        <w:t>egies</w:t>
      </w:r>
    </w:p>
    <w:p w14:paraId="25C0B306" w14:textId="77777777" w:rsidR="00AD0F38" w:rsidRPr="00F854BA" w:rsidRDefault="00AD0F38" w:rsidP="00F854BA">
      <w:pPr>
        <w:pStyle w:val="IRPsanstext"/>
        <w:rPr>
          <w:rFonts w:cs="Arial"/>
        </w:rPr>
      </w:pPr>
      <w:r w:rsidRPr="00F854BA">
        <w:rPr>
          <w:rFonts w:cs="Arial"/>
        </w:rPr>
        <w:t xml:space="preserve">Using what we learned from the deterministic analysis, we created a set of candidate resource </w:t>
      </w:r>
      <w:r w:rsidR="00A33D5B">
        <w:rPr>
          <w:rFonts w:cs="Arial"/>
        </w:rPr>
        <w:t>strategies</w:t>
      </w:r>
      <w:r w:rsidR="00A33D5B" w:rsidRPr="00F854BA">
        <w:rPr>
          <w:rFonts w:cs="Arial"/>
        </w:rPr>
        <w:t xml:space="preserve"> </w:t>
      </w:r>
      <w:r w:rsidRPr="00F854BA">
        <w:rPr>
          <w:rFonts w:cs="Arial"/>
        </w:rPr>
        <w:t>to test different resource strategies. For example, how does the addition of a mix of thermal resources perform compared to the addition of a single type of thermal resource?</w:t>
      </w:r>
    </w:p>
    <w:p w14:paraId="6CA0BF13" w14:textId="77777777" w:rsidR="00AD0F38" w:rsidRPr="00F854BA" w:rsidRDefault="00AD0F38" w:rsidP="00F854BA">
      <w:pPr>
        <w:pStyle w:val="IRPsanstext"/>
        <w:rPr>
          <w:rFonts w:cs="Arial"/>
        </w:rPr>
      </w:pPr>
    </w:p>
    <w:p w14:paraId="6DCF2A32" w14:textId="77777777" w:rsidR="00AD0F38" w:rsidRPr="00F854BA" w:rsidRDefault="00AD0F38" w:rsidP="00F854BA">
      <w:pPr>
        <w:pStyle w:val="IRPsanstext"/>
        <w:rPr>
          <w:rFonts w:cs="Arial"/>
          <w:b/>
          <w:caps/>
        </w:rPr>
      </w:pPr>
      <w:r w:rsidRPr="00F854BA">
        <w:rPr>
          <w:rFonts w:cs="Arial"/>
          <w:b/>
          <w:caps/>
        </w:rPr>
        <w:t xml:space="preserve">Stochastic Risk Analysis </w:t>
      </w:r>
    </w:p>
    <w:p w14:paraId="3F92A864" w14:textId="77777777" w:rsidR="00AD0F38" w:rsidRPr="00F854BA" w:rsidRDefault="00AD0F38" w:rsidP="00F854BA">
      <w:pPr>
        <w:pStyle w:val="IRPsanstext"/>
        <w:rPr>
          <w:rFonts w:cs="Arial"/>
        </w:rPr>
      </w:pPr>
      <w:r w:rsidRPr="00F854BA">
        <w:rPr>
          <w:rFonts w:cs="Arial"/>
        </w:rPr>
        <w:t xml:space="preserve">In this stage of the resource plan analysis, we examine how the candidate resource </w:t>
      </w:r>
      <w:r w:rsidR="00A33D5B">
        <w:rPr>
          <w:rFonts w:cs="Arial"/>
        </w:rPr>
        <w:t>strategies</w:t>
      </w:r>
      <w:r w:rsidR="00A33D5B" w:rsidRPr="00F854BA">
        <w:rPr>
          <w:rFonts w:cs="Arial"/>
        </w:rPr>
        <w:t xml:space="preserve"> </w:t>
      </w:r>
      <w:r w:rsidRPr="00F854BA">
        <w:rPr>
          <w:rFonts w:cs="Arial"/>
        </w:rPr>
        <w:t xml:space="preserve">respond to the types of risk </w:t>
      </w:r>
      <w:proofErr w:type="gramStart"/>
      <w:r w:rsidRPr="00F854BA">
        <w:rPr>
          <w:rFonts w:cs="Arial"/>
        </w:rPr>
        <w:t>that go</w:t>
      </w:r>
      <w:proofErr w:type="gramEnd"/>
      <w:r w:rsidRPr="00F854BA">
        <w:rPr>
          <w:rFonts w:cs="Arial"/>
        </w:rPr>
        <w:t xml:space="preserve"> hand-in-hand with future uncertainty. We deliberately vary the inputs that were static in the deterministic analysis to create simulations called “draws,” and analyze the candidate resource </w:t>
      </w:r>
      <w:r w:rsidR="00A33D5B">
        <w:rPr>
          <w:rFonts w:cs="Arial"/>
        </w:rPr>
        <w:t>strategies</w:t>
      </w:r>
      <w:r w:rsidR="00A33D5B" w:rsidRPr="00F854BA">
        <w:rPr>
          <w:rFonts w:cs="Arial"/>
        </w:rPr>
        <w:t xml:space="preserve"> </w:t>
      </w:r>
      <w:r w:rsidRPr="00F854BA">
        <w:rPr>
          <w:rFonts w:cs="Arial"/>
        </w:rPr>
        <w:t xml:space="preserve">again. This allows us to learn how the candidate resource </w:t>
      </w:r>
      <w:r w:rsidR="00A33D5B">
        <w:rPr>
          <w:rFonts w:cs="Arial"/>
        </w:rPr>
        <w:t>strategies</w:t>
      </w:r>
      <w:r w:rsidR="00A33D5B" w:rsidRPr="00F854BA">
        <w:rPr>
          <w:rFonts w:cs="Arial"/>
        </w:rPr>
        <w:t xml:space="preserve"> </w:t>
      </w:r>
      <w:r w:rsidRPr="00F854BA">
        <w:rPr>
          <w:rFonts w:cs="Arial"/>
        </w:rPr>
        <w:t xml:space="preserve">perform with regard to cost and risk across a wide range power prices, gas prices, hydro generation, wind generation, loads, </w:t>
      </w:r>
      <w:proofErr w:type="gramStart"/>
      <w:r w:rsidRPr="00F854BA">
        <w:rPr>
          <w:rFonts w:cs="Arial"/>
        </w:rPr>
        <w:t>plant</w:t>
      </w:r>
      <w:proofErr w:type="gramEnd"/>
      <w:r w:rsidRPr="00F854BA">
        <w:rPr>
          <w:rFonts w:cs="Arial"/>
        </w:rPr>
        <w:t xml:space="preserve"> forced outages and CO</w:t>
      </w:r>
      <w:r w:rsidRPr="00F854BA">
        <w:rPr>
          <w:rFonts w:cs="Arial"/>
          <w:vertAlign w:val="subscript"/>
        </w:rPr>
        <w:t>2</w:t>
      </w:r>
      <w:r w:rsidRPr="00F854BA">
        <w:rPr>
          <w:rFonts w:cs="Arial"/>
        </w:rPr>
        <w:t xml:space="preserve"> prices.    </w:t>
      </w:r>
    </w:p>
    <w:p w14:paraId="7852D147" w14:textId="77777777" w:rsidR="00AD0F38" w:rsidRPr="00F854BA" w:rsidRDefault="00AD0F38" w:rsidP="00F854BA">
      <w:pPr>
        <w:pStyle w:val="IRPsanstext"/>
        <w:rPr>
          <w:rFonts w:cs="Arial"/>
        </w:rPr>
      </w:pPr>
    </w:p>
    <w:p w14:paraId="1C337F8A" w14:textId="77777777" w:rsidR="00F854BA" w:rsidRDefault="00F854BA">
      <w:pPr>
        <w:rPr>
          <w:rFonts w:ascii="Arial" w:hAnsi="Arial" w:cs="Arial"/>
          <w:sz w:val="32"/>
          <w:szCs w:val="32"/>
        </w:rPr>
      </w:pPr>
      <w:r>
        <w:rPr>
          <w:rFonts w:cs="Arial"/>
          <w:sz w:val="32"/>
          <w:szCs w:val="32"/>
        </w:rPr>
        <w:br w:type="page"/>
      </w:r>
    </w:p>
    <w:p w14:paraId="7EB09696" w14:textId="77777777" w:rsidR="00AD0F38" w:rsidRPr="00F854BA" w:rsidRDefault="00AD0F38" w:rsidP="00F854BA">
      <w:pPr>
        <w:pStyle w:val="IRPsanstext"/>
        <w:rPr>
          <w:rFonts w:cs="Arial"/>
          <w:sz w:val="32"/>
          <w:szCs w:val="32"/>
        </w:rPr>
      </w:pPr>
      <w:r w:rsidRPr="00F854BA">
        <w:rPr>
          <w:rFonts w:cs="Arial"/>
          <w:sz w:val="32"/>
          <w:szCs w:val="32"/>
        </w:rPr>
        <w:lastRenderedPageBreak/>
        <w:t>Deterministic Portfolio Optimization Analysis</w:t>
      </w:r>
    </w:p>
    <w:p w14:paraId="578E074E" w14:textId="77777777" w:rsidR="00F854BA" w:rsidRPr="00F854BA" w:rsidRDefault="00F854BA" w:rsidP="00F854BA">
      <w:pPr>
        <w:pStyle w:val="IRPsanstext"/>
        <w:rPr>
          <w:rFonts w:cs="Arial"/>
        </w:rPr>
      </w:pPr>
    </w:p>
    <w:p w14:paraId="7EBB1D44" w14:textId="77777777" w:rsidR="00AD0F38" w:rsidRPr="00F854BA" w:rsidRDefault="00AD0F38" w:rsidP="00F854BA">
      <w:pPr>
        <w:pStyle w:val="IRPsanstext"/>
        <w:rPr>
          <w:rFonts w:cs="Arial"/>
        </w:rPr>
      </w:pPr>
      <w:r w:rsidRPr="00F854BA">
        <w:rPr>
          <w:rFonts w:cs="Arial"/>
        </w:rPr>
        <w:t>Deterministic analysis helps to answer the question: How will different resource alternatives dispatch to market given the assumptions that define each of the scenarios and sensitivities</w:t>
      </w:r>
      <w:r w:rsidR="00C70154">
        <w:rPr>
          <w:rFonts w:cs="Arial"/>
        </w:rPr>
        <w:t>?</w:t>
      </w:r>
      <w:r w:rsidRPr="00F854BA">
        <w:rPr>
          <w:rFonts w:cs="Arial"/>
        </w:rPr>
        <w:t xml:space="preserve"> All of PSE’s existing resources are modeled, plus all of the generic resource alternatives. </w:t>
      </w:r>
    </w:p>
    <w:p w14:paraId="6B5EA30D" w14:textId="77777777" w:rsidR="00AD0F38" w:rsidRPr="00F854BA" w:rsidRDefault="00AD0F38" w:rsidP="00F854BA">
      <w:pPr>
        <w:pStyle w:val="IRPsanstext"/>
        <w:rPr>
          <w:rFonts w:cs="Arial"/>
        </w:rPr>
      </w:pPr>
    </w:p>
    <w:p w14:paraId="28A2128D" w14:textId="77777777" w:rsidR="00AD0F38" w:rsidRPr="00F854BA" w:rsidRDefault="00AD0F38" w:rsidP="00F854BA">
      <w:pPr>
        <w:pStyle w:val="IRPsanstext"/>
        <w:rPr>
          <w:rFonts w:cs="Arial"/>
        </w:rPr>
      </w:pPr>
      <w:r w:rsidRPr="00F854BA">
        <w:rPr>
          <w:rFonts w:cs="Arial"/>
        </w:rPr>
        <w:t>Three analytical tools are used during this stage of the analysis: Aurora, the Portfolio Screening Model III (PSM III) and Frontline System’s Risk Solver Platform.</w:t>
      </w:r>
    </w:p>
    <w:p w14:paraId="6CAE6331" w14:textId="77777777" w:rsidR="00AD0F38" w:rsidRPr="00F854BA" w:rsidRDefault="00AD0F38" w:rsidP="00F854BA">
      <w:pPr>
        <w:pStyle w:val="IRPsanstext"/>
        <w:rPr>
          <w:rFonts w:cs="Arial"/>
        </w:rPr>
      </w:pPr>
    </w:p>
    <w:p w14:paraId="792042F0" w14:textId="77777777" w:rsidR="00AD0F38" w:rsidRPr="00F854BA" w:rsidRDefault="00AD0F38" w:rsidP="00F854BA">
      <w:pPr>
        <w:pStyle w:val="IRPsanstext"/>
        <w:rPr>
          <w:rFonts w:cs="Arial"/>
        </w:rPr>
      </w:pPr>
      <w:r w:rsidRPr="00F854BA">
        <w:rPr>
          <w:rFonts w:cs="Arial"/>
        </w:rPr>
        <w:t>The initial Aurora input price run produces:</w:t>
      </w:r>
    </w:p>
    <w:p w14:paraId="65B4E001" w14:textId="77777777" w:rsidR="00AD0F38" w:rsidRPr="00F854BA" w:rsidRDefault="00AD0F38" w:rsidP="00F854BA">
      <w:pPr>
        <w:pStyle w:val="IRPsanstext"/>
        <w:rPr>
          <w:rFonts w:cs="Arial"/>
        </w:rPr>
      </w:pPr>
    </w:p>
    <w:p w14:paraId="67027914" w14:textId="77777777" w:rsidR="00AD0F38" w:rsidRPr="00F854BA" w:rsidRDefault="00AD0F38" w:rsidP="00F26524">
      <w:pPr>
        <w:pStyle w:val="IRPsanstext"/>
        <w:numPr>
          <w:ilvl w:val="0"/>
          <w:numId w:val="10"/>
        </w:numPr>
        <w:rPr>
          <w:rFonts w:cs="Arial"/>
        </w:rPr>
      </w:pPr>
      <w:r w:rsidRPr="00F854BA">
        <w:rPr>
          <w:rFonts w:cs="Arial"/>
          <w:b/>
        </w:rPr>
        <w:t>Annual Energy Estimates (</w:t>
      </w:r>
      <w:proofErr w:type="spellStart"/>
      <w:r w:rsidRPr="00F854BA">
        <w:rPr>
          <w:rFonts w:cs="Arial"/>
          <w:b/>
        </w:rPr>
        <w:t>MWh</w:t>
      </w:r>
      <w:proofErr w:type="spellEnd"/>
      <w:r w:rsidRPr="00F854BA">
        <w:rPr>
          <w:rFonts w:cs="Arial"/>
          <w:b/>
        </w:rPr>
        <w:t>).</w:t>
      </w:r>
      <w:r w:rsidRPr="00F854BA">
        <w:rPr>
          <w:rFonts w:cs="Arial"/>
        </w:rPr>
        <w:t xml:space="preserve"> This is the sum of the total energy produced by </w:t>
      </w:r>
      <w:r w:rsidR="00C70154">
        <w:rPr>
          <w:rFonts w:cs="Arial"/>
        </w:rPr>
        <w:t>each</w:t>
      </w:r>
      <w:r w:rsidRPr="00F854BA">
        <w:rPr>
          <w:rFonts w:cs="Arial"/>
        </w:rPr>
        <w:t xml:space="preserve"> resource for the entire year.</w:t>
      </w:r>
    </w:p>
    <w:p w14:paraId="64EBD1A0" w14:textId="77777777" w:rsidR="00AD0F38" w:rsidRPr="00F854BA" w:rsidRDefault="00AD0F38" w:rsidP="00F26524">
      <w:pPr>
        <w:pStyle w:val="IRPsanstext"/>
        <w:numPr>
          <w:ilvl w:val="0"/>
          <w:numId w:val="10"/>
        </w:numPr>
        <w:rPr>
          <w:rFonts w:cs="Arial"/>
        </w:rPr>
      </w:pPr>
      <w:r w:rsidRPr="00F854BA">
        <w:rPr>
          <w:rFonts w:cs="Arial"/>
          <w:b/>
        </w:rPr>
        <w:t>Annual Variable Cost Estimates ($000).</w:t>
      </w:r>
      <w:r w:rsidRPr="00F854BA">
        <w:rPr>
          <w:rFonts w:cs="Arial"/>
        </w:rPr>
        <w:t xml:space="preserve"> This includes fuel price plus variable pipeline charges, fuel use, and taxes; variable operations and maintenance (O&amp;M) cost; variable transmission cost; start-up costs; any emissions cost where applicable; and PPA costs.</w:t>
      </w:r>
    </w:p>
    <w:p w14:paraId="45D5CD67" w14:textId="77777777" w:rsidR="00AD0F38" w:rsidRPr="00F854BA" w:rsidRDefault="00AD0F38" w:rsidP="00F26524">
      <w:pPr>
        <w:pStyle w:val="IRPsanstext"/>
        <w:numPr>
          <w:ilvl w:val="0"/>
          <w:numId w:val="10"/>
        </w:numPr>
        <w:rPr>
          <w:rFonts w:cs="Arial"/>
        </w:rPr>
      </w:pPr>
      <w:r w:rsidRPr="00F854BA">
        <w:rPr>
          <w:rFonts w:cs="Arial"/>
          <w:b/>
        </w:rPr>
        <w:t>Annual Revenue ($000) Estimates.</w:t>
      </w:r>
      <w:r w:rsidRPr="00F854BA">
        <w:rPr>
          <w:rFonts w:cs="Arial"/>
        </w:rPr>
        <w:t xml:space="preserve"> This is the revenue that a resource produces when its excess energy production is sold into the market. </w:t>
      </w:r>
    </w:p>
    <w:p w14:paraId="3635BFEF" w14:textId="77777777" w:rsidR="00AD0F38" w:rsidRPr="00F854BA" w:rsidRDefault="00AD0F38" w:rsidP="00F26524">
      <w:pPr>
        <w:pStyle w:val="IRPsanstext"/>
        <w:numPr>
          <w:ilvl w:val="0"/>
          <w:numId w:val="10"/>
        </w:numPr>
        <w:rPr>
          <w:rFonts w:cs="Arial"/>
        </w:rPr>
      </w:pPr>
      <w:r w:rsidRPr="00F854BA">
        <w:rPr>
          <w:rFonts w:cs="Arial"/>
          <w:b/>
        </w:rPr>
        <w:t>CO</w:t>
      </w:r>
      <w:r w:rsidRPr="00F854BA">
        <w:rPr>
          <w:rFonts w:cs="Arial"/>
          <w:b/>
          <w:vertAlign w:val="subscript"/>
        </w:rPr>
        <w:t>2</w:t>
      </w:r>
      <w:r w:rsidRPr="00F854BA">
        <w:rPr>
          <w:rFonts w:cs="Arial"/>
          <w:b/>
        </w:rPr>
        <w:t xml:space="preserve"> Emissions Estimates (tons).</w:t>
      </w:r>
      <w:r w:rsidRPr="00F854BA">
        <w:rPr>
          <w:rFonts w:cs="Arial"/>
        </w:rPr>
        <w:t xml:space="preserve"> For tracking total emissions in the portfolio.</w:t>
      </w:r>
    </w:p>
    <w:p w14:paraId="471113A8" w14:textId="77777777" w:rsidR="00AD0F38" w:rsidRPr="00F854BA" w:rsidRDefault="00AD0F38" w:rsidP="00F854BA">
      <w:pPr>
        <w:pStyle w:val="IRPsanstext"/>
        <w:rPr>
          <w:rFonts w:cs="Arial"/>
        </w:rPr>
      </w:pPr>
    </w:p>
    <w:p w14:paraId="752BFA15" w14:textId="77777777" w:rsidR="00AD0F38" w:rsidRPr="00F854BA" w:rsidRDefault="00AD0F38" w:rsidP="00F854BA">
      <w:pPr>
        <w:pStyle w:val="IRPsanstext"/>
        <w:rPr>
          <w:rFonts w:cs="Arial"/>
        </w:rPr>
      </w:pPr>
      <w:r w:rsidRPr="00F854BA">
        <w:rPr>
          <w:rFonts w:cs="Arial"/>
        </w:rPr>
        <w:t xml:space="preserve">The Portfolio Screening Model III (PSM III) is a spreadsheet-based capacity expansion model that the company developed to evaluate incremental costs and risks of a wide variety of resource alternatives and portfolio strategies. This model produces the least-cost mix of resources using a linear programming, dual-simplex method that minimizes the present value of portfolio costs subject to planning margin and renewable portfolio standard constraints. </w:t>
      </w:r>
    </w:p>
    <w:p w14:paraId="3325E09B" w14:textId="77777777" w:rsidR="00AD0F38" w:rsidRPr="00F854BA" w:rsidRDefault="00AD0F38" w:rsidP="00F854BA">
      <w:pPr>
        <w:pStyle w:val="IRPsanstext"/>
        <w:rPr>
          <w:rFonts w:cs="Arial"/>
        </w:rPr>
      </w:pPr>
    </w:p>
    <w:p w14:paraId="4F266037" w14:textId="77777777" w:rsidR="00AD0F38" w:rsidRPr="00F854BA" w:rsidRDefault="00AD0F38" w:rsidP="00F854BA">
      <w:pPr>
        <w:pStyle w:val="IRPsanstext"/>
        <w:rPr>
          <w:rFonts w:cs="Arial"/>
        </w:rPr>
      </w:pPr>
      <w:r w:rsidRPr="00F854BA">
        <w:rPr>
          <w:rFonts w:cs="Arial"/>
        </w:rPr>
        <w:t xml:space="preserve">The solver used for the linear programming optimization is Frontline System’s Risk Solver Platform. This is an excel add-in that works with </w:t>
      </w:r>
      <w:r w:rsidR="00C70154">
        <w:rPr>
          <w:rFonts w:cs="Arial"/>
        </w:rPr>
        <w:t>PSM III</w:t>
      </w:r>
      <w:r w:rsidRPr="00F854BA">
        <w:rPr>
          <w:rFonts w:cs="Arial"/>
        </w:rPr>
        <w:t xml:space="preserve">. Incremental cost includes: </w:t>
      </w:r>
      <w:proofErr w:type="spellStart"/>
      <w:r w:rsidRPr="00F854BA">
        <w:rPr>
          <w:rFonts w:cs="Arial"/>
        </w:rPr>
        <w:t>i</w:t>
      </w:r>
      <w:proofErr w:type="spellEnd"/>
      <w:r w:rsidRPr="00F854BA">
        <w:rPr>
          <w:rFonts w:cs="Arial"/>
        </w:rPr>
        <w:t>) the variable fuel cost and emissions for PSE’s existing fleet, ii) the variable cost of fuel emissions and operations and maintenance for new resources, iii) the fixed depreciation and capital cost of investments in new resources, iv) the booked cost and offsetting market benefit remaining at the end of the 20-year model horizon (called the “end effects”), and v) the market purchases or sales in hours when resource-dispatched outputs are deficient or surplus to meet PSE’s need.</w:t>
      </w:r>
    </w:p>
    <w:p w14:paraId="0E4609E1" w14:textId="77777777" w:rsidR="00AD0F38" w:rsidRPr="00F854BA" w:rsidRDefault="00AD0F38" w:rsidP="00F854BA">
      <w:pPr>
        <w:pStyle w:val="IRPsanstext"/>
        <w:rPr>
          <w:rFonts w:cs="Arial"/>
        </w:rPr>
      </w:pPr>
    </w:p>
    <w:p w14:paraId="2FF5C5CB" w14:textId="77777777" w:rsidR="00F854BA" w:rsidRDefault="00F854BA">
      <w:pPr>
        <w:rPr>
          <w:rFonts w:ascii="Arial" w:hAnsi="Arial" w:cs="Arial"/>
          <w:sz w:val="20"/>
          <w:szCs w:val="20"/>
        </w:rPr>
      </w:pPr>
      <w:r>
        <w:rPr>
          <w:rFonts w:cs="Arial"/>
        </w:rPr>
        <w:br w:type="page"/>
      </w:r>
    </w:p>
    <w:p w14:paraId="02B1DA69" w14:textId="77777777" w:rsidR="00AD0F38" w:rsidRPr="00F854BA" w:rsidRDefault="00AD0F38" w:rsidP="00F854BA">
      <w:pPr>
        <w:pStyle w:val="IRPsanstext"/>
        <w:rPr>
          <w:rFonts w:cs="Arial"/>
        </w:rPr>
      </w:pPr>
      <w:r w:rsidRPr="00F854BA">
        <w:rPr>
          <w:rFonts w:cs="Arial"/>
        </w:rPr>
        <w:lastRenderedPageBreak/>
        <w:t xml:space="preserve">The primary input assumptions to the PSM </w:t>
      </w:r>
      <w:r w:rsidR="00C70154">
        <w:rPr>
          <w:rFonts w:cs="Arial"/>
        </w:rPr>
        <w:t xml:space="preserve">III </w:t>
      </w:r>
      <w:r w:rsidRPr="00F854BA">
        <w:rPr>
          <w:rFonts w:cs="Arial"/>
        </w:rPr>
        <w:t>are:</w:t>
      </w:r>
    </w:p>
    <w:p w14:paraId="7C14A391" w14:textId="77777777" w:rsidR="00AD0F38" w:rsidRPr="00F854BA" w:rsidRDefault="00AD0F38" w:rsidP="00F854BA">
      <w:pPr>
        <w:pStyle w:val="IRPsanstext"/>
        <w:rPr>
          <w:rFonts w:cs="Arial"/>
        </w:rPr>
      </w:pPr>
    </w:p>
    <w:p w14:paraId="3ED3DF13" w14:textId="77777777" w:rsidR="00AD0F38" w:rsidRPr="00F854BA" w:rsidRDefault="00AD0F38" w:rsidP="00F26524">
      <w:pPr>
        <w:pStyle w:val="IRPsanstext"/>
        <w:numPr>
          <w:ilvl w:val="0"/>
          <w:numId w:val="15"/>
        </w:numPr>
      </w:pPr>
      <w:r w:rsidRPr="00F854BA">
        <w:t>PSE’s peak and energy demand forecasts,</w:t>
      </w:r>
    </w:p>
    <w:p w14:paraId="6121ADF2" w14:textId="77777777" w:rsidR="00AD0F38" w:rsidRPr="00F854BA" w:rsidRDefault="00AD0F38" w:rsidP="00F26524">
      <w:pPr>
        <w:pStyle w:val="IRPsanstext"/>
        <w:numPr>
          <w:ilvl w:val="0"/>
          <w:numId w:val="15"/>
        </w:numPr>
      </w:pPr>
      <w:r w:rsidRPr="00F854BA">
        <w:t>PSE’s existing and generic resources, their capacities and outage rates,</w:t>
      </w:r>
    </w:p>
    <w:p w14:paraId="641B1925" w14:textId="77777777" w:rsidR="00AD0F38" w:rsidRPr="00F854BA" w:rsidRDefault="00AD0F38" w:rsidP="00F26524">
      <w:pPr>
        <w:pStyle w:val="IRPsanstext"/>
        <w:numPr>
          <w:ilvl w:val="0"/>
          <w:numId w:val="15"/>
        </w:numPr>
      </w:pPr>
      <w:proofErr w:type="gramStart"/>
      <w:r w:rsidRPr="00F854BA">
        <w:t>expected</w:t>
      </w:r>
      <w:proofErr w:type="gramEnd"/>
      <w:r w:rsidRPr="00F854BA">
        <w:t xml:space="preserve"> dispatched energy (</w:t>
      </w:r>
      <w:proofErr w:type="spellStart"/>
      <w:r w:rsidRPr="00F854BA">
        <w:t>MWh</w:t>
      </w:r>
      <w:proofErr w:type="spellEnd"/>
      <w:r w:rsidRPr="00F854BA">
        <w:t xml:space="preserve">), variable cost ($000) and revenue ($000) from </w:t>
      </w:r>
      <w:proofErr w:type="spellStart"/>
      <w:r w:rsidRPr="00F854BA">
        <w:t>AURORAxmp</w:t>
      </w:r>
      <w:proofErr w:type="spellEnd"/>
      <w:r w:rsidRPr="00F854BA">
        <w:t xml:space="preserve"> for existing contracts and existing and generic resources,</w:t>
      </w:r>
    </w:p>
    <w:p w14:paraId="7EA0806C" w14:textId="77777777" w:rsidR="00AD0F38" w:rsidRPr="00F854BA" w:rsidRDefault="00AD0F38" w:rsidP="00F26524">
      <w:pPr>
        <w:pStyle w:val="IRPsanstext"/>
        <w:numPr>
          <w:ilvl w:val="0"/>
          <w:numId w:val="15"/>
        </w:numPr>
      </w:pPr>
      <w:proofErr w:type="gramStart"/>
      <w:r w:rsidRPr="00F854BA">
        <w:t>capital</w:t>
      </w:r>
      <w:proofErr w:type="gramEnd"/>
      <w:r w:rsidRPr="00F854BA">
        <w:t xml:space="preserve"> and fixed-cost assumptions of generic resources,</w:t>
      </w:r>
    </w:p>
    <w:p w14:paraId="6E6BA339" w14:textId="77777777" w:rsidR="00AD0F38" w:rsidRPr="00F854BA" w:rsidRDefault="00AD0F38" w:rsidP="00F26524">
      <w:pPr>
        <w:pStyle w:val="IRPsanstext"/>
        <w:numPr>
          <w:ilvl w:val="0"/>
          <w:numId w:val="15"/>
        </w:numPr>
      </w:pPr>
      <w:proofErr w:type="gramStart"/>
      <w:r w:rsidRPr="00F854BA">
        <w:t>financial</w:t>
      </w:r>
      <w:proofErr w:type="gramEnd"/>
      <w:r w:rsidRPr="00F854BA">
        <w:t xml:space="preserve"> assumptions such as cost of capital, taxes, depreciation and escalation rates,</w:t>
      </w:r>
    </w:p>
    <w:p w14:paraId="3261A271" w14:textId="77777777" w:rsidR="00AD0F38" w:rsidRPr="00F854BA" w:rsidRDefault="00AD0F38" w:rsidP="00F26524">
      <w:pPr>
        <w:pStyle w:val="IRPsanstext"/>
        <w:numPr>
          <w:ilvl w:val="0"/>
          <w:numId w:val="15"/>
        </w:numPr>
      </w:pPr>
      <w:proofErr w:type="gramStart"/>
      <w:r w:rsidRPr="00F854BA">
        <w:t>capacity</w:t>
      </w:r>
      <w:proofErr w:type="gramEnd"/>
      <w:r w:rsidRPr="00F854BA">
        <w:t xml:space="preserve"> contributions and planning margin constraints, and</w:t>
      </w:r>
    </w:p>
    <w:p w14:paraId="66A18FB5" w14:textId="77777777" w:rsidR="00AD0F38" w:rsidRPr="00F854BA" w:rsidRDefault="00AD0F38" w:rsidP="00F26524">
      <w:pPr>
        <w:pStyle w:val="IRPsanstext"/>
        <w:numPr>
          <w:ilvl w:val="0"/>
          <w:numId w:val="15"/>
        </w:numPr>
      </w:pPr>
      <w:proofErr w:type="gramStart"/>
      <w:r w:rsidRPr="00F854BA">
        <w:t>renewable</w:t>
      </w:r>
      <w:proofErr w:type="gramEnd"/>
      <w:r w:rsidRPr="00F854BA">
        <w:t xml:space="preserve"> portfolio targets.</w:t>
      </w:r>
    </w:p>
    <w:p w14:paraId="5F12F79B" w14:textId="77777777" w:rsidR="00AD0F38" w:rsidRPr="00F854BA" w:rsidRDefault="00AD0F38" w:rsidP="00F854BA">
      <w:pPr>
        <w:pStyle w:val="IRPsanstext"/>
        <w:rPr>
          <w:rFonts w:cs="Arial"/>
        </w:rPr>
      </w:pPr>
    </w:p>
    <w:p w14:paraId="75B1E1E0" w14:textId="77777777" w:rsidR="00AD0F38" w:rsidRPr="00F854BA" w:rsidRDefault="00AD0F38" w:rsidP="00F854BA">
      <w:pPr>
        <w:pStyle w:val="IRPsanstext"/>
        <w:rPr>
          <w:rFonts w:cs="Arial"/>
        </w:rPr>
      </w:pPr>
      <w:r w:rsidRPr="00F854BA">
        <w:rPr>
          <w:rFonts w:cs="Arial"/>
        </w:rPr>
        <w:t xml:space="preserve">A mathematical representation of PSM III can be found in Appendix N, Electric Analysis.  </w:t>
      </w:r>
    </w:p>
    <w:p w14:paraId="44335625" w14:textId="77777777" w:rsidR="00AD0F38" w:rsidRPr="00F854BA" w:rsidRDefault="00AD0F38" w:rsidP="00F854BA">
      <w:pPr>
        <w:pStyle w:val="IRPsanstext"/>
        <w:rPr>
          <w:rFonts w:cs="Arial"/>
        </w:rPr>
      </w:pPr>
    </w:p>
    <w:p w14:paraId="007CA861" w14:textId="77777777" w:rsidR="00AD0F38" w:rsidRPr="00F854BA" w:rsidRDefault="00AD0F38" w:rsidP="00F854BA">
      <w:pPr>
        <w:pStyle w:val="IRPsanstext"/>
        <w:rPr>
          <w:rFonts w:cs="Arial"/>
          <w:sz w:val="32"/>
          <w:szCs w:val="32"/>
        </w:rPr>
      </w:pPr>
      <w:r w:rsidRPr="00F854BA">
        <w:rPr>
          <w:rFonts w:cs="Arial"/>
          <w:sz w:val="32"/>
          <w:szCs w:val="32"/>
        </w:rPr>
        <w:t xml:space="preserve">Candidate Resource </w:t>
      </w:r>
      <w:r w:rsidR="00A33D5B">
        <w:rPr>
          <w:rFonts w:cs="Arial"/>
          <w:sz w:val="32"/>
          <w:szCs w:val="32"/>
        </w:rPr>
        <w:t>Strategies</w:t>
      </w:r>
    </w:p>
    <w:p w14:paraId="49544A09" w14:textId="77777777" w:rsidR="00AD0F38" w:rsidRPr="00F854BA" w:rsidRDefault="00AD0F38" w:rsidP="00F854BA">
      <w:pPr>
        <w:pStyle w:val="IRPsanstext"/>
        <w:rPr>
          <w:rFonts w:cs="Arial"/>
        </w:rPr>
      </w:pPr>
    </w:p>
    <w:p w14:paraId="41A908F9" w14:textId="77777777" w:rsidR="00AD0F38" w:rsidRPr="00F854BA" w:rsidRDefault="00AD0F38" w:rsidP="00F854BA">
      <w:pPr>
        <w:pStyle w:val="IRPsanstext"/>
        <w:rPr>
          <w:rFonts w:cs="Arial"/>
        </w:rPr>
      </w:pPr>
      <w:r w:rsidRPr="00F854BA">
        <w:rPr>
          <w:rFonts w:cs="Arial"/>
        </w:rPr>
        <w:t xml:space="preserve">Candidate resource </w:t>
      </w:r>
      <w:r w:rsidR="00A33D5B">
        <w:rPr>
          <w:rFonts w:cs="Arial"/>
        </w:rPr>
        <w:t>strategies</w:t>
      </w:r>
      <w:r w:rsidR="00A33D5B" w:rsidRPr="00F854BA">
        <w:rPr>
          <w:rFonts w:cs="Arial"/>
        </w:rPr>
        <w:t xml:space="preserve"> </w:t>
      </w:r>
      <w:r w:rsidRPr="00F854BA">
        <w:rPr>
          <w:rFonts w:cs="Arial"/>
        </w:rPr>
        <w:t>were originally created in the portfolio model.  The parameters of the model were relaxed to allow the resources to be 100 MW short of need, and the integer constraint was removed to allow fractions of plants to be added. DSR bundle D was chosen in the majority of the portfolios</w:t>
      </w:r>
      <w:r w:rsidR="00C70154">
        <w:rPr>
          <w:rFonts w:cs="Arial"/>
        </w:rPr>
        <w:t xml:space="preserve"> in</w:t>
      </w:r>
      <w:r w:rsidR="00C70154" w:rsidRPr="00C70154">
        <w:rPr>
          <w:rFonts w:cs="Arial"/>
        </w:rPr>
        <w:t xml:space="preserve"> </w:t>
      </w:r>
      <w:r w:rsidR="00C70154" w:rsidRPr="00F854BA">
        <w:rPr>
          <w:rFonts w:cs="Arial"/>
        </w:rPr>
        <w:t>the deterministic portfolio analysis</w:t>
      </w:r>
      <w:r w:rsidRPr="00F854BA">
        <w:rPr>
          <w:rFonts w:cs="Arial"/>
        </w:rPr>
        <w:t xml:space="preserve">, so all the candidate resource </w:t>
      </w:r>
      <w:r w:rsidR="00A33D5B">
        <w:rPr>
          <w:rFonts w:cs="Arial"/>
        </w:rPr>
        <w:t>strategies</w:t>
      </w:r>
      <w:r w:rsidR="00A33D5B" w:rsidRPr="00F854BA">
        <w:rPr>
          <w:rFonts w:cs="Arial"/>
        </w:rPr>
        <w:t xml:space="preserve"> </w:t>
      </w:r>
      <w:r w:rsidRPr="00F854BA">
        <w:rPr>
          <w:rFonts w:cs="Arial"/>
        </w:rPr>
        <w:t xml:space="preserve">include DSR bundle D, the codes and standards bundle, distribution efficiency, distributed solar PV, and demand-response programs 1 and 5.  Also, based on the results of the deterministic portfolio analysis, wind is added to meet the RPS, so wind was sized exactly to meet the RPS for the 2015 IRP Base load forecast. After the wind and DSR were added to the candidate resource </w:t>
      </w:r>
      <w:r w:rsidR="00A33D5B">
        <w:rPr>
          <w:rFonts w:cs="Arial"/>
        </w:rPr>
        <w:t>strategies</w:t>
      </w:r>
      <w:r w:rsidRPr="00F854BA">
        <w:rPr>
          <w:rFonts w:cs="Arial"/>
        </w:rPr>
        <w:t xml:space="preserve">, thermal plants </w:t>
      </w:r>
      <w:proofErr w:type="gramStart"/>
      <w:r w:rsidRPr="00F854BA">
        <w:rPr>
          <w:rFonts w:cs="Arial"/>
        </w:rPr>
        <w:t>were</w:t>
      </w:r>
      <w:proofErr w:type="gramEnd"/>
      <w:r w:rsidRPr="00F854BA">
        <w:rPr>
          <w:rFonts w:cs="Arial"/>
        </w:rPr>
        <w:t xml:space="preserve"> added </w:t>
      </w:r>
      <w:proofErr w:type="gramStart"/>
      <w:r w:rsidRPr="00F854BA">
        <w:rPr>
          <w:rFonts w:cs="Arial"/>
        </w:rPr>
        <w:t>to meet capacity need</w:t>
      </w:r>
      <w:proofErr w:type="gramEnd"/>
      <w:r w:rsidRPr="00F854BA">
        <w:rPr>
          <w:rFonts w:cs="Arial"/>
        </w:rPr>
        <w:t xml:space="preserve">. Six candidate resource </w:t>
      </w:r>
      <w:r w:rsidR="00A33D5B">
        <w:rPr>
          <w:rFonts w:cs="Arial"/>
        </w:rPr>
        <w:t>strategies</w:t>
      </w:r>
      <w:r w:rsidR="00A33D5B" w:rsidRPr="00F854BA">
        <w:rPr>
          <w:rFonts w:cs="Arial"/>
        </w:rPr>
        <w:t xml:space="preserve"> </w:t>
      </w:r>
      <w:r w:rsidRPr="00F854BA">
        <w:rPr>
          <w:rFonts w:cs="Arial"/>
        </w:rPr>
        <w:t>were created</w:t>
      </w:r>
      <w:r w:rsidR="00C70154">
        <w:rPr>
          <w:rFonts w:cs="Arial"/>
        </w:rPr>
        <w:t xml:space="preserve"> using the Base Scenario</w:t>
      </w:r>
      <w:r w:rsidRPr="00F854BA">
        <w:rPr>
          <w:rFonts w:cs="Arial"/>
        </w:rPr>
        <w:t xml:space="preserve">. The first option, all frame </w:t>
      </w:r>
      <w:proofErr w:type="spellStart"/>
      <w:r w:rsidRPr="00F854BA">
        <w:rPr>
          <w:rFonts w:cs="Arial"/>
        </w:rPr>
        <w:t>peakers</w:t>
      </w:r>
      <w:proofErr w:type="spellEnd"/>
      <w:r w:rsidRPr="00F854BA">
        <w:rPr>
          <w:rFonts w:cs="Arial"/>
        </w:rPr>
        <w:t xml:space="preserve">, is the lowest cost portfolio in the deterministic analysis of the Base Scenario.  </w:t>
      </w:r>
    </w:p>
    <w:p w14:paraId="0CCA0543" w14:textId="77777777" w:rsidR="00AD0F38" w:rsidRPr="00F854BA" w:rsidRDefault="00AD0F38" w:rsidP="00F854BA">
      <w:pPr>
        <w:pStyle w:val="IRPsanstext"/>
        <w:rPr>
          <w:rFonts w:cs="Arial"/>
        </w:rPr>
      </w:pPr>
    </w:p>
    <w:p w14:paraId="3D3895C9" w14:textId="77777777" w:rsidR="00AD0F38" w:rsidRPr="00F854BA" w:rsidRDefault="00AD0F38" w:rsidP="00F854BA">
      <w:pPr>
        <w:pStyle w:val="IRPsanstext"/>
        <w:rPr>
          <w:rFonts w:cs="Arial"/>
        </w:rPr>
      </w:pPr>
      <w:r w:rsidRPr="00F854BA">
        <w:rPr>
          <w:rFonts w:cs="Arial"/>
        </w:rPr>
        <w:t xml:space="preserve">The six candidate resource </w:t>
      </w:r>
      <w:r w:rsidR="00A33D5B">
        <w:rPr>
          <w:rFonts w:cs="Arial"/>
        </w:rPr>
        <w:t>strategies</w:t>
      </w:r>
      <w:r w:rsidR="00A33D5B" w:rsidRPr="00F854BA">
        <w:rPr>
          <w:rFonts w:cs="Arial"/>
        </w:rPr>
        <w:t xml:space="preserve"> </w:t>
      </w:r>
      <w:r w:rsidRPr="00F854BA">
        <w:rPr>
          <w:rFonts w:cs="Arial"/>
        </w:rPr>
        <w:t>tested were:</w:t>
      </w:r>
    </w:p>
    <w:p w14:paraId="3ED70D92" w14:textId="77777777" w:rsidR="00AD0F38" w:rsidRPr="00F854BA" w:rsidRDefault="00AD0F38" w:rsidP="00F854BA">
      <w:pPr>
        <w:pStyle w:val="IRPsanstext"/>
        <w:rPr>
          <w:rFonts w:cs="Arial"/>
        </w:rPr>
      </w:pPr>
    </w:p>
    <w:p w14:paraId="5B3073CD" w14:textId="77777777" w:rsidR="00AD0F38" w:rsidRPr="00F854BA" w:rsidRDefault="00AD0F38" w:rsidP="00F26524">
      <w:pPr>
        <w:pStyle w:val="IRPsanstext"/>
        <w:numPr>
          <w:ilvl w:val="0"/>
          <w:numId w:val="16"/>
        </w:numPr>
        <w:rPr>
          <w:rFonts w:cs="Arial"/>
        </w:rPr>
      </w:pPr>
      <w:r w:rsidRPr="00F854BA">
        <w:rPr>
          <w:rFonts w:cs="Arial"/>
        </w:rPr>
        <w:t xml:space="preserve">All frame </w:t>
      </w:r>
      <w:proofErr w:type="spellStart"/>
      <w:r w:rsidRPr="00F854BA">
        <w:rPr>
          <w:rFonts w:cs="Arial"/>
        </w:rPr>
        <w:t>peakers</w:t>
      </w:r>
      <w:proofErr w:type="spellEnd"/>
      <w:r w:rsidRPr="00F854BA">
        <w:rPr>
          <w:rFonts w:cs="Arial"/>
        </w:rPr>
        <w:t>.</w:t>
      </w:r>
    </w:p>
    <w:p w14:paraId="6CD77089" w14:textId="77777777" w:rsidR="00AD0F38" w:rsidRPr="00F854BA" w:rsidRDefault="00AD0F38" w:rsidP="00F26524">
      <w:pPr>
        <w:pStyle w:val="IRPsanstext"/>
        <w:numPr>
          <w:ilvl w:val="0"/>
          <w:numId w:val="16"/>
        </w:numPr>
        <w:rPr>
          <w:rFonts w:cs="Arial"/>
        </w:rPr>
      </w:pPr>
      <w:r w:rsidRPr="00F854BA">
        <w:rPr>
          <w:rFonts w:cs="Arial"/>
        </w:rPr>
        <w:t xml:space="preserve">Early </w:t>
      </w:r>
      <w:proofErr w:type="spellStart"/>
      <w:r w:rsidRPr="00F854BA">
        <w:rPr>
          <w:rFonts w:cs="Arial"/>
        </w:rPr>
        <w:t>recip</w:t>
      </w:r>
      <w:proofErr w:type="spellEnd"/>
      <w:r w:rsidRPr="00F854BA">
        <w:rPr>
          <w:rFonts w:cs="Arial"/>
        </w:rPr>
        <w:t xml:space="preserve"> </w:t>
      </w:r>
      <w:proofErr w:type="spellStart"/>
      <w:r w:rsidRPr="00F854BA">
        <w:rPr>
          <w:rFonts w:cs="Arial"/>
        </w:rPr>
        <w:t>peaker</w:t>
      </w:r>
      <w:proofErr w:type="spellEnd"/>
      <w:r w:rsidRPr="00F854BA">
        <w:rPr>
          <w:rFonts w:cs="Arial"/>
        </w:rPr>
        <w:t xml:space="preserve"> added in 2021 and the </w:t>
      </w:r>
      <w:proofErr w:type="gramStart"/>
      <w:r w:rsidRPr="00F854BA">
        <w:rPr>
          <w:rFonts w:cs="Arial"/>
        </w:rPr>
        <w:t>remainder of the thermal units are</w:t>
      </w:r>
      <w:proofErr w:type="gramEnd"/>
      <w:r w:rsidRPr="00F854BA">
        <w:rPr>
          <w:rFonts w:cs="Arial"/>
        </w:rPr>
        <w:t xml:space="preserve"> frame </w:t>
      </w:r>
      <w:proofErr w:type="spellStart"/>
      <w:r w:rsidRPr="00F854BA">
        <w:rPr>
          <w:rFonts w:cs="Arial"/>
        </w:rPr>
        <w:t>peakers</w:t>
      </w:r>
      <w:proofErr w:type="spellEnd"/>
      <w:r w:rsidRPr="00F854BA">
        <w:rPr>
          <w:rFonts w:cs="Arial"/>
        </w:rPr>
        <w:t>.</w:t>
      </w:r>
    </w:p>
    <w:p w14:paraId="20053BA5" w14:textId="77777777" w:rsidR="00AD0F38" w:rsidRPr="00F854BA" w:rsidRDefault="00AD0F38" w:rsidP="00F26524">
      <w:pPr>
        <w:pStyle w:val="IRPsanstext"/>
        <w:numPr>
          <w:ilvl w:val="0"/>
          <w:numId w:val="16"/>
        </w:numPr>
        <w:rPr>
          <w:rFonts w:cs="Arial"/>
        </w:rPr>
      </w:pPr>
      <w:r w:rsidRPr="00F854BA">
        <w:rPr>
          <w:rFonts w:cs="Arial"/>
        </w:rPr>
        <w:t xml:space="preserve">Early CCCT added in 2021 and then the remainder is a mix of CCCT, frame </w:t>
      </w:r>
      <w:proofErr w:type="spellStart"/>
      <w:r w:rsidRPr="00F854BA">
        <w:rPr>
          <w:rFonts w:cs="Arial"/>
        </w:rPr>
        <w:t>peaker</w:t>
      </w:r>
      <w:proofErr w:type="spellEnd"/>
      <w:r w:rsidRPr="00F854BA">
        <w:rPr>
          <w:rFonts w:cs="Arial"/>
        </w:rPr>
        <w:t xml:space="preserve"> and </w:t>
      </w:r>
      <w:proofErr w:type="spellStart"/>
      <w:r w:rsidRPr="00F854BA">
        <w:rPr>
          <w:rFonts w:cs="Arial"/>
        </w:rPr>
        <w:t>recip</w:t>
      </w:r>
      <w:proofErr w:type="spellEnd"/>
      <w:r w:rsidRPr="00F854BA">
        <w:rPr>
          <w:rFonts w:cs="Arial"/>
        </w:rPr>
        <w:t xml:space="preserve"> </w:t>
      </w:r>
      <w:proofErr w:type="spellStart"/>
      <w:r w:rsidRPr="00F854BA">
        <w:rPr>
          <w:rFonts w:cs="Arial"/>
        </w:rPr>
        <w:t>peaker</w:t>
      </w:r>
      <w:proofErr w:type="spellEnd"/>
      <w:r w:rsidRPr="00F854BA">
        <w:rPr>
          <w:rFonts w:cs="Arial"/>
        </w:rPr>
        <w:t>.</w:t>
      </w:r>
    </w:p>
    <w:p w14:paraId="03CDF6CC" w14:textId="77777777" w:rsidR="00AD0F38" w:rsidRPr="00F854BA" w:rsidRDefault="00AD0F38" w:rsidP="00F26524">
      <w:pPr>
        <w:pStyle w:val="IRPsanstext"/>
        <w:numPr>
          <w:ilvl w:val="0"/>
          <w:numId w:val="16"/>
        </w:numPr>
        <w:rPr>
          <w:rFonts w:cs="Arial"/>
        </w:rPr>
      </w:pPr>
      <w:r w:rsidRPr="00F854BA">
        <w:rPr>
          <w:rFonts w:cs="Arial"/>
        </w:rPr>
        <w:t>All CCCT.</w:t>
      </w:r>
    </w:p>
    <w:p w14:paraId="0F819906" w14:textId="77777777" w:rsidR="00AD0F38" w:rsidRPr="00F854BA" w:rsidRDefault="00AD0F38" w:rsidP="00F26524">
      <w:pPr>
        <w:pStyle w:val="IRPsanstext"/>
        <w:numPr>
          <w:ilvl w:val="0"/>
          <w:numId w:val="16"/>
        </w:numPr>
        <w:rPr>
          <w:rFonts w:cs="Arial"/>
        </w:rPr>
      </w:pPr>
      <w:r w:rsidRPr="00F854BA">
        <w:rPr>
          <w:rFonts w:cs="Arial"/>
        </w:rPr>
        <w:t xml:space="preserve">Mix CCCT and frame </w:t>
      </w:r>
      <w:proofErr w:type="spellStart"/>
      <w:r w:rsidRPr="00F854BA">
        <w:rPr>
          <w:rFonts w:cs="Arial"/>
        </w:rPr>
        <w:t>peaker</w:t>
      </w:r>
      <w:proofErr w:type="spellEnd"/>
      <w:r w:rsidRPr="00F854BA">
        <w:rPr>
          <w:rFonts w:cs="Arial"/>
        </w:rPr>
        <w:t xml:space="preserve">. This portfolio has a </w:t>
      </w:r>
      <w:r w:rsidR="00D37313">
        <w:rPr>
          <w:rFonts w:cs="Arial"/>
        </w:rPr>
        <w:t>frame</w:t>
      </w:r>
      <w:r w:rsidR="00D37313" w:rsidRPr="00F854BA">
        <w:rPr>
          <w:rFonts w:cs="Arial"/>
        </w:rPr>
        <w:t xml:space="preserve"> </w:t>
      </w:r>
      <w:r w:rsidRPr="00F854BA">
        <w:rPr>
          <w:rFonts w:cs="Arial"/>
        </w:rPr>
        <w:t xml:space="preserve">in 2021 </w:t>
      </w:r>
      <w:r w:rsidR="00D37313">
        <w:rPr>
          <w:rFonts w:cs="Arial"/>
        </w:rPr>
        <w:t xml:space="preserve">and 2025 </w:t>
      </w:r>
      <w:r w:rsidRPr="00F854BA">
        <w:rPr>
          <w:rFonts w:cs="Arial"/>
        </w:rPr>
        <w:t xml:space="preserve">and a </w:t>
      </w:r>
      <w:r w:rsidR="00D37313">
        <w:rPr>
          <w:rFonts w:cs="Arial"/>
        </w:rPr>
        <w:t>CCCT in 2026.</w:t>
      </w:r>
      <w:r w:rsidRPr="00F854BA">
        <w:rPr>
          <w:rFonts w:cs="Arial"/>
        </w:rPr>
        <w:t xml:space="preserve">  </w:t>
      </w:r>
    </w:p>
    <w:p w14:paraId="79D83565" w14:textId="77777777" w:rsidR="00AD0F38" w:rsidRPr="00F854BA" w:rsidRDefault="00AD0F38" w:rsidP="00F26524">
      <w:pPr>
        <w:pStyle w:val="IRPsanstext"/>
        <w:numPr>
          <w:ilvl w:val="0"/>
          <w:numId w:val="16"/>
        </w:numPr>
        <w:rPr>
          <w:rFonts w:cs="Arial"/>
        </w:rPr>
      </w:pPr>
      <w:r w:rsidRPr="00F854BA">
        <w:rPr>
          <w:rFonts w:cs="Arial"/>
        </w:rPr>
        <w:t xml:space="preserve">Additional 300 MW of wind in 2021.  </w:t>
      </w:r>
    </w:p>
    <w:p w14:paraId="76856910" w14:textId="77777777" w:rsidR="00AD0F38" w:rsidRPr="00F854BA" w:rsidRDefault="00AD0F38" w:rsidP="00F854BA">
      <w:pPr>
        <w:pStyle w:val="IRPsanstext"/>
        <w:rPr>
          <w:rFonts w:cs="Arial"/>
        </w:rPr>
      </w:pPr>
    </w:p>
    <w:p w14:paraId="771C70F0" w14:textId="77777777" w:rsidR="00626921" w:rsidRDefault="00626921" w:rsidP="00F854BA">
      <w:pPr>
        <w:pStyle w:val="IRPsanstext"/>
        <w:rPr>
          <w:rFonts w:cs="Arial"/>
          <w:sz w:val="32"/>
          <w:szCs w:val="32"/>
        </w:rPr>
      </w:pPr>
    </w:p>
    <w:p w14:paraId="19259735" w14:textId="77777777" w:rsidR="00AD0F38" w:rsidRPr="00F854BA" w:rsidRDefault="00AD0F38" w:rsidP="00F854BA">
      <w:pPr>
        <w:pStyle w:val="IRPsanstext"/>
        <w:rPr>
          <w:rFonts w:cs="Arial"/>
          <w:sz w:val="32"/>
          <w:szCs w:val="32"/>
        </w:rPr>
      </w:pPr>
      <w:r w:rsidRPr="00F854BA">
        <w:rPr>
          <w:rFonts w:cs="Arial"/>
          <w:sz w:val="32"/>
          <w:szCs w:val="32"/>
        </w:rPr>
        <w:lastRenderedPageBreak/>
        <w:t xml:space="preserve">Stochastic Risk Analysis  </w:t>
      </w:r>
    </w:p>
    <w:p w14:paraId="52269502" w14:textId="77777777" w:rsidR="00AD0F38" w:rsidRPr="00F854BA" w:rsidRDefault="00AD0F38" w:rsidP="00F854BA">
      <w:pPr>
        <w:pStyle w:val="IRPsanstext"/>
        <w:rPr>
          <w:rFonts w:cs="Arial"/>
        </w:rPr>
      </w:pPr>
    </w:p>
    <w:p w14:paraId="2D2F55E1" w14:textId="77777777" w:rsidR="00AD0F38" w:rsidRPr="00F854BA" w:rsidRDefault="00AD0F38" w:rsidP="00F854BA">
      <w:pPr>
        <w:pStyle w:val="IRPsanstext"/>
        <w:rPr>
          <w:rFonts w:cs="Arial"/>
        </w:rPr>
      </w:pPr>
      <w:r w:rsidRPr="00F854BA">
        <w:rPr>
          <w:rFonts w:cs="Arial"/>
        </w:rPr>
        <w:t xml:space="preserve">With stochastic risk analysis, we test the robustness of the candidate portfolios. In other words, we want to know how well the portfolio might perform under different conditions. The goal is to understand the risks of different candidate portfolios in terms of costs and revenue requirements. This involves identifying and characterizing the likelihood of bad events and the likely adverse impacts they may have on a given candidate portfolio. </w:t>
      </w:r>
    </w:p>
    <w:p w14:paraId="0BFE5EA6" w14:textId="77777777" w:rsidR="00AD0F38" w:rsidRPr="00F854BA" w:rsidRDefault="00AD0F38" w:rsidP="00F854BA">
      <w:pPr>
        <w:pStyle w:val="IRPsanstext"/>
        <w:rPr>
          <w:rFonts w:cs="Arial"/>
        </w:rPr>
      </w:pPr>
    </w:p>
    <w:p w14:paraId="3881CBD7" w14:textId="77777777" w:rsidR="00AD0F38" w:rsidRPr="00F854BA" w:rsidRDefault="00AD0F38" w:rsidP="00F854BA">
      <w:pPr>
        <w:pStyle w:val="IRPsanstext"/>
        <w:rPr>
          <w:rFonts w:cs="Arial"/>
        </w:rPr>
      </w:pPr>
      <w:r w:rsidRPr="00F854BA">
        <w:rPr>
          <w:rFonts w:cs="Arial"/>
        </w:rPr>
        <w:t>For this purpose, we take the portfolio candidates (drawn from a subset of the lowest cost portfolios produced in the deterministic analysis) and run them through 250 draws</w:t>
      </w:r>
      <w:r w:rsidRPr="00F854BA">
        <w:rPr>
          <w:rStyle w:val="FootnoteReference"/>
          <w:rFonts w:cs="Arial"/>
        </w:rPr>
        <w:footnoteReference w:id="15"/>
      </w:r>
      <w:r w:rsidRPr="00F854BA">
        <w:rPr>
          <w:rFonts w:cs="Arial"/>
        </w:rPr>
        <w:t xml:space="preserve"> that model varying power prices, gas prices, hydro generation, wind generation, load forecasts (energy and peak), plant forced outages and CO</w:t>
      </w:r>
      <w:r w:rsidRPr="00F854BA">
        <w:rPr>
          <w:rFonts w:cs="Arial"/>
          <w:vertAlign w:val="subscript"/>
        </w:rPr>
        <w:t>2</w:t>
      </w:r>
      <w:r w:rsidRPr="00F854BA">
        <w:rPr>
          <w:rFonts w:cs="Arial"/>
        </w:rPr>
        <w:t xml:space="preserve"> prices. From this analysis, we can observe how risky the portfolio may be and where significant differences occur when risk is analyzed. For example, in the deterministic analysis for this IRP, the frame </w:t>
      </w:r>
      <w:proofErr w:type="spellStart"/>
      <w:r w:rsidRPr="00F854BA">
        <w:rPr>
          <w:rFonts w:cs="Arial"/>
        </w:rPr>
        <w:t>peaker</w:t>
      </w:r>
      <w:proofErr w:type="spellEnd"/>
      <w:r w:rsidRPr="00F854BA">
        <w:rPr>
          <w:rFonts w:cs="Arial"/>
        </w:rPr>
        <w:t xml:space="preserve"> was lowest cost resource addition in the Base Scenario portfolio, but many other scenarios included the CCCT in the lowest cost portfolio. When we perform the stochastic analysis, we find that the CCCT reduces the portfolio’s risk, because it provides a benefit to the portfolio in many of the draws; by running the stochastic analysis, we learn that balancing the portfolio with both </w:t>
      </w:r>
      <w:proofErr w:type="spellStart"/>
      <w:r w:rsidRPr="00F854BA">
        <w:rPr>
          <w:rFonts w:cs="Arial"/>
        </w:rPr>
        <w:t>peakers</w:t>
      </w:r>
      <w:proofErr w:type="spellEnd"/>
      <w:r w:rsidRPr="00F854BA">
        <w:rPr>
          <w:rFonts w:cs="Arial"/>
        </w:rPr>
        <w:t xml:space="preserve"> and CCCT plants is the better option. The goal of the process is to find the set of resources with the lowest cost and the lowest risk.</w:t>
      </w:r>
    </w:p>
    <w:p w14:paraId="6675C029" w14:textId="77777777" w:rsidR="00AD0F38" w:rsidRPr="00F854BA" w:rsidRDefault="00AD0F38" w:rsidP="00F854BA">
      <w:pPr>
        <w:pStyle w:val="IRPsanstext"/>
        <w:rPr>
          <w:rFonts w:cs="Arial"/>
        </w:rPr>
      </w:pPr>
    </w:p>
    <w:p w14:paraId="4E59C28E" w14:textId="77777777" w:rsidR="00AD0F38" w:rsidRPr="00F854BA" w:rsidRDefault="00AD0F38" w:rsidP="00F854BA">
      <w:pPr>
        <w:pStyle w:val="IRPsanstext"/>
        <w:rPr>
          <w:rFonts w:cs="Arial"/>
          <w:b/>
        </w:rPr>
      </w:pPr>
      <w:r w:rsidRPr="00F854BA">
        <w:rPr>
          <w:rFonts w:cs="Arial"/>
          <w:b/>
          <w:caps/>
        </w:rPr>
        <w:t>Analysis tools</w:t>
      </w:r>
      <w:r w:rsidRPr="00F854BA">
        <w:rPr>
          <w:rFonts w:cs="Arial"/>
          <w:b/>
        </w:rPr>
        <w:t xml:space="preserve"> </w:t>
      </w:r>
    </w:p>
    <w:p w14:paraId="64899D5F" w14:textId="77777777" w:rsidR="00AD0F38" w:rsidRPr="00F854BA" w:rsidRDefault="00AD0F38" w:rsidP="00F854BA">
      <w:pPr>
        <w:pStyle w:val="IRPsanstext"/>
        <w:rPr>
          <w:rFonts w:cs="Arial"/>
        </w:rPr>
      </w:pPr>
      <w:r w:rsidRPr="00F854BA">
        <w:rPr>
          <w:rFonts w:cs="Arial"/>
        </w:rPr>
        <w:t xml:space="preserve">A Monte Carlo approach is used to develop the stochastic inputs.  Monte Carlo draws of inputs are used to generate a distribution of resource outputs (dispatched to prices and must-take power), costs and revenues from </w:t>
      </w:r>
      <w:proofErr w:type="spellStart"/>
      <w:r w:rsidRPr="00F854BA">
        <w:rPr>
          <w:rFonts w:cs="Arial"/>
        </w:rPr>
        <w:t>AURORAxmp</w:t>
      </w:r>
      <w:proofErr w:type="spellEnd"/>
      <w:r w:rsidRPr="00F854BA">
        <w:rPr>
          <w:rFonts w:cs="Arial"/>
        </w:rPr>
        <w:t>. These distributions of outputs, costs and revenues are then used to perform risk simulations in the PSM III model where risk metrics for portfolio costs and revenue requirements are computed to evaluate candidate portfolios. Appendix N, Electric Analysis, includes a full description of how PSE developed the stochastic inputs.</w:t>
      </w:r>
    </w:p>
    <w:p w14:paraId="0E6732E9" w14:textId="77777777" w:rsidR="00AD0F38" w:rsidRPr="00F854BA" w:rsidRDefault="00AD0F38" w:rsidP="00F854BA">
      <w:pPr>
        <w:pStyle w:val="IRPsanstext"/>
        <w:rPr>
          <w:rFonts w:cs="Arial"/>
        </w:rPr>
      </w:pPr>
    </w:p>
    <w:p w14:paraId="2818CF9D" w14:textId="77777777" w:rsidR="00F854BA" w:rsidRDefault="00F854BA">
      <w:pPr>
        <w:rPr>
          <w:rFonts w:ascii="Arial" w:hAnsi="Arial"/>
          <w:sz w:val="20"/>
          <w:szCs w:val="20"/>
        </w:rPr>
      </w:pPr>
      <w:r>
        <w:br w:type="page"/>
      </w:r>
    </w:p>
    <w:p w14:paraId="5AE19200" w14:textId="77777777" w:rsidR="00AD0F38" w:rsidRDefault="00937249" w:rsidP="00F854BA">
      <w:pPr>
        <w:pStyle w:val="IRPsanstext"/>
        <w:rPr>
          <w:b/>
          <w:color w:val="156570"/>
          <w:sz w:val="32"/>
          <w:szCs w:val="32"/>
        </w:rPr>
      </w:pPr>
      <w:r>
        <w:rPr>
          <w:b/>
          <w:color w:val="156570"/>
          <w:sz w:val="32"/>
          <w:szCs w:val="32"/>
        </w:rPr>
        <w:lastRenderedPageBreak/>
        <w:t>KEY FINDINGS</w:t>
      </w:r>
      <w:r w:rsidR="00AD0F38" w:rsidRPr="00937249">
        <w:rPr>
          <w:b/>
          <w:color w:val="156570"/>
          <w:sz w:val="32"/>
          <w:szCs w:val="32"/>
        </w:rPr>
        <w:t xml:space="preserve"> </w:t>
      </w:r>
    </w:p>
    <w:p w14:paraId="1AAAED48" w14:textId="77777777" w:rsidR="00937249" w:rsidRPr="00937249" w:rsidRDefault="00937249" w:rsidP="00937249">
      <w:pPr>
        <w:pStyle w:val="IRPsanstext"/>
      </w:pPr>
    </w:p>
    <w:p w14:paraId="2A5DB07C" w14:textId="77777777" w:rsidR="00AD0F38" w:rsidRDefault="00AD0F38" w:rsidP="00937249">
      <w:pPr>
        <w:pStyle w:val="IRPsanstext"/>
      </w:pPr>
      <w:r w:rsidRPr="00937249">
        <w:t xml:space="preserve">The quantitative results produced by this extensive analytical and statistical evaluation led to </w:t>
      </w:r>
      <w:r w:rsidR="00EC176D">
        <w:t>the following</w:t>
      </w:r>
      <w:r w:rsidR="00EC176D" w:rsidRPr="00937249">
        <w:t xml:space="preserve"> </w:t>
      </w:r>
      <w:r w:rsidRPr="00937249">
        <w:t xml:space="preserve">key findings. These are summarized below and discussed in more detail in the following pages. </w:t>
      </w:r>
    </w:p>
    <w:p w14:paraId="674849E7" w14:textId="77777777" w:rsidR="00EC176D" w:rsidRDefault="00EC176D" w:rsidP="00937249">
      <w:pPr>
        <w:pStyle w:val="IRPsanstext"/>
      </w:pPr>
    </w:p>
    <w:p w14:paraId="5B482059" w14:textId="77777777" w:rsidR="00EC176D" w:rsidRDefault="00EC176D" w:rsidP="00937249">
      <w:pPr>
        <w:pStyle w:val="IRPsanstext"/>
      </w:pPr>
      <w:r>
        <w:t xml:space="preserve">Incorporating wholesale market risk into the planning standard and resource capacity values was such a complex and lengthy process that it was necessary to begin the IRP analysis before that process was finished. That is why some analyses were performed using the 2013 Planning Standard. Where the results were sensitive to the change, we performed the analysis again using the 2015 </w:t>
      </w:r>
      <w:r w:rsidR="0054737D">
        <w:t xml:space="preserve">Optimal </w:t>
      </w:r>
      <w:r>
        <w:t>Planning Standard.</w:t>
      </w:r>
    </w:p>
    <w:p w14:paraId="790DD2B7" w14:textId="77777777" w:rsidR="00937249" w:rsidRPr="00937249" w:rsidRDefault="00937249" w:rsidP="00937249">
      <w:pPr>
        <w:pStyle w:val="IRPsanstext"/>
      </w:pPr>
    </w:p>
    <w:p w14:paraId="2259B543" w14:textId="77777777" w:rsidR="00AD0F38" w:rsidRPr="00D02777" w:rsidRDefault="00AD0F38" w:rsidP="00937249">
      <w:pPr>
        <w:pStyle w:val="IRPsanstext"/>
        <w:rPr>
          <w:sz w:val="32"/>
        </w:rPr>
      </w:pPr>
      <w:r w:rsidRPr="00937249">
        <w:rPr>
          <w:sz w:val="32"/>
          <w:szCs w:val="32"/>
        </w:rPr>
        <w:t>Scenarios</w:t>
      </w:r>
    </w:p>
    <w:p w14:paraId="668B8BB4" w14:textId="77777777" w:rsidR="00937249" w:rsidRPr="00937249" w:rsidRDefault="00937249" w:rsidP="00937249">
      <w:pPr>
        <w:pStyle w:val="IRPsanstext"/>
      </w:pPr>
    </w:p>
    <w:p w14:paraId="127B535B" w14:textId="77777777" w:rsidR="00AD0F38" w:rsidRDefault="00AD0F38" w:rsidP="00F26524">
      <w:pPr>
        <w:pStyle w:val="IRPsanstext"/>
        <w:numPr>
          <w:ilvl w:val="0"/>
          <w:numId w:val="17"/>
        </w:numPr>
      </w:pPr>
      <w:r w:rsidRPr="00937249">
        <w:rPr>
          <w:b/>
        </w:rPr>
        <w:t>Portfolio Builds.</w:t>
      </w:r>
      <w:r w:rsidRPr="00937249">
        <w:t xml:space="preserve"> Portfolio additions across scenarios are very similar. The most common difference was which type of gas-fired generation was selected, </w:t>
      </w:r>
      <w:proofErr w:type="spellStart"/>
      <w:r w:rsidRPr="00937249">
        <w:t>peakers</w:t>
      </w:r>
      <w:proofErr w:type="spellEnd"/>
      <w:r w:rsidRPr="00937249">
        <w:t xml:space="preserve"> or CCCT plants.</w:t>
      </w:r>
    </w:p>
    <w:p w14:paraId="2039912B" w14:textId="77777777" w:rsidR="00626BB2" w:rsidRPr="00626BB2" w:rsidRDefault="00626BB2" w:rsidP="00F26524">
      <w:pPr>
        <w:pStyle w:val="IRPsanstext"/>
        <w:numPr>
          <w:ilvl w:val="1"/>
          <w:numId w:val="17"/>
        </w:numPr>
      </w:pPr>
      <w:r w:rsidRPr="00626BB2">
        <w:t>2013 Planning Standard</w:t>
      </w:r>
    </w:p>
    <w:p w14:paraId="5B82E08E" w14:textId="77777777" w:rsidR="00626BB2" w:rsidRDefault="00626BB2" w:rsidP="00F26524">
      <w:pPr>
        <w:pStyle w:val="IRPsanstext"/>
        <w:numPr>
          <w:ilvl w:val="1"/>
          <w:numId w:val="17"/>
        </w:numPr>
      </w:pPr>
      <w:r w:rsidRPr="00626BB2">
        <w:t xml:space="preserve">2015 </w:t>
      </w:r>
      <w:r w:rsidR="0054737D">
        <w:t xml:space="preserve">Optimal </w:t>
      </w:r>
      <w:r w:rsidRPr="00626BB2">
        <w:t>Planning Standard</w:t>
      </w:r>
    </w:p>
    <w:p w14:paraId="46EDA1CB" w14:textId="77777777" w:rsidR="00626BB2" w:rsidRPr="00937249" w:rsidRDefault="00626BB2" w:rsidP="00F26524">
      <w:pPr>
        <w:pStyle w:val="IRPsanstext"/>
        <w:numPr>
          <w:ilvl w:val="0"/>
          <w:numId w:val="17"/>
        </w:numPr>
      </w:pPr>
      <w:r w:rsidRPr="00937249">
        <w:rPr>
          <w:b/>
        </w:rPr>
        <w:t>Emissions.</w:t>
      </w:r>
      <w:r w:rsidRPr="00937249">
        <w:t xml:space="preserve"> Emissions results vary across portfolios, with the economic dispatch of coal generation as the primary factor that differentiates results.</w:t>
      </w:r>
    </w:p>
    <w:p w14:paraId="2564CC67" w14:textId="77777777" w:rsidR="00626BB2" w:rsidRDefault="00626BB2" w:rsidP="00F26524">
      <w:pPr>
        <w:pStyle w:val="IRPsanstext"/>
        <w:numPr>
          <w:ilvl w:val="1"/>
          <w:numId w:val="17"/>
        </w:numPr>
      </w:pPr>
      <w:r>
        <w:t>2013 Planning Standard</w:t>
      </w:r>
    </w:p>
    <w:p w14:paraId="27025539" w14:textId="77777777" w:rsidR="00626BB2" w:rsidRPr="00626BB2" w:rsidRDefault="00626BB2" w:rsidP="00F26524">
      <w:pPr>
        <w:pStyle w:val="IRPsanstext"/>
        <w:numPr>
          <w:ilvl w:val="1"/>
          <w:numId w:val="17"/>
        </w:numPr>
      </w:pPr>
      <w:r>
        <w:t xml:space="preserve">2015 </w:t>
      </w:r>
      <w:r w:rsidR="0054737D">
        <w:t xml:space="preserve">Optimal </w:t>
      </w:r>
      <w:r>
        <w:t>Planning Standard</w:t>
      </w:r>
    </w:p>
    <w:p w14:paraId="1F8C4254" w14:textId="77777777" w:rsidR="00AD0F38" w:rsidRPr="00937249" w:rsidRDefault="00AD0F38" w:rsidP="00F26524">
      <w:pPr>
        <w:pStyle w:val="IRPsanstext"/>
        <w:numPr>
          <w:ilvl w:val="0"/>
          <w:numId w:val="17"/>
        </w:numPr>
      </w:pPr>
      <w:r w:rsidRPr="00937249">
        <w:rPr>
          <w:b/>
        </w:rPr>
        <w:t xml:space="preserve">Cost of </w:t>
      </w:r>
      <w:proofErr w:type="spellStart"/>
      <w:r w:rsidRPr="00937249">
        <w:rPr>
          <w:b/>
        </w:rPr>
        <w:t>Peakers</w:t>
      </w:r>
      <w:proofErr w:type="spellEnd"/>
      <w:r w:rsidRPr="00937249">
        <w:rPr>
          <w:b/>
        </w:rPr>
        <w:t xml:space="preserve"> vs. CCCT Plants.</w:t>
      </w:r>
      <w:r w:rsidRPr="00937249">
        <w:t xml:space="preserve"> Market conditions affect the net cost of </w:t>
      </w:r>
      <w:proofErr w:type="spellStart"/>
      <w:r w:rsidRPr="00937249">
        <w:t>peakers</w:t>
      </w:r>
      <w:proofErr w:type="spellEnd"/>
      <w:r w:rsidRPr="00937249">
        <w:t xml:space="preserve"> vs. CCCT plant</w:t>
      </w:r>
      <w:r w:rsidR="00367AB0">
        <w:t>s, not the resource needs.</w:t>
      </w:r>
    </w:p>
    <w:p w14:paraId="62D94317" w14:textId="77777777" w:rsidR="00AD0F38" w:rsidRPr="00937249" w:rsidRDefault="00AD0F38" w:rsidP="00F26524">
      <w:pPr>
        <w:pStyle w:val="IRPsanstext"/>
        <w:numPr>
          <w:ilvl w:val="0"/>
          <w:numId w:val="17"/>
        </w:numPr>
      </w:pPr>
      <w:r w:rsidRPr="00937249">
        <w:rPr>
          <w:b/>
        </w:rPr>
        <w:t>Renewables.</w:t>
      </w:r>
      <w:r w:rsidRPr="00937249">
        <w:t xml:space="preserve"> RPS requirements </w:t>
      </w:r>
      <w:r w:rsidR="00637544">
        <w:t xml:space="preserve">and load forecasts </w:t>
      </w:r>
      <w:r w:rsidRPr="00937249">
        <w:t xml:space="preserve">drive renewable builds.  </w:t>
      </w:r>
    </w:p>
    <w:p w14:paraId="43EFBA7F" w14:textId="77777777" w:rsidR="00EC176D" w:rsidRPr="00937249" w:rsidRDefault="00AD0F38" w:rsidP="00F26524">
      <w:pPr>
        <w:pStyle w:val="IRPsanstext"/>
        <w:numPr>
          <w:ilvl w:val="0"/>
          <w:numId w:val="17"/>
        </w:numPr>
      </w:pPr>
      <w:r w:rsidRPr="00937249">
        <w:rPr>
          <w:b/>
        </w:rPr>
        <w:t>Wind vs. Solar.</w:t>
      </w:r>
      <w:r w:rsidRPr="00937249">
        <w:t xml:space="preserve"> Wind remains more cost-effective than utility-scale solar.</w:t>
      </w:r>
    </w:p>
    <w:p w14:paraId="5ED27E9D" w14:textId="77777777" w:rsidR="00525FEB" w:rsidRDefault="00525FEB">
      <w:pPr>
        <w:rPr>
          <w:rFonts w:ascii="Arial" w:hAnsi="Arial"/>
          <w:color w:val="000000" w:themeColor="text1"/>
          <w:sz w:val="32"/>
          <w:szCs w:val="32"/>
        </w:rPr>
      </w:pPr>
      <w:r>
        <w:rPr>
          <w:color w:val="000000" w:themeColor="text1"/>
          <w:sz w:val="32"/>
          <w:szCs w:val="32"/>
        </w:rPr>
        <w:br w:type="page"/>
      </w:r>
    </w:p>
    <w:p w14:paraId="4C503D21" w14:textId="77777777" w:rsidR="00AD0F38" w:rsidRPr="00D02777" w:rsidRDefault="00AD0F38" w:rsidP="00937249">
      <w:pPr>
        <w:pStyle w:val="IRPsanstext"/>
        <w:rPr>
          <w:color w:val="000000" w:themeColor="text1"/>
          <w:sz w:val="32"/>
        </w:rPr>
      </w:pPr>
      <w:r w:rsidRPr="00937249">
        <w:rPr>
          <w:color w:val="000000" w:themeColor="text1"/>
          <w:sz w:val="32"/>
          <w:szCs w:val="32"/>
        </w:rPr>
        <w:lastRenderedPageBreak/>
        <w:t>Sensitivities</w:t>
      </w:r>
      <w:r w:rsidR="00A96C47">
        <w:rPr>
          <w:color w:val="000000" w:themeColor="text1"/>
          <w:sz w:val="32"/>
          <w:szCs w:val="32"/>
        </w:rPr>
        <w:t xml:space="preserve"> </w:t>
      </w:r>
      <w:r w:rsidR="00525FEB">
        <w:rPr>
          <w:color w:val="000000" w:themeColor="text1"/>
          <w:sz w:val="32"/>
          <w:szCs w:val="32"/>
        </w:rPr>
        <w:t>(</w:t>
      </w:r>
      <w:r w:rsidR="00A96C47">
        <w:rPr>
          <w:color w:val="000000" w:themeColor="text1"/>
          <w:sz w:val="32"/>
          <w:szCs w:val="32"/>
        </w:rPr>
        <w:t>using 2013 Planning Standard</w:t>
      </w:r>
      <w:r w:rsidR="00525FEB">
        <w:rPr>
          <w:color w:val="000000" w:themeColor="text1"/>
          <w:sz w:val="32"/>
          <w:szCs w:val="32"/>
        </w:rPr>
        <w:t>)</w:t>
      </w:r>
    </w:p>
    <w:p w14:paraId="3D45EAA3" w14:textId="77777777" w:rsidR="00937249" w:rsidRDefault="00937249" w:rsidP="00937249">
      <w:pPr>
        <w:pStyle w:val="IRPsanstext"/>
      </w:pPr>
    </w:p>
    <w:p w14:paraId="3E474C47" w14:textId="77777777" w:rsidR="00937249" w:rsidRDefault="00937249" w:rsidP="00F26524">
      <w:pPr>
        <w:pStyle w:val="IRPsanstext"/>
        <w:numPr>
          <w:ilvl w:val="0"/>
          <w:numId w:val="18"/>
        </w:numPr>
      </w:pPr>
      <w:r w:rsidRPr="00937249">
        <w:rPr>
          <w:b/>
        </w:rPr>
        <w:t>Colstrip.</w:t>
      </w:r>
      <w:r>
        <w:t xml:space="preserve"> </w:t>
      </w:r>
      <w:r w:rsidRPr="00937249">
        <w:rPr>
          <w:color w:val="000000" w:themeColor="text1"/>
        </w:rPr>
        <w:t>If Colstrip units 1 &amp; 2 had to be replaced in 2026, resource additions would be consistent</w:t>
      </w:r>
      <w:r w:rsidRPr="00937249">
        <w:t xml:space="preserve"> across the Low, Base and High scenarios. That is, Colstrip being in or out of the portfolio does not impact the mix of resource additions. If all four units were out of operation, new combined-cycle plants would be part of the least-cost mix, since market heat rates would be impacted enough to drive down the net cost of CCCT making it cost effective.  </w:t>
      </w:r>
    </w:p>
    <w:p w14:paraId="50460A32" w14:textId="77777777" w:rsidR="00937249" w:rsidRDefault="00937249" w:rsidP="00937249">
      <w:pPr>
        <w:pStyle w:val="IRPsanstext"/>
      </w:pPr>
    </w:p>
    <w:p w14:paraId="2A02082B" w14:textId="77777777" w:rsidR="00937249" w:rsidRPr="00937249" w:rsidRDefault="00937249" w:rsidP="00F26524">
      <w:pPr>
        <w:pStyle w:val="IRPsanstext"/>
        <w:numPr>
          <w:ilvl w:val="0"/>
          <w:numId w:val="18"/>
        </w:numPr>
      </w:pPr>
      <w:r w:rsidRPr="00937249">
        <w:rPr>
          <w:b/>
        </w:rPr>
        <w:t>Demand-side Resources:</w:t>
      </w:r>
      <w:r>
        <w:t xml:space="preserve"> </w:t>
      </w:r>
      <w:r w:rsidRPr="00937249">
        <w:t>Energy efficiency and other demand-side resources are consistently cost effective and reduce risk.  The level of cost effective DSR varies little across scenarios.</w:t>
      </w:r>
    </w:p>
    <w:p w14:paraId="2B001198" w14:textId="77777777" w:rsidR="00AD0F38" w:rsidRPr="00937249" w:rsidRDefault="00AD0F38" w:rsidP="00937249">
      <w:pPr>
        <w:pStyle w:val="IRPsanstext"/>
      </w:pPr>
    </w:p>
    <w:p w14:paraId="3CAFC1FF" w14:textId="77777777" w:rsidR="00AD0F38" w:rsidRPr="00937249" w:rsidRDefault="00AD0F38" w:rsidP="00F26524">
      <w:pPr>
        <w:pStyle w:val="IRPsanstext"/>
        <w:numPr>
          <w:ilvl w:val="0"/>
          <w:numId w:val="18"/>
        </w:numPr>
      </w:pPr>
      <w:r w:rsidRPr="00937249">
        <w:rPr>
          <w:b/>
        </w:rPr>
        <w:t>Thermal Mix:</w:t>
      </w:r>
      <w:r w:rsidRPr="00937249">
        <w:t xml:space="preserve"> A mix of gas-fired thermal resources reduces expected cost and reduces risk, relative to selecting only one type of gas-fired thermal plant.</w:t>
      </w:r>
    </w:p>
    <w:p w14:paraId="3DB21BF1" w14:textId="77777777" w:rsidR="00AD0F38" w:rsidRPr="00937249" w:rsidRDefault="00AD0F38" w:rsidP="00937249">
      <w:pPr>
        <w:pStyle w:val="IRPsanstext"/>
      </w:pPr>
    </w:p>
    <w:p w14:paraId="74E6D140" w14:textId="77777777" w:rsidR="00AD0F38" w:rsidRDefault="00AD0F38" w:rsidP="00F26524">
      <w:pPr>
        <w:pStyle w:val="IRPsanstext"/>
        <w:numPr>
          <w:ilvl w:val="0"/>
          <w:numId w:val="18"/>
        </w:numPr>
      </w:pPr>
      <w:r w:rsidRPr="00937249">
        <w:rPr>
          <w:b/>
        </w:rPr>
        <w:t>Gas Plan</w:t>
      </w:r>
      <w:r w:rsidR="0045538F">
        <w:rPr>
          <w:b/>
        </w:rPr>
        <w:t>t</w:t>
      </w:r>
      <w:r w:rsidRPr="00937249">
        <w:rPr>
          <w:b/>
        </w:rPr>
        <w:t xml:space="preserve"> Location:</w:t>
      </w:r>
      <w:r w:rsidRPr="00937249">
        <w:t xml:space="preserve"> The location of resources (east vs. west of the Cascades) is a very close call.  Qualitative considerations of BPA transmission policy risk and sub-hourly value being connected to our BA tips the balance in favor of resources on our system for the IRP.</w:t>
      </w:r>
    </w:p>
    <w:p w14:paraId="55F6893F" w14:textId="77777777" w:rsidR="0026312D" w:rsidRPr="00937249" w:rsidRDefault="0026312D" w:rsidP="0026312D">
      <w:pPr>
        <w:pStyle w:val="IRPsanstext"/>
      </w:pPr>
    </w:p>
    <w:p w14:paraId="6DFC1F9C" w14:textId="77777777" w:rsidR="00AD0F38" w:rsidRPr="00937249" w:rsidRDefault="00AD0F38" w:rsidP="00F26524">
      <w:pPr>
        <w:pStyle w:val="IRPsanstext"/>
        <w:numPr>
          <w:ilvl w:val="0"/>
          <w:numId w:val="18"/>
        </w:numPr>
      </w:pPr>
      <w:r w:rsidRPr="00937249">
        <w:rPr>
          <w:b/>
        </w:rPr>
        <w:t xml:space="preserve">Gas Transport/Oil Backup for </w:t>
      </w:r>
      <w:proofErr w:type="spellStart"/>
      <w:r w:rsidRPr="00937249">
        <w:rPr>
          <w:b/>
        </w:rPr>
        <w:t>Peakers</w:t>
      </w:r>
      <w:proofErr w:type="spellEnd"/>
      <w:r w:rsidRPr="00937249">
        <w:rPr>
          <w:b/>
        </w:rPr>
        <w:t>:</w:t>
      </w:r>
      <w:r w:rsidR="00937249">
        <w:t xml:space="preserve"> </w:t>
      </w:r>
      <w:r w:rsidRPr="00937249">
        <w:t xml:space="preserve">Non-firm pipeline capacity may be significantly limited for extended winter periods in the future. For the near future, existing dual-fuel units do not appear to require firm pipeline capacity – current oil tanks can supply sufficient backup fuel. Further out in the planning horizon, however, it is not clear whether enough oil storage could be permitted to avoid the need for additional firm pipeline capacity </w:t>
      </w:r>
      <w:r w:rsidR="00A2511D">
        <w:t>and</w:t>
      </w:r>
      <w:r w:rsidRPr="00937249">
        <w:t xml:space="preserve"> ensure </w:t>
      </w:r>
      <w:proofErr w:type="spellStart"/>
      <w:r w:rsidRPr="00937249">
        <w:t>peakers</w:t>
      </w:r>
      <w:proofErr w:type="spellEnd"/>
      <w:r w:rsidRPr="00937249">
        <w:t xml:space="preserve"> can run during on-peak hours. </w:t>
      </w:r>
    </w:p>
    <w:p w14:paraId="7C5588D2" w14:textId="77777777" w:rsidR="00AD0F38" w:rsidRPr="00937249" w:rsidRDefault="00AD0F38" w:rsidP="00937249">
      <w:pPr>
        <w:pStyle w:val="IRPsanstext"/>
      </w:pPr>
    </w:p>
    <w:p w14:paraId="786EE8E1" w14:textId="77777777" w:rsidR="00AD0F38" w:rsidRPr="00937249" w:rsidRDefault="00AD0F38" w:rsidP="00F26524">
      <w:pPr>
        <w:pStyle w:val="IRPsanstext"/>
        <w:numPr>
          <w:ilvl w:val="0"/>
          <w:numId w:val="18"/>
        </w:numPr>
      </w:pPr>
      <w:r w:rsidRPr="00937249">
        <w:rPr>
          <w:b/>
        </w:rPr>
        <w:t>Energy Storage and Flexibility:</w:t>
      </w:r>
      <w:r w:rsidRPr="00937249">
        <w:t xml:space="preserve"> Batteries and pumped hydro storage are higher cost than traditional peaking plants, although energy storage can provide valuable flexibility. Even including this value, however, battery technology needs to come down in price before they will look cost effective as an energy supply resource. At present, the flexibility value of batteries would have to be 50 percent greater than our current estimates for batteries to be cost effective. We will continue to improve our analytical capabilities with respect to flexibility and energy storage.    </w:t>
      </w:r>
    </w:p>
    <w:p w14:paraId="51E90509" w14:textId="77777777" w:rsidR="00AD0F38" w:rsidRPr="00937249" w:rsidRDefault="00AD0F38" w:rsidP="00937249">
      <w:pPr>
        <w:pStyle w:val="IRPsanstext"/>
      </w:pPr>
    </w:p>
    <w:p w14:paraId="73730980" w14:textId="77777777" w:rsidR="00AD0F38" w:rsidRPr="00937249" w:rsidRDefault="00AD0F38" w:rsidP="00937249">
      <w:pPr>
        <w:pStyle w:val="IRPsanstext"/>
        <w:numPr>
          <w:ilvl w:val="0"/>
          <w:numId w:val="18"/>
        </w:numPr>
      </w:pPr>
      <w:r w:rsidRPr="00937249">
        <w:rPr>
          <w:b/>
        </w:rPr>
        <w:t>Flexibility and Reciprocating Engines:</w:t>
      </w:r>
      <w:r w:rsidRPr="00937249">
        <w:t xml:space="preserve"> Adjusting the relative cost of CCCTs, CTs, reciprocating engines and batteries for our initial estimates of flexibility value changed the optimal mix of resource additions. Reciprocating engines became the dominant new resource – though there may be challenges with air permits, given updated EPA standards on particulate emissions. </w:t>
      </w:r>
    </w:p>
    <w:p w14:paraId="1F406E89" w14:textId="77777777" w:rsidR="00AD0F38" w:rsidRPr="00937249" w:rsidRDefault="00AD0F38" w:rsidP="00F26524">
      <w:pPr>
        <w:pStyle w:val="IRPsanstext"/>
        <w:numPr>
          <w:ilvl w:val="0"/>
          <w:numId w:val="18"/>
        </w:numPr>
      </w:pPr>
      <w:r w:rsidRPr="00937249">
        <w:rPr>
          <w:b/>
        </w:rPr>
        <w:lastRenderedPageBreak/>
        <w:t>Montana Wind:</w:t>
      </w:r>
      <w:r w:rsidRPr="00937249">
        <w:t xml:space="preserve"> Based on current assumptions, Montana wind is not expected to be cost effective because of transmission cost</w:t>
      </w:r>
      <w:r w:rsidR="009E6CD9">
        <w:t xml:space="preserve">. </w:t>
      </w:r>
      <w:r w:rsidRPr="00937249">
        <w:t>Even in the sensitivity where Colstrip was retired and wind from Montana could rely on the existing transmission system at embedded cost rates, the capacity contribution of the wind would have to be greater than 50 percent to be cost effective – which is clearly a very high hurdle. We will study additional hourly wind data from Montana wind projects in the next IRP, if we can acquire the data.</w:t>
      </w:r>
    </w:p>
    <w:p w14:paraId="05DD3B24" w14:textId="77777777" w:rsidR="00AD0F38" w:rsidRPr="00937249" w:rsidRDefault="00AD0F38" w:rsidP="00937249">
      <w:pPr>
        <w:pStyle w:val="IRPsanstext"/>
      </w:pPr>
    </w:p>
    <w:p w14:paraId="13327E7E" w14:textId="77777777" w:rsidR="00AD0F38" w:rsidRPr="00937249" w:rsidRDefault="00AD0F38" w:rsidP="00F26524">
      <w:pPr>
        <w:pStyle w:val="IRPsanstext"/>
        <w:numPr>
          <w:ilvl w:val="0"/>
          <w:numId w:val="18"/>
        </w:numPr>
      </w:pPr>
      <w:r w:rsidRPr="00937249">
        <w:rPr>
          <w:b/>
        </w:rPr>
        <w:t>Solar Penetration:</w:t>
      </w:r>
      <w:r w:rsidRPr="00937249">
        <w:t xml:space="preserve"> Assuming customers own their own distributed solar generation systems (typically rooftop solar panels), the primary energy-supply-related impact of high solar penetration would be to reduce the need for RPS compliant resource additions since load would be lower. Otherwise the resource mix is not affected. High penetration of distributed solar in PSE’s service territory may create different kinds of engineering challenges to solve on different kinds circuits. In the future, distributed solar could create synergies between energy supply planning and distribution system planning, if energy storage or other energy supply resources are a cost effective part of the solution to those challenges on the distribution system.</w:t>
      </w:r>
    </w:p>
    <w:p w14:paraId="132B53E9" w14:textId="77777777" w:rsidR="00AD0F38" w:rsidRPr="00937249" w:rsidRDefault="00AD0F38" w:rsidP="00937249">
      <w:pPr>
        <w:pStyle w:val="IRPsanstext"/>
      </w:pPr>
    </w:p>
    <w:p w14:paraId="003EC49A" w14:textId="77777777" w:rsidR="009E6CD9" w:rsidRDefault="00AD0F38" w:rsidP="00F26524">
      <w:pPr>
        <w:pStyle w:val="IRPsanstext"/>
        <w:numPr>
          <w:ilvl w:val="0"/>
          <w:numId w:val="18"/>
        </w:numPr>
      </w:pPr>
      <w:r w:rsidRPr="00937249">
        <w:rPr>
          <w:b/>
        </w:rPr>
        <w:t>Carbon Abatement:</w:t>
      </w:r>
      <w:r w:rsidRPr="00937249">
        <w:t xml:space="preserve"> DSR and wind resources affect emission rates, but to a much smaller extent than Colstrip or the Coal Transition PPA.  </w:t>
      </w:r>
    </w:p>
    <w:p w14:paraId="0308E8D8" w14:textId="77777777" w:rsidR="00AD0F38" w:rsidRPr="00937249" w:rsidRDefault="00AD0F38" w:rsidP="009E6CD9">
      <w:pPr>
        <w:pStyle w:val="IRPsanstext"/>
        <w:ind w:left="720"/>
      </w:pPr>
    </w:p>
    <w:p w14:paraId="07D94FFC" w14:textId="77777777" w:rsidR="00AD0F38" w:rsidRPr="00937249" w:rsidRDefault="00AD0F38" w:rsidP="00937249">
      <w:pPr>
        <w:pStyle w:val="IRPsanstext"/>
      </w:pPr>
    </w:p>
    <w:p w14:paraId="36DE2A29" w14:textId="77777777" w:rsidR="00A96C47" w:rsidRDefault="00A96C47" w:rsidP="00937249">
      <w:pPr>
        <w:pStyle w:val="IRPsanstext"/>
        <w:rPr>
          <w:sz w:val="32"/>
          <w:szCs w:val="32"/>
        </w:rPr>
      </w:pPr>
    </w:p>
    <w:p w14:paraId="0404469F" w14:textId="77777777" w:rsidR="00525FEB" w:rsidRDefault="00525FEB">
      <w:pPr>
        <w:rPr>
          <w:rFonts w:ascii="Arial" w:hAnsi="Arial"/>
          <w:sz w:val="32"/>
          <w:szCs w:val="32"/>
        </w:rPr>
      </w:pPr>
      <w:r>
        <w:rPr>
          <w:sz w:val="32"/>
          <w:szCs w:val="32"/>
        </w:rPr>
        <w:br w:type="page"/>
      </w:r>
    </w:p>
    <w:p w14:paraId="3315E3C8" w14:textId="77777777" w:rsidR="0054737D" w:rsidRDefault="00AD0F38" w:rsidP="00F26524">
      <w:pPr>
        <w:pStyle w:val="IRPsanstext"/>
        <w:spacing w:after="240"/>
        <w:rPr>
          <w:sz w:val="32"/>
          <w:szCs w:val="32"/>
        </w:rPr>
      </w:pPr>
      <w:r w:rsidRPr="00937249">
        <w:rPr>
          <w:sz w:val="32"/>
          <w:szCs w:val="32"/>
        </w:rPr>
        <w:lastRenderedPageBreak/>
        <w:t xml:space="preserve">Candidate Resource </w:t>
      </w:r>
      <w:r w:rsidR="00A33D5B">
        <w:rPr>
          <w:sz w:val="32"/>
          <w:szCs w:val="32"/>
        </w:rPr>
        <w:t xml:space="preserve">Strategies </w:t>
      </w:r>
    </w:p>
    <w:p w14:paraId="69D034F6" w14:textId="77777777" w:rsidR="00AD0F38" w:rsidRPr="00D02777" w:rsidRDefault="00525FEB" w:rsidP="00937249">
      <w:pPr>
        <w:pStyle w:val="IRPsanstext"/>
        <w:rPr>
          <w:sz w:val="32"/>
        </w:rPr>
      </w:pPr>
      <w:r>
        <w:rPr>
          <w:sz w:val="32"/>
          <w:szCs w:val="32"/>
        </w:rPr>
        <w:t>(</w:t>
      </w:r>
      <w:proofErr w:type="gramStart"/>
      <w:r w:rsidR="00A96C47">
        <w:rPr>
          <w:sz w:val="32"/>
          <w:szCs w:val="32"/>
        </w:rPr>
        <w:t>using</w:t>
      </w:r>
      <w:proofErr w:type="gramEnd"/>
      <w:r w:rsidR="00A96C47">
        <w:rPr>
          <w:sz w:val="32"/>
          <w:szCs w:val="32"/>
        </w:rPr>
        <w:t xml:space="preserve"> 2015 </w:t>
      </w:r>
      <w:r w:rsidR="0054737D">
        <w:rPr>
          <w:sz w:val="32"/>
          <w:szCs w:val="32"/>
        </w:rPr>
        <w:t xml:space="preserve">Optimal </w:t>
      </w:r>
      <w:r w:rsidR="00A96C47">
        <w:rPr>
          <w:sz w:val="32"/>
          <w:szCs w:val="32"/>
        </w:rPr>
        <w:t>Planning Standard</w:t>
      </w:r>
      <w:r>
        <w:rPr>
          <w:sz w:val="32"/>
          <w:szCs w:val="32"/>
        </w:rPr>
        <w:t>)</w:t>
      </w:r>
    </w:p>
    <w:p w14:paraId="738CC23E" w14:textId="77777777" w:rsidR="00937249" w:rsidRDefault="00937249" w:rsidP="00937249">
      <w:pPr>
        <w:pStyle w:val="IRPsanstext"/>
      </w:pPr>
    </w:p>
    <w:p w14:paraId="7A04AE8B" w14:textId="77777777" w:rsidR="009E6CD9" w:rsidRDefault="00AD0F38" w:rsidP="00937249">
      <w:pPr>
        <w:pStyle w:val="IRPsanstext"/>
      </w:pPr>
      <w:r w:rsidRPr="00937249">
        <w:t xml:space="preserve">Deterministic analysis was used to develop several candidate resource </w:t>
      </w:r>
      <w:r w:rsidR="00A33D5B">
        <w:t>strategies</w:t>
      </w:r>
      <w:r w:rsidR="00A33D5B" w:rsidRPr="00937249">
        <w:t xml:space="preserve"> </w:t>
      </w:r>
      <w:r w:rsidRPr="00937249">
        <w:t xml:space="preserve">to test in the stochastic portfolio risk analysis. Combinations of resources were tested based on deterministic results, to test individual thermal resources, such as an all CCCT portfolio, a mix of thermal resources, and additional wind.  </w:t>
      </w:r>
    </w:p>
    <w:p w14:paraId="20A90B9A" w14:textId="77777777" w:rsidR="009E6CD9" w:rsidRDefault="009E6CD9" w:rsidP="00937249">
      <w:pPr>
        <w:pStyle w:val="IRPsanstext"/>
      </w:pPr>
    </w:p>
    <w:p w14:paraId="102EC53A" w14:textId="77777777" w:rsidR="004D0B5F" w:rsidRDefault="004D0B5F" w:rsidP="00F26524">
      <w:pPr>
        <w:pStyle w:val="IRPsanstext"/>
        <w:numPr>
          <w:ilvl w:val="0"/>
          <w:numId w:val="31"/>
        </w:numPr>
        <w:rPr>
          <w:rFonts w:cs="Arial"/>
        </w:rPr>
      </w:pPr>
      <w:r>
        <w:rPr>
          <w:rFonts w:cs="Arial"/>
          <w:b/>
        </w:rPr>
        <w:t xml:space="preserve">All Frame </w:t>
      </w:r>
      <w:proofErr w:type="spellStart"/>
      <w:r>
        <w:rPr>
          <w:rFonts w:cs="Arial"/>
          <w:b/>
        </w:rPr>
        <w:t>Peakers</w:t>
      </w:r>
      <w:proofErr w:type="spellEnd"/>
      <w:r>
        <w:rPr>
          <w:rFonts w:cs="Arial"/>
          <w:b/>
        </w:rPr>
        <w:t xml:space="preserve">. </w:t>
      </w:r>
      <w:r>
        <w:rPr>
          <w:rFonts w:cs="Arial"/>
        </w:rPr>
        <w:t xml:space="preserve">This portfolio is the lowest cost in the </w:t>
      </w:r>
      <w:r w:rsidR="00525FEB">
        <w:rPr>
          <w:rFonts w:cs="Arial"/>
        </w:rPr>
        <w:t>B</w:t>
      </w:r>
      <w:r>
        <w:rPr>
          <w:rFonts w:cs="Arial"/>
        </w:rPr>
        <w:t xml:space="preserve">ase </w:t>
      </w:r>
      <w:r w:rsidR="00525FEB">
        <w:rPr>
          <w:rFonts w:cs="Arial"/>
        </w:rPr>
        <w:t>S</w:t>
      </w:r>
      <w:r>
        <w:rPr>
          <w:rFonts w:cs="Arial"/>
        </w:rPr>
        <w:t xml:space="preserve">cenario, but </w:t>
      </w:r>
      <w:r w:rsidR="00525FEB">
        <w:rPr>
          <w:rFonts w:cs="Arial"/>
        </w:rPr>
        <w:t xml:space="preserve">in the stochastic analysis, it </w:t>
      </w:r>
      <w:r>
        <w:rPr>
          <w:rFonts w:cs="Arial"/>
        </w:rPr>
        <w:t>had higher average cost and risk than the portfolios with CCCT</w:t>
      </w:r>
      <w:r w:rsidR="00A2511D">
        <w:rPr>
          <w:rFonts w:cs="Arial"/>
        </w:rPr>
        <w:t>.</w:t>
      </w:r>
    </w:p>
    <w:p w14:paraId="6D50F0F9" w14:textId="77777777" w:rsidR="004D0B5F" w:rsidRPr="00525FEB" w:rsidRDefault="004D0B5F" w:rsidP="00F26524">
      <w:pPr>
        <w:pStyle w:val="IRPsanstext"/>
        <w:numPr>
          <w:ilvl w:val="0"/>
          <w:numId w:val="31"/>
        </w:numPr>
        <w:rPr>
          <w:rFonts w:cs="Arial"/>
        </w:rPr>
      </w:pPr>
      <w:r>
        <w:rPr>
          <w:rFonts w:cs="Arial"/>
          <w:b/>
        </w:rPr>
        <w:t xml:space="preserve">Early </w:t>
      </w:r>
      <w:proofErr w:type="spellStart"/>
      <w:r>
        <w:rPr>
          <w:rFonts w:cs="Arial"/>
          <w:b/>
        </w:rPr>
        <w:t>Recip</w:t>
      </w:r>
      <w:proofErr w:type="spellEnd"/>
      <w:r>
        <w:rPr>
          <w:rFonts w:cs="Arial"/>
          <w:b/>
        </w:rPr>
        <w:t xml:space="preserve"> </w:t>
      </w:r>
      <w:proofErr w:type="spellStart"/>
      <w:r>
        <w:rPr>
          <w:rFonts w:cs="Arial"/>
          <w:b/>
        </w:rPr>
        <w:t>Peaker</w:t>
      </w:r>
      <w:proofErr w:type="spellEnd"/>
      <w:r>
        <w:rPr>
          <w:rFonts w:cs="Arial"/>
          <w:b/>
        </w:rPr>
        <w:t xml:space="preserve">. </w:t>
      </w:r>
      <w:r>
        <w:rPr>
          <w:rFonts w:cs="Arial"/>
        </w:rPr>
        <w:t>This portfolio had a higher expected cost and risk than the all</w:t>
      </w:r>
      <w:r w:rsidR="00525FEB">
        <w:rPr>
          <w:rFonts w:cs="Arial"/>
        </w:rPr>
        <w:t>-</w:t>
      </w:r>
      <w:r>
        <w:rPr>
          <w:rFonts w:cs="Arial"/>
        </w:rPr>
        <w:t>frame</w:t>
      </w:r>
      <w:r w:rsidR="00525FEB">
        <w:rPr>
          <w:rFonts w:cs="Arial"/>
        </w:rPr>
        <w:t>-</w:t>
      </w:r>
      <w:proofErr w:type="spellStart"/>
      <w:r>
        <w:rPr>
          <w:rFonts w:cs="Arial"/>
        </w:rPr>
        <w:t>peaker</w:t>
      </w:r>
      <w:proofErr w:type="spellEnd"/>
      <w:r>
        <w:rPr>
          <w:rFonts w:cs="Arial"/>
        </w:rPr>
        <w:t xml:space="preserve"> portfolio</w:t>
      </w:r>
      <w:r w:rsidR="00525FEB">
        <w:rPr>
          <w:rFonts w:cs="Arial"/>
        </w:rPr>
        <w:t>.</w:t>
      </w:r>
    </w:p>
    <w:p w14:paraId="5539756B" w14:textId="77777777" w:rsidR="00525FEB" w:rsidRPr="00884900" w:rsidRDefault="004D0B5F" w:rsidP="00F26524">
      <w:pPr>
        <w:pStyle w:val="IRPsanstext"/>
        <w:numPr>
          <w:ilvl w:val="0"/>
          <w:numId w:val="31"/>
        </w:numPr>
        <w:rPr>
          <w:rFonts w:cs="Arial"/>
        </w:rPr>
      </w:pPr>
      <w:r>
        <w:rPr>
          <w:rFonts w:cs="Arial"/>
          <w:b/>
        </w:rPr>
        <w:t xml:space="preserve">Early CCCT with Thermal Mix. </w:t>
      </w:r>
      <w:r w:rsidR="00B84F10">
        <w:rPr>
          <w:rFonts w:cs="Arial"/>
        </w:rPr>
        <w:t xml:space="preserve">This portfolio had a higher expected cost because of the </w:t>
      </w:r>
      <w:proofErr w:type="spellStart"/>
      <w:r w:rsidR="00B84F10">
        <w:rPr>
          <w:rFonts w:cs="Arial"/>
        </w:rPr>
        <w:t>Recip</w:t>
      </w:r>
      <w:proofErr w:type="spellEnd"/>
      <w:r w:rsidR="00B84F10">
        <w:rPr>
          <w:rFonts w:cs="Arial"/>
        </w:rPr>
        <w:t xml:space="preserve"> </w:t>
      </w:r>
      <w:proofErr w:type="spellStart"/>
      <w:r w:rsidR="00B84F10">
        <w:rPr>
          <w:rFonts w:cs="Arial"/>
        </w:rPr>
        <w:t>Peakers</w:t>
      </w:r>
      <w:proofErr w:type="spellEnd"/>
      <w:r w:rsidR="00B84F10">
        <w:rPr>
          <w:rFonts w:cs="Arial"/>
        </w:rPr>
        <w:t xml:space="preserve">, but the risk was lower than the all frame </w:t>
      </w:r>
      <w:proofErr w:type="spellStart"/>
      <w:r w:rsidR="00B84F10">
        <w:rPr>
          <w:rFonts w:cs="Arial"/>
        </w:rPr>
        <w:t>peaker</w:t>
      </w:r>
      <w:proofErr w:type="spellEnd"/>
      <w:r w:rsidR="00B84F10">
        <w:rPr>
          <w:rFonts w:cs="Arial"/>
        </w:rPr>
        <w:t xml:space="preserve"> portfolio because of the CCCT plants.</w:t>
      </w:r>
    </w:p>
    <w:p w14:paraId="185A788B" w14:textId="77777777" w:rsidR="004D0B5F" w:rsidRPr="00525FEB" w:rsidRDefault="004D0B5F" w:rsidP="00F26524">
      <w:pPr>
        <w:pStyle w:val="IRPsanstext"/>
        <w:numPr>
          <w:ilvl w:val="0"/>
          <w:numId w:val="31"/>
        </w:numPr>
        <w:rPr>
          <w:rFonts w:cs="Arial"/>
          <w:b/>
        </w:rPr>
      </w:pPr>
      <w:r w:rsidRPr="00525FEB">
        <w:rPr>
          <w:rFonts w:cs="Arial"/>
          <w:b/>
        </w:rPr>
        <w:t>All CCCT.</w:t>
      </w:r>
      <w:r w:rsidR="007763FA" w:rsidRPr="00525FEB">
        <w:rPr>
          <w:rFonts w:cs="Arial"/>
          <w:b/>
        </w:rPr>
        <w:t xml:space="preserve"> </w:t>
      </w:r>
      <w:r w:rsidR="007763FA" w:rsidRPr="00525FEB">
        <w:rPr>
          <w:rFonts w:cs="Arial"/>
        </w:rPr>
        <w:t xml:space="preserve">This portfolio has </w:t>
      </w:r>
      <w:r w:rsidR="00C57C50" w:rsidRPr="00525FEB">
        <w:rPr>
          <w:rFonts w:cs="Arial"/>
        </w:rPr>
        <w:t>the highest</w:t>
      </w:r>
      <w:r w:rsidR="007763FA" w:rsidRPr="00525FEB">
        <w:rPr>
          <w:rFonts w:cs="Arial"/>
        </w:rPr>
        <w:t xml:space="preserve"> cost</w:t>
      </w:r>
      <w:r w:rsidR="00C57C50" w:rsidRPr="00525FEB">
        <w:rPr>
          <w:rFonts w:cs="Arial"/>
        </w:rPr>
        <w:t xml:space="preserve"> in the expected base scenario</w:t>
      </w:r>
      <w:r w:rsidR="007763FA" w:rsidRPr="00525FEB">
        <w:rPr>
          <w:rFonts w:cs="Arial"/>
        </w:rPr>
        <w:t xml:space="preserve">, but </w:t>
      </w:r>
      <w:r w:rsidR="00C57C50" w:rsidRPr="00525FEB">
        <w:rPr>
          <w:rFonts w:cs="Arial"/>
        </w:rPr>
        <w:t>the lowest</w:t>
      </w:r>
      <w:r w:rsidR="007763FA" w:rsidRPr="00525FEB">
        <w:rPr>
          <w:rFonts w:cs="Arial"/>
        </w:rPr>
        <w:t xml:space="preserve"> average cost and risk in the stochastic simulations.</w:t>
      </w:r>
    </w:p>
    <w:p w14:paraId="61CF2AD6" w14:textId="77777777" w:rsidR="004D0B5F" w:rsidRPr="00525FEB" w:rsidRDefault="004D0B5F" w:rsidP="00F26524">
      <w:pPr>
        <w:pStyle w:val="IRPsanstext"/>
        <w:numPr>
          <w:ilvl w:val="0"/>
          <w:numId w:val="31"/>
        </w:numPr>
        <w:rPr>
          <w:rFonts w:cs="Arial"/>
        </w:rPr>
      </w:pPr>
      <w:r>
        <w:rPr>
          <w:rFonts w:cs="Arial"/>
          <w:b/>
        </w:rPr>
        <w:t xml:space="preserve">Mix CCCT and Frame </w:t>
      </w:r>
      <w:proofErr w:type="spellStart"/>
      <w:r>
        <w:rPr>
          <w:rFonts w:cs="Arial"/>
          <w:b/>
        </w:rPr>
        <w:t>Peaker</w:t>
      </w:r>
      <w:proofErr w:type="spellEnd"/>
      <w:r>
        <w:rPr>
          <w:rFonts w:cs="Arial"/>
          <w:b/>
        </w:rPr>
        <w:t>.</w:t>
      </w:r>
      <w:r w:rsidR="007763FA">
        <w:rPr>
          <w:rFonts w:cs="Arial"/>
          <w:b/>
        </w:rPr>
        <w:t xml:space="preserve"> </w:t>
      </w:r>
      <w:r w:rsidR="007763FA">
        <w:rPr>
          <w:rFonts w:cs="Arial"/>
        </w:rPr>
        <w:t xml:space="preserve">This portfolio has a higher cost in the expected base scenario than the all frame </w:t>
      </w:r>
      <w:proofErr w:type="spellStart"/>
      <w:r w:rsidR="007763FA">
        <w:rPr>
          <w:rFonts w:cs="Arial"/>
        </w:rPr>
        <w:t>peaker</w:t>
      </w:r>
      <w:proofErr w:type="spellEnd"/>
      <w:r w:rsidR="007763FA">
        <w:rPr>
          <w:rFonts w:cs="Arial"/>
        </w:rPr>
        <w:t>, but has a lower average cost and risk in the stochastic simulations.</w:t>
      </w:r>
    </w:p>
    <w:p w14:paraId="63AB3260" w14:textId="77777777" w:rsidR="004D0B5F" w:rsidRPr="00D02777" w:rsidRDefault="004D0B5F" w:rsidP="00F26524">
      <w:pPr>
        <w:pStyle w:val="IRPsanstext"/>
        <w:numPr>
          <w:ilvl w:val="0"/>
          <w:numId w:val="31"/>
        </w:numPr>
      </w:pPr>
      <w:r>
        <w:rPr>
          <w:rFonts w:cs="Arial"/>
          <w:b/>
        </w:rPr>
        <w:t>Additional 300 MW of Wind.</w:t>
      </w:r>
      <w:r w:rsidR="007763FA">
        <w:rPr>
          <w:rFonts w:cs="Arial"/>
          <w:b/>
        </w:rPr>
        <w:t xml:space="preserve"> </w:t>
      </w:r>
      <w:r w:rsidR="007763FA">
        <w:rPr>
          <w:rFonts w:cs="Arial"/>
        </w:rPr>
        <w:t xml:space="preserve">This portfolio is higher cost and higher risk than the all frame </w:t>
      </w:r>
      <w:proofErr w:type="spellStart"/>
      <w:r w:rsidR="007763FA">
        <w:rPr>
          <w:rFonts w:cs="Arial"/>
        </w:rPr>
        <w:t>peaker</w:t>
      </w:r>
      <w:proofErr w:type="spellEnd"/>
      <w:r w:rsidR="007763FA">
        <w:rPr>
          <w:rFonts w:cs="Arial"/>
        </w:rPr>
        <w:t xml:space="preserve"> portfolio.</w:t>
      </w:r>
    </w:p>
    <w:p w14:paraId="39B87686" w14:textId="77777777" w:rsidR="004D0B5F" w:rsidRDefault="004D0B5F" w:rsidP="004D0B5F">
      <w:pPr>
        <w:pStyle w:val="IRPsanstext"/>
        <w:rPr>
          <w:rFonts w:cs="Arial"/>
          <w:b/>
        </w:rPr>
      </w:pPr>
    </w:p>
    <w:p w14:paraId="74A7D0DD" w14:textId="77777777" w:rsidR="00AD0F38" w:rsidRPr="0054737D" w:rsidRDefault="00AD0F38" w:rsidP="00AD0F38">
      <w:pPr>
        <w:rPr>
          <w:rFonts w:ascii="Arial" w:hAnsi="Arial"/>
          <w:b/>
          <w:sz w:val="20"/>
        </w:rPr>
      </w:pPr>
      <w:r w:rsidRPr="008633D6">
        <w:rPr>
          <w:i/>
        </w:rPr>
        <w:br w:type="page"/>
      </w:r>
      <w:r w:rsidRPr="0054737D">
        <w:rPr>
          <w:rFonts w:ascii="Arial" w:hAnsi="Arial"/>
          <w:b/>
          <w:caps/>
          <w:color w:val="156570"/>
          <w:sz w:val="32"/>
          <w:szCs w:val="32"/>
        </w:rPr>
        <w:lastRenderedPageBreak/>
        <w:t>Scenario Analysis Results</w:t>
      </w:r>
      <w:r w:rsidR="00A32941" w:rsidRPr="0054737D">
        <w:rPr>
          <w:rFonts w:ascii="Arial" w:hAnsi="Arial"/>
          <w:b/>
          <w:caps/>
          <w:color w:val="156570"/>
          <w:sz w:val="32"/>
          <w:szCs w:val="32"/>
        </w:rPr>
        <w:t xml:space="preserve"> </w:t>
      </w:r>
    </w:p>
    <w:p w14:paraId="6504947C" w14:textId="77777777" w:rsidR="00AD0F38" w:rsidRPr="00937249" w:rsidRDefault="00AD0F38" w:rsidP="00937249">
      <w:pPr>
        <w:pStyle w:val="IRPsanstext"/>
        <w:rPr>
          <w:rFonts w:cs="Arial"/>
        </w:rPr>
      </w:pPr>
    </w:p>
    <w:p w14:paraId="7BC14FF4" w14:textId="77777777" w:rsidR="00937249" w:rsidRDefault="00AD0F38" w:rsidP="00937249">
      <w:pPr>
        <w:pStyle w:val="IRPsanstext"/>
        <w:rPr>
          <w:rFonts w:cs="Arial"/>
        </w:rPr>
      </w:pPr>
      <w:r w:rsidRPr="00937249">
        <w:rPr>
          <w:rFonts w:cs="Arial"/>
          <w:sz w:val="32"/>
          <w:szCs w:val="32"/>
        </w:rPr>
        <w:t xml:space="preserve">1. Portfolio Builds </w:t>
      </w:r>
    </w:p>
    <w:p w14:paraId="42254DF5" w14:textId="77777777" w:rsidR="0054737D" w:rsidRDefault="0054737D" w:rsidP="00937249">
      <w:pPr>
        <w:pStyle w:val="IRPsanstext"/>
        <w:rPr>
          <w:rFonts w:cs="Arial"/>
        </w:rPr>
      </w:pPr>
    </w:p>
    <w:p w14:paraId="2C2C95D5" w14:textId="77777777" w:rsidR="00525FEB" w:rsidRDefault="00AD0F38" w:rsidP="00937249">
      <w:pPr>
        <w:pStyle w:val="IRPsanstext"/>
        <w:rPr>
          <w:rFonts w:cs="Arial"/>
        </w:rPr>
      </w:pPr>
      <w:r w:rsidRPr="00937249">
        <w:rPr>
          <w:rFonts w:cs="Arial"/>
        </w:rPr>
        <w:t xml:space="preserve">The portfolio builds for all scenarios look very much alike since resource alternatives are so limited.  Small variations occurred due to load variations in the high and low load forecasts, but the similarities are striking. The main difference was the type of gas-fired generation chosen. CCCTs were selected as lower cost in some scenarios, while frame </w:t>
      </w:r>
      <w:proofErr w:type="spellStart"/>
      <w:r w:rsidRPr="00937249">
        <w:rPr>
          <w:rFonts w:cs="Arial"/>
        </w:rPr>
        <w:t>peakers</w:t>
      </w:r>
      <w:proofErr w:type="spellEnd"/>
      <w:r w:rsidRPr="00937249">
        <w:rPr>
          <w:rFonts w:cs="Arial"/>
        </w:rPr>
        <w:t xml:space="preserve"> were selected as lower cost in others. Also, in the High Scenario, wind was cheaper than market due to such high gas and carbon prices, so in this scenario, it was necessary to constrain wind to 1,000 MW. If wind did become cheaper than market, independent power producers would rush to build resources, driving up costs in many segments of the supply chain and causing wind costs to go up – a key assumption that was not reflected in our modeling.  Additionally, as PSE’s resources could greatly exceed load, PSE would have to adopt an </w:t>
      </w:r>
      <w:proofErr w:type="gramStart"/>
      <w:r w:rsidRPr="00937249">
        <w:rPr>
          <w:rFonts w:cs="Arial"/>
        </w:rPr>
        <w:t>energy planning</w:t>
      </w:r>
      <w:proofErr w:type="gramEnd"/>
      <w:r w:rsidRPr="00937249">
        <w:rPr>
          <w:rFonts w:cs="Arial"/>
        </w:rPr>
        <w:t xml:space="preserve"> standard to ensure the company operates as a utility rather than a wholesale power marketer. That is, that we add resources to meet the needs of customers, rather than taking a speculative position in the energy market.  Figure 6-1</w:t>
      </w:r>
      <w:r w:rsidR="00855BD7">
        <w:rPr>
          <w:rFonts w:cs="Arial"/>
        </w:rPr>
        <w:t>5</w:t>
      </w:r>
      <w:r w:rsidRPr="00937249">
        <w:rPr>
          <w:rFonts w:cs="Arial"/>
        </w:rPr>
        <w:t xml:space="preserve"> summarizes resource additions and net present value of portfolio costs across the 10 scenarios.  </w:t>
      </w:r>
    </w:p>
    <w:p w14:paraId="457CE073" w14:textId="77777777" w:rsidR="00AD0F38" w:rsidRPr="00937249" w:rsidRDefault="00AD0F38" w:rsidP="00937249">
      <w:pPr>
        <w:pStyle w:val="IRPsanstext"/>
        <w:rPr>
          <w:rFonts w:cs="Arial"/>
        </w:rPr>
      </w:pPr>
    </w:p>
    <w:p w14:paraId="62BB6DF9" w14:textId="77777777" w:rsidR="00A33D5B" w:rsidRDefault="00AD0F38" w:rsidP="00884900">
      <w:pPr>
        <w:pStyle w:val="IRPsanstext"/>
        <w:jc w:val="center"/>
        <w:rPr>
          <w:rFonts w:cs="Arial"/>
          <w:i/>
        </w:rPr>
      </w:pPr>
      <w:r w:rsidRPr="00937249">
        <w:rPr>
          <w:rFonts w:cs="Arial"/>
          <w:i/>
        </w:rPr>
        <w:t>Figure 6-</w:t>
      </w:r>
      <w:r w:rsidR="00855BD7">
        <w:rPr>
          <w:rFonts w:cs="Arial"/>
          <w:i/>
        </w:rPr>
        <w:t>15</w:t>
      </w:r>
      <w:r w:rsidRPr="00937249">
        <w:rPr>
          <w:rFonts w:cs="Arial"/>
          <w:i/>
        </w:rPr>
        <w:t>: Relative Optimal Portfolio Builds and Costs by Scenario by 2035</w:t>
      </w:r>
      <w:r w:rsidR="00F2753E">
        <w:rPr>
          <w:rFonts w:cs="Arial"/>
          <w:i/>
        </w:rPr>
        <w:t xml:space="preserve">, </w:t>
      </w:r>
    </w:p>
    <w:p w14:paraId="4B76CD43" w14:textId="77777777" w:rsidR="00A33D5B" w:rsidRDefault="00F2753E" w:rsidP="00F26524">
      <w:pPr>
        <w:pStyle w:val="IRPsanstext"/>
        <w:spacing w:after="120"/>
        <w:jc w:val="center"/>
        <w:rPr>
          <w:rFonts w:cs="Arial"/>
          <w:i/>
        </w:rPr>
      </w:pPr>
      <w:r>
        <w:rPr>
          <w:rFonts w:cs="Arial"/>
          <w:i/>
        </w:rPr>
        <w:t>2013 Planning Standard</w:t>
      </w:r>
      <w:r w:rsidR="00AD0F38" w:rsidRPr="00937249">
        <w:rPr>
          <w:rFonts w:cs="Arial"/>
          <w:i/>
        </w:rPr>
        <w:t xml:space="preserve"> </w:t>
      </w:r>
      <w:r w:rsidR="00AD0F38" w:rsidRPr="00937249">
        <w:rPr>
          <w:rFonts w:cs="Arial"/>
          <w:i/>
        </w:rPr>
        <w:br/>
        <w:t xml:space="preserve">(Energy in total MW. </w:t>
      </w:r>
      <w:proofErr w:type="gramStart"/>
      <w:r w:rsidR="00AD0F38" w:rsidRPr="00937249">
        <w:rPr>
          <w:rFonts w:cs="Arial"/>
          <w:i/>
        </w:rPr>
        <w:t>Dollars in billions.</w:t>
      </w:r>
      <w:proofErr w:type="gramEnd"/>
      <w:r w:rsidR="00AD0F38" w:rsidRPr="00937249">
        <w:rPr>
          <w:rFonts w:cs="Arial"/>
          <w:i/>
        </w:rPr>
        <w:t xml:space="preserve"> NPV includes end effects.)</w:t>
      </w: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1710"/>
        <w:gridCol w:w="873"/>
        <w:gridCol w:w="27"/>
        <w:gridCol w:w="720"/>
        <w:gridCol w:w="630"/>
        <w:gridCol w:w="720"/>
        <w:gridCol w:w="990"/>
        <w:gridCol w:w="720"/>
        <w:gridCol w:w="990"/>
        <w:gridCol w:w="900"/>
      </w:tblGrid>
      <w:tr w:rsidR="006762B2" w:rsidRPr="00937249" w14:paraId="39AAE676" w14:textId="77777777">
        <w:trPr>
          <w:trHeight w:val="330"/>
        </w:trPr>
        <w:tc>
          <w:tcPr>
            <w:tcW w:w="450" w:type="dxa"/>
            <w:tcBorders>
              <w:top w:val="single" w:sz="4" w:space="0" w:color="auto"/>
              <w:left w:val="single" w:sz="4" w:space="0" w:color="auto"/>
              <w:bottom w:val="nil"/>
              <w:right w:val="nil"/>
            </w:tcBorders>
            <w:shd w:val="clear" w:color="auto" w:fill="006A71"/>
          </w:tcPr>
          <w:p w14:paraId="27AD5B15" w14:textId="77777777" w:rsidR="00AD0F38" w:rsidRPr="00626921" w:rsidRDefault="00AD0F38" w:rsidP="00937249">
            <w:pPr>
              <w:pStyle w:val="IRPsanstext"/>
              <w:rPr>
                <w:rFonts w:cs="Arial"/>
                <w:bCs/>
                <w:color w:val="FFFFFF"/>
                <w:sz w:val="18"/>
                <w:szCs w:val="18"/>
              </w:rPr>
            </w:pPr>
          </w:p>
        </w:tc>
        <w:tc>
          <w:tcPr>
            <w:tcW w:w="1710" w:type="dxa"/>
            <w:tcBorders>
              <w:top w:val="single" w:sz="4" w:space="0" w:color="auto"/>
              <w:left w:val="single" w:sz="4" w:space="0" w:color="auto"/>
              <w:bottom w:val="nil"/>
              <w:right w:val="nil"/>
            </w:tcBorders>
            <w:shd w:val="clear" w:color="auto" w:fill="006A71"/>
          </w:tcPr>
          <w:p w14:paraId="408C0301" w14:textId="77777777" w:rsidR="00AD0F38" w:rsidRPr="00626921" w:rsidRDefault="00AD0F38" w:rsidP="00937249">
            <w:pPr>
              <w:pStyle w:val="IRPsanstext"/>
              <w:rPr>
                <w:rFonts w:cs="Arial"/>
                <w:bCs/>
                <w:color w:val="FFFFFF"/>
                <w:sz w:val="18"/>
                <w:szCs w:val="18"/>
              </w:rPr>
            </w:pPr>
          </w:p>
        </w:tc>
        <w:tc>
          <w:tcPr>
            <w:tcW w:w="900" w:type="dxa"/>
            <w:gridSpan w:val="2"/>
            <w:tcBorders>
              <w:top w:val="single" w:sz="4" w:space="0" w:color="auto"/>
              <w:left w:val="nil"/>
              <w:bottom w:val="nil"/>
              <w:right w:val="nil"/>
            </w:tcBorders>
            <w:shd w:val="clear" w:color="auto" w:fill="006A71"/>
            <w:vAlign w:val="bottom"/>
          </w:tcPr>
          <w:p w14:paraId="565C170D" w14:textId="77777777" w:rsidR="00AD0F38" w:rsidRPr="00FF331D" w:rsidRDefault="0026312D" w:rsidP="006762B2">
            <w:pPr>
              <w:pStyle w:val="IRPsanstext"/>
              <w:ind w:left="-18" w:firstLine="18"/>
              <w:rPr>
                <w:rFonts w:cs="Arial"/>
                <w:b/>
                <w:bCs/>
                <w:color w:val="FFFFFF"/>
                <w:sz w:val="18"/>
                <w:szCs w:val="18"/>
              </w:rPr>
            </w:pPr>
            <w:r w:rsidRPr="00FF331D">
              <w:rPr>
                <w:rFonts w:cs="Arial"/>
                <w:b/>
                <w:bCs/>
                <w:color w:val="FFFFFF"/>
                <w:sz w:val="18"/>
                <w:szCs w:val="18"/>
              </w:rPr>
              <w:t>NPV</w:t>
            </w:r>
          </w:p>
        </w:tc>
        <w:tc>
          <w:tcPr>
            <w:tcW w:w="720" w:type="dxa"/>
            <w:tcBorders>
              <w:top w:val="single" w:sz="4" w:space="0" w:color="auto"/>
              <w:left w:val="nil"/>
              <w:bottom w:val="nil"/>
              <w:right w:val="nil"/>
            </w:tcBorders>
            <w:shd w:val="clear" w:color="auto" w:fill="006A71"/>
          </w:tcPr>
          <w:p w14:paraId="25ED37D3" w14:textId="77777777" w:rsidR="00AD0F38" w:rsidRPr="00FF331D" w:rsidRDefault="00AD0F38" w:rsidP="00937249">
            <w:pPr>
              <w:pStyle w:val="IRPsanstext"/>
              <w:rPr>
                <w:rFonts w:cs="Arial"/>
                <w:b/>
                <w:bCs/>
                <w:color w:val="FFFFFF"/>
                <w:sz w:val="18"/>
                <w:szCs w:val="18"/>
              </w:rPr>
            </w:pPr>
            <w:r w:rsidRPr="00FF331D">
              <w:rPr>
                <w:rFonts w:cs="Arial"/>
                <w:b/>
                <w:bCs/>
                <w:color w:val="FFFFFF"/>
                <w:sz w:val="18"/>
                <w:szCs w:val="18"/>
              </w:rPr>
              <w:t>DR</w:t>
            </w:r>
          </w:p>
        </w:tc>
        <w:tc>
          <w:tcPr>
            <w:tcW w:w="630" w:type="dxa"/>
            <w:tcBorders>
              <w:top w:val="single" w:sz="4" w:space="0" w:color="auto"/>
              <w:left w:val="nil"/>
              <w:bottom w:val="nil"/>
              <w:right w:val="nil"/>
            </w:tcBorders>
            <w:shd w:val="clear" w:color="auto" w:fill="006A71"/>
            <w:vAlign w:val="bottom"/>
          </w:tcPr>
          <w:p w14:paraId="188354EC" w14:textId="77777777" w:rsidR="00AD0F38" w:rsidRPr="00FF331D" w:rsidRDefault="00AD0F38" w:rsidP="00937249">
            <w:pPr>
              <w:pStyle w:val="IRPsanstext"/>
              <w:rPr>
                <w:rFonts w:cs="Arial"/>
                <w:b/>
                <w:bCs/>
                <w:color w:val="FFFFFF"/>
                <w:sz w:val="18"/>
                <w:szCs w:val="18"/>
              </w:rPr>
            </w:pPr>
            <w:r w:rsidRPr="00FF331D">
              <w:rPr>
                <w:rFonts w:cs="Arial"/>
                <w:b/>
                <w:bCs/>
                <w:color w:val="FFFFFF"/>
                <w:sz w:val="18"/>
                <w:szCs w:val="18"/>
              </w:rPr>
              <w:t>DSR</w:t>
            </w:r>
          </w:p>
        </w:tc>
        <w:tc>
          <w:tcPr>
            <w:tcW w:w="720" w:type="dxa"/>
            <w:tcBorders>
              <w:top w:val="single" w:sz="4" w:space="0" w:color="auto"/>
              <w:left w:val="nil"/>
              <w:bottom w:val="nil"/>
              <w:right w:val="nil"/>
            </w:tcBorders>
            <w:shd w:val="clear" w:color="auto" w:fill="006A71"/>
            <w:vAlign w:val="bottom"/>
          </w:tcPr>
          <w:p w14:paraId="015DAF37" w14:textId="77777777" w:rsidR="00AD0F38" w:rsidRPr="00FF331D" w:rsidRDefault="00AD0F38" w:rsidP="00937249">
            <w:pPr>
              <w:pStyle w:val="IRPsanstext"/>
              <w:rPr>
                <w:rFonts w:cs="Arial"/>
                <w:b/>
                <w:bCs/>
                <w:color w:val="FFFFFF"/>
                <w:sz w:val="18"/>
                <w:szCs w:val="18"/>
              </w:rPr>
            </w:pPr>
            <w:r w:rsidRPr="00FF331D">
              <w:rPr>
                <w:rFonts w:cs="Arial"/>
                <w:b/>
                <w:bCs/>
                <w:color w:val="FFFFFF"/>
                <w:sz w:val="18"/>
                <w:szCs w:val="18"/>
              </w:rPr>
              <w:t>CCCT</w:t>
            </w:r>
          </w:p>
        </w:tc>
        <w:tc>
          <w:tcPr>
            <w:tcW w:w="990" w:type="dxa"/>
            <w:tcBorders>
              <w:top w:val="single" w:sz="4" w:space="0" w:color="auto"/>
              <w:left w:val="nil"/>
              <w:bottom w:val="nil"/>
              <w:right w:val="nil"/>
            </w:tcBorders>
            <w:shd w:val="clear" w:color="auto" w:fill="006A71"/>
            <w:vAlign w:val="bottom"/>
          </w:tcPr>
          <w:p w14:paraId="02177D6B" w14:textId="77777777" w:rsidR="00AD0F38" w:rsidRPr="00FF331D" w:rsidRDefault="00AD0F38" w:rsidP="00937249">
            <w:pPr>
              <w:pStyle w:val="IRPsanstext"/>
              <w:rPr>
                <w:rFonts w:cs="Arial"/>
                <w:b/>
                <w:bCs/>
                <w:color w:val="FFFFFF"/>
                <w:sz w:val="18"/>
                <w:szCs w:val="18"/>
              </w:rPr>
            </w:pPr>
            <w:proofErr w:type="spellStart"/>
            <w:r w:rsidRPr="00FF331D">
              <w:rPr>
                <w:rFonts w:cs="Arial"/>
                <w:b/>
                <w:bCs/>
                <w:color w:val="FFFFFF"/>
                <w:sz w:val="18"/>
                <w:szCs w:val="18"/>
              </w:rPr>
              <w:t>Peaker</w:t>
            </w:r>
            <w:proofErr w:type="spellEnd"/>
          </w:p>
        </w:tc>
        <w:tc>
          <w:tcPr>
            <w:tcW w:w="720" w:type="dxa"/>
            <w:tcBorders>
              <w:top w:val="single" w:sz="4" w:space="0" w:color="auto"/>
              <w:left w:val="nil"/>
              <w:bottom w:val="nil"/>
              <w:right w:val="nil"/>
            </w:tcBorders>
            <w:shd w:val="clear" w:color="auto" w:fill="006A71"/>
            <w:vAlign w:val="bottom"/>
          </w:tcPr>
          <w:p w14:paraId="5A331A55" w14:textId="77777777" w:rsidR="00AD0F38" w:rsidRPr="00FF331D" w:rsidRDefault="00AD0F38" w:rsidP="00937249">
            <w:pPr>
              <w:pStyle w:val="IRPsanstext"/>
              <w:rPr>
                <w:rFonts w:cs="Arial"/>
                <w:b/>
                <w:bCs/>
                <w:color w:val="FFFFFF"/>
                <w:sz w:val="18"/>
                <w:szCs w:val="18"/>
              </w:rPr>
            </w:pPr>
            <w:r w:rsidRPr="00FF331D">
              <w:rPr>
                <w:rFonts w:cs="Arial"/>
                <w:b/>
                <w:bCs/>
                <w:color w:val="FFFFFF"/>
                <w:sz w:val="18"/>
                <w:szCs w:val="18"/>
              </w:rPr>
              <w:t>Wind</w:t>
            </w:r>
          </w:p>
        </w:tc>
        <w:tc>
          <w:tcPr>
            <w:tcW w:w="990" w:type="dxa"/>
            <w:tcBorders>
              <w:top w:val="single" w:sz="4" w:space="0" w:color="auto"/>
              <w:left w:val="nil"/>
              <w:bottom w:val="nil"/>
              <w:right w:val="nil"/>
            </w:tcBorders>
            <w:shd w:val="clear" w:color="auto" w:fill="006A71"/>
            <w:vAlign w:val="bottom"/>
          </w:tcPr>
          <w:p w14:paraId="75861783" w14:textId="77777777" w:rsidR="00AD0F38" w:rsidRPr="00FF331D" w:rsidRDefault="00AD0F38" w:rsidP="00937249">
            <w:pPr>
              <w:pStyle w:val="IRPsanstext"/>
              <w:rPr>
                <w:rFonts w:cs="Arial"/>
                <w:b/>
                <w:bCs/>
                <w:color w:val="FFFFFF"/>
                <w:sz w:val="18"/>
                <w:szCs w:val="18"/>
              </w:rPr>
            </w:pPr>
            <w:r w:rsidRPr="00FF331D">
              <w:rPr>
                <w:rFonts w:cs="Arial"/>
                <w:b/>
                <w:bCs/>
                <w:color w:val="FFFFFF"/>
                <w:sz w:val="18"/>
                <w:szCs w:val="18"/>
              </w:rPr>
              <w:t>Biomass</w:t>
            </w:r>
          </w:p>
        </w:tc>
        <w:tc>
          <w:tcPr>
            <w:tcW w:w="900" w:type="dxa"/>
            <w:tcBorders>
              <w:top w:val="single" w:sz="4" w:space="0" w:color="auto"/>
              <w:left w:val="nil"/>
              <w:bottom w:val="nil"/>
              <w:right w:val="single" w:sz="4" w:space="0" w:color="auto"/>
            </w:tcBorders>
            <w:shd w:val="clear" w:color="auto" w:fill="006A71"/>
            <w:vAlign w:val="bottom"/>
          </w:tcPr>
          <w:p w14:paraId="3440EC02" w14:textId="77777777" w:rsidR="00AD0F38" w:rsidRPr="00FF331D" w:rsidRDefault="00AD0F38" w:rsidP="00937249">
            <w:pPr>
              <w:pStyle w:val="IRPsanstext"/>
              <w:rPr>
                <w:rFonts w:cs="Arial"/>
                <w:b/>
                <w:bCs/>
                <w:color w:val="FFFFFF"/>
                <w:sz w:val="18"/>
                <w:szCs w:val="18"/>
              </w:rPr>
            </w:pPr>
            <w:r w:rsidRPr="00FF331D">
              <w:rPr>
                <w:rFonts w:cs="Arial"/>
                <w:b/>
                <w:bCs/>
                <w:color w:val="FFFFFF"/>
                <w:sz w:val="18"/>
                <w:szCs w:val="18"/>
              </w:rPr>
              <w:t>Battery</w:t>
            </w:r>
          </w:p>
        </w:tc>
      </w:tr>
      <w:tr w:rsidR="006762B2" w:rsidRPr="00937249" w14:paraId="7214C631" w14:textId="77777777">
        <w:trPr>
          <w:trHeight w:hRule="exact" w:val="90"/>
        </w:trPr>
        <w:tc>
          <w:tcPr>
            <w:tcW w:w="450" w:type="dxa"/>
            <w:tcBorders>
              <w:top w:val="nil"/>
              <w:left w:val="single" w:sz="4" w:space="0" w:color="auto"/>
              <w:bottom w:val="single" w:sz="4" w:space="0" w:color="auto"/>
              <w:right w:val="nil"/>
            </w:tcBorders>
            <w:shd w:val="clear" w:color="auto" w:fill="807F83"/>
          </w:tcPr>
          <w:p w14:paraId="6C581F9F" w14:textId="77777777" w:rsidR="00AD0F38" w:rsidRPr="00626921" w:rsidRDefault="00AD0F38" w:rsidP="00937249">
            <w:pPr>
              <w:pStyle w:val="IRPsanstext"/>
              <w:rPr>
                <w:rFonts w:cs="Arial"/>
                <w:sz w:val="18"/>
                <w:szCs w:val="18"/>
              </w:rPr>
            </w:pPr>
          </w:p>
        </w:tc>
        <w:tc>
          <w:tcPr>
            <w:tcW w:w="1710" w:type="dxa"/>
            <w:tcBorders>
              <w:top w:val="nil"/>
              <w:left w:val="single" w:sz="4" w:space="0" w:color="auto"/>
              <w:bottom w:val="single" w:sz="4" w:space="0" w:color="auto"/>
              <w:right w:val="nil"/>
            </w:tcBorders>
            <w:shd w:val="clear" w:color="auto" w:fill="807F83"/>
            <w:vAlign w:val="center"/>
          </w:tcPr>
          <w:p w14:paraId="0BC2000A" w14:textId="77777777" w:rsidR="00AD0F38" w:rsidRPr="00626921" w:rsidRDefault="00AD0F38" w:rsidP="00937249">
            <w:pPr>
              <w:pStyle w:val="IRPsanstext"/>
              <w:rPr>
                <w:rFonts w:cs="Arial"/>
                <w:sz w:val="18"/>
                <w:szCs w:val="18"/>
              </w:rPr>
            </w:pPr>
          </w:p>
        </w:tc>
        <w:tc>
          <w:tcPr>
            <w:tcW w:w="1620" w:type="dxa"/>
            <w:gridSpan w:val="3"/>
            <w:tcBorders>
              <w:top w:val="nil"/>
              <w:left w:val="nil"/>
              <w:bottom w:val="single" w:sz="4" w:space="0" w:color="auto"/>
              <w:right w:val="nil"/>
            </w:tcBorders>
            <w:shd w:val="clear" w:color="auto" w:fill="807F83"/>
          </w:tcPr>
          <w:p w14:paraId="2C883B0D" w14:textId="77777777" w:rsidR="00AD0F38" w:rsidRPr="00626921" w:rsidRDefault="00AD0F38" w:rsidP="00937249">
            <w:pPr>
              <w:pStyle w:val="IRPsanstext"/>
              <w:rPr>
                <w:rFonts w:cs="Arial"/>
                <w:sz w:val="18"/>
                <w:szCs w:val="18"/>
              </w:rPr>
            </w:pPr>
          </w:p>
        </w:tc>
        <w:tc>
          <w:tcPr>
            <w:tcW w:w="630" w:type="dxa"/>
            <w:tcBorders>
              <w:top w:val="nil"/>
              <w:left w:val="nil"/>
              <w:bottom w:val="single" w:sz="4" w:space="0" w:color="auto"/>
              <w:right w:val="nil"/>
            </w:tcBorders>
            <w:shd w:val="clear" w:color="auto" w:fill="807F83"/>
          </w:tcPr>
          <w:p w14:paraId="014E3D24" w14:textId="77777777" w:rsidR="00AD0F38" w:rsidRPr="00626921" w:rsidRDefault="00AD0F38" w:rsidP="00937249">
            <w:pPr>
              <w:pStyle w:val="IRPsanstext"/>
              <w:rPr>
                <w:rFonts w:cs="Arial"/>
                <w:sz w:val="18"/>
                <w:szCs w:val="18"/>
              </w:rPr>
            </w:pPr>
          </w:p>
        </w:tc>
        <w:tc>
          <w:tcPr>
            <w:tcW w:w="720" w:type="dxa"/>
            <w:tcBorders>
              <w:top w:val="nil"/>
              <w:left w:val="nil"/>
              <w:bottom w:val="single" w:sz="4" w:space="0" w:color="auto"/>
              <w:right w:val="nil"/>
            </w:tcBorders>
            <w:shd w:val="clear" w:color="auto" w:fill="807F83"/>
          </w:tcPr>
          <w:p w14:paraId="318C3245" w14:textId="77777777" w:rsidR="00AD0F38" w:rsidRPr="00626921" w:rsidRDefault="00AD0F38" w:rsidP="00937249">
            <w:pPr>
              <w:pStyle w:val="IRPsanstext"/>
              <w:rPr>
                <w:rFonts w:cs="Arial"/>
                <w:sz w:val="18"/>
                <w:szCs w:val="18"/>
              </w:rPr>
            </w:pPr>
          </w:p>
        </w:tc>
        <w:tc>
          <w:tcPr>
            <w:tcW w:w="2700" w:type="dxa"/>
            <w:gridSpan w:val="3"/>
            <w:tcBorders>
              <w:top w:val="nil"/>
              <w:left w:val="nil"/>
              <w:bottom w:val="single" w:sz="4" w:space="0" w:color="auto"/>
              <w:right w:val="nil"/>
            </w:tcBorders>
            <w:shd w:val="clear" w:color="auto" w:fill="807F83"/>
          </w:tcPr>
          <w:p w14:paraId="6A7150A4" w14:textId="77777777" w:rsidR="00AD0F38" w:rsidRPr="00626921" w:rsidRDefault="00AD0F38" w:rsidP="00937249">
            <w:pPr>
              <w:pStyle w:val="IRPsanstext"/>
              <w:rPr>
                <w:rFonts w:cs="Arial"/>
                <w:sz w:val="18"/>
                <w:szCs w:val="18"/>
              </w:rPr>
            </w:pPr>
          </w:p>
        </w:tc>
        <w:tc>
          <w:tcPr>
            <w:tcW w:w="900" w:type="dxa"/>
            <w:tcBorders>
              <w:top w:val="nil"/>
              <w:left w:val="nil"/>
              <w:bottom w:val="single" w:sz="4" w:space="0" w:color="auto"/>
              <w:right w:val="single" w:sz="4" w:space="0" w:color="auto"/>
            </w:tcBorders>
            <w:shd w:val="clear" w:color="auto" w:fill="807F83"/>
          </w:tcPr>
          <w:p w14:paraId="182F852D" w14:textId="77777777" w:rsidR="00AD0F38" w:rsidRPr="00626921" w:rsidRDefault="00AD0F38" w:rsidP="00937249">
            <w:pPr>
              <w:pStyle w:val="IRPsanstext"/>
              <w:rPr>
                <w:rFonts w:cs="Arial"/>
                <w:sz w:val="18"/>
                <w:szCs w:val="18"/>
              </w:rPr>
            </w:pPr>
          </w:p>
        </w:tc>
      </w:tr>
      <w:tr w:rsidR="006762B2" w:rsidRPr="00937249" w14:paraId="40E8A3F8" w14:textId="77777777">
        <w:trPr>
          <w:trHeight w:val="360"/>
        </w:trPr>
        <w:tc>
          <w:tcPr>
            <w:tcW w:w="450" w:type="dxa"/>
            <w:tcBorders>
              <w:top w:val="single" w:sz="4" w:space="0" w:color="auto"/>
            </w:tcBorders>
            <w:shd w:val="clear" w:color="auto" w:fill="D6CFCD"/>
          </w:tcPr>
          <w:p w14:paraId="22044482" w14:textId="77777777" w:rsidR="00AD0F38" w:rsidRPr="00626921" w:rsidRDefault="00AD0F38" w:rsidP="00E77908">
            <w:pPr>
              <w:pStyle w:val="IRPsanstext"/>
              <w:jc w:val="both"/>
              <w:rPr>
                <w:rFonts w:cs="Arial"/>
                <w:bCs/>
                <w:iCs/>
                <w:color w:val="000000"/>
                <w:sz w:val="18"/>
                <w:szCs w:val="18"/>
              </w:rPr>
            </w:pPr>
            <w:r w:rsidRPr="00626921">
              <w:rPr>
                <w:rFonts w:cs="Arial"/>
                <w:bCs/>
                <w:iCs/>
                <w:color w:val="000000"/>
                <w:sz w:val="18"/>
                <w:szCs w:val="18"/>
              </w:rPr>
              <w:t>1</w:t>
            </w:r>
          </w:p>
        </w:tc>
        <w:tc>
          <w:tcPr>
            <w:tcW w:w="1710" w:type="dxa"/>
            <w:tcBorders>
              <w:top w:val="single" w:sz="4" w:space="0" w:color="auto"/>
            </w:tcBorders>
            <w:shd w:val="clear" w:color="auto" w:fill="D6CFCD"/>
          </w:tcPr>
          <w:p w14:paraId="18C4E8B3" w14:textId="77777777" w:rsidR="00AD0F38" w:rsidRPr="00626921" w:rsidRDefault="00AD0F38" w:rsidP="00937249">
            <w:pPr>
              <w:pStyle w:val="IRPsanstext"/>
              <w:rPr>
                <w:rFonts w:cs="Arial"/>
                <w:bCs/>
                <w:iCs/>
                <w:color w:val="000000"/>
                <w:sz w:val="18"/>
                <w:szCs w:val="18"/>
              </w:rPr>
            </w:pPr>
            <w:r w:rsidRPr="00626921">
              <w:rPr>
                <w:rFonts w:cs="Arial"/>
                <w:bCs/>
                <w:iCs/>
                <w:color w:val="000000"/>
                <w:sz w:val="18"/>
                <w:szCs w:val="18"/>
              </w:rPr>
              <w:t>Low</w:t>
            </w:r>
          </w:p>
        </w:tc>
        <w:tc>
          <w:tcPr>
            <w:tcW w:w="873" w:type="dxa"/>
            <w:tcBorders>
              <w:top w:val="single" w:sz="4" w:space="0" w:color="auto"/>
            </w:tcBorders>
            <w:vAlign w:val="center"/>
          </w:tcPr>
          <w:p w14:paraId="551FDAB7" w14:textId="77777777" w:rsidR="00AD0F38" w:rsidRPr="00626921" w:rsidRDefault="00AD0F38" w:rsidP="00E77908">
            <w:pPr>
              <w:pStyle w:val="IRPsanstext"/>
              <w:jc w:val="center"/>
              <w:rPr>
                <w:rFonts w:cs="Arial"/>
                <w:bCs/>
                <w:iCs/>
                <w:color w:val="000000"/>
                <w:sz w:val="18"/>
                <w:szCs w:val="18"/>
              </w:rPr>
            </w:pPr>
            <w:r w:rsidRPr="00626921">
              <w:rPr>
                <w:rFonts w:cs="Arial"/>
                <w:bCs/>
                <w:iCs/>
                <w:color w:val="000000"/>
                <w:sz w:val="18"/>
                <w:szCs w:val="18"/>
              </w:rPr>
              <w:t>$7.20</w:t>
            </w:r>
          </w:p>
        </w:tc>
        <w:tc>
          <w:tcPr>
            <w:tcW w:w="747" w:type="dxa"/>
            <w:gridSpan w:val="2"/>
            <w:tcBorders>
              <w:top w:val="single" w:sz="4" w:space="0" w:color="auto"/>
            </w:tcBorders>
            <w:vAlign w:val="center"/>
          </w:tcPr>
          <w:p w14:paraId="42168775" w14:textId="77777777" w:rsidR="00AD0F38" w:rsidRPr="00626921" w:rsidRDefault="00AD0F38" w:rsidP="00E77908">
            <w:pPr>
              <w:pStyle w:val="IRPsanstext"/>
              <w:jc w:val="center"/>
              <w:rPr>
                <w:rFonts w:cs="Arial"/>
                <w:sz w:val="18"/>
                <w:szCs w:val="18"/>
              </w:rPr>
            </w:pPr>
            <w:r w:rsidRPr="00626921">
              <w:rPr>
                <w:rFonts w:cs="Arial"/>
                <w:sz w:val="18"/>
                <w:szCs w:val="18"/>
              </w:rPr>
              <w:t>174</w:t>
            </w:r>
          </w:p>
        </w:tc>
        <w:tc>
          <w:tcPr>
            <w:tcW w:w="630" w:type="dxa"/>
            <w:tcBorders>
              <w:top w:val="single" w:sz="4" w:space="0" w:color="auto"/>
            </w:tcBorders>
            <w:vAlign w:val="center"/>
          </w:tcPr>
          <w:p w14:paraId="75575956" w14:textId="77777777" w:rsidR="00AD0F38" w:rsidRPr="00626921" w:rsidRDefault="00AD0F38" w:rsidP="00E77908">
            <w:pPr>
              <w:pStyle w:val="IRPsanstext"/>
              <w:jc w:val="center"/>
              <w:rPr>
                <w:rFonts w:cs="Arial"/>
                <w:sz w:val="18"/>
                <w:szCs w:val="18"/>
              </w:rPr>
            </w:pPr>
            <w:r w:rsidRPr="00626921">
              <w:rPr>
                <w:rFonts w:cs="Arial"/>
                <w:sz w:val="18"/>
                <w:szCs w:val="18"/>
              </w:rPr>
              <w:t>888</w:t>
            </w:r>
          </w:p>
        </w:tc>
        <w:tc>
          <w:tcPr>
            <w:tcW w:w="720" w:type="dxa"/>
            <w:tcBorders>
              <w:top w:val="single" w:sz="4" w:space="0" w:color="auto"/>
            </w:tcBorders>
            <w:vAlign w:val="center"/>
          </w:tcPr>
          <w:p w14:paraId="330B1D2C" w14:textId="77777777" w:rsidR="00AD0F38" w:rsidRPr="00626921" w:rsidRDefault="00AD0F38" w:rsidP="00E77908">
            <w:pPr>
              <w:pStyle w:val="IRPsanstext"/>
              <w:jc w:val="center"/>
              <w:rPr>
                <w:rFonts w:cs="Arial"/>
                <w:sz w:val="18"/>
                <w:szCs w:val="18"/>
              </w:rPr>
            </w:pPr>
            <w:r w:rsidRPr="00626921">
              <w:rPr>
                <w:rFonts w:cs="Arial"/>
                <w:sz w:val="18"/>
                <w:szCs w:val="18"/>
              </w:rPr>
              <w:t>-</w:t>
            </w:r>
          </w:p>
        </w:tc>
        <w:tc>
          <w:tcPr>
            <w:tcW w:w="990" w:type="dxa"/>
            <w:tcBorders>
              <w:top w:val="single" w:sz="4" w:space="0" w:color="auto"/>
            </w:tcBorders>
            <w:vAlign w:val="center"/>
          </w:tcPr>
          <w:p w14:paraId="4C6AEE3C" w14:textId="77777777" w:rsidR="00AD0F38" w:rsidRPr="00626921" w:rsidRDefault="00AD0F38" w:rsidP="00E77908">
            <w:pPr>
              <w:pStyle w:val="IRPsanstext"/>
              <w:jc w:val="center"/>
              <w:rPr>
                <w:rFonts w:cs="Arial"/>
                <w:sz w:val="18"/>
                <w:szCs w:val="18"/>
              </w:rPr>
            </w:pPr>
            <w:r w:rsidRPr="00626921">
              <w:rPr>
                <w:rFonts w:cs="Arial"/>
                <w:sz w:val="18"/>
                <w:szCs w:val="18"/>
              </w:rPr>
              <w:t>455</w:t>
            </w:r>
          </w:p>
        </w:tc>
        <w:tc>
          <w:tcPr>
            <w:tcW w:w="720" w:type="dxa"/>
            <w:tcBorders>
              <w:top w:val="single" w:sz="4" w:space="0" w:color="auto"/>
            </w:tcBorders>
            <w:vAlign w:val="center"/>
          </w:tcPr>
          <w:p w14:paraId="3D42580D" w14:textId="77777777" w:rsidR="00AD0F38" w:rsidRPr="00626921" w:rsidRDefault="00AD0F38" w:rsidP="00E77908">
            <w:pPr>
              <w:pStyle w:val="IRPsanstext"/>
              <w:jc w:val="center"/>
              <w:rPr>
                <w:rFonts w:cs="Arial"/>
                <w:sz w:val="18"/>
                <w:szCs w:val="18"/>
              </w:rPr>
            </w:pPr>
            <w:r w:rsidRPr="00626921">
              <w:rPr>
                <w:rFonts w:cs="Arial"/>
                <w:sz w:val="18"/>
                <w:szCs w:val="18"/>
              </w:rPr>
              <w:t>200</w:t>
            </w:r>
          </w:p>
        </w:tc>
        <w:tc>
          <w:tcPr>
            <w:tcW w:w="990" w:type="dxa"/>
            <w:tcBorders>
              <w:top w:val="single" w:sz="4" w:space="0" w:color="auto"/>
            </w:tcBorders>
            <w:vAlign w:val="center"/>
          </w:tcPr>
          <w:p w14:paraId="3538C5E9" w14:textId="77777777" w:rsidR="00AD0F38" w:rsidRPr="00626921" w:rsidRDefault="00AD0F38" w:rsidP="00E77908">
            <w:pPr>
              <w:pStyle w:val="IRPsanstext"/>
              <w:jc w:val="center"/>
              <w:rPr>
                <w:rFonts w:cs="Arial"/>
                <w:sz w:val="18"/>
                <w:szCs w:val="18"/>
              </w:rPr>
            </w:pPr>
            <w:r w:rsidRPr="00626921">
              <w:rPr>
                <w:rFonts w:cs="Arial"/>
                <w:sz w:val="18"/>
                <w:szCs w:val="18"/>
              </w:rPr>
              <w:t>-</w:t>
            </w:r>
          </w:p>
        </w:tc>
        <w:tc>
          <w:tcPr>
            <w:tcW w:w="900" w:type="dxa"/>
            <w:tcBorders>
              <w:top w:val="single" w:sz="4" w:space="0" w:color="auto"/>
            </w:tcBorders>
            <w:vAlign w:val="center"/>
          </w:tcPr>
          <w:p w14:paraId="5E0D57A8" w14:textId="77777777" w:rsidR="00AD0F38" w:rsidRPr="00626921" w:rsidRDefault="00AD0F38" w:rsidP="00E77908">
            <w:pPr>
              <w:pStyle w:val="IRPsanstext"/>
              <w:jc w:val="center"/>
              <w:rPr>
                <w:rFonts w:cs="Arial"/>
                <w:sz w:val="18"/>
                <w:szCs w:val="18"/>
              </w:rPr>
            </w:pPr>
            <w:r w:rsidRPr="00626921">
              <w:rPr>
                <w:rFonts w:cs="Arial"/>
                <w:sz w:val="18"/>
                <w:szCs w:val="18"/>
              </w:rPr>
              <w:t>-</w:t>
            </w:r>
          </w:p>
        </w:tc>
      </w:tr>
      <w:tr w:rsidR="006762B2" w:rsidRPr="00937249" w14:paraId="2A4F7A48" w14:textId="77777777">
        <w:trPr>
          <w:trHeight w:val="360"/>
        </w:trPr>
        <w:tc>
          <w:tcPr>
            <w:tcW w:w="450" w:type="dxa"/>
            <w:tcBorders>
              <w:top w:val="single" w:sz="4" w:space="0" w:color="auto"/>
            </w:tcBorders>
            <w:shd w:val="clear" w:color="auto" w:fill="D6CFCD"/>
          </w:tcPr>
          <w:p w14:paraId="37E73610" w14:textId="77777777" w:rsidR="00AD0F38" w:rsidRPr="00626921" w:rsidRDefault="00AD0F38" w:rsidP="00E77908">
            <w:pPr>
              <w:pStyle w:val="IRPsanstext"/>
              <w:jc w:val="both"/>
              <w:rPr>
                <w:rFonts w:cs="Arial"/>
                <w:bCs/>
                <w:iCs/>
                <w:color w:val="000000"/>
                <w:sz w:val="18"/>
                <w:szCs w:val="18"/>
              </w:rPr>
            </w:pPr>
            <w:r w:rsidRPr="00626921">
              <w:rPr>
                <w:rFonts w:cs="Arial"/>
                <w:bCs/>
                <w:iCs/>
                <w:color w:val="000000"/>
                <w:sz w:val="18"/>
                <w:szCs w:val="18"/>
              </w:rPr>
              <w:t>2</w:t>
            </w:r>
          </w:p>
        </w:tc>
        <w:tc>
          <w:tcPr>
            <w:tcW w:w="1710" w:type="dxa"/>
            <w:tcBorders>
              <w:top w:val="single" w:sz="4" w:space="0" w:color="auto"/>
            </w:tcBorders>
            <w:shd w:val="clear" w:color="auto" w:fill="D6CFCD"/>
          </w:tcPr>
          <w:p w14:paraId="3C11DCE7" w14:textId="77777777" w:rsidR="00AD0F38" w:rsidRPr="00626921" w:rsidRDefault="00AD0F38" w:rsidP="00937249">
            <w:pPr>
              <w:pStyle w:val="IRPsanstext"/>
              <w:rPr>
                <w:rFonts w:cs="Arial"/>
                <w:bCs/>
                <w:iCs/>
                <w:color w:val="000000"/>
                <w:sz w:val="18"/>
                <w:szCs w:val="18"/>
              </w:rPr>
            </w:pPr>
            <w:r w:rsidRPr="00626921">
              <w:rPr>
                <w:rFonts w:cs="Arial"/>
                <w:bCs/>
                <w:iCs/>
                <w:color w:val="000000"/>
                <w:sz w:val="18"/>
                <w:szCs w:val="18"/>
              </w:rPr>
              <w:t>Base</w:t>
            </w:r>
          </w:p>
        </w:tc>
        <w:tc>
          <w:tcPr>
            <w:tcW w:w="873" w:type="dxa"/>
            <w:tcBorders>
              <w:top w:val="single" w:sz="4" w:space="0" w:color="auto"/>
            </w:tcBorders>
            <w:vAlign w:val="center"/>
          </w:tcPr>
          <w:p w14:paraId="145462A3" w14:textId="77777777" w:rsidR="00AD0F38" w:rsidRPr="00626921" w:rsidRDefault="00AD0F38" w:rsidP="00E77908">
            <w:pPr>
              <w:pStyle w:val="IRPsanstext"/>
              <w:jc w:val="center"/>
              <w:rPr>
                <w:rFonts w:cs="Arial"/>
                <w:bCs/>
                <w:iCs/>
                <w:color w:val="000000"/>
                <w:sz w:val="18"/>
                <w:szCs w:val="18"/>
              </w:rPr>
            </w:pPr>
            <w:r w:rsidRPr="00626921">
              <w:rPr>
                <w:rFonts w:cs="Arial"/>
                <w:bCs/>
                <w:iCs/>
                <w:color w:val="000000"/>
                <w:sz w:val="18"/>
                <w:szCs w:val="18"/>
              </w:rPr>
              <w:t>$12.28</w:t>
            </w:r>
          </w:p>
        </w:tc>
        <w:tc>
          <w:tcPr>
            <w:tcW w:w="747" w:type="dxa"/>
            <w:gridSpan w:val="2"/>
            <w:tcBorders>
              <w:top w:val="single" w:sz="4" w:space="0" w:color="auto"/>
            </w:tcBorders>
            <w:vAlign w:val="center"/>
          </w:tcPr>
          <w:p w14:paraId="0458BD18" w14:textId="77777777" w:rsidR="00AD0F38" w:rsidRPr="00626921" w:rsidRDefault="00AD0F38" w:rsidP="00E77908">
            <w:pPr>
              <w:pStyle w:val="IRPsanstext"/>
              <w:jc w:val="center"/>
              <w:rPr>
                <w:rFonts w:cs="Arial"/>
                <w:sz w:val="18"/>
                <w:szCs w:val="18"/>
              </w:rPr>
            </w:pPr>
            <w:r w:rsidRPr="00626921">
              <w:rPr>
                <w:rFonts w:cs="Arial"/>
                <w:sz w:val="18"/>
                <w:szCs w:val="18"/>
              </w:rPr>
              <w:t>172</w:t>
            </w:r>
          </w:p>
        </w:tc>
        <w:tc>
          <w:tcPr>
            <w:tcW w:w="630" w:type="dxa"/>
            <w:tcBorders>
              <w:top w:val="single" w:sz="4" w:space="0" w:color="auto"/>
            </w:tcBorders>
            <w:vAlign w:val="center"/>
          </w:tcPr>
          <w:p w14:paraId="5B5AE5D5" w14:textId="77777777" w:rsidR="00AD0F38" w:rsidRPr="00626921" w:rsidRDefault="00AD0F38" w:rsidP="00E77908">
            <w:pPr>
              <w:pStyle w:val="IRPsanstext"/>
              <w:jc w:val="center"/>
              <w:rPr>
                <w:rFonts w:cs="Arial"/>
                <w:sz w:val="18"/>
                <w:szCs w:val="18"/>
              </w:rPr>
            </w:pPr>
            <w:r w:rsidRPr="00626921">
              <w:rPr>
                <w:rFonts w:cs="Arial"/>
                <w:sz w:val="18"/>
                <w:szCs w:val="18"/>
              </w:rPr>
              <w:t>906</w:t>
            </w:r>
          </w:p>
        </w:tc>
        <w:tc>
          <w:tcPr>
            <w:tcW w:w="720" w:type="dxa"/>
            <w:tcBorders>
              <w:top w:val="single" w:sz="4" w:space="0" w:color="auto"/>
            </w:tcBorders>
            <w:vAlign w:val="center"/>
          </w:tcPr>
          <w:p w14:paraId="49300B59" w14:textId="77777777" w:rsidR="00AD0F38" w:rsidRPr="00626921" w:rsidRDefault="00AD0F38" w:rsidP="00E77908">
            <w:pPr>
              <w:pStyle w:val="IRPsanstext"/>
              <w:jc w:val="center"/>
              <w:rPr>
                <w:rFonts w:cs="Arial"/>
                <w:sz w:val="18"/>
                <w:szCs w:val="18"/>
              </w:rPr>
            </w:pPr>
            <w:r w:rsidRPr="00626921">
              <w:rPr>
                <w:rFonts w:cs="Arial"/>
                <w:sz w:val="18"/>
                <w:szCs w:val="18"/>
              </w:rPr>
              <w:t>-</w:t>
            </w:r>
          </w:p>
        </w:tc>
        <w:tc>
          <w:tcPr>
            <w:tcW w:w="990" w:type="dxa"/>
            <w:tcBorders>
              <w:top w:val="single" w:sz="4" w:space="0" w:color="auto"/>
            </w:tcBorders>
            <w:vAlign w:val="center"/>
          </w:tcPr>
          <w:p w14:paraId="53302F8B" w14:textId="77777777" w:rsidR="00AD0F38" w:rsidRPr="00626921" w:rsidRDefault="00AD0F38" w:rsidP="00E77908">
            <w:pPr>
              <w:pStyle w:val="IRPsanstext"/>
              <w:jc w:val="center"/>
              <w:rPr>
                <w:rFonts w:cs="Arial"/>
                <w:sz w:val="18"/>
                <w:szCs w:val="18"/>
              </w:rPr>
            </w:pPr>
            <w:r w:rsidRPr="00626921">
              <w:rPr>
                <w:rFonts w:cs="Arial"/>
                <w:sz w:val="18"/>
                <w:szCs w:val="18"/>
              </w:rPr>
              <w:t>1,138</w:t>
            </w:r>
          </w:p>
        </w:tc>
        <w:tc>
          <w:tcPr>
            <w:tcW w:w="720" w:type="dxa"/>
            <w:tcBorders>
              <w:top w:val="single" w:sz="4" w:space="0" w:color="auto"/>
            </w:tcBorders>
            <w:vAlign w:val="center"/>
          </w:tcPr>
          <w:p w14:paraId="7A9CDC02" w14:textId="77777777" w:rsidR="00AD0F38" w:rsidRPr="00626921" w:rsidRDefault="00AD0F38" w:rsidP="00E77908">
            <w:pPr>
              <w:pStyle w:val="IRPsanstext"/>
              <w:jc w:val="center"/>
              <w:rPr>
                <w:rFonts w:cs="Arial"/>
                <w:sz w:val="18"/>
                <w:szCs w:val="18"/>
              </w:rPr>
            </w:pPr>
            <w:r w:rsidRPr="00626921">
              <w:rPr>
                <w:rFonts w:cs="Arial"/>
                <w:sz w:val="18"/>
                <w:szCs w:val="18"/>
              </w:rPr>
              <w:t>300</w:t>
            </w:r>
          </w:p>
        </w:tc>
        <w:tc>
          <w:tcPr>
            <w:tcW w:w="990" w:type="dxa"/>
            <w:tcBorders>
              <w:top w:val="single" w:sz="4" w:space="0" w:color="auto"/>
            </w:tcBorders>
            <w:vAlign w:val="center"/>
          </w:tcPr>
          <w:p w14:paraId="6EB123DF" w14:textId="77777777" w:rsidR="00AD0F38" w:rsidRPr="00626921" w:rsidRDefault="00AD0F38" w:rsidP="00E77908">
            <w:pPr>
              <w:pStyle w:val="IRPsanstext"/>
              <w:jc w:val="center"/>
              <w:rPr>
                <w:rFonts w:cs="Arial"/>
                <w:sz w:val="18"/>
                <w:szCs w:val="18"/>
              </w:rPr>
            </w:pPr>
            <w:r w:rsidRPr="00626921">
              <w:rPr>
                <w:rFonts w:cs="Arial"/>
                <w:sz w:val="18"/>
                <w:szCs w:val="18"/>
              </w:rPr>
              <w:t>15</w:t>
            </w:r>
          </w:p>
        </w:tc>
        <w:tc>
          <w:tcPr>
            <w:tcW w:w="900" w:type="dxa"/>
            <w:tcBorders>
              <w:top w:val="single" w:sz="4" w:space="0" w:color="auto"/>
            </w:tcBorders>
            <w:vAlign w:val="center"/>
          </w:tcPr>
          <w:p w14:paraId="1CBA18A0" w14:textId="77777777" w:rsidR="00AD0F38" w:rsidRPr="00626921" w:rsidRDefault="00AD0F38" w:rsidP="00E77908">
            <w:pPr>
              <w:pStyle w:val="IRPsanstext"/>
              <w:jc w:val="center"/>
              <w:rPr>
                <w:rFonts w:cs="Arial"/>
                <w:sz w:val="18"/>
                <w:szCs w:val="18"/>
              </w:rPr>
            </w:pPr>
            <w:r w:rsidRPr="00626921">
              <w:rPr>
                <w:rFonts w:cs="Arial"/>
                <w:sz w:val="18"/>
                <w:szCs w:val="18"/>
              </w:rPr>
              <w:t>80</w:t>
            </w:r>
          </w:p>
        </w:tc>
      </w:tr>
      <w:tr w:rsidR="006762B2" w:rsidRPr="00937249" w14:paraId="2B19FC40" w14:textId="77777777">
        <w:trPr>
          <w:trHeight w:val="360"/>
        </w:trPr>
        <w:tc>
          <w:tcPr>
            <w:tcW w:w="450" w:type="dxa"/>
            <w:shd w:val="clear" w:color="auto" w:fill="D6CFCD"/>
          </w:tcPr>
          <w:p w14:paraId="4612F2EC" w14:textId="77777777" w:rsidR="00AD0F38" w:rsidRPr="00626921" w:rsidRDefault="00AD0F38" w:rsidP="00E77908">
            <w:pPr>
              <w:pStyle w:val="IRPsanstext"/>
              <w:jc w:val="both"/>
              <w:rPr>
                <w:rFonts w:cs="Arial"/>
                <w:bCs/>
                <w:iCs/>
                <w:color w:val="000000"/>
                <w:sz w:val="18"/>
                <w:szCs w:val="18"/>
              </w:rPr>
            </w:pPr>
            <w:r w:rsidRPr="00626921">
              <w:rPr>
                <w:rFonts w:cs="Arial"/>
                <w:bCs/>
                <w:iCs/>
                <w:color w:val="000000"/>
                <w:sz w:val="18"/>
                <w:szCs w:val="18"/>
              </w:rPr>
              <w:t>3</w:t>
            </w:r>
          </w:p>
        </w:tc>
        <w:tc>
          <w:tcPr>
            <w:tcW w:w="1710" w:type="dxa"/>
            <w:shd w:val="clear" w:color="auto" w:fill="D6CFCD"/>
          </w:tcPr>
          <w:p w14:paraId="5FFE2E9C" w14:textId="77777777" w:rsidR="00AD0F38" w:rsidRPr="00626921" w:rsidRDefault="00AD0F38" w:rsidP="00937249">
            <w:pPr>
              <w:pStyle w:val="IRPsanstext"/>
              <w:rPr>
                <w:rFonts w:cs="Arial"/>
                <w:bCs/>
                <w:iCs/>
                <w:color w:val="000000"/>
                <w:sz w:val="18"/>
                <w:szCs w:val="18"/>
              </w:rPr>
            </w:pPr>
            <w:r w:rsidRPr="00626921">
              <w:rPr>
                <w:rFonts w:cs="Arial"/>
                <w:bCs/>
                <w:iCs/>
                <w:color w:val="000000"/>
                <w:sz w:val="18"/>
                <w:szCs w:val="18"/>
              </w:rPr>
              <w:t>High</w:t>
            </w:r>
          </w:p>
        </w:tc>
        <w:tc>
          <w:tcPr>
            <w:tcW w:w="873" w:type="dxa"/>
            <w:vAlign w:val="center"/>
          </w:tcPr>
          <w:p w14:paraId="354EFF93" w14:textId="77777777" w:rsidR="00AD0F38" w:rsidRPr="00626921" w:rsidRDefault="00AD0F38" w:rsidP="00E77908">
            <w:pPr>
              <w:pStyle w:val="IRPsanstext"/>
              <w:jc w:val="center"/>
              <w:rPr>
                <w:rFonts w:cs="Arial"/>
                <w:bCs/>
                <w:iCs/>
                <w:color w:val="000000"/>
                <w:sz w:val="18"/>
                <w:szCs w:val="18"/>
              </w:rPr>
            </w:pPr>
            <w:r w:rsidRPr="00626921">
              <w:rPr>
                <w:rFonts w:cs="Arial"/>
                <w:bCs/>
                <w:iCs/>
                <w:color w:val="000000"/>
                <w:sz w:val="18"/>
                <w:szCs w:val="18"/>
              </w:rPr>
              <w:t>$17.59</w:t>
            </w:r>
          </w:p>
        </w:tc>
        <w:tc>
          <w:tcPr>
            <w:tcW w:w="747" w:type="dxa"/>
            <w:gridSpan w:val="2"/>
            <w:vAlign w:val="center"/>
          </w:tcPr>
          <w:p w14:paraId="32AF6945" w14:textId="77777777" w:rsidR="00AD0F38" w:rsidRPr="00626921" w:rsidRDefault="00AD0F38" w:rsidP="00E77908">
            <w:pPr>
              <w:pStyle w:val="IRPsanstext"/>
              <w:jc w:val="center"/>
              <w:rPr>
                <w:rFonts w:cs="Arial"/>
                <w:sz w:val="18"/>
                <w:szCs w:val="18"/>
              </w:rPr>
            </w:pPr>
            <w:r w:rsidRPr="00626921">
              <w:rPr>
                <w:rFonts w:cs="Arial"/>
                <w:sz w:val="18"/>
                <w:szCs w:val="18"/>
              </w:rPr>
              <w:t>174</w:t>
            </w:r>
          </w:p>
        </w:tc>
        <w:tc>
          <w:tcPr>
            <w:tcW w:w="630" w:type="dxa"/>
            <w:vAlign w:val="center"/>
          </w:tcPr>
          <w:p w14:paraId="0E663EC2" w14:textId="77777777" w:rsidR="00AD0F38" w:rsidRPr="00626921" w:rsidRDefault="00AD0F38" w:rsidP="00E77908">
            <w:pPr>
              <w:pStyle w:val="IRPsanstext"/>
              <w:jc w:val="center"/>
              <w:rPr>
                <w:rFonts w:cs="Arial"/>
                <w:sz w:val="18"/>
                <w:szCs w:val="18"/>
              </w:rPr>
            </w:pPr>
            <w:r w:rsidRPr="00626921">
              <w:rPr>
                <w:rFonts w:cs="Arial"/>
                <w:sz w:val="18"/>
                <w:szCs w:val="18"/>
              </w:rPr>
              <w:t>906</w:t>
            </w:r>
          </w:p>
        </w:tc>
        <w:tc>
          <w:tcPr>
            <w:tcW w:w="720" w:type="dxa"/>
            <w:vAlign w:val="center"/>
          </w:tcPr>
          <w:p w14:paraId="03823EEB" w14:textId="77777777" w:rsidR="00AD0F38" w:rsidRPr="00626921" w:rsidRDefault="00AD0F38" w:rsidP="00E77908">
            <w:pPr>
              <w:pStyle w:val="IRPsanstext"/>
              <w:jc w:val="center"/>
              <w:rPr>
                <w:rFonts w:cs="Arial"/>
                <w:sz w:val="18"/>
                <w:szCs w:val="18"/>
              </w:rPr>
            </w:pPr>
            <w:r w:rsidRPr="00626921">
              <w:rPr>
                <w:rFonts w:cs="Arial"/>
                <w:sz w:val="18"/>
                <w:szCs w:val="18"/>
              </w:rPr>
              <w:t>2,312</w:t>
            </w:r>
          </w:p>
        </w:tc>
        <w:tc>
          <w:tcPr>
            <w:tcW w:w="990" w:type="dxa"/>
            <w:vAlign w:val="center"/>
          </w:tcPr>
          <w:p w14:paraId="36B477D1" w14:textId="77777777" w:rsidR="00AD0F38" w:rsidRPr="00626921" w:rsidRDefault="00AD0F38" w:rsidP="00E77908">
            <w:pPr>
              <w:pStyle w:val="IRPsanstext"/>
              <w:jc w:val="center"/>
              <w:rPr>
                <w:rFonts w:cs="Arial"/>
                <w:sz w:val="18"/>
                <w:szCs w:val="18"/>
              </w:rPr>
            </w:pPr>
            <w:r w:rsidRPr="00626921">
              <w:rPr>
                <w:rFonts w:cs="Arial"/>
                <w:sz w:val="18"/>
                <w:szCs w:val="18"/>
              </w:rPr>
              <w:t>-</w:t>
            </w:r>
          </w:p>
        </w:tc>
        <w:tc>
          <w:tcPr>
            <w:tcW w:w="720" w:type="dxa"/>
            <w:vAlign w:val="center"/>
          </w:tcPr>
          <w:p w14:paraId="44655A7A" w14:textId="77777777" w:rsidR="00AD0F38" w:rsidRPr="00626921" w:rsidRDefault="00AD0F38" w:rsidP="00E77908">
            <w:pPr>
              <w:pStyle w:val="IRPsanstext"/>
              <w:jc w:val="center"/>
              <w:rPr>
                <w:rFonts w:cs="Arial"/>
                <w:sz w:val="18"/>
                <w:szCs w:val="18"/>
              </w:rPr>
            </w:pPr>
            <w:r w:rsidRPr="00626921">
              <w:rPr>
                <w:rFonts w:cs="Arial"/>
                <w:sz w:val="18"/>
                <w:szCs w:val="18"/>
              </w:rPr>
              <w:t>1,000</w:t>
            </w:r>
          </w:p>
        </w:tc>
        <w:tc>
          <w:tcPr>
            <w:tcW w:w="990" w:type="dxa"/>
            <w:vAlign w:val="center"/>
          </w:tcPr>
          <w:p w14:paraId="7F4CD415" w14:textId="77777777" w:rsidR="00AD0F38" w:rsidRPr="00626921" w:rsidRDefault="00AD0F38" w:rsidP="00E77908">
            <w:pPr>
              <w:pStyle w:val="IRPsanstext"/>
              <w:jc w:val="center"/>
              <w:rPr>
                <w:rFonts w:cs="Arial"/>
                <w:sz w:val="18"/>
                <w:szCs w:val="18"/>
              </w:rPr>
            </w:pPr>
            <w:r w:rsidRPr="00626921">
              <w:rPr>
                <w:rFonts w:cs="Arial"/>
                <w:sz w:val="18"/>
                <w:szCs w:val="18"/>
              </w:rPr>
              <w:t>-</w:t>
            </w:r>
          </w:p>
        </w:tc>
        <w:tc>
          <w:tcPr>
            <w:tcW w:w="900" w:type="dxa"/>
            <w:vAlign w:val="center"/>
          </w:tcPr>
          <w:p w14:paraId="41711AB2" w14:textId="77777777" w:rsidR="00AD0F38" w:rsidRPr="00626921" w:rsidRDefault="00AD0F38" w:rsidP="00E77908">
            <w:pPr>
              <w:pStyle w:val="IRPsanstext"/>
              <w:jc w:val="center"/>
              <w:rPr>
                <w:rFonts w:cs="Arial"/>
                <w:sz w:val="18"/>
                <w:szCs w:val="18"/>
              </w:rPr>
            </w:pPr>
            <w:r w:rsidRPr="00626921">
              <w:rPr>
                <w:rFonts w:cs="Arial"/>
                <w:sz w:val="18"/>
                <w:szCs w:val="18"/>
              </w:rPr>
              <w:t>-</w:t>
            </w:r>
          </w:p>
        </w:tc>
      </w:tr>
      <w:tr w:rsidR="006762B2" w:rsidRPr="00937249" w14:paraId="1E98A5FF" w14:textId="77777777">
        <w:trPr>
          <w:trHeight w:val="360"/>
        </w:trPr>
        <w:tc>
          <w:tcPr>
            <w:tcW w:w="450" w:type="dxa"/>
            <w:shd w:val="clear" w:color="auto" w:fill="D6CFCD"/>
          </w:tcPr>
          <w:p w14:paraId="1EEEF812" w14:textId="77777777" w:rsidR="00AD0F38" w:rsidRPr="00626921" w:rsidRDefault="00AD0F38" w:rsidP="00E77908">
            <w:pPr>
              <w:pStyle w:val="IRPsanstext"/>
              <w:jc w:val="both"/>
              <w:rPr>
                <w:rFonts w:cs="Arial"/>
                <w:bCs/>
                <w:iCs/>
                <w:color w:val="000000"/>
                <w:sz w:val="18"/>
                <w:szCs w:val="18"/>
              </w:rPr>
            </w:pPr>
            <w:r w:rsidRPr="00626921">
              <w:rPr>
                <w:rFonts w:cs="Arial"/>
                <w:bCs/>
                <w:iCs/>
                <w:color w:val="000000"/>
                <w:sz w:val="18"/>
                <w:szCs w:val="18"/>
              </w:rPr>
              <w:t>4</w:t>
            </w:r>
          </w:p>
        </w:tc>
        <w:tc>
          <w:tcPr>
            <w:tcW w:w="1710" w:type="dxa"/>
            <w:shd w:val="clear" w:color="auto" w:fill="D6CFCD"/>
          </w:tcPr>
          <w:p w14:paraId="50AF95B1" w14:textId="77777777" w:rsidR="00AD0F38" w:rsidRPr="00626921" w:rsidRDefault="00AD0F38" w:rsidP="00937249">
            <w:pPr>
              <w:pStyle w:val="IRPsanstext"/>
              <w:rPr>
                <w:rFonts w:cs="Arial"/>
                <w:bCs/>
                <w:iCs/>
                <w:color w:val="000000"/>
                <w:sz w:val="18"/>
                <w:szCs w:val="18"/>
              </w:rPr>
            </w:pPr>
            <w:r w:rsidRPr="00626921">
              <w:rPr>
                <w:rFonts w:cs="Arial"/>
                <w:bCs/>
                <w:iCs/>
                <w:color w:val="000000"/>
                <w:sz w:val="18"/>
                <w:szCs w:val="18"/>
              </w:rPr>
              <w:t>Base + Low Gas Price</w:t>
            </w:r>
          </w:p>
        </w:tc>
        <w:tc>
          <w:tcPr>
            <w:tcW w:w="873" w:type="dxa"/>
            <w:vAlign w:val="center"/>
          </w:tcPr>
          <w:p w14:paraId="7B0E8841" w14:textId="77777777" w:rsidR="00AD0F38" w:rsidRPr="00626921" w:rsidRDefault="00AD0F38" w:rsidP="00E77908">
            <w:pPr>
              <w:pStyle w:val="IRPsanstext"/>
              <w:jc w:val="center"/>
              <w:rPr>
                <w:rFonts w:cs="Arial"/>
                <w:bCs/>
                <w:iCs/>
                <w:color w:val="000000"/>
                <w:sz w:val="18"/>
                <w:szCs w:val="18"/>
              </w:rPr>
            </w:pPr>
            <w:r w:rsidRPr="00626921">
              <w:rPr>
                <w:rFonts w:cs="Arial"/>
                <w:bCs/>
                <w:iCs/>
                <w:color w:val="000000"/>
                <w:sz w:val="18"/>
                <w:szCs w:val="18"/>
              </w:rPr>
              <w:t>$11.57</w:t>
            </w:r>
          </w:p>
        </w:tc>
        <w:tc>
          <w:tcPr>
            <w:tcW w:w="747" w:type="dxa"/>
            <w:gridSpan w:val="2"/>
            <w:vAlign w:val="center"/>
          </w:tcPr>
          <w:p w14:paraId="778E2776" w14:textId="77777777" w:rsidR="00AD0F38" w:rsidRPr="00626921" w:rsidRDefault="00AD0F38" w:rsidP="00E77908">
            <w:pPr>
              <w:pStyle w:val="IRPsanstext"/>
              <w:jc w:val="center"/>
              <w:rPr>
                <w:rFonts w:cs="Arial"/>
                <w:sz w:val="18"/>
                <w:szCs w:val="18"/>
              </w:rPr>
            </w:pPr>
            <w:r w:rsidRPr="00626921">
              <w:rPr>
                <w:rFonts w:cs="Arial"/>
                <w:sz w:val="18"/>
                <w:szCs w:val="18"/>
              </w:rPr>
              <w:t>172</w:t>
            </w:r>
          </w:p>
        </w:tc>
        <w:tc>
          <w:tcPr>
            <w:tcW w:w="630" w:type="dxa"/>
            <w:vAlign w:val="center"/>
          </w:tcPr>
          <w:p w14:paraId="238CD1D4" w14:textId="77777777" w:rsidR="00AD0F38" w:rsidRPr="00626921" w:rsidRDefault="00AD0F38" w:rsidP="00E77908">
            <w:pPr>
              <w:pStyle w:val="IRPsanstext"/>
              <w:jc w:val="center"/>
              <w:rPr>
                <w:rFonts w:cs="Arial"/>
                <w:sz w:val="18"/>
                <w:szCs w:val="18"/>
              </w:rPr>
            </w:pPr>
            <w:r w:rsidRPr="00626921">
              <w:rPr>
                <w:rFonts w:cs="Arial"/>
                <w:sz w:val="18"/>
                <w:szCs w:val="18"/>
              </w:rPr>
              <w:t>906</w:t>
            </w:r>
          </w:p>
        </w:tc>
        <w:tc>
          <w:tcPr>
            <w:tcW w:w="720" w:type="dxa"/>
            <w:vAlign w:val="center"/>
          </w:tcPr>
          <w:p w14:paraId="6C5A8482" w14:textId="77777777" w:rsidR="00AD0F38" w:rsidRPr="00626921" w:rsidRDefault="00AD0F38" w:rsidP="00E77908">
            <w:pPr>
              <w:pStyle w:val="IRPsanstext"/>
              <w:jc w:val="center"/>
              <w:rPr>
                <w:rFonts w:cs="Arial"/>
                <w:sz w:val="18"/>
                <w:szCs w:val="18"/>
              </w:rPr>
            </w:pPr>
            <w:r w:rsidRPr="00626921">
              <w:rPr>
                <w:rFonts w:cs="Arial"/>
                <w:sz w:val="18"/>
                <w:szCs w:val="18"/>
              </w:rPr>
              <w:t>771</w:t>
            </w:r>
          </w:p>
        </w:tc>
        <w:tc>
          <w:tcPr>
            <w:tcW w:w="990" w:type="dxa"/>
            <w:vAlign w:val="center"/>
          </w:tcPr>
          <w:p w14:paraId="679A6EE7" w14:textId="77777777" w:rsidR="00AD0F38" w:rsidRPr="00626921" w:rsidRDefault="00AD0F38" w:rsidP="00E77908">
            <w:pPr>
              <w:pStyle w:val="IRPsanstext"/>
              <w:jc w:val="center"/>
              <w:rPr>
                <w:rFonts w:cs="Arial"/>
                <w:sz w:val="18"/>
                <w:szCs w:val="18"/>
              </w:rPr>
            </w:pPr>
            <w:r w:rsidRPr="00626921">
              <w:rPr>
                <w:rFonts w:cs="Arial"/>
                <w:sz w:val="18"/>
                <w:szCs w:val="18"/>
              </w:rPr>
              <w:t>455</w:t>
            </w:r>
          </w:p>
        </w:tc>
        <w:tc>
          <w:tcPr>
            <w:tcW w:w="720" w:type="dxa"/>
            <w:vAlign w:val="center"/>
          </w:tcPr>
          <w:p w14:paraId="2A9D818A" w14:textId="77777777" w:rsidR="00AD0F38" w:rsidRPr="00626921" w:rsidRDefault="00AD0F38" w:rsidP="00E77908">
            <w:pPr>
              <w:pStyle w:val="IRPsanstext"/>
              <w:jc w:val="center"/>
              <w:rPr>
                <w:rFonts w:cs="Arial"/>
                <w:sz w:val="18"/>
                <w:szCs w:val="18"/>
              </w:rPr>
            </w:pPr>
            <w:r w:rsidRPr="00626921">
              <w:rPr>
                <w:rFonts w:cs="Arial"/>
                <w:sz w:val="18"/>
                <w:szCs w:val="18"/>
              </w:rPr>
              <w:t>300</w:t>
            </w:r>
          </w:p>
        </w:tc>
        <w:tc>
          <w:tcPr>
            <w:tcW w:w="990" w:type="dxa"/>
            <w:vAlign w:val="center"/>
          </w:tcPr>
          <w:p w14:paraId="777F5B01" w14:textId="77777777" w:rsidR="00AD0F38" w:rsidRPr="00626921" w:rsidRDefault="00AD0F38" w:rsidP="00E77908">
            <w:pPr>
              <w:pStyle w:val="IRPsanstext"/>
              <w:jc w:val="center"/>
              <w:rPr>
                <w:rFonts w:cs="Arial"/>
                <w:sz w:val="18"/>
                <w:szCs w:val="18"/>
              </w:rPr>
            </w:pPr>
            <w:r w:rsidRPr="00626921">
              <w:rPr>
                <w:rFonts w:cs="Arial"/>
                <w:sz w:val="18"/>
                <w:szCs w:val="18"/>
              </w:rPr>
              <w:t>15</w:t>
            </w:r>
          </w:p>
        </w:tc>
        <w:tc>
          <w:tcPr>
            <w:tcW w:w="900" w:type="dxa"/>
            <w:vAlign w:val="center"/>
          </w:tcPr>
          <w:p w14:paraId="6BD32754" w14:textId="77777777" w:rsidR="00AD0F38" w:rsidRPr="00626921" w:rsidRDefault="00AD0F38" w:rsidP="00E77908">
            <w:pPr>
              <w:pStyle w:val="IRPsanstext"/>
              <w:jc w:val="center"/>
              <w:rPr>
                <w:rFonts w:cs="Arial"/>
                <w:sz w:val="18"/>
                <w:szCs w:val="18"/>
              </w:rPr>
            </w:pPr>
            <w:r w:rsidRPr="00626921">
              <w:rPr>
                <w:rFonts w:cs="Arial"/>
                <w:sz w:val="18"/>
                <w:szCs w:val="18"/>
              </w:rPr>
              <w:t>-</w:t>
            </w:r>
          </w:p>
        </w:tc>
      </w:tr>
      <w:tr w:rsidR="006762B2" w:rsidRPr="00937249" w14:paraId="2A079CC4" w14:textId="77777777">
        <w:trPr>
          <w:trHeight w:val="360"/>
        </w:trPr>
        <w:tc>
          <w:tcPr>
            <w:tcW w:w="450" w:type="dxa"/>
            <w:shd w:val="clear" w:color="auto" w:fill="D6CFCD"/>
          </w:tcPr>
          <w:p w14:paraId="6124F170" w14:textId="77777777" w:rsidR="00AD0F38" w:rsidRPr="00626921" w:rsidRDefault="00AD0F38" w:rsidP="00E77908">
            <w:pPr>
              <w:pStyle w:val="IRPsanstext"/>
              <w:jc w:val="both"/>
              <w:rPr>
                <w:rFonts w:cs="Arial"/>
                <w:bCs/>
                <w:iCs/>
                <w:color w:val="000000"/>
                <w:sz w:val="18"/>
                <w:szCs w:val="18"/>
              </w:rPr>
            </w:pPr>
            <w:r w:rsidRPr="00626921">
              <w:rPr>
                <w:rFonts w:cs="Arial"/>
                <w:bCs/>
                <w:iCs/>
                <w:color w:val="000000"/>
                <w:sz w:val="18"/>
                <w:szCs w:val="18"/>
              </w:rPr>
              <w:t>5</w:t>
            </w:r>
          </w:p>
        </w:tc>
        <w:tc>
          <w:tcPr>
            <w:tcW w:w="1710" w:type="dxa"/>
            <w:shd w:val="clear" w:color="auto" w:fill="D6CFCD"/>
          </w:tcPr>
          <w:p w14:paraId="614F52AB" w14:textId="77777777" w:rsidR="00AD0F38" w:rsidRPr="00626921" w:rsidRDefault="00AD0F38" w:rsidP="00937249">
            <w:pPr>
              <w:pStyle w:val="IRPsanstext"/>
              <w:rPr>
                <w:rFonts w:cs="Arial"/>
                <w:bCs/>
                <w:iCs/>
                <w:color w:val="000000"/>
                <w:sz w:val="18"/>
                <w:szCs w:val="18"/>
              </w:rPr>
            </w:pPr>
            <w:r w:rsidRPr="00626921">
              <w:rPr>
                <w:rFonts w:cs="Arial"/>
                <w:bCs/>
                <w:iCs/>
                <w:color w:val="000000"/>
                <w:sz w:val="18"/>
                <w:szCs w:val="18"/>
              </w:rPr>
              <w:t>Base + High Gas Price</w:t>
            </w:r>
          </w:p>
        </w:tc>
        <w:tc>
          <w:tcPr>
            <w:tcW w:w="873" w:type="dxa"/>
            <w:vAlign w:val="center"/>
          </w:tcPr>
          <w:p w14:paraId="3B234310" w14:textId="77777777" w:rsidR="00AD0F38" w:rsidRPr="00626921" w:rsidRDefault="00AD0F38" w:rsidP="00E77908">
            <w:pPr>
              <w:pStyle w:val="IRPsanstext"/>
              <w:jc w:val="center"/>
              <w:rPr>
                <w:rFonts w:cs="Arial"/>
                <w:bCs/>
                <w:iCs/>
                <w:color w:val="000000"/>
                <w:sz w:val="18"/>
                <w:szCs w:val="18"/>
              </w:rPr>
            </w:pPr>
            <w:r w:rsidRPr="00626921">
              <w:rPr>
                <w:rFonts w:cs="Arial"/>
                <w:bCs/>
                <w:iCs/>
                <w:color w:val="000000"/>
                <w:sz w:val="18"/>
                <w:szCs w:val="18"/>
              </w:rPr>
              <w:t>$12.90</w:t>
            </w:r>
          </w:p>
        </w:tc>
        <w:tc>
          <w:tcPr>
            <w:tcW w:w="747" w:type="dxa"/>
            <w:gridSpan w:val="2"/>
            <w:vAlign w:val="center"/>
          </w:tcPr>
          <w:p w14:paraId="52D08797" w14:textId="77777777" w:rsidR="00AD0F38" w:rsidRPr="00626921" w:rsidRDefault="00AD0F38" w:rsidP="00E77908">
            <w:pPr>
              <w:pStyle w:val="IRPsanstext"/>
              <w:jc w:val="center"/>
              <w:rPr>
                <w:rFonts w:cs="Arial"/>
                <w:sz w:val="18"/>
                <w:szCs w:val="18"/>
              </w:rPr>
            </w:pPr>
            <w:r w:rsidRPr="00626921">
              <w:rPr>
                <w:rFonts w:cs="Arial"/>
                <w:sz w:val="18"/>
                <w:szCs w:val="18"/>
              </w:rPr>
              <w:t>172</w:t>
            </w:r>
          </w:p>
        </w:tc>
        <w:tc>
          <w:tcPr>
            <w:tcW w:w="630" w:type="dxa"/>
            <w:vAlign w:val="center"/>
          </w:tcPr>
          <w:p w14:paraId="24EE9056" w14:textId="77777777" w:rsidR="00AD0F38" w:rsidRPr="00626921" w:rsidRDefault="00AD0F38" w:rsidP="00E77908">
            <w:pPr>
              <w:pStyle w:val="IRPsanstext"/>
              <w:jc w:val="center"/>
              <w:rPr>
                <w:rFonts w:cs="Arial"/>
                <w:sz w:val="18"/>
                <w:szCs w:val="18"/>
              </w:rPr>
            </w:pPr>
            <w:r w:rsidRPr="00626921">
              <w:rPr>
                <w:rFonts w:cs="Arial"/>
                <w:sz w:val="18"/>
                <w:szCs w:val="18"/>
              </w:rPr>
              <w:t>906</w:t>
            </w:r>
          </w:p>
        </w:tc>
        <w:tc>
          <w:tcPr>
            <w:tcW w:w="720" w:type="dxa"/>
            <w:vAlign w:val="center"/>
          </w:tcPr>
          <w:p w14:paraId="6F23FCF8" w14:textId="77777777" w:rsidR="00AD0F38" w:rsidRPr="00626921" w:rsidRDefault="00AD0F38" w:rsidP="00E77908">
            <w:pPr>
              <w:pStyle w:val="IRPsanstext"/>
              <w:jc w:val="center"/>
              <w:rPr>
                <w:rFonts w:cs="Arial"/>
                <w:sz w:val="18"/>
                <w:szCs w:val="18"/>
              </w:rPr>
            </w:pPr>
            <w:r w:rsidRPr="00626921">
              <w:rPr>
                <w:rFonts w:cs="Arial"/>
                <w:sz w:val="18"/>
                <w:szCs w:val="18"/>
              </w:rPr>
              <w:t>-</w:t>
            </w:r>
          </w:p>
        </w:tc>
        <w:tc>
          <w:tcPr>
            <w:tcW w:w="990" w:type="dxa"/>
            <w:vAlign w:val="center"/>
          </w:tcPr>
          <w:p w14:paraId="52ACAC1B" w14:textId="77777777" w:rsidR="00AD0F38" w:rsidRPr="00626921" w:rsidRDefault="00AD0F38" w:rsidP="00E77908">
            <w:pPr>
              <w:pStyle w:val="IRPsanstext"/>
              <w:jc w:val="center"/>
              <w:rPr>
                <w:rFonts w:cs="Arial"/>
                <w:sz w:val="18"/>
                <w:szCs w:val="18"/>
              </w:rPr>
            </w:pPr>
            <w:r w:rsidRPr="00626921">
              <w:rPr>
                <w:rFonts w:cs="Arial"/>
                <w:sz w:val="18"/>
                <w:szCs w:val="18"/>
              </w:rPr>
              <w:t>1,138</w:t>
            </w:r>
          </w:p>
        </w:tc>
        <w:tc>
          <w:tcPr>
            <w:tcW w:w="720" w:type="dxa"/>
            <w:vAlign w:val="center"/>
          </w:tcPr>
          <w:p w14:paraId="455364F2" w14:textId="77777777" w:rsidR="00AD0F38" w:rsidRPr="00626921" w:rsidRDefault="00AD0F38" w:rsidP="00E77908">
            <w:pPr>
              <w:pStyle w:val="IRPsanstext"/>
              <w:jc w:val="center"/>
              <w:rPr>
                <w:rFonts w:cs="Arial"/>
                <w:sz w:val="18"/>
                <w:szCs w:val="18"/>
              </w:rPr>
            </w:pPr>
            <w:r w:rsidRPr="00626921">
              <w:rPr>
                <w:rFonts w:cs="Arial"/>
                <w:sz w:val="18"/>
                <w:szCs w:val="18"/>
              </w:rPr>
              <w:t>300</w:t>
            </w:r>
          </w:p>
        </w:tc>
        <w:tc>
          <w:tcPr>
            <w:tcW w:w="990" w:type="dxa"/>
            <w:vAlign w:val="center"/>
          </w:tcPr>
          <w:p w14:paraId="2B54694A" w14:textId="77777777" w:rsidR="00AD0F38" w:rsidRPr="00626921" w:rsidRDefault="00AD0F38" w:rsidP="00E77908">
            <w:pPr>
              <w:pStyle w:val="IRPsanstext"/>
              <w:jc w:val="center"/>
              <w:rPr>
                <w:rFonts w:cs="Arial"/>
                <w:sz w:val="18"/>
                <w:szCs w:val="18"/>
              </w:rPr>
            </w:pPr>
            <w:r w:rsidRPr="00626921">
              <w:rPr>
                <w:rFonts w:cs="Arial"/>
                <w:sz w:val="18"/>
                <w:szCs w:val="18"/>
              </w:rPr>
              <w:t>15</w:t>
            </w:r>
          </w:p>
        </w:tc>
        <w:tc>
          <w:tcPr>
            <w:tcW w:w="900" w:type="dxa"/>
            <w:vAlign w:val="center"/>
          </w:tcPr>
          <w:p w14:paraId="6057F966" w14:textId="77777777" w:rsidR="00AD0F38" w:rsidRPr="00626921" w:rsidRDefault="00AD0F38" w:rsidP="00E77908">
            <w:pPr>
              <w:pStyle w:val="IRPsanstext"/>
              <w:jc w:val="center"/>
              <w:rPr>
                <w:rFonts w:cs="Arial"/>
                <w:sz w:val="18"/>
                <w:szCs w:val="18"/>
              </w:rPr>
            </w:pPr>
            <w:r w:rsidRPr="00626921">
              <w:rPr>
                <w:rFonts w:cs="Arial"/>
                <w:sz w:val="18"/>
                <w:szCs w:val="18"/>
              </w:rPr>
              <w:t>80</w:t>
            </w:r>
          </w:p>
        </w:tc>
      </w:tr>
      <w:tr w:rsidR="006762B2" w:rsidRPr="00937249" w14:paraId="2A052051" w14:textId="77777777">
        <w:trPr>
          <w:trHeight w:val="360"/>
        </w:trPr>
        <w:tc>
          <w:tcPr>
            <w:tcW w:w="450" w:type="dxa"/>
            <w:shd w:val="clear" w:color="auto" w:fill="D6CFCD"/>
          </w:tcPr>
          <w:p w14:paraId="0115D576" w14:textId="77777777" w:rsidR="00AD0F38" w:rsidRPr="00626921" w:rsidRDefault="00AD0F38" w:rsidP="00E77908">
            <w:pPr>
              <w:pStyle w:val="IRPsanstext"/>
              <w:jc w:val="both"/>
              <w:rPr>
                <w:rFonts w:cs="Arial"/>
                <w:bCs/>
                <w:iCs/>
                <w:color w:val="000000"/>
                <w:sz w:val="18"/>
                <w:szCs w:val="18"/>
              </w:rPr>
            </w:pPr>
            <w:r w:rsidRPr="00626921">
              <w:rPr>
                <w:rFonts w:cs="Arial"/>
                <w:bCs/>
                <w:iCs/>
                <w:color w:val="000000"/>
                <w:sz w:val="18"/>
                <w:szCs w:val="18"/>
              </w:rPr>
              <w:t>6</w:t>
            </w:r>
          </w:p>
        </w:tc>
        <w:tc>
          <w:tcPr>
            <w:tcW w:w="1710" w:type="dxa"/>
            <w:shd w:val="clear" w:color="auto" w:fill="D6CFCD"/>
          </w:tcPr>
          <w:p w14:paraId="3DAAC391" w14:textId="77777777" w:rsidR="00AD0F38" w:rsidRPr="00626921" w:rsidRDefault="00E77908" w:rsidP="00937249">
            <w:pPr>
              <w:pStyle w:val="IRPsanstext"/>
              <w:rPr>
                <w:rFonts w:cs="Arial"/>
                <w:bCs/>
                <w:iCs/>
                <w:color w:val="000000"/>
                <w:sz w:val="18"/>
                <w:szCs w:val="18"/>
              </w:rPr>
            </w:pPr>
            <w:r w:rsidRPr="00626921">
              <w:rPr>
                <w:rFonts w:cs="Arial"/>
                <w:bCs/>
                <w:iCs/>
                <w:color w:val="000000"/>
                <w:sz w:val="18"/>
                <w:szCs w:val="18"/>
              </w:rPr>
              <w:t xml:space="preserve">Base + Very High Gas </w:t>
            </w:r>
            <w:proofErr w:type="spellStart"/>
            <w:r w:rsidRPr="00626921">
              <w:rPr>
                <w:rFonts w:cs="Arial"/>
                <w:bCs/>
                <w:iCs/>
                <w:color w:val="000000"/>
                <w:sz w:val="18"/>
                <w:szCs w:val="18"/>
              </w:rPr>
              <w:t>Pr</w:t>
            </w:r>
            <w:r w:rsidR="00FF331D">
              <w:rPr>
                <w:rFonts w:cs="Arial"/>
                <w:bCs/>
                <w:iCs/>
                <w:color w:val="000000"/>
                <w:sz w:val="18"/>
                <w:szCs w:val="18"/>
              </w:rPr>
              <w:t>Ice</w:t>
            </w:r>
            <w:proofErr w:type="spellEnd"/>
          </w:p>
        </w:tc>
        <w:tc>
          <w:tcPr>
            <w:tcW w:w="873" w:type="dxa"/>
            <w:vAlign w:val="center"/>
          </w:tcPr>
          <w:p w14:paraId="5B1D7841" w14:textId="77777777" w:rsidR="00AD0F38" w:rsidRPr="00626921" w:rsidRDefault="00AD0F38" w:rsidP="00E77908">
            <w:pPr>
              <w:pStyle w:val="IRPsanstext"/>
              <w:jc w:val="center"/>
              <w:rPr>
                <w:rFonts w:cs="Arial"/>
                <w:bCs/>
                <w:iCs/>
                <w:color w:val="000000"/>
                <w:sz w:val="18"/>
                <w:szCs w:val="18"/>
              </w:rPr>
            </w:pPr>
            <w:r w:rsidRPr="00626921">
              <w:rPr>
                <w:rFonts w:cs="Arial"/>
                <w:bCs/>
                <w:iCs/>
                <w:color w:val="000000"/>
                <w:sz w:val="18"/>
                <w:szCs w:val="18"/>
              </w:rPr>
              <w:t>$13.66</w:t>
            </w:r>
          </w:p>
        </w:tc>
        <w:tc>
          <w:tcPr>
            <w:tcW w:w="747" w:type="dxa"/>
            <w:gridSpan w:val="2"/>
            <w:vAlign w:val="center"/>
          </w:tcPr>
          <w:p w14:paraId="149B2E1B" w14:textId="77777777" w:rsidR="00AD0F38" w:rsidRPr="00626921" w:rsidRDefault="00AD0F38" w:rsidP="00E77908">
            <w:pPr>
              <w:pStyle w:val="IRPsanstext"/>
              <w:jc w:val="center"/>
              <w:rPr>
                <w:rFonts w:cs="Arial"/>
                <w:sz w:val="18"/>
                <w:szCs w:val="18"/>
              </w:rPr>
            </w:pPr>
            <w:r w:rsidRPr="00626921">
              <w:rPr>
                <w:rFonts w:cs="Arial"/>
                <w:sz w:val="18"/>
                <w:szCs w:val="18"/>
              </w:rPr>
              <w:t>172</w:t>
            </w:r>
          </w:p>
        </w:tc>
        <w:tc>
          <w:tcPr>
            <w:tcW w:w="630" w:type="dxa"/>
            <w:vAlign w:val="center"/>
          </w:tcPr>
          <w:p w14:paraId="20448925" w14:textId="77777777" w:rsidR="00AD0F38" w:rsidRPr="00626921" w:rsidRDefault="00AD0F38" w:rsidP="00E77908">
            <w:pPr>
              <w:pStyle w:val="IRPsanstext"/>
              <w:jc w:val="center"/>
              <w:rPr>
                <w:rFonts w:cs="Arial"/>
                <w:sz w:val="18"/>
                <w:szCs w:val="18"/>
              </w:rPr>
            </w:pPr>
            <w:r w:rsidRPr="00626921">
              <w:rPr>
                <w:rFonts w:cs="Arial"/>
                <w:sz w:val="18"/>
                <w:szCs w:val="18"/>
              </w:rPr>
              <w:t>968</w:t>
            </w:r>
          </w:p>
        </w:tc>
        <w:tc>
          <w:tcPr>
            <w:tcW w:w="720" w:type="dxa"/>
            <w:vAlign w:val="center"/>
          </w:tcPr>
          <w:p w14:paraId="004E00ED" w14:textId="77777777" w:rsidR="00AD0F38" w:rsidRPr="00626921" w:rsidRDefault="00AD0F38" w:rsidP="00E77908">
            <w:pPr>
              <w:pStyle w:val="IRPsanstext"/>
              <w:jc w:val="center"/>
              <w:rPr>
                <w:rFonts w:cs="Arial"/>
                <w:sz w:val="18"/>
                <w:szCs w:val="18"/>
              </w:rPr>
            </w:pPr>
            <w:r w:rsidRPr="00626921">
              <w:rPr>
                <w:rFonts w:cs="Arial"/>
                <w:sz w:val="18"/>
                <w:szCs w:val="18"/>
              </w:rPr>
              <w:t>-</w:t>
            </w:r>
          </w:p>
        </w:tc>
        <w:tc>
          <w:tcPr>
            <w:tcW w:w="990" w:type="dxa"/>
            <w:vAlign w:val="center"/>
          </w:tcPr>
          <w:p w14:paraId="4B862537" w14:textId="77777777" w:rsidR="00AD0F38" w:rsidRPr="00626921" w:rsidRDefault="00AD0F38" w:rsidP="00E77908">
            <w:pPr>
              <w:pStyle w:val="IRPsanstext"/>
              <w:jc w:val="center"/>
              <w:rPr>
                <w:rFonts w:cs="Arial"/>
                <w:sz w:val="18"/>
                <w:szCs w:val="18"/>
              </w:rPr>
            </w:pPr>
            <w:r w:rsidRPr="00626921">
              <w:rPr>
                <w:rFonts w:cs="Arial"/>
                <w:sz w:val="18"/>
                <w:szCs w:val="18"/>
              </w:rPr>
              <w:t>1,138</w:t>
            </w:r>
          </w:p>
        </w:tc>
        <w:tc>
          <w:tcPr>
            <w:tcW w:w="720" w:type="dxa"/>
            <w:vAlign w:val="center"/>
          </w:tcPr>
          <w:p w14:paraId="744E93C2" w14:textId="77777777" w:rsidR="00AD0F38" w:rsidRPr="00626921" w:rsidRDefault="00AD0F38" w:rsidP="00E77908">
            <w:pPr>
              <w:pStyle w:val="IRPsanstext"/>
              <w:jc w:val="center"/>
              <w:rPr>
                <w:rFonts w:cs="Arial"/>
                <w:sz w:val="18"/>
                <w:szCs w:val="18"/>
              </w:rPr>
            </w:pPr>
            <w:r w:rsidRPr="00626921">
              <w:rPr>
                <w:rFonts w:cs="Arial"/>
                <w:sz w:val="18"/>
                <w:szCs w:val="18"/>
              </w:rPr>
              <w:t>600</w:t>
            </w:r>
          </w:p>
        </w:tc>
        <w:tc>
          <w:tcPr>
            <w:tcW w:w="990" w:type="dxa"/>
            <w:vAlign w:val="center"/>
          </w:tcPr>
          <w:p w14:paraId="05876D78" w14:textId="77777777" w:rsidR="00AD0F38" w:rsidRPr="00626921" w:rsidRDefault="00AD0F38" w:rsidP="00E77908">
            <w:pPr>
              <w:pStyle w:val="IRPsanstext"/>
              <w:jc w:val="center"/>
              <w:rPr>
                <w:rFonts w:cs="Arial"/>
                <w:sz w:val="18"/>
                <w:szCs w:val="18"/>
              </w:rPr>
            </w:pPr>
            <w:r w:rsidRPr="00626921">
              <w:rPr>
                <w:rFonts w:cs="Arial"/>
                <w:sz w:val="18"/>
                <w:szCs w:val="18"/>
              </w:rPr>
              <w:t>-</w:t>
            </w:r>
          </w:p>
        </w:tc>
        <w:tc>
          <w:tcPr>
            <w:tcW w:w="900" w:type="dxa"/>
            <w:vAlign w:val="center"/>
          </w:tcPr>
          <w:p w14:paraId="377F4EF7" w14:textId="77777777" w:rsidR="00AD0F38" w:rsidRPr="00626921" w:rsidRDefault="00AD0F38" w:rsidP="00E77908">
            <w:pPr>
              <w:pStyle w:val="IRPsanstext"/>
              <w:jc w:val="center"/>
              <w:rPr>
                <w:rFonts w:cs="Arial"/>
                <w:sz w:val="18"/>
                <w:szCs w:val="18"/>
              </w:rPr>
            </w:pPr>
            <w:r w:rsidRPr="00626921">
              <w:rPr>
                <w:rFonts w:cs="Arial"/>
                <w:sz w:val="18"/>
                <w:szCs w:val="18"/>
              </w:rPr>
              <w:t>-</w:t>
            </w:r>
          </w:p>
        </w:tc>
      </w:tr>
      <w:tr w:rsidR="006762B2" w:rsidRPr="00937249" w14:paraId="6EEB1AE9" w14:textId="77777777">
        <w:trPr>
          <w:trHeight w:val="360"/>
        </w:trPr>
        <w:tc>
          <w:tcPr>
            <w:tcW w:w="450" w:type="dxa"/>
            <w:shd w:val="clear" w:color="auto" w:fill="D6CFCD"/>
          </w:tcPr>
          <w:p w14:paraId="21B57AF3" w14:textId="77777777" w:rsidR="00AD0F38" w:rsidRPr="00626921" w:rsidRDefault="00AD0F38" w:rsidP="00E77908">
            <w:pPr>
              <w:pStyle w:val="IRPsanstext"/>
              <w:jc w:val="both"/>
              <w:rPr>
                <w:rFonts w:cs="Arial"/>
                <w:bCs/>
                <w:iCs/>
                <w:color w:val="000000"/>
                <w:sz w:val="18"/>
                <w:szCs w:val="18"/>
              </w:rPr>
            </w:pPr>
            <w:r w:rsidRPr="00626921">
              <w:rPr>
                <w:rFonts w:cs="Arial"/>
                <w:bCs/>
                <w:iCs/>
                <w:color w:val="000000"/>
                <w:sz w:val="18"/>
                <w:szCs w:val="18"/>
              </w:rPr>
              <w:t>7</w:t>
            </w:r>
          </w:p>
        </w:tc>
        <w:tc>
          <w:tcPr>
            <w:tcW w:w="1710" w:type="dxa"/>
            <w:shd w:val="clear" w:color="auto" w:fill="D6CFCD"/>
          </w:tcPr>
          <w:p w14:paraId="4A3A869B" w14:textId="77777777" w:rsidR="00AD0F38" w:rsidRPr="00626921" w:rsidRDefault="00AD0F38" w:rsidP="00937249">
            <w:pPr>
              <w:pStyle w:val="IRPsanstext"/>
              <w:rPr>
                <w:rFonts w:cs="Arial"/>
                <w:bCs/>
                <w:iCs/>
                <w:color w:val="000000"/>
                <w:sz w:val="18"/>
                <w:szCs w:val="18"/>
              </w:rPr>
            </w:pPr>
            <w:r w:rsidRPr="00626921">
              <w:rPr>
                <w:rFonts w:cs="Arial"/>
                <w:bCs/>
                <w:iCs/>
                <w:color w:val="000000"/>
                <w:sz w:val="18"/>
                <w:szCs w:val="18"/>
              </w:rPr>
              <w:t>Base + No CO2</w:t>
            </w:r>
          </w:p>
        </w:tc>
        <w:tc>
          <w:tcPr>
            <w:tcW w:w="873" w:type="dxa"/>
            <w:vAlign w:val="center"/>
          </w:tcPr>
          <w:p w14:paraId="424AC957" w14:textId="77777777" w:rsidR="00AD0F38" w:rsidRPr="00626921" w:rsidRDefault="00AD0F38" w:rsidP="00E77908">
            <w:pPr>
              <w:pStyle w:val="IRPsanstext"/>
              <w:jc w:val="center"/>
              <w:rPr>
                <w:rFonts w:cs="Arial"/>
                <w:bCs/>
                <w:iCs/>
                <w:color w:val="000000"/>
                <w:sz w:val="18"/>
                <w:szCs w:val="18"/>
              </w:rPr>
            </w:pPr>
            <w:r w:rsidRPr="00626921">
              <w:rPr>
                <w:rFonts w:cs="Arial"/>
                <w:bCs/>
                <w:iCs/>
                <w:color w:val="000000"/>
                <w:sz w:val="18"/>
                <w:szCs w:val="18"/>
              </w:rPr>
              <w:t>$9.92</w:t>
            </w:r>
          </w:p>
        </w:tc>
        <w:tc>
          <w:tcPr>
            <w:tcW w:w="747" w:type="dxa"/>
            <w:gridSpan w:val="2"/>
            <w:vAlign w:val="center"/>
          </w:tcPr>
          <w:p w14:paraId="4A1AF110" w14:textId="77777777" w:rsidR="00AD0F38" w:rsidRPr="00626921" w:rsidRDefault="00AD0F38" w:rsidP="00E77908">
            <w:pPr>
              <w:pStyle w:val="IRPsanstext"/>
              <w:jc w:val="center"/>
              <w:rPr>
                <w:rFonts w:cs="Arial"/>
                <w:sz w:val="18"/>
                <w:szCs w:val="18"/>
              </w:rPr>
            </w:pPr>
            <w:r w:rsidRPr="00626921">
              <w:rPr>
                <w:rFonts w:cs="Arial"/>
                <w:sz w:val="18"/>
                <w:szCs w:val="18"/>
              </w:rPr>
              <w:t>172</w:t>
            </w:r>
          </w:p>
        </w:tc>
        <w:tc>
          <w:tcPr>
            <w:tcW w:w="630" w:type="dxa"/>
            <w:vAlign w:val="center"/>
          </w:tcPr>
          <w:p w14:paraId="069EC038" w14:textId="77777777" w:rsidR="00AD0F38" w:rsidRPr="00626921" w:rsidRDefault="00AD0F38" w:rsidP="00E77908">
            <w:pPr>
              <w:pStyle w:val="IRPsanstext"/>
              <w:jc w:val="center"/>
              <w:rPr>
                <w:rFonts w:cs="Arial"/>
                <w:sz w:val="18"/>
                <w:szCs w:val="18"/>
              </w:rPr>
            </w:pPr>
            <w:r w:rsidRPr="00626921">
              <w:rPr>
                <w:rFonts w:cs="Arial"/>
                <w:sz w:val="18"/>
                <w:szCs w:val="18"/>
              </w:rPr>
              <w:t>906</w:t>
            </w:r>
          </w:p>
        </w:tc>
        <w:tc>
          <w:tcPr>
            <w:tcW w:w="720" w:type="dxa"/>
            <w:vAlign w:val="center"/>
          </w:tcPr>
          <w:p w14:paraId="1340C9D0" w14:textId="77777777" w:rsidR="00AD0F38" w:rsidRPr="00626921" w:rsidRDefault="00AD0F38" w:rsidP="00E77908">
            <w:pPr>
              <w:pStyle w:val="IRPsanstext"/>
              <w:jc w:val="center"/>
              <w:rPr>
                <w:rFonts w:cs="Arial"/>
                <w:sz w:val="18"/>
                <w:szCs w:val="18"/>
              </w:rPr>
            </w:pPr>
            <w:r w:rsidRPr="00626921">
              <w:rPr>
                <w:rFonts w:cs="Arial"/>
                <w:sz w:val="18"/>
                <w:szCs w:val="18"/>
              </w:rPr>
              <w:t>771</w:t>
            </w:r>
          </w:p>
        </w:tc>
        <w:tc>
          <w:tcPr>
            <w:tcW w:w="990" w:type="dxa"/>
            <w:vAlign w:val="center"/>
          </w:tcPr>
          <w:p w14:paraId="378ADD25" w14:textId="77777777" w:rsidR="00AD0F38" w:rsidRPr="00626921" w:rsidRDefault="00AD0F38" w:rsidP="00E77908">
            <w:pPr>
              <w:pStyle w:val="IRPsanstext"/>
              <w:jc w:val="center"/>
              <w:rPr>
                <w:rFonts w:cs="Arial"/>
                <w:sz w:val="18"/>
                <w:szCs w:val="18"/>
              </w:rPr>
            </w:pPr>
            <w:r w:rsidRPr="00626921">
              <w:rPr>
                <w:rFonts w:cs="Arial"/>
                <w:sz w:val="18"/>
                <w:szCs w:val="18"/>
              </w:rPr>
              <w:t>455</w:t>
            </w:r>
          </w:p>
        </w:tc>
        <w:tc>
          <w:tcPr>
            <w:tcW w:w="720" w:type="dxa"/>
            <w:vAlign w:val="center"/>
          </w:tcPr>
          <w:p w14:paraId="6552B133" w14:textId="77777777" w:rsidR="00AD0F38" w:rsidRPr="00626921" w:rsidRDefault="00AD0F38" w:rsidP="00E77908">
            <w:pPr>
              <w:pStyle w:val="IRPsanstext"/>
              <w:jc w:val="center"/>
              <w:rPr>
                <w:rFonts w:cs="Arial"/>
                <w:sz w:val="18"/>
                <w:szCs w:val="18"/>
              </w:rPr>
            </w:pPr>
            <w:r w:rsidRPr="00626921">
              <w:rPr>
                <w:rFonts w:cs="Arial"/>
                <w:sz w:val="18"/>
                <w:szCs w:val="18"/>
              </w:rPr>
              <w:t>300</w:t>
            </w:r>
          </w:p>
        </w:tc>
        <w:tc>
          <w:tcPr>
            <w:tcW w:w="990" w:type="dxa"/>
            <w:vAlign w:val="center"/>
          </w:tcPr>
          <w:p w14:paraId="3064ECC9" w14:textId="77777777" w:rsidR="00AD0F38" w:rsidRPr="00626921" w:rsidRDefault="00AD0F38" w:rsidP="00E77908">
            <w:pPr>
              <w:pStyle w:val="IRPsanstext"/>
              <w:jc w:val="center"/>
              <w:rPr>
                <w:rFonts w:cs="Arial"/>
                <w:sz w:val="18"/>
                <w:szCs w:val="18"/>
              </w:rPr>
            </w:pPr>
            <w:r w:rsidRPr="00626921">
              <w:rPr>
                <w:rFonts w:cs="Arial"/>
                <w:sz w:val="18"/>
                <w:szCs w:val="18"/>
              </w:rPr>
              <w:t>15</w:t>
            </w:r>
          </w:p>
        </w:tc>
        <w:tc>
          <w:tcPr>
            <w:tcW w:w="900" w:type="dxa"/>
            <w:vAlign w:val="center"/>
          </w:tcPr>
          <w:p w14:paraId="2ADCAD24" w14:textId="77777777" w:rsidR="00AD0F38" w:rsidRPr="00626921" w:rsidRDefault="00AD0F38" w:rsidP="00E77908">
            <w:pPr>
              <w:pStyle w:val="IRPsanstext"/>
              <w:jc w:val="center"/>
              <w:rPr>
                <w:rFonts w:cs="Arial"/>
                <w:sz w:val="18"/>
                <w:szCs w:val="18"/>
              </w:rPr>
            </w:pPr>
            <w:r w:rsidRPr="00626921">
              <w:rPr>
                <w:rFonts w:cs="Arial"/>
                <w:sz w:val="18"/>
                <w:szCs w:val="18"/>
              </w:rPr>
              <w:t>-</w:t>
            </w:r>
          </w:p>
        </w:tc>
      </w:tr>
      <w:tr w:rsidR="006762B2" w:rsidRPr="00937249" w14:paraId="60667E87" w14:textId="77777777">
        <w:trPr>
          <w:trHeight w:val="360"/>
        </w:trPr>
        <w:tc>
          <w:tcPr>
            <w:tcW w:w="450" w:type="dxa"/>
            <w:shd w:val="clear" w:color="auto" w:fill="D6CFCD"/>
          </w:tcPr>
          <w:p w14:paraId="4C745EDF" w14:textId="77777777" w:rsidR="00AD0F38" w:rsidRPr="00626921" w:rsidRDefault="00AD0F38" w:rsidP="00E77908">
            <w:pPr>
              <w:pStyle w:val="IRPsanstext"/>
              <w:jc w:val="both"/>
              <w:rPr>
                <w:rFonts w:cs="Arial"/>
                <w:bCs/>
                <w:iCs/>
                <w:color w:val="000000"/>
                <w:sz w:val="18"/>
                <w:szCs w:val="18"/>
              </w:rPr>
            </w:pPr>
            <w:r w:rsidRPr="00626921">
              <w:rPr>
                <w:rFonts w:cs="Arial"/>
                <w:bCs/>
                <w:iCs/>
                <w:color w:val="000000"/>
                <w:sz w:val="18"/>
                <w:szCs w:val="18"/>
              </w:rPr>
              <w:t>8</w:t>
            </w:r>
          </w:p>
        </w:tc>
        <w:tc>
          <w:tcPr>
            <w:tcW w:w="1710" w:type="dxa"/>
            <w:shd w:val="clear" w:color="auto" w:fill="D6CFCD"/>
          </w:tcPr>
          <w:p w14:paraId="27685F2A" w14:textId="77777777" w:rsidR="00AD0F38" w:rsidRPr="00626921" w:rsidRDefault="00AD0F38" w:rsidP="00937249">
            <w:pPr>
              <w:pStyle w:val="IRPsanstext"/>
              <w:rPr>
                <w:rFonts w:cs="Arial"/>
                <w:bCs/>
                <w:iCs/>
                <w:color w:val="000000"/>
                <w:sz w:val="18"/>
                <w:szCs w:val="18"/>
              </w:rPr>
            </w:pPr>
            <w:r w:rsidRPr="00626921">
              <w:rPr>
                <w:rFonts w:cs="Arial"/>
                <w:bCs/>
                <w:iCs/>
                <w:color w:val="000000"/>
                <w:sz w:val="18"/>
                <w:szCs w:val="18"/>
              </w:rPr>
              <w:t>Base + High CO2</w:t>
            </w:r>
          </w:p>
        </w:tc>
        <w:tc>
          <w:tcPr>
            <w:tcW w:w="873" w:type="dxa"/>
            <w:vAlign w:val="center"/>
          </w:tcPr>
          <w:p w14:paraId="6A17930A" w14:textId="77777777" w:rsidR="00AD0F38" w:rsidRPr="00626921" w:rsidRDefault="00AD0F38" w:rsidP="00E77908">
            <w:pPr>
              <w:pStyle w:val="IRPsanstext"/>
              <w:jc w:val="center"/>
              <w:rPr>
                <w:rFonts w:cs="Arial"/>
                <w:bCs/>
                <w:iCs/>
                <w:color w:val="000000"/>
                <w:sz w:val="18"/>
                <w:szCs w:val="18"/>
              </w:rPr>
            </w:pPr>
            <w:r w:rsidRPr="00626921">
              <w:rPr>
                <w:rFonts w:cs="Arial"/>
                <w:bCs/>
                <w:iCs/>
                <w:color w:val="000000"/>
                <w:sz w:val="18"/>
                <w:szCs w:val="18"/>
              </w:rPr>
              <w:t>$13.50</w:t>
            </w:r>
          </w:p>
        </w:tc>
        <w:tc>
          <w:tcPr>
            <w:tcW w:w="747" w:type="dxa"/>
            <w:gridSpan w:val="2"/>
            <w:vAlign w:val="center"/>
          </w:tcPr>
          <w:p w14:paraId="2570DD19" w14:textId="77777777" w:rsidR="00AD0F38" w:rsidRPr="00626921" w:rsidRDefault="00AD0F38" w:rsidP="00E77908">
            <w:pPr>
              <w:pStyle w:val="IRPsanstext"/>
              <w:jc w:val="center"/>
              <w:rPr>
                <w:rFonts w:cs="Arial"/>
                <w:sz w:val="18"/>
                <w:szCs w:val="18"/>
              </w:rPr>
            </w:pPr>
            <w:r w:rsidRPr="00626921">
              <w:rPr>
                <w:rFonts w:cs="Arial"/>
                <w:sz w:val="18"/>
                <w:szCs w:val="18"/>
              </w:rPr>
              <w:t>172</w:t>
            </w:r>
          </w:p>
        </w:tc>
        <w:tc>
          <w:tcPr>
            <w:tcW w:w="630" w:type="dxa"/>
            <w:vAlign w:val="center"/>
          </w:tcPr>
          <w:p w14:paraId="75DEC239" w14:textId="77777777" w:rsidR="00AD0F38" w:rsidRPr="00626921" w:rsidRDefault="00AD0F38" w:rsidP="00E77908">
            <w:pPr>
              <w:pStyle w:val="IRPsanstext"/>
              <w:jc w:val="center"/>
              <w:rPr>
                <w:rFonts w:cs="Arial"/>
                <w:sz w:val="18"/>
                <w:szCs w:val="18"/>
              </w:rPr>
            </w:pPr>
            <w:r w:rsidRPr="00626921">
              <w:rPr>
                <w:rFonts w:cs="Arial"/>
                <w:sz w:val="18"/>
                <w:szCs w:val="18"/>
              </w:rPr>
              <w:t>956</w:t>
            </w:r>
          </w:p>
        </w:tc>
        <w:tc>
          <w:tcPr>
            <w:tcW w:w="720" w:type="dxa"/>
            <w:vAlign w:val="center"/>
          </w:tcPr>
          <w:p w14:paraId="7DCE031C" w14:textId="77777777" w:rsidR="00AD0F38" w:rsidRPr="00626921" w:rsidRDefault="00AD0F38" w:rsidP="00E77908">
            <w:pPr>
              <w:pStyle w:val="IRPsanstext"/>
              <w:jc w:val="center"/>
              <w:rPr>
                <w:rFonts w:cs="Arial"/>
                <w:sz w:val="18"/>
                <w:szCs w:val="18"/>
              </w:rPr>
            </w:pPr>
            <w:r w:rsidRPr="00626921">
              <w:rPr>
                <w:rFonts w:cs="Arial"/>
                <w:sz w:val="18"/>
                <w:szCs w:val="18"/>
              </w:rPr>
              <w:t>1,156</w:t>
            </w:r>
          </w:p>
        </w:tc>
        <w:tc>
          <w:tcPr>
            <w:tcW w:w="990" w:type="dxa"/>
            <w:vAlign w:val="center"/>
          </w:tcPr>
          <w:p w14:paraId="635A337E" w14:textId="77777777" w:rsidR="00AD0F38" w:rsidRPr="00626921" w:rsidRDefault="00AD0F38" w:rsidP="00E77908">
            <w:pPr>
              <w:pStyle w:val="IRPsanstext"/>
              <w:jc w:val="center"/>
              <w:rPr>
                <w:rFonts w:cs="Arial"/>
                <w:sz w:val="18"/>
                <w:szCs w:val="18"/>
              </w:rPr>
            </w:pPr>
            <w:r w:rsidRPr="00626921">
              <w:rPr>
                <w:rFonts w:cs="Arial"/>
                <w:sz w:val="18"/>
                <w:szCs w:val="18"/>
              </w:rPr>
              <w:t>-</w:t>
            </w:r>
          </w:p>
        </w:tc>
        <w:tc>
          <w:tcPr>
            <w:tcW w:w="720" w:type="dxa"/>
            <w:vAlign w:val="center"/>
          </w:tcPr>
          <w:p w14:paraId="16765F63" w14:textId="77777777" w:rsidR="00AD0F38" w:rsidRPr="00626921" w:rsidRDefault="00AD0F38" w:rsidP="00E77908">
            <w:pPr>
              <w:pStyle w:val="IRPsanstext"/>
              <w:jc w:val="center"/>
              <w:rPr>
                <w:rFonts w:cs="Arial"/>
                <w:sz w:val="18"/>
                <w:szCs w:val="18"/>
              </w:rPr>
            </w:pPr>
            <w:r w:rsidRPr="00626921">
              <w:rPr>
                <w:rFonts w:cs="Arial"/>
                <w:sz w:val="18"/>
                <w:szCs w:val="18"/>
              </w:rPr>
              <w:t>400</w:t>
            </w:r>
          </w:p>
        </w:tc>
        <w:tc>
          <w:tcPr>
            <w:tcW w:w="990" w:type="dxa"/>
            <w:vAlign w:val="center"/>
          </w:tcPr>
          <w:p w14:paraId="5636210B" w14:textId="77777777" w:rsidR="00AD0F38" w:rsidRPr="00626921" w:rsidRDefault="00AD0F38" w:rsidP="00E77908">
            <w:pPr>
              <w:pStyle w:val="IRPsanstext"/>
              <w:jc w:val="center"/>
              <w:rPr>
                <w:rFonts w:cs="Arial"/>
                <w:sz w:val="18"/>
                <w:szCs w:val="18"/>
              </w:rPr>
            </w:pPr>
            <w:r w:rsidRPr="00626921">
              <w:rPr>
                <w:rFonts w:cs="Arial"/>
                <w:sz w:val="18"/>
                <w:szCs w:val="18"/>
              </w:rPr>
              <w:t>-</w:t>
            </w:r>
          </w:p>
        </w:tc>
        <w:tc>
          <w:tcPr>
            <w:tcW w:w="900" w:type="dxa"/>
            <w:vAlign w:val="center"/>
          </w:tcPr>
          <w:p w14:paraId="759E9928" w14:textId="77777777" w:rsidR="00AD0F38" w:rsidRPr="00626921" w:rsidRDefault="00AD0F38" w:rsidP="00E77908">
            <w:pPr>
              <w:pStyle w:val="IRPsanstext"/>
              <w:jc w:val="center"/>
              <w:rPr>
                <w:rFonts w:cs="Arial"/>
                <w:sz w:val="18"/>
                <w:szCs w:val="18"/>
              </w:rPr>
            </w:pPr>
            <w:r w:rsidRPr="00626921">
              <w:rPr>
                <w:rFonts w:cs="Arial"/>
                <w:sz w:val="18"/>
                <w:szCs w:val="18"/>
              </w:rPr>
              <w:t>-</w:t>
            </w:r>
          </w:p>
        </w:tc>
      </w:tr>
      <w:tr w:rsidR="006762B2" w:rsidRPr="00937249" w14:paraId="1D1E0CF1" w14:textId="77777777">
        <w:trPr>
          <w:trHeight w:val="360"/>
        </w:trPr>
        <w:tc>
          <w:tcPr>
            <w:tcW w:w="450" w:type="dxa"/>
            <w:shd w:val="clear" w:color="auto" w:fill="D6CFCD"/>
          </w:tcPr>
          <w:p w14:paraId="5710E991" w14:textId="77777777" w:rsidR="00AD0F38" w:rsidRPr="00626921" w:rsidRDefault="00AD0F38" w:rsidP="00E77908">
            <w:pPr>
              <w:pStyle w:val="IRPsanstext"/>
              <w:jc w:val="both"/>
              <w:rPr>
                <w:rFonts w:cs="Arial"/>
                <w:bCs/>
                <w:iCs/>
                <w:color w:val="000000"/>
                <w:sz w:val="18"/>
                <w:szCs w:val="18"/>
              </w:rPr>
            </w:pPr>
            <w:r w:rsidRPr="00626921">
              <w:rPr>
                <w:rFonts w:cs="Arial"/>
                <w:bCs/>
                <w:iCs/>
                <w:color w:val="000000"/>
                <w:sz w:val="18"/>
                <w:szCs w:val="18"/>
              </w:rPr>
              <w:t>9</w:t>
            </w:r>
          </w:p>
        </w:tc>
        <w:tc>
          <w:tcPr>
            <w:tcW w:w="1710" w:type="dxa"/>
            <w:shd w:val="clear" w:color="auto" w:fill="D6CFCD"/>
          </w:tcPr>
          <w:p w14:paraId="3EDD486D" w14:textId="77777777" w:rsidR="00AD0F38" w:rsidRPr="00626921" w:rsidRDefault="00AD0F38" w:rsidP="00937249">
            <w:pPr>
              <w:pStyle w:val="IRPsanstext"/>
              <w:rPr>
                <w:rFonts w:cs="Arial"/>
                <w:bCs/>
                <w:iCs/>
                <w:color w:val="000000"/>
                <w:sz w:val="18"/>
                <w:szCs w:val="18"/>
              </w:rPr>
            </w:pPr>
            <w:r w:rsidRPr="00626921">
              <w:rPr>
                <w:rFonts w:cs="Arial"/>
                <w:bCs/>
                <w:iCs/>
                <w:color w:val="000000"/>
                <w:sz w:val="18"/>
                <w:szCs w:val="18"/>
              </w:rPr>
              <w:t>Base + Low Demand</w:t>
            </w:r>
          </w:p>
        </w:tc>
        <w:tc>
          <w:tcPr>
            <w:tcW w:w="873" w:type="dxa"/>
            <w:vAlign w:val="center"/>
          </w:tcPr>
          <w:p w14:paraId="4A3054E4" w14:textId="77777777" w:rsidR="00AD0F38" w:rsidRPr="00626921" w:rsidRDefault="00AD0F38" w:rsidP="00E77908">
            <w:pPr>
              <w:pStyle w:val="IRPsanstext"/>
              <w:jc w:val="center"/>
              <w:rPr>
                <w:rFonts w:cs="Arial"/>
                <w:bCs/>
                <w:iCs/>
                <w:color w:val="000000"/>
                <w:sz w:val="18"/>
                <w:szCs w:val="18"/>
              </w:rPr>
            </w:pPr>
            <w:r w:rsidRPr="00626921">
              <w:rPr>
                <w:rFonts w:cs="Arial"/>
                <w:bCs/>
                <w:iCs/>
                <w:color w:val="000000"/>
                <w:sz w:val="18"/>
                <w:szCs w:val="18"/>
              </w:rPr>
              <w:t>$9.76</w:t>
            </w:r>
          </w:p>
        </w:tc>
        <w:tc>
          <w:tcPr>
            <w:tcW w:w="747" w:type="dxa"/>
            <w:gridSpan w:val="2"/>
            <w:vAlign w:val="center"/>
          </w:tcPr>
          <w:p w14:paraId="3B3579C2" w14:textId="77777777" w:rsidR="00AD0F38" w:rsidRPr="00626921" w:rsidRDefault="00AD0F38" w:rsidP="00E77908">
            <w:pPr>
              <w:pStyle w:val="IRPsanstext"/>
              <w:jc w:val="center"/>
              <w:rPr>
                <w:rFonts w:cs="Arial"/>
                <w:sz w:val="18"/>
                <w:szCs w:val="18"/>
              </w:rPr>
            </w:pPr>
            <w:r w:rsidRPr="00626921">
              <w:rPr>
                <w:rFonts w:cs="Arial"/>
                <w:sz w:val="18"/>
                <w:szCs w:val="18"/>
              </w:rPr>
              <w:t>174</w:t>
            </w:r>
          </w:p>
        </w:tc>
        <w:tc>
          <w:tcPr>
            <w:tcW w:w="630" w:type="dxa"/>
            <w:vAlign w:val="center"/>
          </w:tcPr>
          <w:p w14:paraId="0D8CD388" w14:textId="77777777" w:rsidR="00AD0F38" w:rsidRPr="00626921" w:rsidRDefault="00AD0F38" w:rsidP="00E77908">
            <w:pPr>
              <w:pStyle w:val="IRPsanstext"/>
              <w:jc w:val="center"/>
              <w:rPr>
                <w:rFonts w:cs="Arial"/>
                <w:sz w:val="18"/>
                <w:szCs w:val="18"/>
              </w:rPr>
            </w:pPr>
            <w:r w:rsidRPr="00626921">
              <w:rPr>
                <w:rFonts w:cs="Arial"/>
                <w:sz w:val="18"/>
                <w:szCs w:val="18"/>
              </w:rPr>
              <w:t>888</w:t>
            </w:r>
          </w:p>
        </w:tc>
        <w:tc>
          <w:tcPr>
            <w:tcW w:w="720" w:type="dxa"/>
            <w:vAlign w:val="center"/>
          </w:tcPr>
          <w:p w14:paraId="6E9BC9E4" w14:textId="77777777" w:rsidR="00AD0F38" w:rsidRPr="00626921" w:rsidRDefault="00AD0F38" w:rsidP="00E77908">
            <w:pPr>
              <w:pStyle w:val="IRPsanstext"/>
              <w:jc w:val="center"/>
              <w:rPr>
                <w:rFonts w:cs="Arial"/>
                <w:sz w:val="18"/>
                <w:szCs w:val="18"/>
              </w:rPr>
            </w:pPr>
            <w:r w:rsidRPr="00626921">
              <w:rPr>
                <w:rFonts w:cs="Arial"/>
                <w:sz w:val="18"/>
                <w:szCs w:val="18"/>
              </w:rPr>
              <w:t>-</w:t>
            </w:r>
          </w:p>
        </w:tc>
        <w:tc>
          <w:tcPr>
            <w:tcW w:w="990" w:type="dxa"/>
            <w:vAlign w:val="center"/>
          </w:tcPr>
          <w:p w14:paraId="699D2696" w14:textId="77777777" w:rsidR="00AD0F38" w:rsidRPr="00626921" w:rsidRDefault="00AD0F38" w:rsidP="00E77908">
            <w:pPr>
              <w:pStyle w:val="IRPsanstext"/>
              <w:jc w:val="center"/>
              <w:rPr>
                <w:rFonts w:cs="Arial"/>
                <w:sz w:val="18"/>
                <w:szCs w:val="18"/>
              </w:rPr>
            </w:pPr>
            <w:r w:rsidRPr="00626921">
              <w:rPr>
                <w:rFonts w:cs="Arial"/>
                <w:sz w:val="18"/>
                <w:szCs w:val="18"/>
              </w:rPr>
              <w:t>455</w:t>
            </w:r>
          </w:p>
        </w:tc>
        <w:tc>
          <w:tcPr>
            <w:tcW w:w="720" w:type="dxa"/>
            <w:vAlign w:val="center"/>
          </w:tcPr>
          <w:p w14:paraId="4CDE44F3" w14:textId="77777777" w:rsidR="00AD0F38" w:rsidRPr="00626921" w:rsidRDefault="00AD0F38" w:rsidP="00E77908">
            <w:pPr>
              <w:pStyle w:val="IRPsanstext"/>
              <w:jc w:val="center"/>
              <w:rPr>
                <w:rFonts w:cs="Arial"/>
                <w:sz w:val="18"/>
                <w:szCs w:val="18"/>
              </w:rPr>
            </w:pPr>
            <w:r w:rsidRPr="00626921">
              <w:rPr>
                <w:rFonts w:cs="Arial"/>
                <w:sz w:val="18"/>
                <w:szCs w:val="18"/>
              </w:rPr>
              <w:t>200</w:t>
            </w:r>
          </w:p>
        </w:tc>
        <w:tc>
          <w:tcPr>
            <w:tcW w:w="990" w:type="dxa"/>
            <w:vAlign w:val="center"/>
          </w:tcPr>
          <w:p w14:paraId="0607ECCE" w14:textId="77777777" w:rsidR="00AD0F38" w:rsidRPr="00626921" w:rsidRDefault="00AD0F38" w:rsidP="00E77908">
            <w:pPr>
              <w:pStyle w:val="IRPsanstext"/>
              <w:jc w:val="center"/>
              <w:rPr>
                <w:rFonts w:cs="Arial"/>
                <w:sz w:val="18"/>
                <w:szCs w:val="18"/>
              </w:rPr>
            </w:pPr>
            <w:r w:rsidRPr="00626921">
              <w:rPr>
                <w:rFonts w:cs="Arial"/>
                <w:sz w:val="18"/>
                <w:szCs w:val="18"/>
              </w:rPr>
              <w:t>-</w:t>
            </w:r>
          </w:p>
        </w:tc>
        <w:tc>
          <w:tcPr>
            <w:tcW w:w="900" w:type="dxa"/>
            <w:vAlign w:val="center"/>
          </w:tcPr>
          <w:p w14:paraId="79145C18" w14:textId="77777777" w:rsidR="00AD0F38" w:rsidRPr="00626921" w:rsidRDefault="00AD0F38" w:rsidP="00E77908">
            <w:pPr>
              <w:pStyle w:val="IRPsanstext"/>
              <w:jc w:val="center"/>
              <w:rPr>
                <w:rFonts w:cs="Arial"/>
                <w:sz w:val="18"/>
                <w:szCs w:val="18"/>
              </w:rPr>
            </w:pPr>
            <w:r w:rsidRPr="00626921">
              <w:rPr>
                <w:rFonts w:cs="Arial"/>
                <w:sz w:val="18"/>
                <w:szCs w:val="18"/>
              </w:rPr>
              <w:t>-</w:t>
            </w:r>
          </w:p>
        </w:tc>
      </w:tr>
      <w:tr w:rsidR="006762B2" w:rsidRPr="00937249" w14:paraId="7101D6B1" w14:textId="77777777">
        <w:trPr>
          <w:trHeight w:val="360"/>
        </w:trPr>
        <w:tc>
          <w:tcPr>
            <w:tcW w:w="450" w:type="dxa"/>
            <w:shd w:val="clear" w:color="auto" w:fill="D6CFCD"/>
          </w:tcPr>
          <w:p w14:paraId="24E335B8" w14:textId="77777777" w:rsidR="00AD0F38" w:rsidRPr="00626921" w:rsidRDefault="00AD0F38" w:rsidP="00E77908">
            <w:pPr>
              <w:pStyle w:val="IRPsanstext"/>
              <w:jc w:val="both"/>
              <w:rPr>
                <w:rFonts w:cs="Arial"/>
                <w:bCs/>
                <w:iCs/>
                <w:color w:val="000000"/>
                <w:sz w:val="18"/>
                <w:szCs w:val="18"/>
              </w:rPr>
            </w:pPr>
            <w:r w:rsidRPr="00626921">
              <w:rPr>
                <w:rFonts w:cs="Arial"/>
                <w:bCs/>
                <w:iCs/>
                <w:color w:val="000000"/>
                <w:sz w:val="18"/>
                <w:szCs w:val="18"/>
              </w:rPr>
              <w:t>10</w:t>
            </w:r>
          </w:p>
        </w:tc>
        <w:tc>
          <w:tcPr>
            <w:tcW w:w="1710" w:type="dxa"/>
            <w:shd w:val="clear" w:color="auto" w:fill="D6CFCD"/>
          </w:tcPr>
          <w:p w14:paraId="3B90A837" w14:textId="77777777" w:rsidR="00AD0F38" w:rsidRPr="00626921" w:rsidRDefault="00AD0F38" w:rsidP="00937249">
            <w:pPr>
              <w:pStyle w:val="IRPsanstext"/>
              <w:rPr>
                <w:rFonts w:cs="Arial"/>
                <w:bCs/>
                <w:iCs/>
                <w:color w:val="000000"/>
                <w:sz w:val="18"/>
                <w:szCs w:val="18"/>
              </w:rPr>
            </w:pPr>
            <w:r w:rsidRPr="00626921">
              <w:rPr>
                <w:rFonts w:cs="Arial"/>
                <w:bCs/>
                <w:iCs/>
                <w:color w:val="000000"/>
                <w:sz w:val="18"/>
                <w:szCs w:val="18"/>
              </w:rPr>
              <w:t>Base + High Demand</w:t>
            </w:r>
          </w:p>
        </w:tc>
        <w:tc>
          <w:tcPr>
            <w:tcW w:w="873" w:type="dxa"/>
            <w:vAlign w:val="center"/>
          </w:tcPr>
          <w:p w14:paraId="37920DB0" w14:textId="77777777" w:rsidR="00AD0F38" w:rsidRPr="00626921" w:rsidRDefault="00AD0F38" w:rsidP="00E77908">
            <w:pPr>
              <w:pStyle w:val="IRPsanstext"/>
              <w:jc w:val="center"/>
              <w:rPr>
                <w:rFonts w:cs="Arial"/>
                <w:bCs/>
                <w:iCs/>
                <w:color w:val="000000"/>
                <w:sz w:val="18"/>
                <w:szCs w:val="18"/>
              </w:rPr>
            </w:pPr>
            <w:r w:rsidRPr="00626921">
              <w:rPr>
                <w:rFonts w:cs="Arial"/>
                <w:bCs/>
                <w:iCs/>
                <w:color w:val="000000"/>
                <w:sz w:val="18"/>
                <w:szCs w:val="18"/>
              </w:rPr>
              <w:t>$15.55</w:t>
            </w:r>
          </w:p>
        </w:tc>
        <w:tc>
          <w:tcPr>
            <w:tcW w:w="747" w:type="dxa"/>
            <w:gridSpan w:val="2"/>
            <w:vAlign w:val="center"/>
          </w:tcPr>
          <w:p w14:paraId="7923EC41" w14:textId="77777777" w:rsidR="00AD0F38" w:rsidRPr="00626921" w:rsidRDefault="00AD0F38" w:rsidP="00E77908">
            <w:pPr>
              <w:pStyle w:val="IRPsanstext"/>
              <w:jc w:val="center"/>
              <w:rPr>
                <w:rFonts w:cs="Arial"/>
                <w:sz w:val="18"/>
                <w:szCs w:val="18"/>
              </w:rPr>
            </w:pPr>
            <w:r w:rsidRPr="00626921">
              <w:rPr>
                <w:rFonts w:cs="Arial"/>
                <w:sz w:val="18"/>
                <w:szCs w:val="18"/>
              </w:rPr>
              <w:t>254</w:t>
            </w:r>
          </w:p>
        </w:tc>
        <w:tc>
          <w:tcPr>
            <w:tcW w:w="630" w:type="dxa"/>
            <w:vAlign w:val="center"/>
          </w:tcPr>
          <w:p w14:paraId="722B7937" w14:textId="77777777" w:rsidR="00AD0F38" w:rsidRPr="00626921" w:rsidRDefault="00AD0F38" w:rsidP="00E77908">
            <w:pPr>
              <w:pStyle w:val="IRPsanstext"/>
              <w:jc w:val="center"/>
              <w:rPr>
                <w:rFonts w:cs="Arial"/>
                <w:sz w:val="18"/>
                <w:szCs w:val="18"/>
              </w:rPr>
            </w:pPr>
            <w:r w:rsidRPr="00626921">
              <w:rPr>
                <w:rFonts w:cs="Arial"/>
                <w:sz w:val="18"/>
                <w:szCs w:val="18"/>
              </w:rPr>
              <w:t>956</w:t>
            </w:r>
          </w:p>
        </w:tc>
        <w:tc>
          <w:tcPr>
            <w:tcW w:w="720" w:type="dxa"/>
            <w:vAlign w:val="center"/>
          </w:tcPr>
          <w:p w14:paraId="08D619B6" w14:textId="77777777" w:rsidR="00AD0F38" w:rsidRPr="00626921" w:rsidRDefault="00AD0F38" w:rsidP="00E77908">
            <w:pPr>
              <w:pStyle w:val="IRPsanstext"/>
              <w:jc w:val="center"/>
              <w:rPr>
                <w:rFonts w:cs="Arial"/>
                <w:sz w:val="18"/>
                <w:szCs w:val="18"/>
              </w:rPr>
            </w:pPr>
            <w:r w:rsidRPr="00626921">
              <w:rPr>
                <w:rFonts w:cs="Arial"/>
                <w:sz w:val="18"/>
                <w:szCs w:val="18"/>
              </w:rPr>
              <w:t>1,542</w:t>
            </w:r>
          </w:p>
        </w:tc>
        <w:tc>
          <w:tcPr>
            <w:tcW w:w="990" w:type="dxa"/>
            <w:vAlign w:val="center"/>
          </w:tcPr>
          <w:p w14:paraId="18A50FCB" w14:textId="77777777" w:rsidR="00AD0F38" w:rsidRPr="00626921" w:rsidRDefault="00AD0F38" w:rsidP="00E77908">
            <w:pPr>
              <w:pStyle w:val="IRPsanstext"/>
              <w:jc w:val="center"/>
              <w:rPr>
                <w:rFonts w:cs="Arial"/>
                <w:sz w:val="18"/>
                <w:szCs w:val="18"/>
              </w:rPr>
            </w:pPr>
            <w:r w:rsidRPr="00626921">
              <w:rPr>
                <w:rFonts w:cs="Arial"/>
                <w:sz w:val="18"/>
                <w:szCs w:val="18"/>
              </w:rPr>
              <w:t>683</w:t>
            </w:r>
          </w:p>
        </w:tc>
        <w:tc>
          <w:tcPr>
            <w:tcW w:w="720" w:type="dxa"/>
            <w:vAlign w:val="center"/>
          </w:tcPr>
          <w:p w14:paraId="0F5BACD3" w14:textId="77777777" w:rsidR="00AD0F38" w:rsidRPr="00626921" w:rsidRDefault="00AD0F38" w:rsidP="00E77908">
            <w:pPr>
              <w:pStyle w:val="IRPsanstext"/>
              <w:jc w:val="center"/>
              <w:rPr>
                <w:rFonts w:cs="Arial"/>
                <w:sz w:val="18"/>
                <w:szCs w:val="18"/>
              </w:rPr>
            </w:pPr>
            <w:r w:rsidRPr="00626921">
              <w:rPr>
                <w:rFonts w:cs="Arial"/>
                <w:sz w:val="18"/>
                <w:szCs w:val="18"/>
              </w:rPr>
              <w:t>500</w:t>
            </w:r>
          </w:p>
        </w:tc>
        <w:tc>
          <w:tcPr>
            <w:tcW w:w="990" w:type="dxa"/>
            <w:vAlign w:val="center"/>
          </w:tcPr>
          <w:p w14:paraId="4B01D878" w14:textId="77777777" w:rsidR="00AD0F38" w:rsidRPr="00626921" w:rsidRDefault="00AD0F38" w:rsidP="00E77908">
            <w:pPr>
              <w:pStyle w:val="IRPsanstext"/>
              <w:jc w:val="center"/>
              <w:rPr>
                <w:rFonts w:cs="Arial"/>
                <w:sz w:val="18"/>
                <w:szCs w:val="18"/>
              </w:rPr>
            </w:pPr>
            <w:r w:rsidRPr="00626921">
              <w:rPr>
                <w:rFonts w:cs="Arial"/>
                <w:sz w:val="18"/>
                <w:szCs w:val="18"/>
              </w:rPr>
              <w:t>-</w:t>
            </w:r>
          </w:p>
        </w:tc>
        <w:tc>
          <w:tcPr>
            <w:tcW w:w="900" w:type="dxa"/>
            <w:vAlign w:val="center"/>
          </w:tcPr>
          <w:p w14:paraId="20DA47D1" w14:textId="77777777" w:rsidR="00AD0F38" w:rsidRPr="00626921" w:rsidRDefault="00AD0F38" w:rsidP="00E77908">
            <w:pPr>
              <w:pStyle w:val="IRPsanstext"/>
              <w:jc w:val="center"/>
              <w:rPr>
                <w:rFonts w:cs="Arial"/>
                <w:sz w:val="18"/>
                <w:szCs w:val="18"/>
              </w:rPr>
            </w:pPr>
            <w:r w:rsidRPr="00626921">
              <w:rPr>
                <w:rFonts w:cs="Arial"/>
                <w:sz w:val="18"/>
                <w:szCs w:val="18"/>
              </w:rPr>
              <w:t>-</w:t>
            </w:r>
          </w:p>
        </w:tc>
      </w:tr>
    </w:tbl>
    <w:p w14:paraId="6E964639" w14:textId="77777777" w:rsidR="00F71565" w:rsidRDefault="00F71565" w:rsidP="00F71565">
      <w:pPr>
        <w:pStyle w:val="IRPsanstext"/>
        <w:rPr>
          <w:rFonts w:cs="Arial"/>
        </w:rPr>
      </w:pPr>
      <w:r w:rsidRPr="00937249">
        <w:rPr>
          <w:rFonts w:cs="Arial"/>
        </w:rPr>
        <w:lastRenderedPageBreak/>
        <w:t xml:space="preserve">The portfolio builds for all scenarios look </w:t>
      </w:r>
      <w:r>
        <w:rPr>
          <w:rFonts w:cs="Arial"/>
        </w:rPr>
        <w:t xml:space="preserve">similar to the portfolio builds for the </w:t>
      </w:r>
      <w:proofErr w:type="gramStart"/>
      <w:r>
        <w:rPr>
          <w:rFonts w:cs="Arial"/>
        </w:rPr>
        <w:t>2013 planning</w:t>
      </w:r>
      <w:proofErr w:type="gramEnd"/>
      <w:r>
        <w:rPr>
          <w:rFonts w:cs="Arial"/>
        </w:rPr>
        <w:t xml:space="preserve"> standard with the exception of more resources added to meet the higher need.</w:t>
      </w:r>
      <w:r w:rsidRPr="00937249">
        <w:rPr>
          <w:rFonts w:cs="Arial"/>
        </w:rPr>
        <w:t xml:space="preserve"> </w:t>
      </w:r>
    </w:p>
    <w:p w14:paraId="1610F7B7" w14:textId="77777777" w:rsidR="00F71565" w:rsidRDefault="00F71565" w:rsidP="00F71565">
      <w:pPr>
        <w:pStyle w:val="IRPsanstext"/>
        <w:jc w:val="center"/>
        <w:rPr>
          <w:rFonts w:cs="Arial"/>
        </w:rPr>
      </w:pPr>
    </w:p>
    <w:p w14:paraId="23FBD676" w14:textId="77777777" w:rsidR="00F71565" w:rsidRDefault="00F71565" w:rsidP="00F71565">
      <w:pPr>
        <w:pStyle w:val="IRPsanstext"/>
        <w:jc w:val="center"/>
        <w:rPr>
          <w:rFonts w:cs="Arial"/>
          <w:i/>
        </w:rPr>
      </w:pPr>
      <w:r w:rsidRPr="00937249">
        <w:rPr>
          <w:rFonts w:cs="Arial"/>
          <w:i/>
        </w:rPr>
        <w:t>Figure 6-</w:t>
      </w:r>
      <w:r w:rsidR="00855BD7">
        <w:rPr>
          <w:rFonts w:cs="Arial"/>
          <w:i/>
        </w:rPr>
        <w:t>16</w:t>
      </w:r>
      <w:r w:rsidRPr="00937249">
        <w:rPr>
          <w:rFonts w:cs="Arial"/>
          <w:i/>
        </w:rPr>
        <w:t>: Relative Optimal Portfolio Builds and Costs by Scenario by 2035</w:t>
      </w:r>
      <w:r>
        <w:rPr>
          <w:rFonts w:cs="Arial"/>
          <w:i/>
        </w:rPr>
        <w:t xml:space="preserve">, </w:t>
      </w:r>
    </w:p>
    <w:p w14:paraId="0F5F4270" w14:textId="77777777" w:rsidR="00F71565" w:rsidRDefault="00F71565" w:rsidP="00F26524">
      <w:pPr>
        <w:pStyle w:val="IRPsanstext"/>
        <w:spacing w:after="120"/>
        <w:jc w:val="center"/>
        <w:rPr>
          <w:rFonts w:cs="Arial"/>
          <w:i/>
        </w:rPr>
      </w:pPr>
      <w:r>
        <w:rPr>
          <w:rFonts w:cs="Arial"/>
          <w:i/>
        </w:rPr>
        <w:t xml:space="preserve">2015 </w:t>
      </w:r>
      <w:r w:rsidR="0054737D">
        <w:rPr>
          <w:rFonts w:cs="Arial"/>
          <w:i/>
        </w:rPr>
        <w:t xml:space="preserve">Optimal </w:t>
      </w:r>
      <w:r>
        <w:rPr>
          <w:rFonts w:cs="Arial"/>
          <w:i/>
        </w:rPr>
        <w:t>Planning Standard</w:t>
      </w:r>
      <w:r w:rsidRPr="00937249">
        <w:rPr>
          <w:rFonts w:cs="Arial"/>
          <w:i/>
        </w:rPr>
        <w:t xml:space="preserve"> </w:t>
      </w:r>
      <w:r w:rsidRPr="00937249">
        <w:rPr>
          <w:rFonts w:cs="Arial"/>
          <w:i/>
        </w:rPr>
        <w:br/>
        <w:t xml:space="preserve">(Energy in total MW. </w:t>
      </w:r>
      <w:proofErr w:type="gramStart"/>
      <w:r w:rsidRPr="00937249">
        <w:rPr>
          <w:rFonts w:cs="Arial"/>
          <w:i/>
        </w:rPr>
        <w:t>Dollars in billions.</w:t>
      </w:r>
      <w:proofErr w:type="gramEnd"/>
      <w:r w:rsidRPr="00937249">
        <w:rPr>
          <w:rFonts w:cs="Arial"/>
          <w:i/>
        </w:rPr>
        <w:t xml:space="preserve"> NPV includes end effects.)</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1980"/>
        <w:gridCol w:w="810"/>
        <w:gridCol w:w="180"/>
        <w:gridCol w:w="540"/>
        <w:gridCol w:w="630"/>
        <w:gridCol w:w="720"/>
        <w:gridCol w:w="810"/>
        <w:gridCol w:w="90"/>
        <w:gridCol w:w="630"/>
        <w:gridCol w:w="990"/>
        <w:gridCol w:w="810"/>
      </w:tblGrid>
      <w:tr w:rsidR="00B177E5" w:rsidRPr="00937249" w14:paraId="424953B8" w14:textId="77777777">
        <w:trPr>
          <w:trHeight w:val="330"/>
        </w:trPr>
        <w:tc>
          <w:tcPr>
            <w:tcW w:w="450" w:type="dxa"/>
            <w:tcBorders>
              <w:top w:val="single" w:sz="4" w:space="0" w:color="auto"/>
              <w:left w:val="single" w:sz="4" w:space="0" w:color="auto"/>
              <w:bottom w:val="nil"/>
              <w:right w:val="nil"/>
            </w:tcBorders>
            <w:shd w:val="clear" w:color="auto" w:fill="006A71"/>
          </w:tcPr>
          <w:p w14:paraId="548486CC" w14:textId="77777777" w:rsidR="00F71565" w:rsidRPr="006762B2" w:rsidRDefault="00F71565" w:rsidP="0020207E">
            <w:pPr>
              <w:pStyle w:val="IRPsanstext"/>
              <w:rPr>
                <w:rFonts w:cs="Arial"/>
                <w:bCs/>
                <w:color w:val="FFFFFF"/>
                <w:sz w:val="18"/>
                <w:szCs w:val="18"/>
              </w:rPr>
            </w:pPr>
          </w:p>
        </w:tc>
        <w:tc>
          <w:tcPr>
            <w:tcW w:w="1980" w:type="dxa"/>
            <w:tcBorders>
              <w:top w:val="single" w:sz="4" w:space="0" w:color="auto"/>
              <w:left w:val="single" w:sz="4" w:space="0" w:color="auto"/>
              <w:bottom w:val="nil"/>
              <w:right w:val="nil"/>
            </w:tcBorders>
            <w:shd w:val="clear" w:color="auto" w:fill="006A71"/>
          </w:tcPr>
          <w:p w14:paraId="7B341E37" w14:textId="77777777" w:rsidR="00F71565" w:rsidRPr="006762B2" w:rsidRDefault="00F71565" w:rsidP="0020207E">
            <w:pPr>
              <w:pStyle w:val="IRPsanstext"/>
              <w:rPr>
                <w:rFonts w:cs="Arial"/>
                <w:bCs/>
                <w:color w:val="FFFFFF"/>
                <w:sz w:val="18"/>
                <w:szCs w:val="18"/>
              </w:rPr>
            </w:pPr>
          </w:p>
        </w:tc>
        <w:tc>
          <w:tcPr>
            <w:tcW w:w="990" w:type="dxa"/>
            <w:gridSpan w:val="2"/>
            <w:tcBorders>
              <w:top w:val="single" w:sz="4" w:space="0" w:color="auto"/>
              <w:left w:val="nil"/>
              <w:bottom w:val="nil"/>
              <w:right w:val="nil"/>
            </w:tcBorders>
            <w:shd w:val="clear" w:color="auto" w:fill="006A71"/>
            <w:vAlign w:val="bottom"/>
          </w:tcPr>
          <w:p w14:paraId="19782995" w14:textId="77777777" w:rsidR="00F71565" w:rsidRPr="00FF331D" w:rsidRDefault="00F71565" w:rsidP="0020207E">
            <w:pPr>
              <w:pStyle w:val="IRPsanstext"/>
              <w:jc w:val="center"/>
              <w:rPr>
                <w:rFonts w:cs="Arial"/>
                <w:bCs/>
                <w:color w:val="FFFFFF"/>
                <w:sz w:val="18"/>
                <w:szCs w:val="18"/>
              </w:rPr>
            </w:pPr>
            <w:r w:rsidRPr="00FF331D">
              <w:rPr>
                <w:rFonts w:cs="Arial"/>
                <w:bCs/>
                <w:color w:val="FFFFFF"/>
                <w:sz w:val="18"/>
                <w:szCs w:val="18"/>
              </w:rPr>
              <w:t>NPV</w:t>
            </w:r>
          </w:p>
        </w:tc>
        <w:tc>
          <w:tcPr>
            <w:tcW w:w="540" w:type="dxa"/>
            <w:tcBorders>
              <w:top w:val="single" w:sz="4" w:space="0" w:color="auto"/>
              <w:left w:val="nil"/>
              <w:bottom w:val="nil"/>
              <w:right w:val="nil"/>
            </w:tcBorders>
            <w:shd w:val="clear" w:color="auto" w:fill="006A71"/>
            <w:vAlign w:val="bottom"/>
          </w:tcPr>
          <w:p w14:paraId="31DFE783" w14:textId="77777777" w:rsidR="00F71565" w:rsidRPr="00FF331D" w:rsidRDefault="00F71565" w:rsidP="0020207E">
            <w:pPr>
              <w:pStyle w:val="IRPsanstext"/>
              <w:jc w:val="center"/>
              <w:rPr>
                <w:rFonts w:cs="Arial"/>
                <w:bCs/>
                <w:color w:val="FFFFFF"/>
                <w:sz w:val="18"/>
                <w:szCs w:val="18"/>
              </w:rPr>
            </w:pPr>
            <w:r w:rsidRPr="00FF331D">
              <w:rPr>
                <w:rFonts w:cs="Arial"/>
                <w:bCs/>
                <w:color w:val="FFFFFF"/>
                <w:sz w:val="18"/>
                <w:szCs w:val="18"/>
              </w:rPr>
              <w:t>DR</w:t>
            </w:r>
          </w:p>
        </w:tc>
        <w:tc>
          <w:tcPr>
            <w:tcW w:w="630" w:type="dxa"/>
            <w:tcBorders>
              <w:top w:val="single" w:sz="4" w:space="0" w:color="auto"/>
              <w:left w:val="nil"/>
              <w:bottom w:val="nil"/>
              <w:right w:val="nil"/>
            </w:tcBorders>
            <w:shd w:val="clear" w:color="auto" w:fill="006A71"/>
            <w:vAlign w:val="bottom"/>
          </w:tcPr>
          <w:p w14:paraId="75C150C6" w14:textId="77777777" w:rsidR="00F71565" w:rsidRPr="00FF331D" w:rsidRDefault="00F71565" w:rsidP="0020207E">
            <w:pPr>
              <w:pStyle w:val="IRPsanstext"/>
              <w:jc w:val="center"/>
              <w:rPr>
                <w:rFonts w:cs="Arial"/>
                <w:bCs/>
                <w:color w:val="FFFFFF"/>
                <w:sz w:val="18"/>
                <w:szCs w:val="18"/>
              </w:rPr>
            </w:pPr>
            <w:r w:rsidRPr="00FF331D">
              <w:rPr>
                <w:rFonts w:cs="Arial"/>
                <w:bCs/>
                <w:color w:val="FFFFFF"/>
                <w:sz w:val="18"/>
                <w:szCs w:val="18"/>
              </w:rPr>
              <w:t>DSR</w:t>
            </w:r>
          </w:p>
        </w:tc>
        <w:tc>
          <w:tcPr>
            <w:tcW w:w="720" w:type="dxa"/>
            <w:tcBorders>
              <w:top w:val="single" w:sz="4" w:space="0" w:color="auto"/>
              <w:left w:val="nil"/>
              <w:bottom w:val="nil"/>
              <w:right w:val="nil"/>
            </w:tcBorders>
            <w:shd w:val="clear" w:color="auto" w:fill="006A71"/>
            <w:vAlign w:val="bottom"/>
          </w:tcPr>
          <w:p w14:paraId="1444A103" w14:textId="77777777" w:rsidR="00F71565" w:rsidRPr="00FF331D" w:rsidRDefault="00F71565" w:rsidP="0020207E">
            <w:pPr>
              <w:pStyle w:val="IRPsanstext"/>
              <w:jc w:val="center"/>
              <w:rPr>
                <w:rFonts w:cs="Arial"/>
                <w:bCs/>
                <w:color w:val="FFFFFF"/>
                <w:sz w:val="18"/>
                <w:szCs w:val="18"/>
              </w:rPr>
            </w:pPr>
            <w:r w:rsidRPr="00FF331D">
              <w:rPr>
                <w:rFonts w:cs="Arial"/>
                <w:bCs/>
                <w:color w:val="FFFFFF"/>
                <w:sz w:val="18"/>
                <w:szCs w:val="18"/>
              </w:rPr>
              <w:t>CCCT</w:t>
            </w:r>
          </w:p>
        </w:tc>
        <w:tc>
          <w:tcPr>
            <w:tcW w:w="900" w:type="dxa"/>
            <w:gridSpan w:val="2"/>
            <w:tcBorders>
              <w:top w:val="single" w:sz="4" w:space="0" w:color="auto"/>
              <w:left w:val="nil"/>
              <w:bottom w:val="nil"/>
              <w:right w:val="nil"/>
            </w:tcBorders>
            <w:shd w:val="clear" w:color="auto" w:fill="006A71"/>
            <w:vAlign w:val="bottom"/>
          </w:tcPr>
          <w:p w14:paraId="27E1A4EB" w14:textId="77777777" w:rsidR="00F71565" w:rsidRPr="00FF331D" w:rsidRDefault="00F71565" w:rsidP="0020207E">
            <w:pPr>
              <w:pStyle w:val="IRPsanstext"/>
              <w:jc w:val="center"/>
              <w:rPr>
                <w:rFonts w:cs="Arial"/>
                <w:bCs/>
                <w:color w:val="FFFFFF"/>
                <w:sz w:val="18"/>
                <w:szCs w:val="18"/>
              </w:rPr>
            </w:pPr>
            <w:proofErr w:type="spellStart"/>
            <w:r w:rsidRPr="00FF331D">
              <w:rPr>
                <w:rFonts w:cs="Arial"/>
                <w:bCs/>
                <w:color w:val="FFFFFF"/>
                <w:sz w:val="18"/>
                <w:szCs w:val="18"/>
              </w:rPr>
              <w:t>Peaker</w:t>
            </w:r>
            <w:proofErr w:type="spellEnd"/>
          </w:p>
        </w:tc>
        <w:tc>
          <w:tcPr>
            <w:tcW w:w="630" w:type="dxa"/>
            <w:tcBorders>
              <w:top w:val="single" w:sz="4" w:space="0" w:color="auto"/>
              <w:left w:val="nil"/>
              <w:bottom w:val="nil"/>
              <w:right w:val="nil"/>
            </w:tcBorders>
            <w:shd w:val="clear" w:color="auto" w:fill="006A71"/>
            <w:vAlign w:val="bottom"/>
          </w:tcPr>
          <w:p w14:paraId="16808106" w14:textId="77777777" w:rsidR="00F71565" w:rsidRPr="00FF331D" w:rsidRDefault="00F71565" w:rsidP="0020207E">
            <w:pPr>
              <w:pStyle w:val="IRPsanstext"/>
              <w:jc w:val="center"/>
              <w:rPr>
                <w:rFonts w:cs="Arial"/>
                <w:bCs/>
                <w:color w:val="FFFFFF"/>
                <w:sz w:val="18"/>
                <w:szCs w:val="18"/>
              </w:rPr>
            </w:pPr>
            <w:r w:rsidRPr="00FF331D">
              <w:rPr>
                <w:rFonts w:cs="Arial"/>
                <w:bCs/>
                <w:color w:val="FFFFFF"/>
                <w:sz w:val="18"/>
                <w:szCs w:val="18"/>
              </w:rPr>
              <w:t>Wind</w:t>
            </w:r>
          </w:p>
        </w:tc>
        <w:tc>
          <w:tcPr>
            <w:tcW w:w="990" w:type="dxa"/>
            <w:tcBorders>
              <w:top w:val="single" w:sz="4" w:space="0" w:color="auto"/>
              <w:left w:val="nil"/>
              <w:bottom w:val="nil"/>
              <w:right w:val="nil"/>
            </w:tcBorders>
            <w:shd w:val="clear" w:color="auto" w:fill="006A71"/>
            <w:vAlign w:val="bottom"/>
          </w:tcPr>
          <w:p w14:paraId="5AE278C1" w14:textId="77777777" w:rsidR="00F71565" w:rsidRPr="00FF331D" w:rsidRDefault="00F71565" w:rsidP="0020207E">
            <w:pPr>
              <w:pStyle w:val="IRPsanstext"/>
              <w:jc w:val="center"/>
              <w:rPr>
                <w:rFonts w:cs="Arial"/>
                <w:bCs/>
                <w:color w:val="FFFFFF"/>
                <w:sz w:val="18"/>
                <w:szCs w:val="18"/>
              </w:rPr>
            </w:pPr>
            <w:r w:rsidRPr="00FF331D">
              <w:rPr>
                <w:rFonts w:cs="Arial"/>
                <w:bCs/>
                <w:color w:val="FFFFFF"/>
                <w:sz w:val="18"/>
                <w:szCs w:val="18"/>
              </w:rPr>
              <w:t>Biomass/Solar*</w:t>
            </w:r>
          </w:p>
        </w:tc>
        <w:tc>
          <w:tcPr>
            <w:tcW w:w="810" w:type="dxa"/>
            <w:tcBorders>
              <w:top w:val="single" w:sz="4" w:space="0" w:color="auto"/>
              <w:left w:val="nil"/>
              <w:bottom w:val="nil"/>
              <w:right w:val="single" w:sz="4" w:space="0" w:color="auto"/>
            </w:tcBorders>
            <w:shd w:val="clear" w:color="auto" w:fill="006A71"/>
            <w:vAlign w:val="bottom"/>
          </w:tcPr>
          <w:p w14:paraId="3D3F5915" w14:textId="77777777" w:rsidR="00F71565" w:rsidRPr="00FF331D" w:rsidRDefault="00F71565" w:rsidP="0020207E">
            <w:pPr>
              <w:pStyle w:val="IRPsanstext"/>
              <w:jc w:val="center"/>
              <w:rPr>
                <w:rFonts w:cs="Arial"/>
                <w:bCs/>
                <w:color w:val="FFFFFF"/>
                <w:sz w:val="18"/>
                <w:szCs w:val="18"/>
              </w:rPr>
            </w:pPr>
            <w:r w:rsidRPr="00FF331D">
              <w:rPr>
                <w:rFonts w:cs="Arial"/>
                <w:bCs/>
                <w:color w:val="FFFFFF"/>
                <w:sz w:val="18"/>
                <w:szCs w:val="18"/>
              </w:rPr>
              <w:t>Battery</w:t>
            </w:r>
          </w:p>
        </w:tc>
      </w:tr>
      <w:tr w:rsidR="00F71565" w:rsidRPr="00937249" w14:paraId="6F852A10" w14:textId="77777777">
        <w:trPr>
          <w:trHeight w:hRule="exact" w:val="90"/>
        </w:trPr>
        <w:tc>
          <w:tcPr>
            <w:tcW w:w="450" w:type="dxa"/>
            <w:tcBorders>
              <w:top w:val="nil"/>
              <w:left w:val="single" w:sz="4" w:space="0" w:color="auto"/>
              <w:bottom w:val="single" w:sz="4" w:space="0" w:color="auto"/>
              <w:right w:val="nil"/>
            </w:tcBorders>
            <w:shd w:val="clear" w:color="auto" w:fill="807F83"/>
          </w:tcPr>
          <w:p w14:paraId="121D9290" w14:textId="77777777" w:rsidR="00F71565" w:rsidRPr="006762B2" w:rsidRDefault="00F71565" w:rsidP="0020207E">
            <w:pPr>
              <w:pStyle w:val="IRPsanstext"/>
              <w:rPr>
                <w:rFonts w:cs="Arial"/>
                <w:sz w:val="18"/>
                <w:szCs w:val="18"/>
              </w:rPr>
            </w:pPr>
          </w:p>
        </w:tc>
        <w:tc>
          <w:tcPr>
            <w:tcW w:w="1980" w:type="dxa"/>
            <w:tcBorders>
              <w:top w:val="nil"/>
              <w:left w:val="single" w:sz="4" w:space="0" w:color="auto"/>
              <w:bottom w:val="single" w:sz="4" w:space="0" w:color="auto"/>
              <w:right w:val="nil"/>
            </w:tcBorders>
            <w:shd w:val="clear" w:color="auto" w:fill="807F83"/>
            <w:vAlign w:val="center"/>
          </w:tcPr>
          <w:p w14:paraId="138C5430" w14:textId="77777777" w:rsidR="00F71565" w:rsidRPr="006762B2" w:rsidRDefault="00F71565" w:rsidP="0020207E">
            <w:pPr>
              <w:pStyle w:val="IRPsanstext"/>
              <w:rPr>
                <w:rFonts w:cs="Arial"/>
                <w:sz w:val="18"/>
                <w:szCs w:val="18"/>
              </w:rPr>
            </w:pPr>
          </w:p>
        </w:tc>
        <w:tc>
          <w:tcPr>
            <w:tcW w:w="1530" w:type="dxa"/>
            <w:gridSpan w:val="3"/>
            <w:tcBorders>
              <w:top w:val="nil"/>
              <w:left w:val="nil"/>
              <w:bottom w:val="single" w:sz="4" w:space="0" w:color="auto"/>
              <w:right w:val="nil"/>
            </w:tcBorders>
            <w:shd w:val="clear" w:color="auto" w:fill="807F83"/>
          </w:tcPr>
          <w:p w14:paraId="09867FEB" w14:textId="77777777" w:rsidR="00F71565" w:rsidRPr="006762B2" w:rsidRDefault="00F71565" w:rsidP="0020207E">
            <w:pPr>
              <w:pStyle w:val="IRPsanstext"/>
              <w:rPr>
                <w:rFonts w:cs="Arial"/>
                <w:sz w:val="18"/>
                <w:szCs w:val="18"/>
              </w:rPr>
            </w:pPr>
          </w:p>
        </w:tc>
        <w:tc>
          <w:tcPr>
            <w:tcW w:w="630" w:type="dxa"/>
            <w:tcBorders>
              <w:top w:val="nil"/>
              <w:left w:val="nil"/>
              <w:bottom w:val="single" w:sz="4" w:space="0" w:color="auto"/>
              <w:right w:val="nil"/>
            </w:tcBorders>
            <w:shd w:val="clear" w:color="auto" w:fill="807F83"/>
          </w:tcPr>
          <w:p w14:paraId="07E622FB" w14:textId="77777777" w:rsidR="00F71565" w:rsidRPr="006762B2" w:rsidRDefault="00F71565" w:rsidP="0020207E">
            <w:pPr>
              <w:pStyle w:val="IRPsanstext"/>
              <w:rPr>
                <w:rFonts w:cs="Arial"/>
                <w:sz w:val="18"/>
                <w:szCs w:val="18"/>
              </w:rPr>
            </w:pPr>
          </w:p>
        </w:tc>
        <w:tc>
          <w:tcPr>
            <w:tcW w:w="720" w:type="dxa"/>
            <w:tcBorders>
              <w:top w:val="nil"/>
              <w:left w:val="nil"/>
              <w:bottom w:val="single" w:sz="4" w:space="0" w:color="auto"/>
              <w:right w:val="nil"/>
            </w:tcBorders>
            <w:shd w:val="clear" w:color="auto" w:fill="807F83"/>
          </w:tcPr>
          <w:p w14:paraId="22D8AB09" w14:textId="77777777" w:rsidR="00F71565" w:rsidRPr="006762B2" w:rsidRDefault="00F71565" w:rsidP="0020207E">
            <w:pPr>
              <w:pStyle w:val="IRPsanstext"/>
              <w:rPr>
                <w:rFonts w:cs="Arial"/>
                <w:sz w:val="18"/>
                <w:szCs w:val="18"/>
              </w:rPr>
            </w:pPr>
          </w:p>
        </w:tc>
        <w:tc>
          <w:tcPr>
            <w:tcW w:w="2520" w:type="dxa"/>
            <w:gridSpan w:val="4"/>
            <w:tcBorders>
              <w:top w:val="nil"/>
              <w:left w:val="nil"/>
              <w:bottom w:val="single" w:sz="4" w:space="0" w:color="auto"/>
              <w:right w:val="nil"/>
            </w:tcBorders>
            <w:shd w:val="clear" w:color="auto" w:fill="807F83"/>
          </w:tcPr>
          <w:p w14:paraId="6D26466B" w14:textId="77777777" w:rsidR="00F71565" w:rsidRPr="006762B2" w:rsidRDefault="00F71565" w:rsidP="0020207E">
            <w:pPr>
              <w:pStyle w:val="IRPsanstext"/>
              <w:rPr>
                <w:rFonts w:cs="Arial"/>
                <w:sz w:val="18"/>
                <w:szCs w:val="18"/>
              </w:rPr>
            </w:pPr>
          </w:p>
        </w:tc>
        <w:tc>
          <w:tcPr>
            <w:tcW w:w="810" w:type="dxa"/>
            <w:tcBorders>
              <w:top w:val="nil"/>
              <w:left w:val="nil"/>
              <w:bottom w:val="single" w:sz="4" w:space="0" w:color="auto"/>
              <w:right w:val="single" w:sz="4" w:space="0" w:color="auto"/>
            </w:tcBorders>
            <w:shd w:val="clear" w:color="auto" w:fill="807F83"/>
          </w:tcPr>
          <w:p w14:paraId="70686204" w14:textId="77777777" w:rsidR="00F71565" w:rsidRPr="006762B2" w:rsidRDefault="00F71565" w:rsidP="0020207E">
            <w:pPr>
              <w:pStyle w:val="IRPsanstext"/>
              <w:rPr>
                <w:rFonts w:cs="Arial"/>
                <w:sz w:val="18"/>
                <w:szCs w:val="18"/>
              </w:rPr>
            </w:pPr>
          </w:p>
        </w:tc>
      </w:tr>
      <w:tr w:rsidR="00B177E5" w:rsidRPr="00937249" w14:paraId="0B589F2A" w14:textId="77777777" w:rsidTr="00553691">
        <w:trPr>
          <w:trHeight w:val="360"/>
        </w:trPr>
        <w:tc>
          <w:tcPr>
            <w:tcW w:w="450" w:type="dxa"/>
            <w:tcBorders>
              <w:top w:val="single" w:sz="4" w:space="0" w:color="auto"/>
            </w:tcBorders>
            <w:shd w:val="clear" w:color="auto" w:fill="D6CFCD"/>
          </w:tcPr>
          <w:p w14:paraId="62AB9654" w14:textId="77777777" w:rsidR="00F71565" w:rsidRPr="006762B2" w:rsidRDefault="00F71565" w:rsidP="0020207E">
            <w:pPr>
              <w:pStyle w:val="IRPsanstext"/>
              <w:jc w:val="both"/>
              <w:rPr>
                <w:rFonts w:cs="Arial"/>
                <w:bCs/>
                <w:iCs/>
                <w:color w:val="000000"/>
                <w:sz w:val="18"/>
                <w:szCs w:val="18"/>
              </w:rPr>
            </w:pPr>
            <w:r w:rsidRPr="006762B2">
              <w:rPr>
                <w:rFonts w:cs="Arial"/>
                <w:bCs/>
                <w:iCs/>
                <w:color w:val="000000"/>
                <w:sz w:val="18"/>
                <w:szCs w:val="18"/>
              </w:rPr>
              <w:t>1</w:t>
            </w:r>
          </w:p>
        </w:tc>
        <w:tc>
          <w:tcPr>
            <w:tcW w:w="1980" w:type="dxa"/>
            <w:tcBorders>
              <w:top w:val="single" w:sz="4" w:space="0" w:color="auto"/>
            </w:tcBorders>
            <w:shd w:val="clear" w:color="auto" w:fill="D6CFCD"/>
          </w:tcPr>
          <w:p w14:paraId="6BB311B8" w14:textId="77777777" w:rsidR="00F71565" w:rsidRPr="006762B2" w:rsidRDefault="00F71565" w:rsidP="0020207E">
            <w:pPr>
              <w:pStyle w:val="IRPsanstext"/>
              <w:rPr>
                <w:rFonts w:cs="Arial"/>
                <w:bCs/>
                <w:iCs/>
                <w:color w:val="000000"/>
                <w:sz w:val="18"/>
                <w:szCs w:val="18"/>
              </w:rPr>
            </w:pPr>
            <w:r w:rsidRPr="006762B2">
              <w:rPr>
                <w:rFonts w:cs="Arial"/>
                <w:bCs/>
                <w:iCs/>
                <w:color w:val="000000"/>
                <w:sz w:val="18"/>
                <w:szCs w:val="18"/>
              </w:rPr>
              <w:t>Low</w:t>
            </w:r>
          </w:p>
        </w:tc>
        <w:tc>
          <w:tcPr>
            <w:tcW w:w="810" w:type="dxa"/>
            <w:tcBorders>
              <w:top w:val="single" w:sz="4" w:space="0" w:color="auto"/>
            </w:tcBorders>
            <w:vAlign w:val="center"/>
          </w:tcPr>
          <w:p w14:paraId="4FBBADB0" w14:textId="77777777" w:rsidR="00F71565" w:rsidRPr="006762B2" w:rsidRDefault="00F71565" w:rsidP="0020207E">
            <w:pPr>
              <w:pStyle w:val="IRPsanstext"/>
              <w:jc w:val="center"/>
              <w:rPr>
                <w:rFonts w:cs="Arial"/>
                <w:bCs/>
                <w:iCs/>
                <w:color w:val="000000"/>
                <w:sz w:val="18"/>
                <w:szCs w:val="18"/>
              </w:rPr>
            </w:pPr>
            <w:r w:rsidRPr="006762B2">
              <w:rPr>
                <w:rFonts w:cs="Arial"/>
                <w:bCs/>
                <w:iCs/>
                <w:color w:val="000000"/>
                <w:sz w:val="18"/>
                <w:szCs w:val="18"/>
              </w:rPr>
              <w:t>$7.67</w:t>
            </w:r>
          </w:p>
        </w:tc>
        <w:tc>
          <w:tcPr>
            <w:tcW w:w="720" w:type="dxa"/>
            <w:gridSpan w:val="2"/>
            <w:tcBorders>
              <w:top w:val="single" w:sz="4" w:space="0" w:color="auto"/>
            </w:tcBorders>
            <w:vAlign w:val="center"/>
          </w:tcPr>
          <w:p w14:paraId="6E031DDD" w14:textId="77777777" w:rsidR="00F71565" w:rsidRPr="006762B2" w:rsidRDefault="00F71565" w:rsidP="0020207E">
            <w:pPr>
              <w:pStyle w:val="IRPsanstext"/>
              <w:jc w:val="center"/>
              <w:rPr>
                <w:rFonts w:cs="Arial"/>
                <w:sz w:val="18"/>
                <w:szCs w:val="18"/>
              </w:rPr>
            </w:pPr>
            <w:r w:rsidRPr="006762B2">
              <w:rPr>
                <w:rFonts w:cs="Arial"/>
                <w:sz w:val="18"/>
                <w:szCs w:val="18"/>
              </w:rPr>
              <w:t>230</w:t>
            </w:r>
          </w:p>
        </w:tc>
        <w:tc>
          <w:tcPr>
            <w:tcW w:w="630" w:type="dxa"/>
            <w:tcBorders>
              <w:top w:val="single" w:sz="4" w:space="0" w:color="auto"/>
            </w:tcBorders>
            <w:vAlign w:val="center"/>
          </w:tcPr>
          <w:p w14:paraId="089D9AD4" w14:textId="77777777" w:rsidR="00F71565" w:rsidRPr="006762B2" w:rsidRDefault="00F71565" w:rsidP="0020207E">
            <w:pPr>
              <w:pStyle w:val="IRPsanstext"/>
              <w:jc w:val="center"/>
              <w:rPr>
                <w:rFonts w:cs="Arial"/>
                <w:sz w:val="18"/>
                <w:szCs w:val="18"/>
              </w:rPr>
            </w:pPr>
            <w:r w:rsidRPr="006762B2">
              <w:rPr>
                <w:rFonts w:cs="Arial"/>
                <w:sz w:val="18"/>
                <w:szCs w:val="18"/>
              </w:rPr>
              <w:t>888</w:t>
            </w:r>
          </w:p>
        </w:tc>
        <w:tc>
          <w:tcPr>
            <w:tcW w:w="720" w:type="dxa"/>
            <w:tcBorders>
              <w:top w:val="single" w:sz="4" w:space="0" w:color="auto"/>
            </w:tcBorders>
            <w:vAlign w:val="center"/>
          </w:tcPr>
          <w:p w14:paraId="21496E17" w14:textId="77777777" w:rsidR="00F71565" w:rsidRPr="006762B2" w:rsidRDefault="00F71565" w:rsidP="0020207E">
            <w:pPr>
              <w:pStyle w:val="IRPsanstext"/>
              <w:jc w:val="center"/>
              <w:rPr>
                <w:rFonts w:cs="Arial"/>
                <w:sz w:val="18"/>
                <w:szCs w:val="18"/>
              </w:rPr>
            </w:pPr>
            <w:r w:rsidRPr="006762B2">
              <w:rPr>
                <w:rFonts w:cs="Arial"/>
                <w:sz w:val="18"/>
                <w:szCs w:val="18"/>
              </w:rPr>
              <w:t>-</w:t>
            </w:r>
          </w:p>
        </w:tc>
        <w:tc>
          <w:tcPr>
            <w:tcW w:w="810" w:type="dxa"/>
            <w:tcBorders>
              <w:top w:val="single" w:sz="4" w:space="0" w:color="auto"/>
            </w:tcBorders>
            <w:vAlign w:val="center"/>
          </w:tcPr>
          <w:p w14:paraId="19112F3E" w14:textId="77777777" w:rsidR="00F71565" w:rsidRPr="006762B2" w:rsidRDefault="00F71565" w:rsidP="0020207E">
            <w:pPr>
              <w:pStyle w:val="IRPsanstext"/>
              <w:jc w:val="center"/>
              <w:rPr>
                <w:rFonts w:cs="Arial"/>
                <w:sz w:val="18"/>
                <w:szCs w:val="18"/>
              </w:rPr>
            </w:pPr>
            <w:r w:rsidRPr="006762B2">
              <w:rPr>
                <w:rFonts w:cs="Arial"/>
                <w:sz w:val="18"/>
                <w:szCs w:val="18"/>
              </w:rPr>
              <w:t>683</w:t>
            </w:r>
          </w:p>
        </w:tc>
        <w:tc>
          <w:tcPr>
            <w:tcW w:w="720" w:type="dxa"/>
            <w:gridSpan w:val="2"/>
            <w:tcBorders>
              <w:top w:val="single" w:sz="4" w:space="0" w:color="auto"/>
            </w:tcBorders>
            <w:vAlign w:val="center"/>
          </w:tcPr>
          <w:p w14:paraId="434E0A8E" w14:textId="77777777" w:rsidR="00F71565" w:rsidRPr="006762B2" w:rsidRDefault="00F71565" w:rsidP="0020207E">
            <w:pPr>
              <w:pStyle w:val="IRPsanstext"/>
              <w:jc w:val="center"/>
              <w:rPr>
                <w:rFonts w:cs="Arial"/>
                <w:sz w:val="18"/>
                <w:szCs w:val="18"/>
              </w:rPr>
            </w:pPr>
            <w:r w:rsidRPr="006762B2">
              <w:rPr>
                <w:rFonts w:cs="Arial"/>
                <w:sz w:val="18"/>
                <w:szCs w:val="18"/>
              </w:rPr>
              <w:t>200</w:t>
            </w:r>
          </w:p>
        </w:tc>
        <w:tc>
          <w:tcPr>
            <w:tcW w:w="990" w:type="dxa"/>
            <w:tcBorders>
              <w:top w:val="single" w:sz="4" w:space="0" w:color="auto"/>
            </w:tcBorders>
            <w:vAlign w:val="center"/>
          </w:tcPr>
          <w:p w14:paraId="23F7C9CC" w14:textId="77777777" w:rsidR="00F71565" w:rsidRPr="006762B2" w:rsidRDefault="00F71565" w:rsidP="0020207E">
            <w:pPr>
              <w:pStyle w:val="IRPsanstext"/>
              <w:jc w:val="center"/>
              <w:rPr>
                <w:rFonts w:cs="Arial"/>
                <w:sz w:val="18"/>
                <w:szCs w:val="18"/>
              </w:rPr>
            </w:pPr>
            <w:r w:rsidRPr="006762B2">
              <w:rPr>
                <w:rFonts w:cs="Arial"/>
                <w:sz w:val="18"/>
                <w:szCs w:val="18"/>
              </w:rPr>
              <w:t>-</w:t>
            </w:r>
          </w:p>
        </w:tc>
        <w:tc>
          <w:tcPr>
            <w:tcW w:w="810" w:type="dxa"/>
            <w:tcBorders>
              <w:top w:val="single" w:sz="4" w:space="0" w:color="auto"/>
            </w:tcBorders>
            <w:vAlign w:val="center"/>
          </w:tcPr>
          <w:p w14:paraId="74055346" w14:textId="77777777" w:rsidR="00F71565" w:rsidRPr="006762B2" w:rsidRDefault="00F71565" w:rsidP="0020207E">
            <w:pPr>
              <w:pStyle w:val="IRPsanstext"/>
              <w:jc w:val="center"/>
              <w:rPr>
                <w:rFonts w:cs="Arial"/>
                <w:sz w:val="18"/>
                <w:szCs w:val="18"/>
              </w:rPr>
            </w:pPr>
            <w:r w:rsidRPr="006762B2">
              <w:rPr>
                <w:rFonts w:cs="Arial"/>
                <w:sz w:val="18"/>
                <w:szCs w:val="18"/>
              </w:rPr>
              <w:t>-</w:t>
            </w:r>
          </w:p>
        </w:tc>
      </w:tr>
      <w:tr w:rsidR="00B177E5" w:rsidRPr="00937249" w14:paraId="0514C6C5" w14:textId="77777777" w:rsidTr="00553691">
        <w:trPr>
          <w:trHeight w:val="360"/>
        </w:trPr>
        <w:tc>
          <w:tcPr>
            <w:tcW w:w="450" w:type="dxa"/>
            <w:tcBorders>
              <w:top w:val="single" w:sz="4" w:space="0" w:color="auto"/>
            </w:tcBorders>
            <w:shd w:val="clear" w:color="auto" w:fill="D6CFCD"/>
          </w:tcPr>
          <w:p w14:paraId="61DED61D" w14:textId="77777777" w:rsidR="00F71565" w:rsidRPr="006762B2" w:rsidRDefault="00F71565" w:rsidP="0020207E">
            <w:pPr>
              <w:pStyle w:val="IRPsanstext"/>
              <w:jc w:val="both"/>
              <w:rPr>
                <w:rFonts w:cs="Arial"/>
                <w:bCs/>
                <w:iCs/>
                <w:color w:val="000000"/>
                <w:sz w:val="18"/>
                <w:szCs w:val="18"/>
              </w:rPr>
            </w:pPr>
            <w:r w:rsidRPr="006762B2">
              <w:rPr>
                <w:rFonts w:cs="Arial"/>
                <w:bCs/>
                <w:iCs/>
                <w:color w:val="000000"/>
                <w:sz w:val="18"/>
                <w:szCs w:val="18"/>
              </w:rPr>
              <w:t>2</w:t>
            </w:r>
          </w:p>
        </w:tc>
        <w:tc>
          <w:tcPr>
            <w:tcW w:w="1980" w:type="dxa"/>
            <w:tcBorders>
              <w:top w:val="single" w:sz="4" w:space="0" w:color="auto"/>
            </w:tcBorders>
            <w:shd w:val="clear" w:color="auto" w:fill="D6CFCD"/>
          </w:tcPr>
          <w:p w14:paraId="3CC8F7CB" w14:textId="77777777" w:rsidR="00F71565" w:rsidRPr="006762B2" w:rsidRDefault="00F71565" w:rsidP="0020207E">
            <w:pPr>
              <w:pStyle w:val="IRPsanstext"/>
              <w:rPr>
                <w:rFonts w:cs="Arial"/>
                <w:bCs/>
                <w:iCs/>
                <w:color w:val="000000"/>
                <w:sz w:val="18"/>
                <w:szCs w:val="18"/>
              </w:rPr>
            </w:pPr>
            <w:r w:rsidRPr="006762B2">
              <w:rPr>
                <w:rFonts w:cs="Arial"/>
                <w:bCs/>
                <w:iCs/>
                <w:color w:val="000000"/>
                <w:sz w:val="18"/>
                <w:szCs w:val="18"/>
              </w:rPr>
              <w:t>Base</w:t>
            </w:r>
          </w:p>
        </w:tc>
        <w:tc>
          <w:tcPr>
            <w:tcW w:w="810" w:type="dxa"/>
            <w:tcBorders>
              <w:top w:val="single" w:sz="4" w:space="0" w:color="auto"/>
            </w:tcBorders>
            <w:vAlign w:val="center"/>
          </w:tcPr>
          <w:p w14:paraId="04D6F7BF" w14:textId="77777777" w:rsidR="00F71565" w:rsidRPr="006762B2" w:rsidRDefault="00F71565" w:rsidP="0020207E">
            <w:pPr>
              <w:pStyle w:val="IRPsanstext"/>
              <w:jc w:val="center"/>
              <w:rPr>
                <w:rFonts w:cs="Arial"/>
                <w:bCs/>
                <w:iCs/>
                <w:color w:val="000000"/>
                <w:sz w:val="18"/>
                <w:szCs w:val="18"/>
              </w:rPr>
            </w:pPr>
            <w:r w:rsidRPr="006762B2">
              <w:rPr>
                <w:rFonts w:cs="Arial"/>
                <w:bCs/>
                <w:iCs/>
                <w:color w:val="000000"/>
                <w:sz w:val="18"/>
                <w:szCs w:val="18"/>
              </w:rPr>
              <w:t>$12.79</w:t>
            </w:r>
          </w:p>
        </w:tc>
        <w:tc>
          <w:tcPr>
            <w:tcW w:w="720" w:type="dxa"/>
            <w:gridSpan w:val="2"/>
            <w:tcBorders>
              <w:top w:val="single" w:sz="4" w:space="0" w:color="auto"/>
            </w:tcBorders>
            <w:vAlign w:val="center"/>
          </w:tcPr>
          <w:p w14:paraId="45EB1B6D" w14:textId="77777777" w:rsidR="00F71565" w:rsidRPr="006762B2" w:rsidRDefault="00F71565" w:rsidP="0020207E">
            <w:pPr>
              <w:pStyle w:val="IRPsanstext"/>
              <w:jc w:val="center"/>
              <w:rPr>
                <w:rFonts w:cs="Arial"/>
                <w:sz w:val="18"/>
                <w:szCs w:val="18"/>
              </w:rPr>
            </w:pPr>
            <w:r w:rsidRPr="006762B2">
              <w:rPr>
                <w:rFonts w:cs="Arial"/>
                <w:sz w:val="18"/>
                <w:szCs w:val="18"/>
              </w:rPr>
              <w:t>148</w:t>
            </w:r>
          </w:p>
        </w:tc>
        <w:tc>
          <w:tcPr>
            <w:tcW w:w="630" w:type="dxa"/>
            <w:tcBorders>
              <w:top w:val="single" w:sz="4" w:space="0" w:color="auto"/>
            </w:tcBorders>
            <w:vAlign w:val="center"/>
          </w:tcPr>
          <w:p w14:paraId="6787F18C" w14:textId="77777777" w:rsidR="00F71565" w:rsidRPr="006762B2" w:rsidRDefault="00F71565" w:rsidP="0020207E">
            <w:pPr>
              <w:pStyle w:val="IRPsanstext"/>
              <w:jc w:val="center"/>
              <w:rPr>
                <w:rFonts w:cs="Arial"/>
                <w:sz w:val="18"/>
                <w:szCs w:val="18"/>
              </w:rPr>
            </w:pPr>
            <w:r w:rsidRPr="006762B2">
              <w:rPr>
                <w:rFonts w:cs="Arial"/>
                <w:sz w:val="18"/>
                <w:szCs w:val="18"/>
              </w:rPr>
              <w:t>906</w:t>
            </w:r>
          </w:p>
        </w:tc>
        <w:tc>
          <w:tcPr>
            <w:tcW w:w="720" w:type="dxa"/>
            <w:tcBorders>
              <w:top w:val="single" w:sz="4" w:space="0" w:color="auto"/>
            </w:tcBorders>
            <w:vAlign w:val="center"/>
          </w:tcPr>
          <w:p w14:paraId="654A769A" w14:textId="77777777" w:rsidR="00F71565" w:rsidRPr="006762B2" w:rsidRDefault="00F71565" w:rsidP="0020207E">
            <w:pPr>
              <w:pStyle w:val="IRPsanstext"/>
              <w:jc w:val="center"/>
              <w:rPr>
                <w:rFonts w:cs="Arial"/>
                <w:sz w:val="18"/>
                <w:szCs w:val="18"/>
              </w:rPr>
            </w:pPr>
            <w:r w:rsidRPr="006762B2">
              <w:rPr>
                <w:rFonts w:cs="Arial"/>
                <w:sz w:val="18"/>
                <w:szCs w:val="18"/>
              </w:rPr>
              <w:t>385</w:t>
            </w:r>
          </w:p>
        </w:tc>
        <w:tc>
          <w:tcPr>
            <w:tcW w:w="810" w:type="dxa"/>
            <w:tcBorders>
              <w:top w:val="single" w:sz="4" w:space="0" w:color="auto"/>
            </w:tcBorders>
            <w:vAlign w:val="center"/>
          </w:tcPr>
          <w:p w14:paraId="74B4DD9D" w14:textId="77777777" w:rsidR="00F71565" w:rsidRPr="006762B2" w:rsidRDefault="00F71565" w:rsidP="0020207E">
            <w:pPr>
              <w:pStyle w:val="IRPsanstext"/>
              <w:jc w:val="center"/>
              <w:rPr>
                <w:rFonts w:cs="Arial"/>
                <w:sz w:val="18"/>
                <w:szCs w:val="18"/>
              </w:rPr>
            </w:pPr>
            <w:r w:rsidRPr="006762B2">
              <w:rPr>
                <w:rFonts w:cs="Arial"/>
                <w:sz w:val="18"/>
                <w:szCs w:val="18"/>
              </w:rPr>
              <w:t>1,138</w:t>
            </w:r>
          </w:p>
        </w:tc>
        <w:tc>
          <w:tcPr>
            <w:tcW w:w="720" w:type="dxa"/>
            <w:gridSpan w:val="2"/>
            <w:tcBorders>
              <w:top w:val="single" w:sz="4" w:space="0" w:color="auto"/>
            </w:tcBorders>
            <w:vAlign w:val="center"/>
          </w:tcPr>
          <w:p w14:paraId="59A6D0E9" w14:textId="77777777" w:rsidR="00F71565" w:rsidRPr="006762B2" w:rsidRDefault="00F71565" w:rsidP="0020207E">
            <w:pPr>
              <w:pStyle w:val="IRPsanstext"/>
              <w:jc w:val="center"/>
              <w:rPr>
                <w:rFonts w:cs="Arial"/>
                <w:sz w:val="18"/>
                <w:szCs w:val="18"/>
              </w:rPr>
            </w:pPr>
            <w:r w:rsidRPr="006762B2">
              <w:rPr>
                <w:rFonts w:cs="Arial"/>
                <w:sz w:val="18"/>
                <w:szCs w:val="18"/>
              </w:rPr>
              <w:t>300</w:t>
            </w:r>
          </w:p>
        </w:tc>
        <w:tc>
          <w:tcPr>
            <w:tcW w:w="990" w:type="dxa"/>
            <w:tcBorders>
              <w:top w:val="single" w:sz="4" w:space="0" w:color="auto"/>
            </w:tcBorders>
            <w:vAlign w:val="center"/>
          </w:tcPr>
          <w:p w14:paraId="6FA964AA" w14:textId="77777777" w:rsidR="00F71565" w:rsidRPr="006762B2" w:rsidRDefault="00F71565" w:rsidP="0020207E">
            <w:pPr>
              <w:pStyle w:val="IRPsanstext"/>
              <w:jc w:val="center"/>
              <w:rPr>
                <w:rFonts w:cs="Arial"/>
                <w:sz w:val="18"/>
                <w:szCs w:val="18"/>
              </w:rPr>
            </w:pPr>
            <w:r w:rsidRPr="006762B2">
              <w:rPr>
                <w:rFonts w:cs="Arial"/>
                <w:sz w:val="18"/>
                <w:szCs w:val="18"/>
              </w:rPr>
              <w:t>15</w:t>
            </w:r>
          </w:p>
        </w:tc>
        <w:tc>
          <w:tcPr>
            <w:tcW w:w="810" w:type="dxa"/>
            <w:tcBorders>
              <w:top w:val="single" w:sz="4" w:space="0" w:color="auto"/>
            </w:tcBorders>
            <w:vAlign w:val="center"/>
          </w:tcPr>
          <w:p w14:paraId="5087CEC9" w14:textId="77777777" w:rsidR="00F71565" w:rsidRPr="006762B2" w:rsidRDefault="00F71565" w:rsidP="0020207E">
            <w:pPr>
              <w:pStyle w:val="IRPsanstext"/>
              <w:jc w:val="center"/>
              <w:rPr>
                <w:rFonts w:cs="Arial"/>
                <w:sz w:val="18"/>
                <w:szCs w:val="18"/>
              </w:rPr>
            </w:pPr>
            <w:r w:rsidRPr="006762B2">
              <w:rPr>
                <w:rFonts w:cs="Arial"/>
                <w:sz w:val="18"/>
                <w:szCs w:val="18"/>
              </w:rPr>
              <w:t>-</w:t>
            </w:r>
          </w:p>
        </w:tc>
      </w:tr>
      <w:tr w:rsidR="00B177E5" w:rsidRPr="00937249" w14:paraId="496DBEA0" w14:textId="77777777" w:rsidTr="00553691">
        <w:trPr>
          <w:trHeight w:val="360"/>
        </w:trPr>
        <w:tc>
          <w:tcPr>
            <w:tcW w:w="450" w:type="dxa"/>
            <w:shd w:val="clear" w:color="auto" w:fill="D6CFCD"/>
          </w:tcPr>
          <w:p w14:paraId="091A2D91" w14:textId="77777777" w:rsidR="00F71565" w:rsidRPr="006762B2" w:rsidRDefault="00F71565" w:rsidP="0020207E">
            <w:pPr>
              <w:pStyle w:val="IRPsanstext"/>
              <w:jc w:val="both"/>
              <w:rPr>
                <w:rFonts w:cs="Arial"/>
                <w:bCs/>
                <w:iCs/>
                <w:color w:val="000000"/>
                <w:sz w:val="18"/>
                <w:szCs w:val="18"/>
              </w:rPr>
            </w:pPr>
            <w:r w:rsidRPr="006762B2">
              <w:rPr>
                <w:rFonts w:cs="Arial"/>
                <w:bCs/>
                <w:iCs/>
                <w:color w:val="000000"/>
                <w:sz w:val="18"/>
                <w:szCs w:val="18"/>
              </w:rPr>
              <w:t>3</w:t>
            </w:r>
          </w:p>
        </w:tc>
        <w:tc>
          <w:tcPr>
            <w:tcW w:w="1980" w:type="dxa"/>
            <w:shd w:val="clear" w:color="auto" w:fill="D6CFCD"/>
          </w:tcPr>
          <w:p w14:paraId="4C52B76B" w14:textId="77777777" w:rsidR="00F71565" w:rsidRPr="006762B2" w:rsidRDefault="00F71565" w:rsidP="0020207E">
            <w:pPr>
              <w:pStyle w:val="IRPsanstext"/>
              <w:rPr>
                <w:rFonts w:cs="Arial"/>
                <w:bCs/>
                <w:iCs/>
                <w:color w:val="000000"/>
                <w:sz w:val="18"/>
                <w:szCs w:val="18"/>
              </w:rPr>
            </w:pPr>
            <w:r w:rsidRPr="006762B2">
              <w:rPr>
                <w:rFonts w:cs="Arial"/>
                <w:bCs/>
                <w:iCs/>
                <w:color w:val="000000"/>
                <w:sz w:val="18"/>
                <w:szCs w:val="18"/>
              </w:rPr>
              <w:t>High</w:t>
            </w:r>
          </w:p>
        </w:tc>
        <w:tc>
          <w:tcPr>
            <w:tcW w:w="810" w:type="dxa"/>
            <w:vAlign w:val="center"/>
          </w:tcPr>
          <w:p w14:paraId="1C535000" w14:textId="77777777" w:rsidR="00F71565" w:rsidRPr="006762B2" w:rsidRDefault="00F71565" w:rsidP="0020207E">
            <w:pPr>
              <w:pStyle w:val="IRPsanstext"/>
              <w:jc w:val="center"/>
              <w:rPr>
                <w:rFonts w:cs="Arial"/>
                <w:bCs/>
                <w:iCs/>
                <w:color w:val="000000"/>
                <w:sz w:val="18"/>
                <w:szCs w:val="18"/>
              </w:rPr>
            </w:pPr>
            <w:r w:rsidRPr="006762B2">
              <w:rPr>
                <w:rFonts w:cs="Arial"/>
                <w:bCs/>
                <w:iCs/>
                <w:color w:val="000000"/>
                <w:sz w:val="18"/>
                <w:szCs w:val="18"/>
              </w:rPr>
              <w:t>$17.99</w:t>
            </w:r>
          </w:p>
        </w:tc>
        <w:tc>
          <w:tcPr>
            <w:tcW w:w="720" w:type="dxa"/>
            <w:gridSpan w:val="2"/>
            <w:vAlign w:val="center"/>
          </w:tcPr>
          <w:p w14:paraId="4330D875" w14:textId="77777777" w:rsidR="00F71565" w:rsidRPr="006762B2" w:rsidRDefault="00F71565" w:rsidP="0020207E">
            <w:pPr>
              <w:pStyle w:val="IRPsanstext"/>
              <w:jc w:val="center"/>
              <w:rPr>
                <w:rFonts w:cs="Arial"/>
                <w:sz w:val="18"/>
                <w:szCs w:val="18"/>
              </w:rPr>
            </w:pPr>
            <w:r w:rsidRPr="006762B2">
              <w:rPr>
                <w:rFonts w:cs="Arial"/>
                <w:sz w:val="18"/>
                <w:szCs w:val="18"/>
              </w:rPr>
              <w:t>230</w:t>
            </w:r>
          </w:p>
        </w:tc>
        <w:tc>
          <w:tcPr>
            <w:tcW w:w="630" w:type="dxa"/>
            <w:vAlign w:val="center"/>
          </w:tcPr>
          <w:p w14:paraId="43ECCCC8" w14:textId="77777777" w:rsidR="00F71565" w:rsidRPr="006762B2" w:rsidRDefault="00F71565" w:rsidP="0020207E">
            <w:pPr>
              <w:pStyle w:val="IRPsanstext"/>
              <w:jc w:val="center"/>
              <w:rPr>
                <w:rFonts w:cs="Arial"/>
                <w:sz w:val="18"/>
                <w:szCs w:val="18"/>
              </w:rPr>
            </w:pPr>
            <w:r w:rsidRPr="006762B2">
              <w:rPr>
                <w:rFonts w:cs="Arial"/>
                <w:sz w:val="18"/>
                <w:szCs w:val="18"/>
              </w:rPr>
              <w:t>906</w:t>
            </w:r>
          </w:p>
        </w:tc>
        <w:tc>
          <w:tcPr>
            <w:tcW w:w="720" w:type="dxa"/>
            <w:vAlign w:val="center"/>
          </w:tcPr>
          <w:p w14:paraId="6E78EB0C" w14:textId="77777777" w:rsidR="00F71565" w:rsidRPr="006762B2" w:rsidRDefault="00F71565" w:rsidP="0020207E">
            <w:pPr>
              <w:pStyle w:val="IRPsanstext"/>
              <w:jc w:val="center"/>
              <w:rPr>
                <w:rFonts w:cs="Arial"/>
                <w:sz w:val="18"/>
                <w:szCs w:val="18"/>
              </w:rPr>
            </w:pPr>
            <w:r w:rsidRPr="006762B2">
              <w:rPr>
                <w:rFonts w:cs="Arial"/>
                <w:sz w:val="18"/>
                <w:szCs w:val="18"/>
              </w:rPr>
              <w:t>2,312</w:t>
            </w:r>
          </w:p>
        </w:tc>
        <w:tc>
          <w:tcPr>
            <w:tcW w:w="810" w:type="dxa"/>
            <w:vAlign w:val="center"/>
          </w:tcPr>
          <w:p w14:paraId="2FDE15C2" w14:textId="77777777" w:rsidR="00F71565" w:rsidRPr="006762B2" w:rsidRDefault="00F71565" w:rsidP="0020207E">
            <w:pPr>
              <w:pStyle w:val="IRPsanstext"/>
              <w:jc w:val="center"/>
              <w:rPr>
                <w:rFonts w:cs="Arial"/>
                <w:sz w:val="18"/>
                <w:szCs w:val="18"/>
              </w:rPr>
            </w:pPr>
            <w:r w:rsidRPr="006762B2">
              <w:rPr>
                <w:rFonts w:cs="Arial"/>
                <w:sz w:val="18"/>
                <w:szCs w:val="18"/>
              </w:rPr>
              <w:t>228</w:t>
            </w:r>
          </w:p>
        </w:tc>
        <w:tc>
          <w:tcPr>
            <w:tcW w:w="720" w:type="dxa"/>
            <w:gridSpan w:val="2"/>
            <w:vAlign w:val="center"/>
          </w:tcPr>
          <w:p w14:paraId="75F58A9D" w14:textId="77777777" w:rsidR="00F71565" w:rsidRPr="006762B2" w:rsidRDefault="00F71565" w:rsidP="0020207E">
            <w:pPr>
              <w:pStyle w:val="IRPsanstext"/>
              <w:jc w:val="center"/>
              <w:rPr>
                <w:rFonts w:cs="Arial"/>
                <w:sz w:val="18"/>
                <w:szCs w:val="18"/>
              </w:rPr>
            </w:pPr>
            <w:r w:rsidRPr="006762B2">
              <w:rPr>
                <w:rFonts w:cs="Arial"/>
                <w:sz w:val="18"/>
                <w:szCs w:val="18"/>
              </w:rPr>
              <w:t>1,000</w:t>
            </w:r>
          </w:p>
        </w:tc>
        <w:tc>
          <w:tcPr>
            <w:tcW w:w="990" w:type="dxa"/>
            <w:vAlign w:val="center"/>
          </w:tcPr>
          <w:p w14:paraId="67D3B2C0" w14:textId="77777777" w:rsidR="00F71565" w:rsidRPr="006762B2" w:rsidRDefault="00F71565" w:rsidP="0020207E">
            <w:pPr>
              <w:pStyle w:val="IRPsanstext"/>
              <w:jc w:val="center"/>
              <w:rPr>
                <w:rFonts w:cs="Arial"/>
                <w:sz w:val="18"/>
                <w:szCs w:val="18"/>
              </w:rPr>
            </w:pPr>
            <w:r w:rsidRPr="006762B2">
              <w:rPr>
                <w:rFonts w:cs="Arial"/>
                <w:sz w:val="18"/>
                <w:szCs w:val="18"/>
              </w:rPr>
              <w:t>-</w:t>
            </w:r>
          </w:p>
        </w:tc>
        <w:tc>
          <w:tcPr>
            <w:tcW w:w="810" w:type="dxa"/>
            <w:vAlign w:val="center"/>
          </w:tcPr>
          <w:p w14:paraId="3F7D6A8F" w14:textId="77777777" w:rsidR="00F71565" w:rsidRPr="006762B2" w:rsidRDefault="00F71565" w:rsidP="0020207E">
            <w:pPr>
              <w:pStyle w:val="IRPsanstext"/>
              <w:jc w:val="center"/>
              <w:rPr>
                <w:rFonts w:cs="Arial"/>
                <w:sz w:val="18"/>
                <w:szCs w:val="18"/>
              </w:rPr>
            </w:pPr>
            <w:r w:rsidRPr="006762B2">
              <w:rPr>
                <w:rFonts w:cs="Arial"/>
                <w:sz w:val="18"/>
                <w:szCs w:val="18"/>
              </w:rPr>
              <w:t>-</w:t>
            </w:r>
          </w:p>
        </w:tc>
      </w:tr>
      <w:tr w:rsidR="00B177E5" w:rsidRPr="00937249" w14:paraId="6B9B0A2D" w14:textId="77777777" w:rsidTr="00553691">
        <w:trPr>
          <w:trHeight w:val="360"/>
        </w:trPr>
        <w:tc>
          <w:tcPr>
            <w:tcW w:w="450" w:type="dxa"/>
            <w:shd w:val="clear" w:color="auto" w:fill="D6CFCD"/>
          </w:tcPr>
          <w:p w14:paraId="1236CF54" w14:textId="77777777" w:rsidR="00F71565" w:rsidRPr="006762B2" w:rsidRDefault="00F71565" w:rsidP="0020207E">
            <w:pPr>
              <w:pStyle w:val="IRPsanstext"/>
              <w:jc w:val="both"/>
              <w:rPr>
                <w:rFonts w:cs="Arial"/>
                <w:bCs/>
                <w:iCs/>
                <w:color w:val="000000"/>
                <w:sz w:val="18"/>
                <w:szCs w:val="18"/>
              </w:rPr>
            </w:pPr>
            <w:r w:rsidRPr="006762B2">
              <w:rPr>
                <w:rFonts w:cs="Arial"/>
                <w:bCs/>
                <w:iCs/>
                <w:color w:val="000000"/>
                <w:sz w:val="18"/>
                <w:szCs w:val="18"/>
              </w:rPr>
              <w:t>4</w:t>
            </w:r>
          </w:p>
        </w:tc>
        <w:tc>
          <w:tcPr>
            <w:tcW w:w="1980" w:type="dxa"/>
            <w:shd w:val="clear" w:color="auto" w:fill="D6CFCD"/>
          </w:tcPr>
          <w:p w14:paraId="5BBC7CC4" w14:textId="77777777" w:rsidR="00F71565" w:rsidRPr="006762B2" w:rsidRDefault="00F71565" w:rsidP="0020207E">
            <w:pPr>
              <w:pStyle w:val="IRPsanstext"/>
              <w:rPr>
                <w:rFonts w:cs="Arial"/>
                <w:bCs/>
                <w:iCs/>
                <w:color w:val="000000"/>
                <w:sz w:val="18"/>
                <w:szCs w:val="18"/>
              </w:rPr>
            </w:pPr>
            <w:r w:rsidRPr="006762B2">
              <w:rPr>
                <w:rFonts w:cs="Arial"/>
                <w:bCs/>
                <w:iCs/>
                <w:color w:val="000000"/>
                <w:sz w:val="18"/>
                <w:szCs w:val="18"/>
              </w:rPr>
              <w:t>Base + Low Gas Price</w:t>
            </w:r>
          </w:p>
        </w:tc>
        <w:tc>
          <w:tcPr>
            <w:tcW w:w="810" w:type="dxa"/>
            <w:vAlign w:val="center"/>
          </w:tcPr>
          <w:p w14:paraId="690B4E55" w14:textId="77777777" w:rsidR="00F71565" w:rsidRPr="006762B2" w:rsidRDefault="00F71565" w:rsidP="0020207E">
            <w:pPr>
              <w:pStyle w:val="IRPsanstext"/>
              <w:jc w:val="center"/>
              <w:rPr>
                <w:rFonts w:cs="Arial"/>
                <w:bCs/>
                <w:iCs/>
                <w:color w:val="000000"/>
                <w:sz w:val="18"/>
                <w:szCs w:val="18"/>
              </w:rPr>
            </w:pPr>
            <w:r w:rsidRPr="006762B2">
              <w:rPr>
                <w:rFonts w:cs="Arial"/>
                <w:bCs/>
                <w:iCs/>
                <w:color w:val="000000"/>
                <w:sz w:val="18"/>
                <w:szCs w:val="18"/>
              </w:rPr>
              <w:t>$12.04</w:t>
            </w:r>
          </w:p>
        </w:tc>
        <w:tc>
          <w:tcPr>
            <w:tcW w:w="720" w:type="dxa"/>
            <w:gridSpan w:val="2"/>
            <w:vAlign w:val="center"/>
          </w:tcPr>
          <w:p w14:paraId="71C8F8A1" w14:textId="77777777" w:rsidR="00F71565" w:rsidRPr="006762B2" w:rsidRDefault="00F71565" w:rsidP="0020207E">
            <w:pPr>
              <w:pStyle w:val="IRPsanstext"/>
              <w:jc w:val="center"/>
              <w:rPr>
                <w:rFonts w:cs="Arial"/>
                <w:sz w:val="18"/>
                <w:szCs w:val="18"/>
              </w:rPr>
            </w:pPr>
            <w:r w:rsidRPr="006762B2">
              <w:rPr>
                <w:rFonts w:cs="Arial"/>
                <w:sz w:val="18"/>
                <w:szCs w:val="18"/>
              </w:rPr>
              <w:t>148</w:t>
            </w:r>
          </w:p>
        </w:tc>
        <w:tc>
          <w:tcPr>
            <w:tcW w:w="630" w:type="dxa"/>
            <w:vAlign w:val="center"/>
          </w:tcPr>
          <w:p w14:paraId="45F72BF4" w14:textId="77777777" w:rsidR="00F71565" w:rsidRPr="006762B2" w:rsidRDefault="00F71565" w:rsidP="0020207E">
            <w:pPr>
              <w:pStyle w:val="IRPsanstext"/>
              <w:jc w:val="center"/>
              <w:rPr>
                <w:rFonts w:cs="Arial"/>
                <w:sz w:val="18"/>
                <w:szCs w:val="18"/>
              </w:rPr>
            </w:pPr>
            <w:r w:rsidRPr="006762B2">
              <w:rPr>
                <w:rFonts w:cs="Arial"/>
                <w:sz w:val="18"/>
                <w:szCs w:val="18"/>
              </w:rPr>
              <w:t>906</w:t>
            </w:r>
          </w:p>
        </w:tc>
        <w:tc>
          <w:tcPr>
            <w:tcW w:w="720" w:type="dxa"/>
            <w:vAlign w:val="center"/>
          </w:tcPr>
          <w:p w14:paraId="365E0609" w14:textId="77777777" w:rsidR="00F71565" w:rsidRPr="006762B2" w:rsidRDefault="00F71565" w:rsidP="0020207E">
            <w:pPr>
              <w:pStyle w:val="IRPsanstext"/>
              <w:jc w:val="center"/>
              <w:rPr>
                <w:rFonts w:cs="Arial"/>
                <w:sz w:val="18"/>
                <w:szCs w:val="18"/>
              </w:rPr>
            </w:pPr>
            <w:r w:rsidRPr="006762B2">
              <w:rPr>
                <w:rFonts w:cs="Arial"/>
                <w:sz w:val="18"/>
                <w:szCs w:val="18"/>
              </w:rPr>
              <w:t>385</w:t>
            </w:r>
          </w:p>
        </w:tc>
        <w:tc>
          <w:tcPr>
            <w:tcW w:w="810" w:type="dxa"/>
            <w:vAlign w:val="center"/>
          </w:tcPr>
          <w:p w14:paraId="501A4B4E" w14:textId="77777777" w:rsidR="00F71565" w:rsidRPr="006762B2" w:rsidRDefault="00F71565" w:rsidP="0020207E">
            <w:pPr>
              <w:pStyle w:val="IRPsanstext"/>
              <w:jc w:val="center"/>
              <w:rPr>
                <w:rFonts w:cs="Arial"/>
                <w:sz w:val="18"/>
                <w:szCs w:val="18"/>
              </w:rPr>
            </w:pPr>
            <w:r w:rsidRPr="006762B2">
              <w:rPr>
                <w:rFonts w:cs="Arial"/>
                <w:sz w:val="18"/>
                <w:szCs w:val="18"/>
              </w:rPr>
              <w:t>1,138</w:t>
            </w:r>
          </w:p>
        </w:tc>
        <w:tc>
          <w:tcPr>
            <w:tcW w:w="720" w:type="dxa"/>
            <w:gridSpan w:val="2"/>
            <w:vAlign w:val="center"/>
          </w:tcPr>
          <w:p w14:paraId="1BC7C67B" w14:textId="77777777" w:rsidR="00F71565" w:rsidRPr="006762B2" w:rsidRDefault="00F71565" w:rsidP="0020207E">
            <w:pPr>
              <w:pStyle w:val="IRPsanstext"/>
              <w:jc w:val="center"/>
              <w:rPr>
                <w:rFonts w:cs="Arial"/>
                <w:sz w:val="18"/>
                <w:szCs w:val="18"/>
              </w:rPr>
            </w:pPr>
            <w:r w:rsidRPr="006762B2">
              <w:rPr>
                <w:rFonts w:cs="Arial"/>
                <w:sz w:val="18"/>
                <w:szCs w:val="18"/>
              </w:rPr>
              <w:t>300</w:t>
            </w:r>
          </w:p>
        </w:tc>
        <w:tc>
          <w:tcPr>
            <w:tcW w:w="990" w:type="dxa"/>
            <w:vAlign w:val="center"/>
          </w:tcPr>
          <w:p w14:paraId="5A1619AD" w14:textId="77777777" w:rsidR="00F71565" w:rsidRPr="006762B2" w:rsidRDefault="00F71565" w:rsidP="0020207E">
            <w:pPr>
              <w:pStyle w:val="IRPsanstext"/>
              <w:jc w:val="center"/>
              <w:rPr>
                <w:rFonts w:cs="Arial"/>
                <w:sz w:val="18"/>
                <w:szCs w:val="18"/>
              </w:rPr>
            </w:pPr>
            <w:r w:rsidRPr="006762B2">
              <w:rPr>
                <w:rFonts w:cs="Arial"/>
                <w:sz w:val="18"/>
                <w:szCs w:val="18"/>
              </w:rPr>
              <w:t>15</w:t>
            </w:r>
          </w:p>
        </w:tc>
        <w:tc>
          <w:tcPr>
            <w:tcW w:w="810" w:type="dxa"/>
            <w:vAlign w:val="center"/>
          </w:tcPr>
          <w:p w14:paraId="1CE3D625" w14:textId="77777777" w:rsidR="00F71565" w:rsidRPr="006762B2" w:rsidRDefault="00F71565" w:rsidP="0020207E">
            <w:pPr>
              <w:pStyle w:val="IRPsanstext"/>
              <w:jc w:val="center"/>
              <w:rPr>
                <w:rFonts w:cs="Arial"/>
                <w:sz w:val="18"/>
                <w:szCs w:val="18"/>
              </w:rPr>
            </w:pPr>
            <w:r w:rsidRPr="006762B2">
              <w:rPr>
                <w:rFonts w:cs="Arial"/>
                <w:sz w:val="18"/>
                <w:szCs w:val="18"/>
              </w:rPr>
              <w:t>-</w:t>
            </w:r>
          </w:p>
        </w:tc>
      </w:tr>
      <w:tr w:rsidR="00B177E5" w:rsidRPr="00937249" w14:paraId="3AEC3F51" w14:textId="77777777" w:rsidTr="00553691">
        <w:trPr>
          <w:trHeight w:val="360"/>
        </w:trPr>
        <w:tc>
          <w:tcPr>
            <w:tcW w:w="450" w:type="dxa"/>
            <w:shd w:val="clear" w:color="auto" w:fill="D6CFCD"/>
          </w:tcPr>
          <w:p w14:paraId="35E25E27" w14:textId="77777777" w:rsidR="00F71565" w:rsidRPr="006762B2" w:rsidRDefault="00F71565" w:rsidP="0020207E">
            <w:pPr>
              <w:pStyle w:val="IRPsanstext"/>
              <w:jc w:val="both"/>
              <w:rPr>
                <w:rFonts w:cs="Arial"/>
                <w:bCs/>
                <w:iCs/>
                <w:color w:val="000000"/>
                <w:sz w:val="18"/>
                <w:szCs w:val="18"/>
              </w:rPr>
            </w:pPr>
            <w:r w:rsidRPr="006762B2">
              <w:rPr>
                <w:rFonts w:cs="Arial"/>
                <w:bCs/>
                <w:iCs/>
                <w:color w:val="000000"/>
                <w:sz w:val="18"/>
                <w:szCs w:val="18"/>
              </w:rPr>
              <w:t>5</w:t>
            </w:r>
          </w:p>
        </w:tc>
        <w:tc>
          <w:tcPr>
            <w:tcW w:w="1980" w:type="dxa"/>
            <w:shd w:val="clear" w:color="auto" w:fill="D6CFCD"/>
          </w:tcPr>
          <w:p w14:paraId="4842D71C" w14:textId="77777777" w:rsidR="00F71565" w:rsidRPr="006762B2" w:rsidRDefault="00F71565" w:rsidP="0020207E">
            <w:pPr>
              <w:pStyle w:val="IRPsanstext"/>
              <w:rPr>
                <w:rFonts w:cs="Arial"/>
                <w:bCs/>
                <w:iCs/>
                <w:color w:val="000000"/>
                <w:sz w:val="18"/>
                <w:szCs w:val="18"/>
              </w:rPr>
            </w:pPr>
            <w:r w:rsidRPr="006762B2">
              <w:rPr>
                <w:rFonts w:cs="Arial"/>
                <w:bCs/>
                <w:iCs/>
                <w:color w:val="000000"/>
                <w:sz w:val="18"/>
                <w:szCs w:val="18"/>
              </w:rPr>
              <w:t>Base + High Gas Price</w:t>
            </w:r>
          </w:p>
        </w:tc>
        <w:tc>
          <w:tcPr>
            <w:tcW w:w="810" w:type="dxa"/>
            <w:vAlign w:val="center"/>
          </w:tcPr>
          <w:p w14:paraId="474317F3" w14:textId="77777777" w:rsidR="00F71565" w:rsidRPr="006762B2" w:rsidRDefault="00F71565" w:rsidP="0020207E">
            <w:pPr>
              <w:pStyle w:val="IRPsanstext"/>
              <w:jc w:val="center"/>
              <w:rPr>
                <w:rFonts w:cs="Arial"/>
                <w:bCs/>
                <w:iCs/>
                <w:color w:val="000000"/>
                <w:sz w:val="18"/>
                <w:szCs w:val="18"/>
              </w:rPr>
            </w:pPr>
            <w:r w:rsidRPr="006762B2">
              <w:rPr>
                <w:rFonts w:cs="Arial"/>
                <w:bCs/>
                <w:iCs/>
                <w:color w:val="000000"/>
                <w:sz w:val="18"/>
                <w:szCs w:val="18"/>
              </w:rPr>
              <w:t>$13.41</w:t>
            </w:r>
          </w:p>
        </w:tc>
        <w:tc>
          <w:tcPr>
            <w:tcW w:w="720" w:type="dxa"/>
            <w:gridSpan w:val="2"/>
            <w:vAlign w:val="center"/>
          </w:tcPr>
          <w:p w14:paraId="73FAA9C1" w14:textId="77777777" w:rsidR="00F71565" w:rsidRPr="006762B2" w:rsidRDefault="00F71565" w:rsidP="0020207E">
            <w:pPr>
              <w:pStyle w:val="IRPsanstext"/>
              <w:jc w:val="center"/>
              <w:rPr>
                <w:rFonts w:cs="Arial"/>
                <w:sz w:val="18"/>
                <w:szCs w:val="18"/>
              </w:rPr>
            </w:pPr>
            <w:r w:rsidRPr="006762B2">
              <w:rPr>
                <w:rFonts w:cs="Arial"/>
                <w:sz w:val="18"/>
                <w:szCs w:val="18"/>
              </w:rPr>
              <w:t>148</w:t>
            </w:r>
          </w:p>
        </w:tc>
        <w:tc>
          <w:tcPr>
            <w:tcW w:w="630" w:type="dxa"/>
            <w:vAlign w:val="center"/>
          </w:tcPr>
          <w:p w14:paraId="724F4134" w14:textId="77777777" w:rsidR="00F71565" w:rsidRPr="006762B2" w:rsidRDefault="00F71565" w:rsidP="0020207E">
            <w:pPr>
              <w:pStyle w:val="IRPsanstext"/>
              <w:jc w:val="center"/>
              <w:rPr>
                <w:rFonts w:cs="Arial"/>
                <w:sz w:val="18"/>
                <w:szCs w:val="18"/>
              </w:rPr>
            </w:pPr>
            <w:r w:rsidRPr="006762B2">
              <w:rPr>
                <w:rFonts w:cs="Arial"/>
                <w:sz w:val="18"/>
                <w:szCs w:val="18"/>
              </w:rPr>
              <w:t>906</w:t>
            </w:r>
          </w:p>
        </w:tc>
        <w:tc>
          <w:tcPr>
            <w:tcW w:w="720" w:type="dxa"/>
            <w:vAlign w:val="center"/>
          </w:tcPr>
          <w:p w14:paraId="65855DE7" w14:textId="77777777" w:rsidR="00F71565" w:rsidRPr="006762B2" w:rsidRDefault="00F71565" w:rsidP="0020207E">
            <w:pPr>
              <w:pStyle w:val="IRPsanstext"/>
              <w:jc w:val="center"/>
              <w:rPr>
                <w:rFonts w:cs="Arial"/>
                <w:sz w:val="18"/>
                <w:szCs w:val="18"/>
              </w:rPr>
            </w:pPr>
            <w:r w:rsidRPr="006762B2">
              <w:rPr>
                <w:rFonts w:cs="Arial"/>
                <w:sz w:val="18"/>
                <w:szCs w:val="18"/>
              </w:rPr>
              <w:t>-</w:t>
            </w:r>
          </w:p>
        </w:tc>
        <w:tc>
          <w:tcPr>
            <w:tcW w:w="810" w:type="dxa"/>
            <w:vAlign w:val="center"/>
          </w:tcPr>
          <w:p w14:paraId="4870440E" w14:textId="77777777" w:rsidR="00F71565" w:rsidRPr="006762B2" w:rsidRDefault="00F71565" w:rsidP="0020207E">
            <w:pPr>
              <w:pStyle w:val="IRPsanstext"/>
              <w:jc w:val="center"/>
              <w:rPr>
                <w:rFonts w:cs="Arial"/>
                <w:sz w:val="18"/>
                <w:szCs w:val="18"/>
              </w:rPr>
            </w:pPr>
            <w:r w:rsidRPr="006762B2">
              <w:rPr>
                <w:rFonts w:cs="Arial"/>
                <w:sz w:val="18"/>
                <w:szCs w:val="18"/>
              </w:rPr>
              <w:t>1,593</w:t>
            </w:r>
          </w:p>
        </w:tc>
        <w:tc>
          <w:tcPr>
            <w:tcW w:w="720" w:type="dxa"/>
            <w:gridSpan w:val="2"/>
            <w:vAlign w:val="center"/>
          </w:tcPr>
          <w:p w14:paraId="15EF9E76" w14:textId="77777777" w:rsidR="00F71565" w:rsidRPr="006762B2" w:rsidRDefault="00F71565" w:rsidP="0020207E">
            <w:pPr>
              <w:pStyle w:val="IRPsanstext"/>
              <w:jc w:val="center"/>
              <w:rPr>
                <w:rFonts w:cs="Arial"/>
                <w:sz w:val="18"/>
                <w:szCs w:val="18"/>
              </w:rPr>
            </w:pPr>
            <w:r w:rsidRPr="006762B2">
              <w:rPr>
                <w:rFonts w:cs="Arial"/>
                <w:sz w:val="18"/>
                <w:szCs w:val="18"/>
              </w:rPr>
              <w:t>300</w:t>
            </w:r>
          </w:p>
        </w:tc>
        <w:tc>
          <w:tcPr>
            <w:tcW w:w="990" w:type="dxa"/>
            <w:vAlign w:val="center"/>
          </w:tcPr>
          <w:p w14:paraId="249ED263" w14:textId="77777777" w:rsidR="00F71565" w:rsidRPr="006762B2" w:rsidRDefault="00F71565" w:rsidP="0020207E">
            <w:pPr>
              <w:pStyle w:val="IRPsanstext"/>
              <w:jc w:val="center"/>
              <w:rPr>
                <w:rFonts w:cs="Arial"/>
                <w:sz w:val="18"/>
                <w:szCs w:val="18"/>
              </w:rPr>
            </w:pPr>
            <w:r w:rsidRPr="006762B2">
              <w:rPr>
                <w:rFonts w:cs="Arial"/>
                <w:sz w:val="18"/>
                <w:szCs w:val="18"/>
              </w:rPr>
              <w:t>15</w:t>
            </w:r>
          </w:p>
        </w:tc>
        <w:tc>
          <w:tcPr>
            <w:tcW w:w="810" w:type="dxa"/>
            <w:vAlign w:val="center"/>
          </w:tcPr>
          <w:p w14:paraId="7BF9D84F" w14:textId="77777777" w:rsidR="00F71565" w:rsidRPr="006762B2" w:rsidRDefault="00F71565" w:rsidP="0020207E">
            <w:pPr>
              <w:pStyle w:val="IRPsanstext"/>
              <w:jc w:val="center"/>
              <w:rPr>
                <w:rFonts w:cs="Arial"/>
                <w:sz w:val="18"/>
                <w:szCs w:val="18"/>
              </w:rPr>
            </w:pPr>
            <w:r w:rsidRPr="006762B2">
              <w:rPr>
                <w:rFonts w:cs="Arial"/>
                <w:sz w:val="18"/>
                <w:szCs w:val="18"/>
              </w:rPr>
              <w:t>-</w:t>
            </w:r>
          </w:p>
        </w:tc>
      </w:tr>
      <w:tr w:rsidR="00B177E5" w:rsidRPr="00937249" w14:paraId="6F9BE57D" w14:textId="77777777" w:rsidTr="00553691">
        <w:trPr>
          <w:trHeight w:val="360"/>
        </w:trPr>
        <w:tc>
          <w:tcPr>
            <w:tcW w:w="450" w:type="dxa"/>
            <w:shd w:val="clear" w:color="auto" w:fill="D6CFCD"/>
          </w:tcPr>
          <w:p w14:paraId="1445E091" w14:textId="77777777" w:rsidR="00F71565" w:rsidRPr="006762B2" w:rsidRDefault="00F71565" w:rsidP="0020207E">
            <w:pPr>
              <w:pStyle w:val="IRPsanstext"/>
              <w:jc w:val="both"/>
              <w:rPr>
                <w:rFonts w:cs="Arial"/>
                <w:bCs/>
                <w:iCs/>
                <w:color w:val="000000"/>
                <w:sz w:val="18"/>
                <w:szCs w:val="18"/>
              </w:rPr>
            </w:pPr>
            <w:r w:rsidRPr="006762B2">
              <w:rPr>
                <w:rFonts w:cs="Arial"/>
                <w:bCs/>
                <w:iCs/>
                <w:color w:val="000000"/>
                <w:sz w:val="18"/>
                <w:szCs w:val="18"/>
              </w:rPr>
              <w:t>6</w:t>
            </w:r>
          </w:p>
        </w:tc>
        <w:tc>
          <w:tcPr>
            <w:tcW w:w="1980" w:type="dxa"/>
            <w:shd w:val="clear" w:color="auto" w:fill="D6CFCD"/>
          </w:tcPr>
          <w:p w14:paraId="57C4E1DB" w14:textId="77777777" w:rsidR="00F71565" w:rsidRPr="006762B2" w:rsidRDefault="00F71565" w:rsidP="0020207E">
            <w:pPr>
              <w:pStyle w:val="IRPsanstext"/>
              <w:rPr>
                <w:rFonts w:cs="Arial"/>
                <w:bCs/>
                <w:iCs/>
                <w:color w:val="000000"/>
                <w:sz w:val="18"/>
                <w:szCs w:val="18"/>
              </w:rPr>
            </w:pPr>
            <w:r w:rsidRPr="006762B2">
              <w:rPr>
                <w:rFonts w:cs="Arial"/>
                <w:bCs/>
                <w:iCs/>
                <w:color w:val="000000"/>
                <w:sz w:val="18"/>
                <w:szCs w:val="18"/>
              </w:rPr>
              <w:t>Base + Very High Gas Pr</w:t>
            </w:r>
            <w:r w:rsidR="00FF331D">
              <w:rPr>
                <w:rFonts w:cs="Arial"/>
                <w:bCs/>
                <w:iCs/>
                <w:color w:val="000000"/>
                <w:sz w:val="18"/>
                <w:szCs w:val="18"/>
              </w:rPr>
              <w:t>ice</w:t>
            </w:r>
          </w:p>
        </w:tc>
        <w:tc>
          <w:tcPr>
            <w:tcW w:w="810" w:type="dxa"/>
            <w:vAlign w:val="center"/>
          </w:tcPr>
          <w:p w14:paraId="37197DD4" w14:textId="77777777" w:rsidR="00F71565" w:rsidRPr="006762B2" w:rsidRDefault="00F71565" w:rsidP="0020207E">
            <w:pPr>
              <w:pStyle w:val="IRPsanstext"/>
              <w:jc w:val="center"/>
              <w:rPr>
                <w:rFonts w:cs="Arial"/>
                <w:bCs/>
                <w:iCs/>
                <w:color w:val="000000"/>
                <w:sz w:val="18"/>
                <w:szCs w:val="18"/>
              </w:rPr>
            </w:pPr>
            <w:r w:rsidRPr="006762B2">
              <w:rPr>
                <w:rFonts w:cs="Arial"/>
                <w:bCs/>
                <w:iCs/>
                <w:color w:val="000000"/>
                <w:sz w:val="18"/>
                <w:szCs w:val="18"/>
              </w:rPr>
              <w:t>$14.18</w:t>
            </w:r>
          </w:p>
        </w:tc>
        <w:tc>
          <w:tcPr>
            <w:tcW w:w="720" w:type="dxa"/>
            <w:gridSpan w:val="2"/>
            <w:vAlign w:val="center"/>
          </w:tcPr>
          <w:p w14:paraId="67FCFDBD" w14:textId="77777777" w:rsidR="00F71565" w:rsidRPr="006762B2" w:rsidRDefault="00F71565" w:rsidP="0020207E">
            <w:pPr>
              <w:pStyle w:val="IRPsanstext"/>
              <w:jc w:val="center"/>
              <w:rPr>
                <w:rFonts w:cs="Arial"/>
                <w:sz w:val="18"/>
                <w:szCs w:val="18"/>
              </w:rPr>
            </w:pPr>
            <w:r w:rsidRPr="006762B2">
              <w:rPr>
                <w:rFonts w:cs="Arial"/>
                <w:sz w:val="18"/>
                <w:szCs w:val="18"/>
              </w:rPr>
              <w:t>148</w:t>
            </w:r>
          </w:p>
        </w:tc>
        <w:tc>
          <w:tcPr>
            <w:tcW w:w="630" w:type="dxa"/>
            <w:vAlign w:val="center"/>
          </w:tcPr>
          <w:p w14:paraId="6F9F1FB0" w14:textId="77777777" w:rsidR="00F71565" w:rsidRPr="006762B2" w:rsidRDefault="00F71565" w:rsidP="0020207E">
            <w:pPr>
              <w:pStyle w:val="IRPsanstext"/>
              <w:jc w:val="center"/>
              <w:rPr>
                <w:rFonts w:cs="Arial"/>
                <w:sz w:val="18"/>
                <w:szCs w:val="18"/>
              </w:rPr>
            </w:pPr>
            <w:r w:rsidRPr="006762B2">
              <w:rPr>
                <w:rFonts w:cs="Arial"/>
                <w:sz w:val="18"/>
                <w:szCs w:val="18"/>
              </w:rPr>
              <w:t>968</w:t>
            </w:r>
          </w:p>
        </w:tc>
        <w:tc>
          <w:tcPr>
            <w:tcW w:w="720" w:type="dxa"/>
            <w:vAlign w:val="center"/>
          </w:tcPr>
          <w:p w14:paraId="468F8F95" w14:textId="77777777" w:rsidR="00F71565" w:rsidRPr="006762B2" w:rsidRDefault="00F71565" w:rsidP="0020207E">
            <w:pPr>
              <w:pStyle w:val="IRPsanstext"/>
              <w:jc w:val="center"/>
              <w:rPr>
                <w:rFonts w:cs="Arial"/>
                <w:sz w:val="18"/>
                <w:szCs w:val="18"/>
              </w:rPr>
            </w:pPr>
            <w:r w:rsidRPr="006762B2">
              <w:rPr>
                <w:rFonts w:cs="Arial"/>
                <w:sz w:val="18"/>
                <w:szCs w:val="18"/>
              </w:rPr>
              <w:t>-</w:t>
            </w:r>
          </w:p>
        </w:tc>
        <w:tc>
          <w:tcPr>
            <w:tcW w:w="810" w:type="dxa"/>
            <w:vAlign w:val="center"/>
          </w:tcPr>
          <w:p w14:paraId="0C842FA8" w14:textId="77777777" w:rsidR="00F71565" w:rsidRPr="006762B2" w:rsidRDefault="00F71565" w:rsidP="0020207E">
            <w:pPr>
              <w:pStyle w:val="IRPsanstext"/>
              <w:jc w:val="center"/>
              <w:rPr>
                <w:rFonts w:cs="Arial"/>
                <w:sz w:val="18"/>
                <w:szCs w:val="18"/>
              </w:rPr>
            </w:pPr>
            <w:r w:rsidRPr="006762B2">
              <w:rPr>
                <w:rFonts w:cs="Arial"/>
                <w:sz w:val="18"/>
                <w:szCs w:val="18"/>
              </w:rPr>
              <w:t>1,366</w:t>
            </w:r>
          </w:p>
        </w:tc>
        <w:tc>
          <w:tcPr>
            <w:tcW w:w="720" w:type="dxa"/>
            <w:gridSpan w:val="2"/>
            <w:vAlign w:val="center"/>
          </w:tcPr>
          <w:p w14:paraId="4625026B" w14:textId="77777777" w:rsidR="00F71565" w:rsidRPr="006762B2" w:rsidRDefault="00F71565" w:rsidP="0020207E">
            <w:pPr>
              <w:pStyle w:val="IRPsanstext"/>
              <w:jc w:val="center"/>
              <w:rPr>
                <w:rFonts w:cs="Arial"/>
                <w:sz w:val="18"/>
                <w:szCs w:val="18"/>
              </w:rPr>
            </w:pPr>
            <w:r w:rsidRPr="006762B2">
              <w:rPr>
                <w:rFonts w:cs="Arial"/>
                <w:sz w:val="18"/>
                <w:szCs w:val="18"/>
              </w:rPr>
              <w:t>500</w:t>
            </w:r>
          </w:p>
        </w:tc>
        <w:tc>
          <w:tcPr>
            <w:tcW w:w="990" w:type="dxa"/>
            <w:vAlign w:val="center"/>
          </w:tcPr>
          <w:p w14:paraId="14DA9A2A" w14:textId="77777777" w:rsidR="00F71565" w:rsidRPr="006762B2" w:rsidRDefault="00F71565" w:rsidP="0020207E">
            <w:pPr>
              <w:pStyle w:val="IRPsanstext"/>
              <w:jc w:val="center"/>
              <w:rPr>
                <w:rFonts w:cs="Arial"/>
                <w:sz w:val="18"/>
                <w:szCs w:val="18"/>
              </w:rPr>
            </w:pPr>
            <w:r w:rsidRPr="006762B2">
              <w:rPr>
                <w:rFonts w:cs="Arial"/>
                <w:sz w:val="18"/>
                <w:szCs w:val="18"/>
              </w:rPr>
              <w:t>-</w:t>
            </w:r>
          </w:p>
        </w:tc>
        <w:tc>
          <w:tcPr>
            <w:tcW w:w="810" w:type="dxa"/>
            <w:vAlign w:val="center"/>
          </w:tcPr>
          <w:p w14:paraId="21590830" w14:textId="77777777" w:rsidR="00F71565" w:rsidRPr="006762B2" w:rsidRDefault="00F71565" w:rsidP="0020207E">
            <w:pPr>
              <w:pStyle w:val="IRPsanstext"/>
              <w:jc w:val="center"/>
              <w:rPr>
                <w:rFonts w:cs="Arial"/>
                <w:sz w:val="18"/>
                <w:szCs w:val="18"/>
              </w:rPr>
            </w:pPr>
            <w:r w:rsidRPr="006762B2">
              <w:rPr>
                <w:rFonts w:cs="Arial"/>
                <w:sz w:val="18"/>
                <w:szCs w:val="18"/>
              </w:rPr>
              <w:t>80</w:t>
            </w:r>
          </w:p>
        </w:tc>
      </w:tr>
      <w:tr w:rsidR="00B177E5" w:rsidRPr="00937249" w14:paraId="6EB3F82F" w14:textId="77777777" w:rsidTr="00553691">
        <w:trPr>
          <w:trHeight w:val="360"/>
        </w:trPr>
        <w:tc>
          <w:tcPr>
            <w:tcW w:w="450" w:type="dxa"/>
            <w:shd w:val="clear" w:color="auto" w:fill="D6CFCD"/>
          </w:tcPr>
          <w:p w14:paraId="4ABFD443" w14:textId="77777777" w:rsidR="00F71565" w:rsidRPr="006762B2" w:rsidRDefault="00F71565" w:rsidP="0020207E">
            <w:pPr>
              <w:pStyle w:val="IRPsanstext"/>
              <w:jc w:val="both"/>
              <w:rPr>
                <w:rFonts w:cs="Arial"/>
                <w:bCs/>
                <w:iCs/>
                <w:color w:val="000000"/>
                <w:sz w:val="18"/>
                <w:szCs w:val="18"/>
              </w:rPr>
            </w:pPr>
            <w:r w:rsidRPr="006762B2">
              <w:rPr>
                <w:rFonts w:cs="Arial"/>
                <w:bCs/>
                <w:iCs/>
                <w:color w:val="000000"/>
                <w:sz w:val="18"/>
                <w:szCs w:val="18"/>
              </w:rPr>
              <w:t>7</w:t>
            </w:r>
          </w:p>
        </w:tc>
        <w:tc>
          <w:tcPr>
            <w:tcW w:w="1980" w:type="dxa"/>
            <w:shd w:val="clear" w:color="auto" w:fill="D6CFCD"/>
          </w:tcPr>
          <w:p w14:paraId="3C3EDEE3" w14:textId="77777777" w:rsidR="00F71565" w:rsidRPr="006762B2" w:rsidRDefault="00F71565" w:rsidP="0020207E">
            <w:pPr>
              <w:pStyle w:val="IRPsanstext"/>
              <w:rPr>
                <w:rFonts w:cs="Arial"/>
                <w:bCs/>
                <w:iCs/>
                <w:color w:val="000000"/>
                <w:sz w:val="18"/>
                <w:szCs w:val="18"/>
              </w:rPr>
            </w:pPr>
            <w:r w:rsidRPr="006762B2">
              <w:rPr>
                <w:rFonts w:cs="Arial"/>
                <w:bCs/>
                <w:iCs/>
                <w:color w:val="000000"/>
                <w:sz w:val="18"/>
                <w:szCs w:val="18"/>
              </w:rPr>
              <w:t>Base + No CO2</w:t>
            </w:r>
          </w:p>
        </w:tc>
        <w:tc>
          <w:tcPr>
            <w:tcW w:w="810" w:type="dxa"/>
            <w:vAlign w:val="center"/>
          </w:tcPr>
          <w:p w14:paraId="52F98E6B" w14:textId="77777777" w:rsidR="00F71565" w:rsidRPr="006762B2" w:rsidRDefault="00F71565" w:rsidP="0020207E">
            <w:pPr>
              <w:pStyle w:val="IRPsanstext"/>
              <w:jc w:val="center"/>
              <w:rPr>
                <w:rFonts w:cs="Arial"/>
                <w:bCs/>
                <w:iCs/>
                <w:color w:val="000000"/>
                <w:sz w:val="18"/>
                <w:szCs w:val="18"/>
              </w:rPr>
            </w:pPr>
            <w:r w:rsidRPr="006762B2">
              <w:rPr>
                <w:rFonts w:cs="Arial"/>
                <w:bCs/>
                <w:iCs/>
                <w:color w:val="000000"/>
                <w:sz w:val="18"/>
                <w:szCs w:val="18"/>
              </w:rPr>
              <w:t>$10.38</w:t>
            </w:r>
          </w:p>
        </w:tc>
        <w:tc>
          <w:tcPr>
            <w:tcW w:w="720" w:type="dxa"/>
            <w:gridSpan w:val="2"/>
            <w:vAlign w:val="center"/>
          </w:tcPr>
          <w:p w14:paraId="4AD9848C" w14:textId="77777777" w:rsidR="00F71565" w:rsidRPr="006762B2" w:rsidRDefault="00F71565" w:rsidP="0020207E">
            <w:pPr>
              <w:pStyle w:val="IRPsanstext"/>
              <w:jc w:val="center"/>
              <w:rPr>
                <w:rFonts w:cs="Arial"/>
                <w:sz w:val="18"/>
                <w:szCs w:val="18"/>
              </w:rPr>
            </w:pPr>
            <w:r w:rsidRPr="006762B2">
              <w:rPr>
                <w:rFonts w:cs="Arial"/>
                <w:sz w:val="18"/>
                <w:szCs w:val="18"/>
              </w:rPr>
              <w:t>148</w:t>
            </w:r>
          </w:p>
        </w:tc>
        <w:tc>
          <w:tcPr>
            <w:tcW w:w="630" w:type="dxa"/>
            <w:vAlign w:val="center"/>
          </w:tcPr>
          <w:p w14:paraId="15BEDB5C" w14:textId="77777777" w:rsidR="00F71565" w:rsidRPr="006762B2" w:rsidRDefault="00F71565" w:rsidP="0020207E">
            <w:pPr>
              <w:pStyle w:val="IRPsanstext"/>
              <w:jc w:val="center"/>
              <w:rPr>
                <w:rFonts w:cs="Arial"/>
                <w:sz w:val="18"/>
                <w:szCs w:val="18"/>
              </w:rPr>
            </w:pPr>
            <w:r w:rsidRPr="006762B2">
              <w:rPr>
                <w:rFonts w:cs="Arial"/>
                <w:sz w:val="18"/>
                <w:szCs w:val="18"/>
              </w:rPr>
              <w:t>906</w:t>
            </w:r>
          </w:p>
        </w:tc>
        <w:tc>
          <w:tcPr>
            <w:tcW w:w="720" w:type="dxa"/>
            <w:vAlign w:val="center"/>
          </w:tcPr>
          <w:p w14:paraId="55F20C7F" w14:textId="77777777" w:rsidR="00F71565" w:rsidRPr="006762B2" w:rsidRDefault="00F71565" w:rsidP="0020207E">
            <w:pPr>
              <w:pStyle w:val="IRPsanstext"/>
              <w:jc w:val="center"/>
              <w:rPr>
                <w:rFonts w:cs="Arial"/>
                <w:sz w:val="18"/>
                <w:szCs w:val="18"/>
              </w:rPr>
            </w:pPr>
            <w:r w:rsidRPr="006762B2">
              <w:rPr>
                <w:rFonts w:cs="Arial"/>
                <w:sz w:val="18"/>
                <w:szCs w:val="18"/>
              </w:rPr>
              <w:t>1,542</w:t>
            </w:r>
          </w:p>
        </w:tc>
        <w:tc>
          <w:tcPr>
            <w:tcW w:w="810" w:type="dxa"/>
            <w:vAlign w:val="center"/>
          </w:tcPr>
          <w:p w14:paraId="41D64731" w14:textId="77777777" w:rsidR="00F71565" w:rsidRPr="006762B2" w:rsidRDefault="00F71565" w:rsidP="0020207E">
            <w:pPr>
              <w:pStyle w:val="IRPsanstext"/>
              <w:jc w:val="center"/>
              <w:rPr>
                <w:rFonts w:cs="Arial"/>
                <w:sz w:val="18"/>
                <w:szCs w:val="18"/>
              </w:rPr>
            </w:pPr>
            <w:r w:rsidRPr="006762B2">
              <w:rPr>
                <w:rFonts w:cs="Arial"/>
                <w:sz w:val="18"/>
                <w:szCs w:val="18"/>
              </w:rPr>
              <w:t>-</w:t>
            </w:r>
          </w:p>
        </w:tc>
        <w:tc>
          <w:tcPr>
            <w:tcW w:w="720" w:type="dxa"/>
            <w:gridSpan w:val="2"/>
            <w:vAlign w:val="center"/>
          </w:tcPr>
          <w:p w14:paraId="54760196" w14:textId="77777777" w:rsidR="00F71565" w:rsidRPr="006762B2" w:rsidRDefault="00F71565" w:rsidP="0020207E">
            <w:pPr>
              <w:pStyle w:val="IRPsanstext"/>
              <w:jc w:val="center"/>
              <w:rPr>
                <w:rFonts w:cs="Arial"/>
                <w:sz w:val="18"/>
                <w:szCs w:val="18"/>
              </w:rPr>
            </w:pPr>
            <w:r w:rsidRPr="006762B2">
              <w:rPr>
                <w:rFonts w:cs="Arial"/>
                <w:sz w:val="18"/>
                <w:szCs w:val="18"/>
              </w:rPr>
              <w:t>300</w:t>
            </w:r>
          </w:p>
        </w:tc>
        <w:tc>
          <w:tcPr>
            <w:tcW w:w="990" w:type="dxa"/>
            <w:vAlign w:val="center"/>
          </w:tcPr>
          <w:p w14:paraId="4E27A8B7" w14:textId="77777777" w:rsidR="00F71565" w:rsidRPr="006762B2" w:rsidRDefault="00F71565" w:rsidP="0020207E">
            <w:pPr>
              <w:pStyle w:val="IRPsanstext"/>
              <w:jc w:val="center"/>
              <w:rPr>
                <w:rFonts w:cs="Arial"/>
                <w:sz w:val="18"/>
                <w:szCs w:val="18"/>
              </w:rPr>
            </w:pPr>
            <w:r w:rsidRPr="006762B2">
              <w:rPr>
                <w:rFonts w:cs="Arial"/>
                <w:sz w:val="18"/>
                <w:szCs w:val="18"/>
              </w:rPr>
              <w:t>15</w:t>
            </w:r>
          </w:p>
        </w:tc>
        <w:tc>
          <w:tcPr>
            <w:tcW w:w="810" w:type="dxa"/>
            <w:vAlign w:val="center"/>
          </w:tcPr>
          <w:p w14:paraId="62804A6C" w14:textId="77777777" w:rsidR="00F71565" w:rsidRPr="006762B2" w:rsidRDefault="00F71565" w:rsidP="0020207E">
            <w:pPr>
              <w:pStyle w:val="IRPsanstext"/>
              <w:jc w:val="center"/>
              <w:rPr>
                <w:rFonts w:cs="Arial"/>
                <w:sz w:val="18"/>
                <w:szCs w:val="18"/>
              </w:rPr>
            </w:pPr>
            <w:r w:rsidRPr="006762B2">
              <w:rPr>
                <w:rFonts w:cs="Arial"/>
                <w:sz w:val="18"/>
                <w:szCs w:val="18"/>
              </w:rPr>
              <w:t>-</w:t>
            </w:r>
          </w:p>
        </w:tc>
      </w:tr>
      <w:tr w:rsidR="00B177E5" w:rsidRPr="00937249" w14:paraId="3AD9E940" w14:textId="77777777" w:rsidTr="00553691">
        <w:trPr>
          <w:trHeight w:val="360"/>
        </w:trPr>
        <w:tc>
          <w:tcPr>
            <w:tcW w:w="450" w:type="dxa"/>
            <w:shd w:val="clear" w:color="auto" w:fill="D6CFCD"/>
          </w:tcPr>
          <w:p w14:paraId="094512F2" w14:textId="77777777" w:rsidR="00F71565" w:rsidRPr="006762B2" w:rsidRDefault="00F71565" w:rsidP="0020207E">
            <w:pPr>
              <w:pStyle w:val="IRPsanstext"/>
              <w:jc w:val="both"/>
              <w:rPr>
                <w:rFonts w:cs="Arial"/>
                <w:bCs/>
                <w:iCs/>
                <w:color w:val="000000"/>
                <w:sz w:val="18"/>
                <w:szCs w:val="18"/>
              </w:rPr>
            </w:pPr>
            <w:r w:rsidRPr="006762B2">
              <w:rPr>
                <w:rFonts w:cs="Arial"/>
                <w:bCs/>
                <w:iCs/>
                <w:color w:val="000000"/>
                <w:sz w:val="18"/>
                <w:szCs w:val="18"/>
              </w:rPr>
              <w:t>8</w:t>
            </w:r>
          </w:p>
        </w:tc>
        <w:tc>
          <w:tcPr>
            <w:tcW w:w="1980" w:type="dxa"/>
            <w:shd w:val="clear" w:color="auto" w:fill="D6CFCD"/>
          </w:tcPr>
          <w:p w14:paraId="39F488BC" w14:textId="77777777" w:rsidR="00F71565" w:rsidRPr="006762B2" w:rsidRDefault="00F71565" w:rsidP="0020207E">
            <w:pPr>
              <w:pStyle w:val="IRPsanstext"/>
              <w:rPr>
                <w:rFonts w:cs="Arial"/>
                <w:bCs/>
                <w:iCs/>
                <w:color w:val="000000"/>
                <w:sz w:val="18"/>
                <w:szCs w:val="18"/>
              </w:rPr>
            </w:pPr>
            <w:r w:rsidRPr="006762B2">
              <w:rPr>
                <w:rFonts w:cs="Arial"/>
                <w:bCs/>
                <w:iCs/>
                <w:color w:val="000000"/>
                <w:sz w:val="18"/>
                <w:szCs w:val="18"/>
              </w:rPr>
              <w:t>Base + High CO2</w:t>
            </w:r>
          </w:p>
        </w:tc>
        <w:tc>
          <w:tcPr>
            <w:tcW w:w="810" w:type="dxa"/>
            <w:vAlign w:val="center"/>
          </w:tcPr>
          <w:p w14:paraId="752E5E53" w14:textId="77777777" w:rsidR="00F71565" w:rsidRPr="006762B2" w:rsidRDefault="00F71565" w:rsidP="0020207E">
            <w:pPr>
              <w:pStyle w:val="IRPsanstext"/>
              <w:jc w:val="center"/>
              <w:rPr>
                <w:rFonts w:cs="Arial"/>
                <w:bCs/>
                <w:iCs/>
                <w:color w:val="000000"/>
                <w:sz w:val="18"/>
                <w:szCs w:val="18"/>
              </w:rPr>
            </w:pPr>
            <w:r w:rsidRPr="006762B2">
              <w:rPr>
                <w:rFonts w:cs="Arial"/>
                <w:bCs/>
                <w:iCs/>
                <w:color w:val="000000"/>
                <w:sz w:val="18"/>
                <w:szCs w:val="18"/>
              </w:rPr>
              <w:t>$13.95</w:t>
            </w:r>
          </w:p>
        </w:tc>
        <w:tc>
          <w:tcPr>
            <w:tcW w:w="720" w:type="dxa"/>
            <w:gridSpan w:val="2"/>
            <w:vAlign w:val="center"/>
          </w:tcPr>
          <w:p w14:paraId="0EE581AE" w14:textId="77777777" w:rsidR="00F71565" w:rsidRPr="006762B2" w:rsidRDefault="00F71565" w:rsidP="0020207E">
            <w:pPr>
              <w:pStyle w:val="IRPsanstext"/>
              <w:jc w:val="center"/>
              <w:rPr>
                <w:rFonts w:cs="Arial"/>
                <w:sz w:val="18"/>
                <w:szCs w:val="18"/>
              </w:rPr>
            </w:pPr>
            <w:r w:rsidRPr="006762B2">
              <w:rPr>
                <w:rFonts w:cs="Arial"/>
                <w:sz w:val="18"/>
                <w:szCs w:val="18"/>
              </w:rPr>
              <w:t>148</w:t>
            </w:r>
          </w:p>
        </w:tc>
        <w:tc>
          <w:tcPr>
            <w:tcW w:w="630" w:type="dxa"/>
            <w:vAlign w:val="center"/>
          </w:tcPr>
          <w:p w14:paraId="15AC9681" w14:textId="77777777" w:rsidR="00F71565" w:rsidRPr="006762B2" w:rsidRDefault="00F71565" w:rsidP="0020207E">
            <w:pPr>
              <w:pStyle w:val="IRPsanstext"/>
              <w:jc w:val="center"/>
              <w:rPr>
                <w:rFonts w:cs="Arial"/>
                <w:sz w:val="18"/>
                <w:szCs w:val="18"/>
              </w:rPr>
            </w:pPr>
            <w:r w:rsidRPr="006762B2">
              <w:rPr>
                <w:rFonts w:cs="Arial"/>
                <w:sz w:val="18"/>
                <w:szCs w:val="18"/>
              </w:rPr>
              <w:t>906</w:t>
            </w:r>
          </w:p>
        </w:tc>
        <w:tc>
          <w:tcPr>
            <w:tcW w:w="720" w:type="dxa"/>
            <w:vAlign w:val="center"/>
          </w:tcPr>
          <w:p w14:paraId="19167F60" w14:textId="77777777" w:rsidR="00F71565" w:rsidRPr="006762B2" w:rsidRDefault="00F71565" w:rsidP="0020207E">
            <w:pPr>
              <w:pStyle w:val="IRPsanstext"/>
              <w:jc w:val="center"/>
              <w:rPr>
                <w:rFonts w:cs="Arial"/>
                <w:sz w:val="18"/>
                <w:szCs w:val="18"/>
              </w:rPr>
            </w:pPr>
            <w:r w:rsidRPr="006762B2">
              <w:rPr>
                <w:rFonts w:cs="Arial"/>
                <w:sz w:val="18"/>
                <w:szCs w:val="18"/>
              </w:rPr>
              <w:t>1,542</w:t>
            </w:r>
          </w:p>
        </w:tc>
        <w:tc>
          <w:tcPr>
            <w:tcW w:w="810" w:type="dxa"/>
            <w:vAlign w:val="center"/>
          </w:tcPr>
          <w:p w14:paraId="0F21354F" w14:textId="77777777" w:rsidR="00F71565" w:rsidRPr="006762B2" w:rsidRDefault="00F71565" w:rsidP="0020207E">
            <w:pPr>
              <w:pStyle w:val="IRPsanstext"/>
              <w:jc w:val="center"/>
              <w:rPr>
                <w:rFonts w:cs="Arial"/>
                <w:sz w:val="18"/>
                <w:szCs w:val="18"/>
              </w:rPr>
            </w:pPr>
            <w:r w:rsidRPr="006762B2">
              <w:rPr>
                <w:rFonts w:cs="Arial"/>
                <w:sz w:val="18"/>
                <w:szCs w:val="18"/>
              </w:rPr>
              <w:t>-</w:t>
            </w:r>
          </w:p>
        </w:tc>
        <w:tc>
          <w:tcPr>
            <w:tcW w:w="720" w:type="dxa"/>
            <w:gridSpan w:val="2"/>
            <w:vAlign w:val="center"/>
          </w:tcPr>
          <w:p w14:paraId="0806CA5B" w14:textId="77777777" w:rsidR="00F71565" w:rsidRPr="006762B2" w:rsidRDefault="00F71565" w:rsidP="0020207E">
            <w:pPr>
              <w:pStyle w:val="IRPsanstext"/>
              <w:jc w:val="center"/>
              <w:rPr>
                <w:rFonts w:cs="Arial"/>
                <w:sz w:val="18"/>
                <w:szCs w:val="18"/>
              </w:rPr>
            </w:pPr>
            <w:r w:rsidRPr="006762B2">
              <w:rPr>
                <w:rFonts w:cs="Arial"/>
                <w:sz w:val="18"/>
                <w:szCs w:val="18"/>
              </w:rPr>
              <w:t>400</w:t>
            </w:r>
          </w:p>
        </w:tc>
        <w:tc>
          <w:tcPr>
            <w:tcW w:w="990" w:type="dxa"/>
            <w:vAlign w:val="center"/>
          </w:tcPr>
          <w:p w14:paraId="078DB072" w14:textId="77777777" w:rsidR="00F71565" w:rsidRPr="006762B2" w:rsidRDefault="00F71565" w:rsidP="0020207E">
            <w:pPr>
              <w:pStyle w:val="IRPsanstext"/>
              <w:jc w:val="center"/>
              <w:rPr>
                <w:rFonts w:cs="Arial"/>
                <w:sz w:val="18"/>
                <w:szCs w:val="18"/>
              </w:rPr>
            </w:pPr>
            <w:r w:rsidRPr="006762B2">
              <w:rPr>
                <w:rFonts w:cs="Arial"/>
                <w:sz w:val="18"/>
                <w:szCs w:val="18"/>
              </w:rPr>
              <w:t>-</w:t>
            </w:r>
          </w:p>
        </w:tc>
        <w:tc>
          <w:tcPr>
            <w:tcW w:w="810" w:type="dxa"/>
            <w:vAlign w:val="center"/>
          </w:tcPr>
          <w:p w14:paraId="61B6BF68" w14:textId="77777777" w:rsidR="00F71565" w:rsidRPr="006762B2" w:rsidRDefault="00F71565" w:rsidP="0020207E">
            <w:pPr>
              <w:pStyle w:val="IRPsanstext"/>
              <w:jc w:val="center"/>
              <w:rPr>
                <w:rFonts w:cs="Arial"/>
                <w:sz w:val="18"/>
                <w:szCs w:val="18"/>
              </w:rPr>
            </w:pPr>
            <w:r w:rsidRPr="006762B2">
              <w:rPr>
                <w:rFonts w:cs="Arial"/>
                <w:sz w:val="18"/>
                <w:szCs w:val="18"/>
              </w:rPr>
              <w:t>-</w:t>
            </w:r>
          </w:p>
        </w:tc>
      </w:tr>
      <w:tr w:rsidR="00B177E5" w:rsidRPr="00937249" w14:paraId="685D8F38" w14:textId="77777777" w:rsidTr="00553691">
        <w:trPr>
          <w:trHeight w:val="360"/>
        </w:trPr>
        <w:tc>
          <w:tcPr>
            <w:tcW w:w="450" w:type="dxa"/>
            <w:shd w:val="clear" w:color="auto" w:fill="D6CFCD"/>
          </w:tcPr>
          <w:p w14:paraId="54D60860" w14:textId="77777777" w:rsidR="00F71565" w:rsidRPr="006762B2" w:rsidRDefault="00F71565" w:rsidP="0020207E">
            <w:pPr>
              <w:pStyle w:val="IRPsanstext"/>
              <w:jc w:val="both"/>
              <w:rPr>
                <w:rFonts w:cs="Arial"/>
                <w:bCs/>
                <w:iCs/>
                <w:color w:val="000000"/>
                <w:sz w:val="18"/>
                <w:szCs w:val="18"/>
              </w:rPr>
            </w:pPr>
            <w:r w:rsidRPr="006762B2">
              <w:rPr>
                <w:rFonts w:cs="Arial"/>
                <w:bCs/>
                <w:iCs/>
                <w:color w:val="000000"/>
                <w:sz w:val="18"/>
                <w:szCs w:val="18"/>
              </w:rPr>
              <w:t>9</w:t>
            </w:r>
          </w:p>
        </w:tc>
        <w:tc>
          <w:tcPr>
            <w:tcW w:w="1980" w:type="dxa"/>
            <w:shd w:val="clear" w:color="auto" w:fill="D6CFCD"/>
          </w:tcPr>
          <w:p w14:paraId="320C39B2" w14:textId="77777777" w:rsidR="00F71565" w:rsidRPr="006762B2" w:rsidRDefault="00F71565" w:rsidP="0020207E">
            <w:pPr>
              <w:pStyle w:val="IRPsanstext"/>
              <w:rPr>
                <w:rFonts w:cs="Arial"/>
                <w:bCs/>
                <w:iCs/>
                <w:color w:val="000000"/>
                <w:sz w:val="18"/>
                <w:szCs w:val="18"/>
              </w:rPr>
            </w:pPr>
            <w:r w:rsidRPr="006762B2">
              <w:rPr>
                <w:rFonts w:cs="Arial"/>
                <w:bCs/>
                <w:iCs/>
                <w:color w:val="000000"/>
                <w:sz w:val="18"/>
                <w:szCs w:val="18"/>
              </w:rPr>
              <w:t>Base + Low Demand</w:t>
            </w:r>
          </w:p>
        </w:tc>
        <w:tc>
          <w:tcPr>
            <w:tcW w:w="810" w:type="dxa"/>
            <w:vAlign w:val="center"/>
          </w:tcPr>
          <w:p w14:paraId="1A0E2DF2" w14:textId="77777777" w:rsidR="00F71565" w:rsidRPr="006762B2" w:rsidRDefault="00F71565" w:rsidP="0020207E">
            <w:pPr>
              <w:pStyle w:val="IRPsanstext"/>
              <w:jc w:val="center"/>
              <w:rPr>
                <w:rFonts w:cs="Arial"/>
                <w:bCs/>
                <w:iCs/>
                <w:color w:val="000000"/>
                <w:sz w:val="18"/>
                <w:szCs w:val="18"/>
              </w:rPr>
            </w:pPr>
            <w:r w:rsidRPr="006762B2">
              <w:rPr>
                <w:rFonts w:cs="Arial"/>
                <w:bCs/>
                <w:iCs/>
                <w:color w:val="000000"/>
                <w:sz w:val="18"/>
                <w:szCs w:val="18"/>
              </w:rPr>
              <w:t>$10.20</w:t>
            </w:r>
          </w:p>
        </w:tc>
        <w:tc>
          <w:tcPr>
            <w:tcW w:w="720" w:type="dxa"/>
            <w:gridSpan w:val="2"/>
            <w:vAlign w:val="center"/>
          </w:tcPr>
          <w:p w14:paraId="2D054CF2" w14:textId="77777777" w:rsidR="00F71565" w:rsidRPr="006762B2" w:rsidRDefault="00F71565" w:rsidP="0020207E">
            <w:pPr>
              <w:pStyle w:val="IRPsanstext"/>
              <w:jc w:val="center"/>
              <w:rPr>
                <w:rFonts w:cs="Arial"/>
                <w:sz w:val="18"/>
                <w:szCs w:val="18"/>
              </w:rPr>
            </w:pPr>
            <w:r w:rsidRPr="006762B2">
              <w:rPr>
                <w:rFonts w:cs="Arial"/>
                <w:sz w:val="18"/>
                <w:szCs w:val="18"/>
              </w:rPr>
              <w:t>148</w:t>
            </w:r>
          </w:p>
        </w:tc>
        <w:tc>
          <w:tcPr>
            <w:tcW w:w="630" w:type="dxa"/>
            <w:vAlign w:val="center"/>
          </w:tcPr>
          <w:p w14:paraId="3F65A3F3" w14:textId="77777777" w:rsidR="00F71565" w:rsidRPr="006762B2" w:rsidRDefault="00F71565" w:rsidP="0020207E">
            <w:pPr>
              <w:pStyle w:val="IRPsanstext"/>
              <w:jc w:val="center"/>
              <w:rPr>
                <w:rFonts w:cs="Arial"/>
                <w:sz w:val="18"/>
                <w:szCs w:val="18"/>
              </w:rPr>
            </w:pPr>
            <w:r w:rsidRPr="006762B2">
              <w:rPr>
                <w:rFonts w:cs="Arial"/>
                <w:sz w:val="18"/>
                <w:szCs w:val="18"/>
              </w:rPr>
              <w:t>906</w:t>
            </w:r>
          </w:p>
        </w:tc>
        <w:tc>
          <w:tcPr>
            <w:tcW w:w="720" w:type="dxa"/>
            <w:vAlign w:val="center"/>
          </w:tcPr>
          <w:p w14:paraId="394F786B" w14:textId="77777777" w:rsidR="00F71565" w:rsidRPr="006762B2" w:rsidRDefault="00F71565" w:rsidP="0020207E">
            <w:pPr>
              <w:pStyle w:val="IRPsanstext"/>
              <w:jc w:val="center"/>
              <w:rPr>
                <w:rFonts w:cs="Arial"/>
                <w:sz w:val="18"/>
                <w:szCs w:val="18"/>
              </w:rPr>
            </w:pPr>
            <w:r w:rsidRPr="006762B2">
              <w:rPr>
                <w:rFonts w:cs="Arial"/>
                <w:sz w:val="18"/>
                <w:szCs w:val="18"/>
              </w:rPr>
              <w:t>-</w:t>
            </w:r>
          </w:p>
        </w:tc>
        <w:tc>
          <w:tcPr>
            <w:tcW w:w="810" w:type="dxa"/>
            <w:vAlign w:val="center"/>
          </w:tcPr>
          <w:p w14:paraId="38CB843A" w14:textId="77777777" w:rsidR="00F71565" w:rsidRPr="006762B2" w:rsidRDefault="00F71565" w:rsidP="0020207E">
            <w:pPr>
              <w:pStyle w:val="IRPsanstext"/>
              <w:jc w:val="center"/>
              <w:rPr>
                <w:rFonts w:cs="Arial"/>
                <w:sz w:val="18"/>
                <w:szCs w:val="18"/>
              </w:rPr>
            </w:pPr>
            <w:r w:rsidRPr="006762B2">
              <w:rPr>
                <w:rFonts w:cs="Arial"/>
                <w:sz w:val="18"/>
                <w:szCs w:val="18"/>
              </w:rPr>
              <w:t>683</w:t>
            </w:r>
          </w:p>
        </w:tc>
        <w:tc>
          <w:tcPr>
            <w:tcW w:w="720" w:type="dxa"/>
            <w:gridSpan w:val="2"/>
            <w:vAlign w:val="center"/>
          </w:tcPr>
          <w:p w14:paraId="729C795D" w14:textId="77777777" w:rsidR="00F71565" w:rsidRPr="006762B2" w:rsidRDefault="00F71565" w:rsidP="0020207E">
            <w:pPr>
              <w:pStyle w:val="IRPsanstext"/>
              <w:jc w:val="center"/>
              <w:rPr>
                <w:rFonts w:cs="Arial"/>
                <w:sz w:val="18"/>
                <w:szCs w:val="18"/>
              </w:rPr>
            </w:pPr>
            <w:r w:rsidRPr="006762B2">
              <w:rPr>
                <w:rFonts w:cs="Arial"/>
                <w:sz w:val="18"/>
                <w:szCs w:val="18"/>
              </w:rPr>
              <w:t>200</w:t>
            </w:r>
          </w:p>
        </w:tc>
        <w:tc>
          <w:tcPr>
            <w:tcW w:w="990" w:type="dxa"/>
            <w:vAlign w:val="center"/>
          </w:tcPr>
          <w:p w14:paraId="77E8CBE2" w14:textId="77777777" w:rsidR="00F71565" w:rsidRPr="006762B2" w:rsidRDefault="00F71565" w:rsidP="0020207E">
            <w:pPr>
              <w:pStyle w:val="IRPsanstext"/>
              <w:jc w:val="center"/>
              <w:rPr>
                <w:rFonts w:cs="Arial"/>
                <w:sz w:val="18"/>
                <w:szCs w:val="18"/>
              </w:rPr>
            </w:pPr>
            <w:r w:rsidRPr="006762B2">
              <w:rPr>
                <w:rFonts w:cs="Arial"/>
                <w:sz w:val="18"/>
                <w:szCs w:val="18"/>
              </w:rPr>
              <w:t>-</w:t>
            </w:r>
          </w:p>
        </w:tc>
        <w:tc>
          <w:tcPr>
            <w:tcW w:w="810" w:type="dxa"/>
            <w:vAlign w:val="center"/>
          </w:tcPr>
          <w:p w14:paraId="38E29AE8" w14:textId="77777777" w:rsidR="00F71565" w:rsidRPr="006762B2" w:rsidRDefault="00F71565" w:rsidP="0020207E">
            <w:pPr>
              <w:pStyle w:val="IRPsanstext"/>
              <w:jc w:val="center"/>
              <w:rPr>
                <w:rFonts w:cs="Arial"/>
                <w:sz w:val="18"/>
                <w:szCs w:val="18"/>
              </w:rPr>
            </w:pPr>
            <w:r w:rsidRPr="006762B2">
              <w:rPr>
                <w:rFonts w:cs="Arial"/>
                <w:sz w:val="18"/>
                <w:szCs w:val="18"/>
              </w:rPr>
              <w:t>80</w:t>
            </w:r>
          </w:p>
        </w:tc>
      </w:tr>
      <w:tr w:rsidR="00B177E5" w:rsidRPr="00937249" w14:paraId="62DC3506" w14:textId="77777777" w:rsidTr="00553691">
        <w:trPr>
          <w:trHeight w:val="360"/>
        </w:trPr>
        <w:tc>
          <w:tcPr>
            <w:tcW w:w="450" w:type="dxa"/>
            <w:shd w:val="clear" w:color="auto" w:fill="D6CFCD"/>
          </w:tcPr>
          <w:p w14:paraId="684C487C" w14:textId="77777777" w:rsidR="00F71565" w:rsidRPr="006762B2" w:rsidRDefault="00F71565" w:rsidP="0020207E">
            <w:pPr>
              <w:pStyle w:val="IRPsanstext"/>
              <w:jc w:val="both"/>
              <w:rPr>
                <w:rFonts w:cs="Arial"/>
                <w:bCs/>
                <w:iCs/>
                <w:color w:val="000000"/>
                <w:sz w:val="18"/>
                <w:szCs w:val="18"/>
              </w:rPr>
            </w:pPr>
            <w:r w:rsidRPr="006762B2">
              <w:rPr>
                <w:rFonts w:cs="Arial"/>
                <w:bCs/>
                <w:iCs/>
                <w:color w:val="000000"/>
                <w:sz w:val="18"/>
                <w:szCs w:val="18"/>
              </w:rPr>
              <w:t>10</w:t>
            </w:r>
          </w:p>
        </w:tc>
        <w:tc>
          <w:tcPr>
            <w:tcW w:w="1980" w:type="dxa"/>
            <w:shd w:val="clear" w:color="auto" w:fill="D6CFCD"/>
          </w:tcPr>
          <w:p w14:paraId="5185A186" w14:textId="77777777" w:rsidR="00F71565" w:rsidRPr="006762B2" w:rsidRDefault="00F71565" w:rsidP="0020207E">
            <w:pPr>
              <w:pStyle w:val="IRPsanstext"/>
              <w:rPr>
                <w:rFonts w:cs="Arial"/>
                <w:bCs/>
                <w:iCs/>
                <w:color w:val="000000"/>
                <w:sz w:val="18"/>
                <w:szCs w:val="18"/>
              </w:rPr>
            </w:pPr>
            <w:r w:rsidRPr="006762B2">
              <w:rPr>
                <w:rFonts w:cs="Arial"/>
                <w:bCs/>
                <w:iCs/>
                <w:color w:val="000000"/>
                <w:sz w:val="18"/>
                <w:szCs w:val="18"/>
              </w:rPr>
              <w:t>Base + High Demand</w:t>
            </w:r>
          </w:p>
        </w:tc>
        <w:tc>
          <w:tcPr>
            <w:tcW w:w="810" w:type="dxa"/>
            <w:vAlign w:val="center"/>
          </w:tcPr>
          <w:p w14:paraId="0E9281C7" w14:textId="77777777" w:rsidR="00F71565" w:rsidRPr="006762B2" w:rsidRDefault="00F71565" w:rsidP="0020207E">
            <w:pPr>
              <w:pStyle w:val="IRPsanstext"/>
              <w:jc w:val="center"/>
              <w:rPr>
                <w:rFonts w:cs="Arial"/>
                <w:bCs/>
                <w:iCs/>
                <w:color w:val="000000"/>
                <w:sz w:val="18"/>
                <w:szCs w:val="18"/>
              </w:rPr>
            </w:pPr>
            <w:r w:rsidRPr="006762B2">
              <w:rPr>
                <w:rFonts w:cs="Arial"/>
                <w:bCs/>
                <w:iCs/>
                <w:color w:val="000000"/>
                <w:sz w:val="18"/>
                <w:szCs w:val="18"/>
              </w:rPr>
              <w:t>$16.09</w:t>
            </w:r>
          </w:p>
        </w:tc>
        <w:tc>
          <w:tcPr>
            <w:tcW w:w="720" w:type="dxa"/>
            <w:gridSpan w:val="2"/>
            <w:vAlign w:val="center"/>
          </w:tcPr>
          <w:p w14:paraId="25895895" w14:textId="77777777" w:rsidR="00F71565" w:rsidRPr="006762B2" w:rsidRDefault="00F71565" w:rsidP="0020207E">
            <w:pPr>
              <w:pStyle w:val="IRPsanstext"/>
              <w:jc w:val="center"/>
              <w:rPr>
                <w:rFonts w:cs="Arial"/>
                <w:sz w:val="18"/>
                <w:szCs w:val="18"/>
              </w:rPr>
            </w:pPr>
            <w:r w:rsidRPr="006762B2">
              <w:rPr>
                <w:rFonts w:cs="Arial"/>
                <w:sz w:val="18"/>
                <w:szCs w:val="18"/>
              </w:rPr>
              <w:t>148</w:t>
            </w:r>
          </w:p>
        </w:tc>
        <w:tc>
          <w:tcPr>
            <w:tcW w:w="630" w:type="dxa"/>
            <w:vAlign w:val="center"/>
          </w:tcPr>
          <w:p w14:paraId="211802D4" w14:textId="77777777" w:rsidR="00F71565" w:rsidRPr="006762B2" w:rsidRDefault="00F71565" w:rsidP="0020207E">
            <w:pPr>
              <w:pStyle w:val="IRPsanstext"/>
              <w:jc w:val="center"/>
              <w:rPr>
                <w:rFonts w:cs="Arial"/>
                <w:sz w:val="18"/>
                <w:szCs w:val="18"/>
              </w:rPr>
            </w:pPr>
            <w:r w:rsidRPr="006762B2">
              <w:rPr>
                <w:rFonts w:cs="Arial"/>
                <w:sz w:val="18"/>
                <w:szCs w:val="18"/>
              </w:rPr>
              <w:t>888</w:t>
            </w:r>
          </w:p>
        </w:tc>
        <w:tc>
          <w:tcPr>
            <w:tcW w:w="720" w:type="dxa"/>
            <w:vAlign w:val="center"/>
          </w:tcPr>
          <w:p w14:paraId="3131496C" w14:textId="77777777" w:rsidR="00F71565" w:rsidRPr="006762B2" w:rsidRDefault="00F71565" w:rsidP="0020207E">
            <w:pPr>
              <w:pStyle w:val="IRPsanstext"/>
              <w:jc w:val="center"/>
              <w:rPr>
                <w:rFonts w:cs="Arial"/>
                <w:sz w:val="18"/>
                <w:szCs w:val="18"/>
              </w:rPr>
            </w:pPr>
            <w:r w:rsidRPr="006762B2">
              <w:rPr>
                <w:rFonts w:cs="Arial"/>
                <w:sz w:val="18"/>
                <w:szCs w:val="18"/>
              </w:rPr>
              <w:t>1,542</w:t>
            </w:r>
          </w:p>
        </w:tc>
        <w:tc>
          <w:tcPr>
            <w:tcW w:w="810" w:type="dxa"/>
            <w:vAlign w:val="center"/>
          </w:tcPr>
          <w:p w14:paraId="4ADA75DF" w14:textId="77777777" w:rsidR="00F71565" w:rsidRPr="006762B2" w:rsidRDefault="00F71565" w:rsidP="0020207E">
            <w:pPr>
              <w:pStyle w:val="IRPsanstext"/>
              <w:jc w:val="center"/>
              <w:rPr>
                <w:rFonts w:cs="Arial"/>
                <w:sz w:val="18"/>
                <w:szCs w:val="18"/>
              </w:rPr>
            </w:pPr>
            <w:r w:rsidRPr="006762B2">
              <w:rPr>
                <w:rFonts w:cs="Arial"/>
                <w:sz w:val="18"/>
                <w:szCs w:val="18"/>
              </w:rPr>
              <w:t>1,138</w:t>
            </w:r>
          </w:p>
        </w:tc>
        <w:tc>
          <w:tcPr>
            <w:tcW w:w="720" w:type="dxa"/>
            <w:gridSpan w:val="2"/>
            <w:vAlign w:val="center"/>
          </w:tcPr>
          <w:p w14:paraId="39E8CA59" w14:textId="77777777" w:rsidR="00F71565" w:rsidRPr="006762B2" w:rsidRDefault="00F71565" w:rsidP="0020207E">
            <w:pPr>
              <w:pStyle w:val="IRPsanstext"/>
              <w:jc w:val="center"/>
              <w:rPr>
                <w:rFonts w:cs="Arial"/>
                <w:sz w:val="18"/>
                <w:szCs w:val="18"/>
              </w:rPr>
            </w:pPr>
            <w:r w:rsidRPr="006762B2">
              <w:rPr>
                <w:rFonts w:cs="Arial"/>
                <w:sz w:val="18"/>
                <w:szCs w:val="18"/>
              </w:rPr>
              <w:t>500</w:t>
            </w:r>
          </w:p>
        </w:tc>
        <w:tc>
          <w:tcPr>
            <w:tcW w:w="990" w:type="dxa"/>
            <w:vAlign w:val="center"/>
          </w:tcPr>
          <w:p w14:paraId="32A7861C" w14:textId="77777777" w:rsidR="00F71565" w:rsidRPr="006762B2" w:rsidRDefault="00F71565" w:rsidP="0020207E">
            <w:pPr>
              <w:pStyle w:val="IRPsanstext"/>
              <w:jc w:val="center"/>
              <w:rPr>
                <w:rFonts w:cs="Arial"/>
                <w:sz w:val="18"/>
                <w:szCs w:val="18"/>
              </w:rPr>
            </w:pPr>
            <w:r w:rsidRPr="006762B2">
              <w:rPr>
                <w:rFonts w:cs="Arial"/>
                <w:sz w:val="18"/>
                <w:szCs w:val="18"/>
              </w:rPr>
              <w:t>20</w:t>
            </w:r>
          </w:p>
        </w:tc>
        <w:tc>
          <w:tcPr>
            <w:tcW w:w="810" w:type="dxa"/>
            <w:vAlign w:val="center"/>
          </w:tcPr>
          <w:p w14:paraId="5FD0A87A" w14:textId="77777777" w:rsidR="00F71565" w:rsidRPr="006762B2" w:rsidRDefault="00F71565" w:rsidP="0020207E">
            <w:pPr>
              <w:pStyle w:val="IRPsanstext"/>
              <w:jc w:val="center"/>
              <w:rPr>
                <w:rFonts w:cs="Arial"/>
                <w:sz w:val="18"/>
                <w:szCs w:val="18"/>
              </w:rPr>
            </w:pPr>
            <w:r w:rsidRPr="006762B2">
              <w:rPr>
                <w:rFonts w:cs="Arial"/>
                <w:sz w:val="18"/>
                <w:szCs w:val="18"/>
              </w:rPr>
              <w:t>-</w:t>
            </w:r>
          </w:p>
        </w:tc>
      </w:tr>
    </w:tbl>
    <w:p w14:paraId="34EB05D1" w14:textId="77777777" w:rsidR="00F71565" w:rsidRPr="00010FAF" w:rsidRDefault="00F71565" w:rsidP="00F71565">
      <w:pPr>
        <w:pStyle w:val="IRPsanstext"/>
        <w:rPr>
          <w:rFonts w:ascii="Palatino" w:hAnsi="Palatino" w:cs="Arial"/>
          <w:i/>
        </w:rPr>
      </w:pPr>
      <w:r w:rsidRPr="00010FAF">
        <w:rPr>
          <w:rFonts w:ascii="Palatino" w:hAnsi="Palatino" w:cs="Arial"/>
          <w:i/>
        </w:rPr>
        <w:t>* 20 MW refers to a solar addition, and 15 MW is a biomass addition.</w:t>
      </w:r>
    </w:p>
    <w:p w14:paraId="374AE636" w14:textId="77777777" w:rsidR="00AD0F38" w:rsidRPr="00937249" w:rsidRDefault="00AD0F38" w:rsidP="00937249">
      <w:pPr>
        <w:pStyle w:val="IRPsanstext"/>
        <w:rPr>
          <w:rFonts w:cs="Arial"/>
        </w:rPr>
      </w:pPr>
    </w:p>
    <w:p w14:paraId="4F6E83CD" w14:textId="77777777" w:rsidR="00FF331D" w:rsidRDefault="00FF331D">
      <w:pPr>
        <w:rPr>
          <w:rFonts w:ascii="Arial" w:hAnsi="Arial" w:cs="Arial"/>
          <w:b/>
          <w:color w:val="156570"/>
          <w:sz w:val="28"/>
          <w:szCs w:val="28"/>
        </w:rPr>
      </w:pPr>
      <w:r>
        <w:rPr>
          <w:rFonts w:cs="Arial"/>
          <w:b/>
          <w:color w:val="156570"/>
          <w:sz w:val="28"/>
          <w:szCs w:val="28"/>
        </w:rPr>
        <w:br w:type="page"/>
      </w:r>
    </w:p>
    <w:p w14:paraId="5DC335AC" w14:textId="77777777" w:rsidR="00010FAF" w:rsidRDefault="001D6E99" w:rsidP="00937249">
      <w:pPr>
        <w:pStyle w:val="IRPsanstext"/>
        <w:rPr>
          <w:rFonts w:cs="Arial"/>
        </w:rPr>
      </w:pPr>
      <w:proofErr w:type="gramStart"/>
      <w:r>
        <w:rPr>
          <w:rFonts w:cs="Arial"/>
          <w:b/>
          <w:color w:val="156570"/>
          <w:sz w:val="28"/>
          <w:szCs w:val="28"/>
        </w:rPr>
        <w:lastRenderedPageBreak/>
        <w:t xml:space="preserve">Summary </w:t>
      </w:r>
      <w:r w:rsidR="00AD0F38" w:rsidRPr="00E74063">
        <w:rPr>
          <w:rFonts w:cs="Arial"/>
          <w:b/>
          <w:color w:val="156570"/>
          <w:sz w:val="28"/>
          <w:szCs w:val="28"/>
        </w:rPr>
        <w:t>of Deterministic Optimization Analysis.</w:t>
      </w:r>
      <w:proofErr w:type="gramEnd"/>
      <w:r w:rsidR="00AD0F38" w:rsidRPr="00937249">
        <w:rPr>
          <w:rFonts w:cs="Arial"/>
          <w:caps/>
        </w:rPr>
        <w:t xml:space="preserve"> </w:t>
      </w:r>
      <w:r w:rsidR="00AD0F38" w:rsidRPr="00937249">
        <w:rPr>
          <w:rFonts w:cs="Arial"/>
        </w:rPr>
        <w:t>Figure 6-</w:t>
      </w:r>
      <w:r w:rsidR="00855BD7">
        <w:rPr>
          <w:rFonts w:cs="Arial"/>
        </w:rPr>
        <w:t>17</w:t>
      </w:r>
      <w:r w:rsidR="00AD0F38" w:rsidRPr="00937249">
        <w:rPr>
          <w:rFonts w:cs="Arial"/>
        </w:rPr>
        <w:t xml:space="preserve"> below displays the megawatt additions for the deterministic analysis optimal portfolios for all scenarios in 2021, 2026 and 2035</w:t>
      </w:r>
      <w:r w:rsidR="004C1F08">
        <w:rPr>
          <w:rFonts w:cs="Arial"/>
        </w:rPr>
        <w:t xml:space="preserve"> using the 2013 Planning Standard</w:t>
      </w:r>
      <w:r w:rsidR="00AD0F38" w:rsidRPr="00937249">
        <w:rPr>
          <w:rFonts w:cs="Arial"/>
        </w:rPr>
        <w:t xml:space="preserve">. </w:t>
      </w:r>
      <w:r w:rsidR="004C1F08">
        <w:rPr>
          <w:rFonts w:cs="Arial"/>
        </w:rPr>
        <w:t>Under the 2013 standard</w:t>
      </w:r>
      <w:r w:rsidR="00010FAF">
        <w:rPr>
          <w:rFonts w:cs="Arial"/>
        </w:rPr>
        <w:t>,</w:t>
      </w:r>
      <w:r w:rsidR="004C1F08">
        <w:rPr>
          <w:rFonts w:cs="Arial"/>
        </w:rPr>
        <w:t xml:space="preserve"> no new resources are added until 2023 </w:t>
      </w:r>
      <w:r w:rsidR="00010FAF">
        <w:rPr>
          <w:rFonts w:cs="Arial"/>
        </w:rPr>
        <w:t>except in the</w:t>
      </w:r>
      <w:r w:rsidR="004C1F08">
        <w:rPr>
          <w:rFonts w:cs="Arial"/>
        </w:rPr>
        <w:t xml:space="preserve"> High and Base + High Demand </w:t>
      </w:r>
      <w:r w:rsidR="00010FAF">
        <w:rPr>
          <w:rFonts w:cs="Arial"/>
        </w:rPr>
        <w:t xml:space="preserve">scenarios; both </w:t>
      </w:r>
      <w:r w:rsidR="004C1F08">
        <w:rPr>
          <w:rFonts w:cs="Arial"/>
        </w:rPr>
        <w:t>use the hi</w:t>
      </w:r>
      <w:r w:rsidR="00591EC7">
        <w:rPr>
          <w:rFonts w:cs="Arial"/>
        </w:rPr>
        <w:t>gh demand foreca</w:t>
      </w:r>
      <w:r w:rsidR="00010FAF">
        <w:rPr>
          <w:rFonts w:cs="Arial"/>
        </w:rPr>
        <w:t>st.</w:t>
      </w:r>
      <w:r w:rsidR="00591EC7">
        <w:rPr>
          <w:rFonts w:cs="Arial"/>
        </w:rPr>
        <w:t xml:space="preserve"> </w:t>
      </w:r>
    </w:p>
    <w:p w14:paraId="24EEFE66" w14:textId="77777777" w:rsidR="00010FAF" w:rsidRDefault="00010FAF" w:rsidP="00937249">
      <w:pPr>
        <w:pStyle w:val="IRPsanstext"/>
        <w:rPr>
          <w:rFonts w:cs="Arial"/>
        </w:rPr>
      </w:pPr>
    </w:p>
    <w:p w14:paraId="7FA24CA4" w14:textId="77777777" w:rsidR="00AD0F38" w:rsidRPr="00937249" w:rsidRDefault="00855BD7" w:rsidP="00937249">
      <w:pPr>
        <w:pStyle w:val="IRPsanstext"/>
        <w:rPr>
          <w:rFonts w:cs="Arial"/>
          <w:caps/>
        </w:rPr>
      </w:pPr>
      <w:r>
        <w:rPr>
          <w:rFonts w:cs="Arial"/>
        </w:rPr>
        <w:t>Figure 6-18</w:t>
      </w:r>
      <w:r w:rsidR="004C1F08">
        <w:rPr>
          <w:rFonts w:cs="Arial"/>
        </w:rPr>
        <w:t xml:space="preserve"> is the same chart for the portfolios using the 2015</w:t>
      </w:r>
      <w:r w:rsidR="00010FAF">
        <w:rPr>
          <w:rFonts w:cs="Arial"/>
        </w:rPr>
        <w:t xml:space="preserve"> Optimal Planning Standard. Under the 2015 standard, </w:t>
      </w:r>
      <w:r w:rsidR="004C1F08">
        <w:rPr>
          <w:rFonts w:cs="Arial"/>
        </w:rPr>
        <w:t xml:space="preserve">new resources are added in 2021 to meet needs </w:t>
      </w:r>
      <w:r w:rsidR="00010FAF">
        <w:rPr>
          <w:rFonts w:cs="Arial"/>
        </w:rPr>
        <w:t>except in the Low and Base + Low Demand scenarios.</w:t>
      </w:r>
      <w:r w:rsidR="004C1F08">
        <w:rPr>
          <w:rFonts w:cs="Arial"/>
        </w:rPr>
        <w:t xml:space="preserve"> </w:t>
      </w:r>
      <w:r w:rsidR="00AD0F38" w:rsidRPr="00937249">
        <w:rPr>
          <w:rFonts w:cs="Arial"/>
        </w:rPr>
        <w:t xml:space="preserve">See Appendix N, Electric Analysis, for more detailed information. </w:t>
      </w:r>
    </w:p>
    <w:p w14:paraId="10633B9F" w14:textId="77777777" w:rsidR="00AD0F38" w:rsidRPr="00937249" w:rsidRDefault="00AD0F38" w:rsidP="00937249">
      <w:pPr>
        <w:pStyle w:val="IRPsanstext"/>
        <w:rPr>
          <w:rFonts w:cs="Arial"/>
        </w:rPr>
      </w:pPr>
    </w:p>
    <w:p w14:paraId="49F308F8" w14:textId="77777777" w:rsidR="00AD0F38" w:rsidRPr="00E74063" w:rsidRDefault="00F71565" w:rsidP="00F26524">
      <w:pPr>
        <w:pStyle w:val="IRPsanstext"/>
        <w:spacing w:after="120"/>
        <w:jc w:val="center"/>
        <w:rPr>
          <w:rFonts w:cs="Arial"/>
          <w:i/>
        </w:rPr>
      </w:pPr>
      <w:r w:rsidRPr="00E74063">
        <w:rPr>
          <w:rFonts w:cs="Arial"/>
          <w:i/>
          <w:noProof/>
          <w:lang w:eastAsia="en-US"/>
        </w:rPr>
        <w:drawing>
          <wp:anchor distT="0" distB="0" distL="114300" distR="114300" simplePos="0" relativeHeight="251644416" behindDoc="0" locked="0" layoutInCell="1" allowOverlap="1" wp14:anchorId="1464CE42" wp14:editId="7A496BA7">
            <wp:simplePos x="0" y="0"/>
            <wp:positionH relativeFrom="column">
              <wp:posOffset>51435</wp:posOffset>
            </wp:positionH>
            <wp:positionV relativeFrom="paragraph">
              <wp:posOffset>568960</wp:posOffset>
            </wp:positionV>
            <wp:extent cx="5044440" cy="3665855"/>
            <wp:effectExtent l="0" t="0" r="0" b="0"/>
            <wp:wrapTopAndBottom/>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4440" cy="3665855"/>
                    </a:xfrm>
                    <a:prstGeom prst="rect">
                      <a:avLst/>
                    </a:prstGeom>
                    <a:noFill/>
                  </pic:spPr>
                </pic:pic>
              </a:graphicData>
            </a:graphic>
          </wp:anchor>
        </w:drawing>
      </w:r>
      <w:r w:rsidR="00855BD7">
        <w:rPr>
          <w:rFonts w:cs="Arial"/>
          <w:i/>
        </w:rPr>
        <w:t>Figure 6-17</w:t>
      </w:r>
      <w:r w:rsidR="00AD0F38" w:rsidRPr="00E74063">
        <w:rPr>
          <w:rFonts w:cs="Arial"/>
          <w:i/>
        </w:rPr>
        <w:t>: Resource Builds by Scenario, Cumulative Additions by Nameplate (MW)</w:t>
      </w:r>
      <w:r w:rsidR="00F2753E">
        <w:rPr>
          <w:rFonts w:cs="Arial"/>
          <w:i/>
        </w:rPr>
        <w:t>,</w:t>
      </w:r>
      <w:r>
        <w:rPr>
          <w:rFonts w:cs="Arial"/>
          <w:i/>
        </w:rPr>
        <w:t xml:space="preserve"> </w:t>
      </w:r>
      <w:r w:rsidR="00F26524">
        <w:rPr>
          <w:rFonts w:cs="Arial"/>
          <w:i/>
        </w:rPr>
        <w:br/>
      </w:r>
      <w:proofErr w:type="gramStart"/>
      <w:r w:rsidR="00AD0F38" w:rsidRPr="00E74063">
        <w:rPr>
          <w:rFonts w:cs="Arial"/>
          <w:i/>
        </w:rPr>
        <w:t>2013</w:t>
      </w:r>
      <w:proofErr w:type="gramEnd"/>
      <w:r w:rsidR="00AD0F38" w:rsidRPr="00E74063">
        <w:rPr>
          <w:rFonts w:cs="Arial"/>
          <w:i/>
        </w:rPr>
        <w:t xml:space="preserve"> Planning Standard</w:t>
      </w:r>
    </w:p>
    <w:p w14:paraId="0BABF381" w14:textId="77777777" w:rsidR="00AD0F38" w:rsidRPr="00937249" w:rsidRDefault="00AD0F38" w:rsidP="00937249">
      <w:pPr>
        <w:pStyle w:val="IRPsanstext"/>
        <w:rPr>
          <w:rFonts w:cs="Arial"/>
        </w:rPr>
      </w:pPr>
    </w:p>
    <w:p w14:paraId="5EA9546F" w14:textId="77777777" w:rsidR="00F26524" w:rsidRDefault="00F26524">
      <w:pPr>
        <w:rPr>
          <w:rFonts w:ascii="Arial" w:hAnsi="Arial" w:cs="Arial"/>
          <w:i/>
          <w:sz w:val="20"/>
          <w:szCs w:val="20"/>
        </w:rPr>
      </w:pPr>
      <w:r>
        <w:rPr>
          <w:rFonts w:cs="Arial"/>
          <w:i/>
        </w:rPr>
        <w:br w:type="page"/>
      </w:r>
    </w:p>
    <w:p w14:paraId="2119057C" w14:textId="77777777" w:rsidR="00F71565" w:rsidRPr="00E74063" w:rsidRDefault="00855BD7" w:rsidP="00F71565">
      <w:pPr>
        <w:pStyle w:val="IRPsanstext"/>
        <w:jc w:val="center"/>
        <w:rPr>
          <w:rFonts w:cs="Arial"/>
          <w:i/>
        </w:rPr>
      </w:pPr>
      <w:r>
        <w:rPr>
          <w:rFonts w:cs="Arial"/>
          <w:i/>
        </w:rPr>
        <w:lastRenderedPageBreak/>
        <w:t>Figure 6-18</w:t>
      </w:r>
      <w:r w:rsidR="00F71565" w:rsidRPr="00E74063">
        <w:rPr>
          <w:rFonts w:cs="Arial"/>
          <w:i/>
        </w:rPr>
        <w:t>: Resource Builds by Scenario, Cumulative Additions by Nameplate (MW)</w:t>
      </w:r>
      <w:r w:rsidR="00F71565">
        <w:rPr>
          <w:rFonts w:cs="Arial"/>
          <w:i/>
        </w:rPr>
        <w:t>,</w:t>
      </w:r>
    </w:p>
    <w:p w14:paraId="57F433BF" w14:textId="77777777" w:rsidR="00F71565" w:rsidRDefault="00F71565" w:rsidP="00F26524">
      <w:pPr>
        <w:pStyle w:val="IRPsanstext"/>
        <w:spacing w:after="120"/>
        <w:jc w:val="center"/>
        <w:rPr>
          <w:rFonts w:cs="Arial"/>
        </w:rPr>
      </w:pPr>
      <w:r>
        <w:rPr>
          <w:rFonts w:cs="Arial"/>
          <w:i/>
        </w:rPr>
        <w:t>2015</w:t>
      </w:r>
      <w:r w:rsidR="00010FAF">
        <w:rPr>
          <w:rFonts w:cs="Arial"/>
          <w:i/>
        </w:rPr>
        <w:t xml:space="preserve"> Optimal</w:t>
      </w:r>
      <w:r w:rsidRPr="00E74063">
        <w:rPr>
          <w:rFonts w:cs="Arial"/>
          <w:i/>
        </w:rPr>
        <w:t xml:space="preserve"> Planning Standard</w:t>
      </w:r>
    </w:p>
    <w:p w14:paraId="4E720E16" w14:textId="77777777" w:rsidR="00F71565" w:rsidRDefault="00E64523" w:rsidP="00F71565">
      <w:pPr>
        <w:pStyle w:val="IRPsanstext"/>
        <w:rPr>
          <w:rFonts w:cs="Arial"/>
        </w:rPr>
      </w:pPr>
      <w:r>
        <w:rPr>
          <w:noProof/>
          <w:lang w:eastAsia="en-US"/>
        </w:rPr>
        <w:drawing>
          <wp:anchor distT="0" distB="0" distL="114300" distR="114300" simplePos="0" relativeHeight="251659776" behindDoc="1" locked="0" layoutInCell="1" allowOverlap="1" wp14:anchorId="6DB3CFEA" wp14:editId="263C33BA">
            <wp:simplePos x="0" y="0"/>
            <wp:positionH relativeFrom="column">
              <wp:posOffset>220980</wp:posOffset>
            </wp:positionH>
            <wp:positionV relativeFrom="paragraph">
              <wp:posOffset>67945</wp:posOffset>
            </wp:positionV>
            <wp:extent cx="5054600" cy="3659505"/>
            <wp:effectExtent l="0" t="0" r="0" b="0"/>
            <wp:wrapTight wrapText="bothSides">
              <wp:wrapPolygon edited="0">
                <wp:start x="0" y="0"/>
                <wp:lineTo x="0" y="21476"/>
                <wp:lineTo x="21491" y="21476"/>
                <wp:lineTo x="21491" y="0"/>
                <wp:lineTo x="0" y="0"/>
              </wp:wrapPolygon>
            </wp:wrapTight>
            <wp:docPr id="6"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54600" cy="3659505"/>
                    </a:xfrm>
                    <a:prstGeom prst="rect">
                      <a:avLst/>
                    </a:prstGeom>
                    <a:noFill/>
                    <a:ln>
                      <a:noFill/>
                    </a:ln>
                  </pic:spPr>
                </pic:pic>
              </a:graphicData>
            </a:graphic>
          </wp:anchor>
        </w:drawing>
      </w:r>
    </w:p>
    <w:p w14:paraId="08934AD2" w14:textId="77777777" w:rsidR="00F71565" w:rsidRPr="00A32941" w:rsidRDefault="00F71565" w:rsidP="00F71565">
      <w:pPr>
        <w:pStyle w:val="IRPsanstext"/>
        <w:rPr>
          <w:rFonts w:cs="Arial"/>
        </w:rPr>
      </w:pPr>
    </w:p>
    <w:p w14:paraId="15AA1230" w14:textId="77777777" w:rsidR="00F26524" w:rsidRDefault="00F26524" w:rsidP="00F71565">
      <w:pPr>
        <w:pStyle w:val="IRPsanstext"/>
        <w:rPr>
          <w:rFonts w:cs="Arial"/>
          <w:sz w:val="32"/>
          <w:szCs w:val="32"/>
        </w:rPr>
      </w:pPr>
    </w:p>
    <w:p w14:paraId="3888823F" w14:textId="77777777" w:rsidR="00F26524" w:rsidRDefault="00F26524" w:rsidP="00F71565">
      <w:pPr>
        <w:pStyle w:val="IRPsanstext"/>
        <w:rPr>
          <w:rFonts w:cs="Arial"/>
          <w:sz w:val="32"/>
          <w:szCs w:val="32"/>
        </w:rPr>
      </w:pPr>
    </w:p>
    <w:p w14:paraId="67F97750" w14:textId="77777777" w:rsidR="00F26524" w:rsidRDefault="00F26524" w:rsidP="00F71565">
      <w:pPr>
        <w:pStyle w:val="IRPsanstext"/>
        <w:rPr>
          <w:rFonts w:cs="Arial"/>
          <w:sz w:val="32"/>
          <w:szCs w:val="32"/>
        </w:rPr>
      </w:pPr>
    </w:p>
    <w:p w14:paraId="68631C64" w14:textId="77777777" w:rsidR="00F26524" w:rsidRDefault="00F26524" w:rsidP="00F71565">
      <w:pPr>
        <w:pStyle w:val="IRPsanstext"/>
        <w:rPr>
          <w:rFonts w:cs="Arial"/>
          <w:sz w:val="32"/>
          <w:szCs w:val="32"/>
        </w:rPr>
      </w:pPr>
    </w:p>
    <w:p w14:paraId="3D450A7C" w14:textId="77777777" w:rsidR="00F26524" w:rsidRDefault="00F26524" w:rsidP="00F71565">
      <w:pPr>
        <w:pStyle w:val="IRPsanstext"/>
        <w:rPr>
          <w:rFonts w:cs="Arial"/>
          <w:sz w:val="32"/>
          <w:szCs w:val="32"/>
        </w:rPr>
      </w:pPr>
    </w:p>
    <w:p w14:paraId="1CB00EF1" w14:textId="77777777" w:rsidR="00F26524" w:rsidRDefault="00F26524" w:rsidP="00F71565">
      <w:pPr>
        <w:pStyle w:val="IRPsanstext"/>
        <w:rPr>
          <w:rFonts w:cs="Arial"/>
          <w:sz w:val="32"/>
          <w:szCs w:val="32"/>
        </w:rPr>
      </w:pPr>
    </w:p>
    <w:p w14:paraId="2939E980" w14:textId="77777777" w:rsidR="00F71565" w:rsidRPr="00FF331D" w:rsidRDefault="00FF331D" w:rsidP="00FF331D">
      <w:pPr>
        <w:pStyle w:val="IRPsecthead1serif"/>
      </w:pPr>
      <w:r>
        <w:br w:type="page"/>
      </w:r>
      <w:r>
        <w:lastRenderedPageBreak/>
        <w:t xml:space="preserve">2. </w:t>
      </w:r>
      <w:r w:rsidR="00F71565" w:rsidRPr="00E74063">
        <w:t>Emissions</w:t>
      </w:r>
      <w:r w:rsidR="00F71565">
        <w:t xml:space="preserve"> </w:t>
      </w:r>
    </w:p>
    <w:p w14:paraId="2DBFA4F3" w14:textId="77777777" w:rsidR="00F71565" w:rsidRPr="00937249" w:rsidRDefault="00F71565" w:rsidP="00F71565">
      <w:pPr>
        <w:pStyle w:val="IRPsanstext"/>
        <w:rPr>
          <w:rFonts w:cs="Arial"/>
        </w:rPr>
      </w:pPr>
    </w:p>
    <w:p w14:paraId="2C27C2C3" w14:textId="77777777" w:rsidR="00F71565" w:rsidRPr="00937249" w:rsidRDefault="00F71565" w:rsidP="00F71565">
      <w:pPr>
        <w:pStyle w:val="IRPsanstext"/>
        <w:rPr>
          <w:rFonts w:cs="Arial"/>
        </w:rPr>
      </w:pPr>
      <w:r w:rsidRPr="00937249">
        <w:rPr>
          <w:rFonts w:cs="Arial"/>
        </w:rPr>
        <w:t>PSE examined how different carbon mitigation strategies affect portfolio builds,</w:t>
      </w:r>
      <w:r w:rsidR="00855BD7">
        <w:rPr>
          <w:rFonts w:cs="Arial"/>
        </w:rPr>
        <w:t xml:space="preserve"> costs and emissions. Figure 6-19</w:t>
      </w:r>
      <w:r w:rsidRPr="00937249">
        <w:rPr>
          <w:rFonts w:cs="Arial"/>
        </w:rPr>
        <w:t xml:space="preserve"> shows CO</w:t>
      </w:r>
      <w:r w:rsidRPr="00937249">
        <w:rPr>
          <w:rFonts w:cs="Arial"/>
          <w:vertAlign w:val="subscript"/>
        </w:rPr>
        <w:t>2</w:t>
      </w:r>
      <w:r w:rsidRPr="00937249">
        <w:rPr>
          <w:rFonts w:cs="Arial"/>
        </w:rPr>
        <w:t xml:space="preserve"> emissions for the least-c</w:t>
      </w:r>
      <w:r w:rsidR="00010FAF">
        <w:rPr>
          <w:rFonts w:cs="Arial"/>
        </w:rPr>
        <w:t>ost portfolio in each scenario using the 201</w:t>
      </w:r>
      <w:r w:rsidR="00855BD7">
        <w:rPr>
          <w:rFonts w:cs="Arial"/>
        </w:rPr>
        <w:t>3 Planning Standard</w:t>
      </w:r>
      <w:proofErr w:type="gramStart"/>
      <w:r w:rsidR="00855BD7">
        <w:rPr>
          <w:rFonts w:cs="Arial"/>
        </w:rPr>
        <w:t>;</w:t>
      </w:r>
      <w:proofErr w:type="gramEnd"/>
      <w:r w:rsidR="00855BD7">
        <w:rPr>
          <w:rFonts w:cs="Arial"/>
        </w:rPr>
        <w:t xml:space="preserve"> Figure 6-20</w:t>
      </w:r>
      <w:r w:rsidR="00010FAF">
        <w:rPr>
          <w:rFonts w:cs="Arial"/>
        </w:rPr>
        <w:t xml:space="preserve"> shows CO</w:t>
      </w:r>
      <w:r w:rsidR="00010FAF" w:rsidRPr="00010FAF">
        <w:rPr>
          <w:rFonts w:cs="Arial"/>
          <w:vertAlign w:val="subscript"/>
        </w:rPr>
        <w:t>2</w:t>
      </w:r>
      <w:r w:rsidR="00010FAF">
        <w:rPr>
          <w:rFonts w:cs="Arial"/>
        </w:rPr>
        <w:t xml:space="preserve"> emissions using the 2015 Optimal Planning Standard.</w:t>
      </w:r>
      <w:r w:rsidR="005B2826">
        <w:rPr>
          <w:rFonts w:cs="Arial"/>
        </w:rPr>
        <w:t xml:space="preserve"> </w:t>
      </w:r>
      <w:r w:rsidRPr="00937249">
        <w:rPr>
          <w:rFonts w:cs="Arial"/>
        </w:rPr>
        <w:t>Many of the portfolios show a drop in emissions in 2026 corresponding to the expiration of the Coal Transition PPA on December 31, 2025. As the chart</w:t>
      </w:r>
      <w:r w:rsidR="00010FAF">
        <w:rPr>
          <w:rFonts w:cs="Arial"/>
        </w:rPr>
        <w:t>s illustrate</w:t>
      </w:r>
      <w:r w:rsidRPr="00937249">
        <w:rPr>
          <w:rFonts w:cs="Arial"/>
        </w:rPr>
        <w:t>, only four portfolios/scenarios reduc</w:t>
      </w:r>
      <w:r w:rsidR="00010FAF">
        <w:rPr>
          <w:rFonts w:cs="Arial"/>
        </w:rPr>
        <w:t xml:space="preserve">e emissions below 1990 levels. </w:t>
      </w:r>
      <w:r w:rsidRPr="00937249">
        <w:rPr>
          <w:rFonts w:cs="Arial"/>
        </w:rPr>
        <w:t>In two of those scenarios, High and Base + High CO</w:t>
      </w:r>
      <w:r w:rsidRPr="00937249">
        <w:rPr>
          <w:rFonts w:cs="Arial"/>
          <w:vertAlign w:val="subscript"/>
        </w:rPr>
        <w:t>2</w:t>
      </w:r>
      <w:r w:rsidRPr="00937249">
        <w:rPr>
          <w:rFonts w:cs="Arial"/>
        </w:rPr>
        <w:t>, the CO</w:t>
      </w:r>
      <w:r w:rsidRPr="00937249">
        <w:rPr>
          <w:rFonts w:cs="Arial"/>
          <w:vertAlign w:val="subscript"/>
        </w:rPr>
        <w:t>2</w:t>
      </w:r>
      <w:r w:rsidRPr="00937249">
        <w:rPr>
          <w:rFonts w:cs="Arial"/>
        </w:rPr>
        <w:t xml:space="preserve"> price is high enough to reduce the dispatch of Colstrip.  </w:t>
      </w:r>
    </w:p>
    <w:p w14:paraId="0C678D6E" w14:textId="77777777" w:rsidR="00F71565" w:rsidRPr="00937249" w:rsidRDefault="00F71565" w:rsidP="00F71565">
      <w:pPr>
        <w:pStyle w:val="IRPsanstext"/>
        <w:rPr>
          <w:rFonts w:cs="Arial"/>
        </w:rPr>
      </w:pPr>
    </w:p>
    <w:p w14:paraId="7BA97F96" w14:textId="77777777" w:rsidR="00F71565" w:rsidRPr="00E74063" w:rsidRDefault="00855BD7" w:rsidP="00F71565">
      <w:pPr>
        <w:pStyle w:val="IRPsanstext"/>
        <w:jc w:val="center"/>
        <w:rPr>
          <w:rFonts w:cs="Arial"/>
          <w:i/>
        </w:rPr>
      </w:pPr>
      <w:r>
        <w:rPr>
          <w:rFonts w:cs="Arial"/>
          <w:i/>
        </w:rPr>
        <w:t>Figure 6-19</w:t>
      </w:r>
      <w:r w:rsidR="00F71565" w:rsidRPr="00E74063">
        <w:rPr>
          <w:rFonts w:cs="Arial"/>
          <w:i/>
        </w:rPr>
        <w:t>: CO</w:t>
      </w:r>
      <w:r w:rsidR="00F71565" w:rsidRPr="00E74063">
        <w:rPr>
          <w:rFonts w:cs="Arial"/>
          <w:i/>
          <w:vertAlign w:val="subscript"/>
        </w:rPr>
        <w:t>2</w:t>
      </w:r>
      <w:r w:rsidR="00F71565" w:rsidRPr="00E74063">
        <w:rPr>
          <w:rFonts w:cs="Arial"/>
          <w:i/>
        </w:rPr>
        <w:t xml:space="preserve"> Emissions by Portfolio</w:t>
      </w:r>
      <w:r w:rsidR="00F71565">
        <w:rPr>
          <w:rFonts w:cs="Arial"/>
          <w:i/>
        </w:rPr>
        <w:t xml:space="preserve"> – 2013 </w:t>
      </w:r>
      <w:r w:rsidR="004D593E">
        <w:rPr>
          <w:rFonts w:cs="Arial"/>
          <w:i/>
        </w:rPr>
        <w:t xml:space="preserve">Planning </w:t>
      </w:r>
      <w:r w:rsidR="00F71565">
        <w:rPr>
          <w:rFonts w:cs="Arial"/>
          <w:i/>
        </w:rPr>
        <w:t>Standard</w:t>
      </w:r>
    </w:p>
    <w:p w14:paraId="30909A66" w14:textId="77777777" w:rsidR="00F71565" w:rsidRPr="00937249" w:rsidRDefault="00F71565" w:rsidP="00F71565">
      <w:pPr>
        <w:pStyle w:val="IRPsanstext"/>
        <w:rPr>
          <w:rFonts w:cs="Arial"/>
        </w:rPr>
      </w:pPr>
      <w:r w:rsidRPr="00C61579">
        <w:rPr>
          <w:noProof/>
          <w:lang w:eastAsia="en-US"/>
        </w:rPr>
        <w:drawing>
          <wp:anchor distT="0" distB="0" distL="114300" distR="114300" simplePos="0" relativeHeight="251660800" behindDoc="0" locked="0" layoutInCell="1" allowOverlap="1" wp14:anchorId="6E9939D0" wp14:editId="074BD933">
            <wp:simplePos x="0" y="0"/>
            <wp:positionH relativeFrom="column">
              <wp:posOffset>0</wp:posOffset>
            </wp:positionH>
            <wp:positionV relativeFrom="paragraph">
              <wp:posOffset>142240</wp:posOffset>
            </wp:positionV>
            <wp:extent cx="5486400" cy="396875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86400" cy="3968750"/>
                    </a:xfrm>
                    <a:prstGeom prst="rect">
                      <a:avLst/>
                    </a:prstGeom>
                    <a:noFill/>
                    <a:ln>
                      <a:noFill/>
                    </a:ln>
                  </pic:spPr>
                </pic:pic>
              </a:graphicData>
            </a:graphic>
          </wp:anchor>
        </w:drawing>
      </w:r>
    </w:p>
    <w:p w14:paraId="36800D1A" w14:textId="77777777" w:rsidR="00F71565" w:rsidRPr="00937249" w:rsidRDefault="00F71565" w:rsidP="00F71565">
      <w:pPr>
        <w:pStyle w:val="IRPsanstext"/>
        <w:rPr>
          <w:rFonts w:cs="Arial"/>
        </w:rPr>
      </w:pPr>
    </w:p>
    <w:p w14:paraId="69837450" w14:textId="77777777" w:rsidR="00F71565" w:rsidRPr="00F71565" w:rsidRDefault="00F71565" w:rsidP="00F71565">
      <w:pPr>
        <w:rPr>
          <w:rFonts w:ascii="Arial" w:hAnsi="Arial" w:cs="Arial"/>
          <w:sz w:val="20"/>
          <w:szCs w:val="20"/>
        </w:rPr>
      </w:pPr>
      <w:r>
        <w:rPr>
          <w:rFonts w:cs="Arial"/>
        </w:rPr>
        <w:br w:type="page"/>
      </w:r>
    </w:p>
    <w:p w14:paraId="7312010B" w14:textId="77777777" w:rsidR="00F71565" w:rsidRPr="00E74063" w:rsidRDefault="00F71565" w:rsidP="00F26524">
      <w:pPr>
        <w:pStyle w:val="IRPsanstext"/>
        <w:spacing w:after="120"/>
        <w:jc w:val="center"/>
        <w:rPr>
          <w:rFonts w:cs="Arial"/>
          <w:i/>
        </w:rPr>
      </w:pPr>
      <w:r>
        <w:rPr>
          <w:rFonts w:cs="Arial"/>
          <w:i/>
        </w:rPr>
        <w:lastRenderedPageBreak/>
        <w:t>Figure 6-2</w:t>
      </w:r>
      <w:r w:rsidR="00855BD7">
        <w:rPr>
          <w:rFonts w:cs="Arial"/>
          <w:i/>
        </w:rPr>
        <w:t>0</w:t>
      </w:r>
      <w:r w:rsidRPr="00E74063">
        <w:rPr>
          <w:rFonts w:cs="Arial"/>
          <w:i/>
        </w:rPr>
        <w:t xml:space="preserve">: </w:t>
      </w:r>
      <w:r>
        <w:rPr>
          <w:rFonts w:cs="Arial"/>
          <w:i/>
        </w:rPr>
        <w:t xml:space="preserve">Projected </w:t>
      </w:r>
      <w:r w:rsidRPr="00E74063">
        <w:rPr>
          <w:rFonts w:cs="Arial"/>
          <w:i/>
        </w:rPr>
        <w:t>CO</w:t>
      </w:r>
      <w:r w:rsidRPr="00E74063">
        <w:rPr>
          <w:rFonts w:cs="Arial"/>
          <w:i/>
          <w:vertAlign w:val="subscript"/>
        </w:rPr>
        <w:t>2</w:t>
      </w:r>
      <w:r w:rsidRPr="00E74063">
        <w:rPr>
          <w:rFonts w:cs="Arial"/>
          <w:i/>
        </w:rPr>
        <w:t xml:space="preserve"> Emissions by Portfolio</w:t>
      </w:r>
      <w:r>
        <w:rPr>
          <w:rFonts w:cs="Arial"/>
          <w:i/>
        </w:rPr>
        <w:t xml:space="preserve"> – 2015 </w:t>
      </w:r>
      <w:r w:rsidR="00010FAF">
        <w:rPr>
          <w:rFonts w:cs="Arial"/>
          <w:i/>
        </w:rPr>
        <w:t xml:space="preserve">Optimal Planning </w:t>
      </w:r>
      <w:r>
        <w:rPr>
          <w:rFonts w:cs="Arial"/>
          <w:i/>
        </w:rPr>
        <w:t>Standard</w:t>
      </w:r>
    </w:p>
    <w:p w14:paraId="14BEF6FD" w14:textId="77777777" w:rsidR="00F71565" w:rsidRDefault="00F71565" w:rsidP="00F71565">
      <w:pPr>
        <w:pStyle w:val="IRPsanstext"/>
      </w:pPr>
      <w:r w:rsidRPr="0057180E">
        <w:rPr>
          <w:noProof/>
          <w:lang w:eastAsia="en-US"/>
        </w:rPr>
        <w:drawing>
          <wp:anchor distT="0" distB="0" distL="114300" distR="114300" simplePos="0" relativeHeight="251661824" behindDoc="0" locked="0" layoutInCell="1" allowOverlap="1" wp14:anchorId="03D83E17" wp14:editId="19D2B38D">
            <wp:simplePos x="0" y="0"/>
            <wp:positionH relativeFrom="column">
              <wp:posOffset>3810</wp:posOffset>
            </wp:positionH>
            <wp:positionV relativeFrom="paragraph">
              <wp:posOffset>35560</wp:posOffset>
            </wp:positionV>
            <wp:extent cx="5486400" cy="3965575"/>
            <wp:effectExtent l="0" t="0" r="0" b="0"/>
            <wp:wrapTopAndBottom/>
            <wp:docPr id="2050"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400" cy="3965575"/>
                    </a:xfrm>
                    <a:prstGeom prst="rect">
                      <a:avLst/>
                    </a:prstGeom>
                    <a:noFill/>
                    <a:ln>
                      <a:noFill/>
                    </a:ln>
                  </pic:spPr>
                </pic:pic>
              </a:graphicData>
            </a:graphic>
          </wp:anchor>
        </w:drawing>
      </w:r>
    </w:p>
    <w:p w14:paraId="7D160247" w14:textId="77777777" w:rsidR="00FF331D" w:rsidRDefault="00FF331D">
      <w:pPr>
        <w:rPr>
          <w:rFonts w:ascii="Arial" w:hAnsi="Arial" w:cs="Arial"/>
          <w:sz w:val="20"/>
          <w:szCs w:val="20"/>
        </w:rPr>
      </w:pPr>
      <w:r>
        <w:rPr>
          <w:rFonts w:ascii="Arial" w:hAnsi="Arial" w:cs="Arial"/>
          <w:sz w:val="20"/>
          <w:szCs w:val="20"/>
        </w:rPr>
        <w:br w:type="page"/>
      </w:r>
    </w:p>
    <w:p w14:paraId="50624ABD" w14:textId="77777777" w:rsidR="00F71565" w:rsidRPr="00F71565" w:rsidRDefault="00F71565" w:rsidP="00F71565">
      <w:pPr>
        <w:spacing w:line="320" w:lineRule="exact"/>
        <w:rPr>
          <w:rFonts w:ascii="Arial" w:hAnsi="Arial" w:cs="Arial"/>
          <w:sz w:val="20"/>
          <w:szCs w:val="20"/>
        </w:rPr>
      </w:pPr>
      <w:r w:rsidRPr="00F71565">
        <w:rPr>
          <w:rFonts w:ascii="Arial" w:hAnsi="Arial" w:cs="Arial"/>
          <w:sz w:val="20"/>
          <w:szCs w:val="20"/>
        </w:rPr>
        <w:lastRenderedPageBreak/>
        <w:t xml:space="preserve">A portfolio view of carbon emissions does not reflect emissions occurring specifically </w:t>
      </w:r>
      <w:r w:rsidR="00855BD7">
        <w:rPr>
          <w:rFonts w:ascii="Arial" w:hAnsi="Arial" w:cs="Arial"/>
          <w:sz w:val="20"/>
          <w:szCs w:val="20"/>
        </w:rPr>
        <w:t xml:space="preserve">in Washington </w:t>
      </w:r>
      <w:proofErr w:type="gramStart"/>
      <w:r w:rsidR="00855BD7">
        <w:rPr>
          <w:rFonts w:ascii="Arial" w:hAnsi="Arial" w:cs="Arial"/>
          <w:sz w:val="20"/>
          <w:szCs w:val="20"/>
        </w:rPr>
        <w:t>state</w:t>
      </w:r>
      <w:proofErr w:type="gramEnd"/>
      <w:r w:rsidR="00855BD7">
        <w:rPr>
          <w:rFonts w:ascii="Arial" w:hAnsi="Arial" w:cs="Arial"/>
          <w:sz w:val="20"/>
          <w:szCs w:val="20"/>
        </w:rPr>
        <w:t>. Figure 6-21</w:t>
      </w:r>
      <w:r w:rsidRPr="00F71565">
        <w:rPr>
          <w:rFonts w:ascii="Arial" w:hAnsi="Arial" w:cs="Arial"/>
          <w:sz w:val="20"/>
          <w:szCs w:val="20"/>
        </w:rPr>
        <w:t xml:space="preserve">, below, shows a range of emissions from PSE’s owned power plants that are located in Washington </w:t>
      </w:r>
      <w:proofErr w:type="gramStart"/>
      <w:r w:rsidRPr="00F71565">
        <w:rPr>
          <w:rFonts w:ascii="Arial" w:hAnsi="Arial" w:cs="Arial"/>
          <w:sz w:val="20"/>
          <w:szCs w:val="20"/>
        </w:rPr>
        <w:t>state,</w:t>
      </w:r>
      <w:proofErr w:type="gramEnd"/>
      <w:r w:rsidRPr="00F71565">
        <w:rPr>
          <w:rFonts w:ascii="Arial" w:hAnsi="Arial" w:cs="Arial"/>
          <w:sz w:val="20"/>
          <w:szCs w:val="20"/>
        </w:rPr>
        <w:t xml:space="preserve"> for the Base, High, and Low Scenarios.  The chart illustrates that PSE’s emissions in Washington are driven by dispatch of CCCTs. In the Base scenario, there is only one additional CCCT plant, but in the other two, all new additions are CCCT plants. A final line, showing the resource plan, is in the middle because it is a combination of CCCT and CT plants.</w:t>
      </w:r>
    </w:p>
    <w:p w14:paraId="65DA12B1" w14:textId="77777777" w:rsidR="00F71565" w:rsidRPr="00D02777" w:rsidRDefault="00F71565" w:rsidP="00F71565">
      <w:pPr>
        <w:pStyle w:val="IRPsanstext"/>
      </w:pPr>
    </w:p>
    <w:p w14:paraId="7A0C0EED" w14:textId="77777777" w:rsidR="00F71565" w:rsidRPr="00F26524" w:rsidRDefault="00F71565" w:rsidP="00166809">
      <w:pPr>
        <w:pStyle w:val="IRPsanstext"/>
        <w:spacing w:after="120" w:line="240" w:lineRule="auto"/>
        <w:jc w:val="center"/>
        <w:rPr>
          <w:rFonts w:cs="Arial"/>
          <w:i/>
        </w:rPr>
      </w:pPr>
      <w:r w:rsidRPr="00D02777">
        <w:rPr>
          <w:i/>
        </w:rPr>
        <w:t>Figure 6-</w:t>
      </w:r>
      <w:r w:rsidR="00855BD7">
        <w:rPr>
          <w:rFonts w:cs="Arial"/>
          <w:i/>
        </w:rPr>
        <w:t>21</w:t>
      </w:r>
      <w:r w:rsidRPr="00E74063">
        <w:rPr>
          <w:rFonts w:cs="Arial"/>
          <w:i/>
        </w:rPr>
        <w:t xml:space="preserve">: </w:t>
      </w:r>
      <w:r>
        <w:rPr>
          <w:rFonts w:cs="Arial"/>
          <w:i/>
        </w:rPr>
        <w:t>PSE’s Projected Washington CO</w:t>
      </w:r>
      <w:r w:rsidRPr="00704F20">
        <w:rPr>
          <w:rFonts w:cs="Arial"/>
          <w:i/>
          <w:vertAlign w:val="subscript"/>
        </w:rPr>
        <w:t>2</w:t>
      </w:r>
      <w:r>
        <w:rPr>
          <w:rFonts w:cs="Arial"/>
          <w:i/>
        </w:rPr>
        <w:t xml:space="preserve"> Emissions</w:t>
      </w:r>
      <w:r w:rsidR="00010FAF">
        <w:rPr>
          <w:rFonts w:cs="Arial"/>
          <w:i/>
        </w:rPr>
        <w:t xml:space="preserve"> – 2015 Optimal Planning Standard</w:t>
      </w:r>
    </w:p>
    <w:p w14:paraId="3BA59940" w14:textId="77777777" w:rsidR="00F71565" w:rsidRDefault="00F71565" w:rsidP="00F71565">
      <w:pPr>
        <w:rPr>
          <w:rFonts w:ascii="Arial" w:hAnsi="Arial" w:cs="Arial"/>
          <w:sz w:val="20"/>
          <w:szCs w:val="20"/>
        </w:rPr>
      </w:pPr>
      <w:r w:rsidRPr="005F2D39">
        <w:rPr>
          <w:noProof/>
          <w:lang w:eastAsia="en-US"/>
        </w:rPr>
        <w:drawing>
          <wp:inline distT="0" distB="0" distL="0" distR="0" wp14:anchorId="433EEEBB" wp14:editId="605952D9">
            <wp:extent cx="5486400" cy="3972578"/>
            <wp:effectExtent l="0" t="0" r="0" b="8890"/>
            <wp:docPr id="2053"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86400" cy="3972578"/>
                    </a:xfrm>
                    <a:prstGeom prst="rect">
                      <a:avLst/>
                    </a:prstGeom>
                    <a:noFill/>
                    <a:ln>
                      <a:noFill/>
                    </a:ln>
                  </pic:spPr>
                </pic:pic>
              </a:graphicData>
            </a:graphic>
          </wp:inline>
        </w:drawing>
      </w:r>
    </w:p>
    <w:p w14:paraId="5AF50F87" w14:textId="77777777" w:rsidR="00F71565" w:rsidRPr="00937249" w:rsidRDefault="00F71565" w:rsidP="00F71565">
      <w:pPr>
        <w:pStyle w:val="IRPsanstext"/>
        <w:rPr>
          <w:rFonts w:cs="Arial"/>
        </w:rPr>
      </w:pPr>
    </w:p>
    <w:p w14:paraId="0661A1BC" w14:textId="77777777" w:rsidR="00525FEB" w:rsidRPr="00F71565" w:rsidRDefault="00F71565" w:rsidP="00F71565">
      <w:pPr>
        <w:pStyle w:val="IRPsanstext"/>
        <w:rPr>
          <w:rFonts w:cs="Arial"/>
          <w:color w:val="9BBB59" w:themeColor="accent3"/>
        </w:rPr>
      </w:pPr>
      <w:r w:rsidRPr="00937249">
        <w:br w:type="page"/>
      </w:r>
    </w:p>
    <w:p w14:paraId="6A866E27" w14:textId="77777777" w:rsidR="00AD0F38" w:rsidRPr="00E74063" w:rsidRDefault="00F71565" w:rsidP="00937249">
      <w:pPr>
        <w:pStyle w:val="IRPsanstext"/>
        <w:rPr>
          <w:rFonts w:cs="Arial"/>
          <w:sz w:val="32"/>
          <w:szCs w:val="32"/>
        </w:rPr>
      </w:pPr>
      <w:r>
        <w:rPr>
          <w:rFonts w:cs="Arial"/>
          <w:sz w:val="32"/>
          <w:szCs w:val="32"/>
        </w:rPr>
        <w:lastRenderedPageBreak/>
        <w:t>3</w:t>
      </w:r>
      <w:r w:rsidR="00AD0F38" w:rsidRPr="00E74063">
        <w:rPr>
          <w:rFonts w:cs="Arial"/>
          <w:sz w:val="32"/>
          <w:szCs w:val="32"/>
        </w:rPr>
        <w:t xml:space="preserve">. Cost of </w:t>
      </w:r>
      <w:proofErr w:type="spellStart"/>
      <w:r w:rsidR="00AD0F38" w:rsidRPr="00E74063">
        <w:rPr>
          <w:rFonts w:cs="Arial"/>
          <w:sz w:val="32"/>
          <w:szCs w:val="32"/>
        </w:rPr>
        <w:t>Peakers</w:t>
      </w:r>
      <w:proofErr w:type="spellEnd"/>
      <w:r w:rsidR="00AD0F38" w:rsidRPr="00E74063">
        <w:rPr>
          <w:rFonts w:cs="Arial"/>
          <w:sz w:val="32"/>
          <w:szCs w:val="32"/>
        </w:rPr>
        <w:t xml:space="preserve"> vs. CCCT Plants</w:t>
      </w:r>
      <w:r w:rsidR="00704F20">
        <w:rPr>
          <w:rFonts w:cs="Arial"/>
          <w:sz w:val="32"/>
          <w:szCs w:val="32"/>
        </w:rPr>
        <w:t xml:space="preserve"> </w:t>
      </w:r>
    </w:p>
    <w:p w14:paraId="423CCB99" w14:textId="77777777" w:rsidR="00E74063" w:rsidRDefault="00E74063" w:rsidP="00937249">
      <w:pPr>
        <w:pStyle w:val="IRPsanstext"/>
        <w:rPr>
          <w:rFonts w:cs="Arial"/>
        </w:rPr>
      </w:pPr>
    </w:p>
    <w:p w14:paraId="315B88F8" w14:textId="77777777" w:rsidR="00AD0F38" w:rsidRPr="00937249" w:rsidRDefault="00AD0F38" w:rsidP="00937249">
      <w:pPr>
        <w:pStyle w:val="IRPsanstext"/>
        <w:rPr>
          <w:rFonts w:cs="Arial"/>
        </w:rPr>
      </w:pPr>
      <w:proofErr w:type="spellStart"/>
      <w:r w:rsidRPr="00937249">
        <w:rPr>
          <w:rFonts w:cs="Arial"/>
        </w:rPr>
        <w:t>Peakers</w:t>
      </w:r>
      <w:proofErr w:type="spellEnd"/>
      <w:r w:rsidRPr="00937249">
        <w:rPr>
          <w:rFonts w:cs="Arial"/>
        </w:rPr>
        <w:t xml:space="preserve"> and CCCTs traded off being the lower cost resour</w:t>
      </w:r>
      <w:r w:rsidR="00855BD7">
        <w:rPr>
          <w:rFonts w:cs="Arial"/>
        </w:rPr>
        <w:t xml:space="preserve">ce, depending on the scenario. </w:t>
      </w:r>
      <w:r w:rsidRPr="00937249">
        <w:rPr>
          <w:rFonts w:cs="Arial"/>
        </w:rPr>
        <w:t>Figure 6-</w:t>
      </w:r>
      <w:r w:rsidR="00855BD7">
        <w:rPr>
          <w:rFonts w:cs="Arial"/>
        </w:rPr>
        <w:t>22</w:t>
      </w:r>
      <w:r w:rsidRPr="00937249">
        <w:rPr>
          <w:rFonts w:cs="Arial"/>
        </w:rPr>
        <w:t xml:space="preserve"> compares the cost of </w:t>
      </w:r>
      <w:proofErr w:type="spellStart"/>
      <w:r w:rsidRPr="00937249">
        <w:rPr>
          <w:rFonts w:cs="Arial"/>
        </w:rPr>
        <w:t>peakers</w:t>
      </w:r>
      <w:proofErr w:type="spellEnd"/>
      <w:r w:rsidRPr="00937249">
        <w:rPr>
          <w:rFonts w:cs="Arial"/>
        </w:rPr>
        <w:t xml:space="preserve"> and combined-cycle plants across scenarios.  </w:t>
      </w:r>
      <w:proofErr w:type="gramStart"/>
      <w:r w:rsidRPr="00937249">
        <w:rPr>
          <w:rFonts w:cs="Arial"/>
        </w:rPr>
        <w:t>Net revenue requirements were calculated by taking all capital and fixed costs of a plant and then subtracting the margin</w:t>
      </w:r>
      <w:proofErr w:type="gramEnd"/>
      <w:r w:rsidRPr="00937249">
        <w:rPr>
          <w:rFonts w:cs="Arial"/>
        </w:rPr>
        <w:t xml:space="preserve"> (market revenue less variable costs). This calculation lets one quickly compare how the model evaluated these resources. </w:t>
      </w:r>
    </w:p>
    <w:p w14:paraId="1FA26A83" w14:textId="77777777" w:rsidR="00E74063" w:rsidRDefault="00E74063" w:rsidP="00937249">
      <w:pPr>
        <w:pStyle w:val="IRPsanstext"/>
        <w:rPr>
          <w:rFonts w:cs="Arial"/>
        </w:rPr>
      </w:pPr>
    </w:p>
    <w:p w14:paraId="34DCE3F4" w14:textId="77777777" w:rsidR="00AD0F38" w:rsidRPr="00937249" w:rsidRDefault="00AD0F38" w:rsidP="00F26524">
      <w:pPr>
        <w:pStyle w:val="IRPsanstext"/>
        <w:numPr>
          <w:ilvl w:val="0"/>
          <w:numId w:val="11"/>
        </w:numPr>
        <w:rPr>
          <w:rFonts w:cs="Arial"/>
        </w:rPr>
      </w:pPr>
      <w:r w:rsidRPr="00937249">
        <w:rPr>
          <w:rFonts w:cs="Arial"/>
        </w:rPr>
        <w:t xml:space="preserve">Peaking units were modeled with and without oil backup. For </w:t>
      </w:r>
      <w:proofErr w:type="spellStart"/>
      <w:r w:rsidRPr="00937249">
        <w:rPr>
          <w:rFonts w:cs="Arial"/>
        </w:rPr>
        <w:t>peakers</w:t>
      </w:r>
      <w:proofErr w:type="spellEnd"/>
      <w:r w:rsidRPr="00937249">
        <w:rPr>
          <w:rFonts w:cs="Arial"/>
        </w:rPr>
        <w:t xml:space="preserve"> with oil backup, we included 50 percent firm pipeline transportation costs, plus the cost of 48 hours of oil. Those without oil backup were assigned higher-priced firm fuel transportation and storage costs similar to those that CCCTs are burdened with. </w:t>
      </w:r>
    </w:p>
    <w:p w14:paraId="1921E29B" w14:textId="77777777" w:rsidR="00AD0F38" w:rsidRPr="00937249" w:rsidRDefault="00AD0F38" w:rsidP="00F26524">
      <w:pPr>
        <w:pStyle w:val="IRPsanstext"/>
        <w:numPr>
          <w:ilvl w:val="0"/>
          <w:numId w:val="11"/>
        </w:numPr>
        <w:rPr>
          <w:rFonts w:cs="Arial"/>
        </w:rPr>
      </w:pPr>
      <w:r w:rsidRPr="00937249">
        <w:rPr>
          <w:rFonts w:cs="Arial"/>
        </w:rPr>
        <w:t xml:space="preserve">Plants are assumed to be located on the west side of the Cascades. (How location affects resource costs is discussed in sensitivity results.)  </w:t>
      </w:r>
    </w:p>
    <w:p w14:paraId="43FF1B6A" w14:textId="77777777" w:rsidR="00AD0F38" w:rsidRPr="00937249" w:rsidRDefault="00AD0F38" w:rsidP="00F26524">
      <w:pPr>
        <w:pStyle w:val="IRPsanstext"/>
        <w:numPr>
          <w:ilvl w:val="0"/>
          <w:numId w:val="11"/>
        </w:numPr>
        <w:rPr>
          <w:rFonts w:cs="Arial"/>
        </w:rPr>
      </w:pPr>
      <w:r w:rsidRPr="00937249">
        <w:rPr>
          <w:rFonts w:cs="Arial"/>
        </w:rPr>
        <w:t xml:space="preserve">The </w:t>
      </w:r>
      <w:proofErr w:type="spellStart"/>
      <w:r w:rsidRPr="00937249">
        <w:rPr>
          <w:rFonts w:cs="Arial"/>
        </w:rPr>
        <w:t>levelized</w:t>
      </w:r>
      <w:proofErr w:type="spellEnd"/>
      <w:r w:rsidRPr="00937249">
        <w:rPr>
          <w:rFonts w:cs="Arial"/>
        </w:rPr>
        <w:t xml:space="preserve"> cost for both the frame </w:t>
      </w:r>
      <w:proofErr w:type="spellStart"/>
      <w:r w:rsidRPr="00937249">
        <w:rPr>
          <w:rFonts w:cs="Arial"/>
        </w:rPr>
        <w:t>peaker</w:t>
      </w:r>
      <w:proofErr w:type="spellEnd"/>
      <w:r w:rsidRPr="00937249">
        <w:rPr>
          <w:rFonts w:cs="Arial"/>
        </w:rPr>
        <w:t xml:space="preserve"> and CCCT plant was calculated over the 35-year life of the plant from 2020-2054.</w:t>
      </w:r>
    </w:p>
    <w:p w14:paraId="2CCB99CF" w14:textId="77777777" w:rsidR="00E74063" w:rsidRDefault="00E74063" w:rsidP="00937249">
      <w:pPr>
        <w:pStyle w:val="IRPsanstext"/>
        <w:rPr>
          <w:rFonts w:cs="Arial"/>
        </w:rPr>
      </w:pPr>
    </w:p>
    <w:p w14:paraId="19D86E0C" w14:textId="77777777" w:rsidR="00AD0F38" w:rsidRPr="00937249" w:rsidRDefault="00AD0F38" w:rsidP="00937249">
      <w:pPr>
        <w:pStyle w:val="IRPsanstext"/>
        <w:rPr>
          <w:rFonts w:cs="Arial"/>
        </w:rPr>
      </w:pPr>
      <w:r w:rsidRPr="00937249">
        <w:rPr>
          <w:rFonts w:cs="Arial"/>
        </w:rPr>
        <w:t xml:space="preserve">In the scenarios where the CCCT looks more cost effective, the dispatch of the CCCT plants is high, so the plant produces a lot of excess power to sell into the market; this creates revenue that lowers the net cost of the plant to customers, resulting in CCCTs being chosen in the lowest cost portfolio.  The frame </w:t>
      </w:r>
      <w:proofErr w:type="spellStart"/>
      <w:r w:rsidRPr="00937249">
        <w:rPr>
          <w:rFonts w:cs="Arial"/>
        </w:rPr>
        <w:t>peaker</w:t>
      </w:r>
      <w:proofErr w:type="spellEnd"/>
      <w:r w:rsidRPr="00937249">
        <w:rPr>
          <w:rFonts w:cs="Arial"/>
        </w:rPr>
        <w:t xml:space="preserve"> costs are constant across all scenarios since there is no dispatch of the plant, so there </w:t>
      </w:r>
      <w:r w:rsidR="00232C82">
        <w:rPr>
          <w:rFonts w:cs="Arial"/>
        </w:rPr>
        <w:t>are</w:t>
      </w:r>
      <w:r w:rsidRPr="00937249">
        <w:rPr>
          <w:rFonts w:cs="Arial"/>
        </w:rPr>
        <w:t xml:space="preserve"> no variable O&amp;M costs and no revenue on the plants, and the fixed costs remain constant across all scenarios.  </w:t>
      </w:r>
      <w:r w:rsidR="00232C82">
        <w:rPr>
          <w:rFonts w:cs="Arial"/>
        </w:rPr>
        <w:t>An</w:t>
      </w:r>
      <w:r w:rsidRPr="00937249">
        <w:rPr>
          <w:rFonts w:cs="Arial"/>
        </w:rPr>
        <w:t xml:space="preserve"> exception </w:t>
      </w:r>
      <w:r w:rsidR="00232C82">
        <w:rPr>
          <w:rFonts w:cs="Arial"/>
        </w:rPr>
        <w:t>is</w:t>
      </w:r>
      <w:r w:rsidR="00232C82" w:rsidRPr="00937249">
        <w:rPr>
          <w:rFonts w:cs="Arial"/>
        </w:rPr>
        <w:t xml:space="preserve"> </w:t>
      </w:r>
      <w:r w:rsidRPr="00937249">
        <w:rPr>
          <w:rFonts w:cs="Arial"/>
        </w:rPr>
        <w:t>the Low Scenario, where there is a very small dispatch.</w:t>
      </w:r>
    </w:p>
    <w:p w14:paraId="1F027FA7" w14:textId="77777777" w:rsidR="00AD0F38" w:rsidRPr="00937249" w:rsidRDefault="00AD0F38" w:rsidP="00937249">
      <w:pPr>
        <w:pStyle w:val="IRPsanstext"/>
        <w:rPr>
          <w:rFonts w:cs="Arial"/>
        </w:rPr>
      </w:pPr>
      <w:r w:rsidRPr="00937249">
        <w:rPr>
          <w:rFonts w:cs="Arial"/>
        </w:rPr>
        <w:br w:type="page"/>
      </w:r>
    </w:p>
    <w:p w14:paraId="3DE7F379" w14:textId="77777777" w:rsidR="00AD0F38" w:rsidRPr="00E74063" w:rsidRDefault="00AD0F38" w:rsidP="00EC5150">
      <w:pPr>
        <w:pStyle w:val="IRPsanstext"/>
        <w:spacing w:after="120"/>
        <w:jc w:val="center"/>
        <w:rPr>
          <w:rFonts w:cs="Arial"/>
          <w:i/>
        </w:rPr>
      </w:pPr>
      <w:r w:rsidRPr="00E74063">
        <w:rPr>
          <w:rFonts w:cs="Arial"/>
          <w:i/>
        </w:rPr>
        <w:lastRenderedPageBreak/>
        <w:t>Figure 6-</w:t>
      </w:r>
      <w:r w:rsidR="00855BD7">
        <w:rPr>
          <w:rFonts w:cs="Arial"/>
          <w:i/>
        </w:rPr>
        <w:t>22</w:t>
      </w:r>
      <w:r w:rsidRPr="00E74063">
        <w:rPr>
          <w:rFonts w:cs="Arial"/>
          <w:i/>
        </w:rPr>
        <w:t xml:space="preserve">: </w:t>
      </w:r>
      <w:proofErr w:type="spellStart"/>
      <w:r w:rsidRPr="00E74063">
        <w:rPr>
          <w:rFonts w:cs="Arial"/>
          <w:i/>
        </w:rPr>
        <w:t>Peaker</w:t>
      </w:r>
      <w:proofErr w:type="spellEnd"/>
      <w:r w:rsidRPr="00E74063">
        <w:rPr>
          <w:rFonts w:cs="Arial"/>
          <w:i/>
        </w:rPr>
        <w:t xml:space="preserve"> and CCCT Net Costs Compared</w:t>
      </w:r>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2070"/>
        <w:gridCol w:w="90"/>
        <w:gridCol w:w="1590"/>
        <w:gridCol w:w="330"/>
        <w:gridCol w:w="1260"/>
        <w:gridCol w:w="750"/>
        <w:gridCol w:w="840"/>
        <w:gridCol w:w="1170"/>
      </w:tblGrid>
      <w:tr w:rsidR="00DC1A9D" w:rsidRPr="00166809" w14:paraId="41865EE3" w14:textId="77777777">
        <w:trPr>
          <w:trHeight w:val="330"/>
        </w:trPr>
        <w:tc>
          <w:tcPr>
            <w:tcW w:w="450" w:type="dxa"/>
            <w:vMerge w:val="restart"/>
            <w:tcBorders>
              <w:top w:val="single" w:sz="4" w:space="0" w:color="auto"/>
              <w:left w:val="single" w:sz="4" w:space="0" w:color="auto"/>
              <w:right w:val="nil"/>
            </w:tcBorders>
            <w:shd w:val="clear" w:color="auto" w:fill="006A71"/>
          </w:tcPr>
          <w:p w14:paraId="06743F94" w14:textId="77777777" w:rsidR="00DC1A9D" w:rsidRPr="00E77908" w:rsidRDefault="00DC1A9D" w:rsidP="00415B12">
            <w:pPr>
              <w:pStyle w:val="IRPsanstext"/>
              <w:rPr>
                <w:rFonts w:ascii="Arial Narrow" w:hAnsi="Arial Narrow" w:cs="Arial"/>
                <w:bCs/>
                <w:color w:val="FFFFFF"/>
              </w:rPr>
            </w:pPr>
          </w:p>
        </w:tc>
        <w:tc>
          <w:tcPr>
            <w:tcW w:w="2160" w:type="dxa"/>
            <w:gridSpan w:val="2"/>
            <w:vMerge w:val="restart"/>
            <w:tcBorders>
              <w:top w:val="single" w:sz="4" w:space="0" w:color="auto"/>
              <w:left w:val="single" w:sz="4" w:space="0" w:color="auto"/>
              <w:right w:val="nil"/>
            </w:tcBorders>
            <w:shd w:val="clear" w:color="auto" w:fill="006A71"/>
            <w:vAlign w:val="bottom"/>
          </w:tcPr>
          <w:p w14:paraId="34B7C358" w14:textId="77777777" w:rsidR="00DC1A9D" w:rsidRPr="00166809" w:rsidRDefault="00DC1A9D" w:rsidP="00415B12">
            <w:pPr>
              <w:pStyle w:val="IRPsanstext"/>
              <w:rPr>
                <w:rFonts w:cs="Arial"/>
                <w:bCs/>
                <w:color w:val="FFFFFF"/>
              </w:rPr>
            </w:pPr>
            <w:proofErr w:type="spellStart"/>
            <w:r w:rsidRPr="00166809">
              <w:rPr>
                <w:rFonts w:cs="Arial"/>
                <w:bCs/>
                <w:color w:val="FFFFFF"/>
              </w:rPr>
              <w:t>Levelized</w:t>
            </w:r>
            <w:proofErr w:type="spellEnd"/>
            <w:r w:rsidRPr="00166809">
              <w:rPr>
                <w:rFonts w:cs="Arial"/>
                <w:bCs/>
                <w:color w:val="FFFFFF"/>
              </w:rPr>
              <w:t xml:space="preserve"> Net Cost</w:t>
            </w:r>
          </w:p>
          <w:p w14:paraId="08CDD1C0" w14:textId="77777777" w:rsidR="00DC1A9D" w:rsidRPr="00166809" w:rsidRDefault="00DC1A9D" w:rsidP="00415B12">
            <w:pPr>
              <w:pStyle w:val="IRPsanstext"/>
              <w:rPr>
                <w:rFonts w:cs="Arial"/>
                <w:bCs/>
                <w:color w:val="FFFFFF"/>
              </w:rPr>
            </w:pPr>
            <w:r w:rsidRPr="00166809">
              <w:rPr>
                <w:rFonts w:cs="Arial"/>
                <w:bCs/>
                <w:color w:val="FFFFFF"/>
              </w:rPr>
              <w:t>(2016 $/kW)</w:t>
            </w:r>
          </w:p>
        </w:tc>
        <w:tc>
          <w:tcPr>
            <w:tcW w:w="4770" w:type="dxa"/>
            <w:gridSpan w:val="5"/>
            <w:tcBorders>
              <w:top w:val="single" w:sz="4" w:space="0" w:color="auto"/>
              <w:left w:val="nil"/>
              <w:bottom w:val="single" w:sz="4" w:space="0" w:color="FFFFFF" w:themeColor="background1"/>
              <w:right w:val="nil"/>
            </w:tcBorders>
            <w:shd w:val="clear" w:color="auto" w:fill="006A71"/>
            <w:vAlign w:val="bottom"/>
          </w:tcPr>
          <w:p w14:paraId="5AF470DD" w14:textId="77777777" w:rsidR="00DC1A9D" w:rsidRPr="00166809" w:rsidRDefault="00DC1A9D" w:rsidP="00BC242C">
            <w:pPr>
              <w:pStyle w:val="IRPsanstext"/>
              <w:jc w:val="center"/>
              <w:rPr>
                <w:rFonts w:cs="Arial"/>
                <w:bCs/>
                <w:color w:val="FFFFFF"/>
              </w:rPr>
            </w:pPr>
            <w:r w:rsidRPr="00166809">
              <w:rPr>
                <w:rFonts w:cs="Arial"/>
                <w:bCs/>
                <w:color w:val="FFFFFF"/>
              </w:rPr>
              <w:t xml:space="preserve">2020 Frame </w:t>
            </w:r>
            <w:proofErr w:type="spellStart"/>
            <w:r w:rsidRPr="00166809">
              <w:rPr>
                <w:rFonts w:cs="Arial"/>
                <w:bCs/>
                <w:color w:val="FFFFFF"/>
              </w:rPr>
              <w:t>peaker</w:t>
            </w:r>
            <w:proofErr w:type="spellEnd"/>
          </w:p>
        </w:tc>
        <w:tc>
          <w:tcPr>
            <w:tcW w:w="1170" w:type="dxa"/>
            <w:vMerge w:val="restart"/>
            <w:tcBorders>
              <w:top w:val="single" w:sz="4" w:space="0" w:color="auto"/>
              <w:left w:val="nil"/>
              <w:right w:val="nil"/>
            </w:tcBorders>
            <w:shd w:val="clear" w:color="auto" w:fill="006A71"/>
            <w:vAlign w:val="bottom"/>
          </w:tcPr>
          <w:p w14:paraId="6E9ABE60" w14:textId="77777777" w:rsidR="00E946C3" w:rsidRDefault="00DC1A9D">
            <w:pPr>
              <w:pStyle w:val="IRPsanstext"/>
              <w:jc w:val="center"/>
              <w:rPr>
                <w:rFonts w:cs="Arial"/>
                <w:bCs/>
                <w:color w:val="FFFFFF"/>
              </w:rPr>
            </w:pPr>
            <w:r w:rsidRPr="00166809">
              <w:rPr>
                <w:rFonts w:cs="Arial"/>
                <w:bCs/>
                <w:color w:val="FFFFFF"/>
              </w:rPr>
              <w:t>2020 CCCT</w:t>
            </w:r>
          </w:p>
        </w:tc>
      </w:tr>
      <w:tr w:rsidR="00DC1A9D" w:rsidRPr="00166809" w14:paraId="0D24DAAA" w14:textId="77777777">
        <w:trPr>
          <w:trHeight w:val="330"/>
        </w:trPr>
        <w:tc>
          <w:tcPr>
            <w:tcW w:w="450" w:type="dxa"/>
            <w:vMerge/>
            <w:tcBorders>
              <w:left w:val="single" w:sz="4" w:space="0" w:color="auto"/>
              <w:bottom w:val="nil"/>
              <w:right w:val="nil"/>
            </w:tcBorders>
            <w:shd w:val="clear" w:color="auto" w:fill="006A71"/>
          </w:tcPr>
          <w:p w14:paraId="5AF30799" w14:textId="77777777" w:rsidR="00DC1A9D" w:rsidRPr="00E77908" w:rsidRDefault="00DC1A9D" w:rsidP="00415B12">
            <w:pPr>
              <w:pStyle w:val="IRPsanstext"/>
              <w:rPr>
                <w:rFonts w:ascii="Arial Narrow" w:hAnsi="Arial Narrow" w:cs="Arial"/>
                <w:bCs/>
                <w:color w:val="FFFFFF"/>
              </w:rPr>
            </w:pPr>
          </w:p>
        </w:tc>
        <w:tc>
          <w:tcPr>
            <w:tcW w:w="2160" w:type="dxa"/>
            <w:gridSpan w:val="2"/>
            <w:vMerge/>
            <w:tcBorders>
              <w:left w:val="single" w:sz="4" w:space="0" w:color="auto"/>
              <w:bottom w:val="nil"/>
              <w:right w:val="nil"/>
            </w:tcBorders>
            <w:shd w:val="clear" w:color="auto" w:fill="006A71"/>
          </w:tcPr>
          <w:p w14:paraId="38777051" w14:textId="77777777" w:rsidR="00DC1A9D" w:rsidRPr="00166809" w:rsidRDefault="00DC1A9D" w:rsidP="00415B12">
            <w:pPr>
              <w:pStyle w:val="IRPsanstext"/>
              <w:rPr>
                <w:rFonts w:cs="Arial"/>
                <w:bCs/>
                <w:color w:val="FFFFFF"/>
              </w:rPr>
            </w:pPr>
          </w:p>
        </w:tc>
        <w:tc>
          <w:tcPr>
            <w:tcW w:w="1590" w:type="dxa"/>
            <w:tcBorders>
              <w:top w:val="single" w:sz="4" w:space="0" w:color="FFFFFF" w:themeColor="background1"/>
              <w:left w:val="nil"/>
              <w:bottom w:val="nil"/>
              <w:right w:val="nil"/>
            </w:tcBorders>
            <w:shd w:val="clear" w:color="auto" w:fill="006A71"/>
            <w:vAlign w:val="bottom"/>
          </w:tcPr>
          <w:p w14:paraId="591CB74E" w14:textId="77777777" w:rsidR="00E946C3" w:rsidRDefault="00DC1A9D">
            <w:pPr>
              <w:pStyle w:val="IRPsanstext"/>
              <w:jc w:val="center"/>
              <w:rPr>
                <w:rFonts w:cs="Arial"/>
                <w:bCs/>
                <w:color w:val="FFFFFF"/>
              </w:rPr>
            </w:pPr>
            <w:proofErr w:type="gramStart"/>
            <w:r w:rsidRPr="00166809">
              <w:rPr>
                <w:rFonts w:cs="Arial"/>
                <w:bCs/>
                <w:color w:val="FFFFFF"/>
              </w:rPr>
              <w:t>w</w:t>
            </w:r>
            <w:proofErr w:type="gramEnd"/>
            <w:r w:rsidRPr="00166809">
              <w:rPr>
                <w:rFonts w:cs="Arial"/>
                <w:bCs/>
                <w:color w:val="FFFFFF"/>
              </w:rPr>
              <w:t>/ oil and no firm pipeline</w:t>
            </w:r>
          </w:p>
        </w:tc>
        <w:tc>
          <w:tcPr>
            <w:tcW w:w="1590" w:type="dxa"/>
            <w:gridSpan w:val="2"/>
            <w:tcBorders>
              <w:top w:val="single" w:sz="4" w:space="0" w:color="FFFFFF" w:themeColor="background1"/>
              <w:left w:val="nil"/>
              <w:bottom w:val="nil"/>
              <w:right w:val="nil"/>
            </w:tcBorders>
            <w:shd w:val="clear" w:color="auto" w:fill="006A71"/>
            <w:vAlign w:val="bottom"/>
          </w:tcPr>
          <w:p w14:paraId="3DB10A0C" w14:textId="77777777" w:rsidR="00E946C3" w:rsidRDefault="00DC1A9D">
            <w:pPr>
              <w:pStyle w:val="IRPsanstext"/>
              <w:jc w:val="center"/>
              <w:rPr>
                <w:rFonts w:cs="Arial"/>
                <w:bCs/>
                <w:color w:val="FFFFFF"/>
              </w:rPr>
            </w:pPr>
            <w:proofErr w:type="gramStart"/>
            <w:r w:rsidRPr="00166809">
              <w:rPr>
                <w:rFonts w:cs="Arial"/>
                <w:bCs/>
                <w:color w:val="FFFFFF"/>
              </w:rPr>
              <w:t>w</w:t>
            </w:r>
            <w:proofErr w:type="gramEnd"/>
            <w:r w:rsidRPr="00166809">
              <w:rPr>
                <w:rFonts w:cs="Arial"/>
                <w:bCs/>
                <w:color w:val="FFFFFF"/>
              </w:rPr>
              <w:t>/ oil and 50% Firm pipeline</w:t>
            </w:r>
          </w:p>
        </w:tc>
        <w:tc>
          <w:tcPr>
            <w:tcW w:w="1590" w:type="dxa"/>
            <w:gridSpan w:val="2"/>
            <w:tcBorders>
              <w:top w:val="single" w:sz="4" w:space="0" w:color="FFFFFF" w:themeColor="background1"/>
              <w:left w:val="nil"/>
              <w:bottom w:val="nil"/>
              <w:right w:val="nil"/>
            </w:tcBorders>
            <w:shd w:val="clear" w:color="auto" w:fill="006A71"/>
            <w:vAlign w:val="bottom"/>
          </w:tcPr>
          <w:p w14:paraId="4BDB389D" w14:textId="77777777" w:rsidR="00E946C3" w:rsidRDefault="00DC1A9D">
            <w:pPr>
              <w:pStyle w:val="IRPsanstext"/>
              <w:jc w:val="center"/>
              <w:rPr>
                <w:rFonts w:cs="Arial"/>
                <w:bCs/>
                <w:color w:val="FFFFFF"/>
              </w:rPr>
            </w:pPr>
            <w:proofErr w:type="gramStart"/>
            <w:r w:rsidRPr="00166809">
              <w:rPr>
                <w:rFonts w:cs="Arial"/>
                <w:bCs/>
                <w:color w:val="FFFFFF"/>
              </w:rPr>
              <w:t>w</w:t>
            </w:r>
            <w:proofErr w:type="gramEnd"/>
            <w:r w:rsidRPr="00166809">
              <w:rPr>
                <w:rFonts w:cs="Arial"/>
                <w:bCs/>
                <w:color w:val="FFFFFF"/>
              </w:rPr>
              <w:t>/o oil and 100% Firm pipeline</w:t>
            </w:r>
          </w:p>
        </w:tc>
        <w:tc>
          <w:tcPr>
            <w:tcW w:w="1170" w:type="dxa"/>
            <w:vMerge/>
            <w:tcBorders>
              <w:left w:val="nil"/>
              <w:bottom w:val="nil"/>
              <w:right w:val="nil"/>
            </w:tcBorders>
            <w:shd w:val="clear" w:color="auto" w:fill="006A71"/>
            <w:vAlign w:val="bottom"/>
          </w:tcPr>
          <w:p w14:paraId="3417B91A" w14:textId="77777777" w:rsidR="00E946C3" w:rsidRDefault="00E946C3">
            <w:pPr>
              <w:pStyle w:val="IRPsanstext"/>
              <w:jc w:val="center"/>
              <w:rPr>
                <w:rFonts w:cs="Arial"/>
                <w:bCs/>
                <w:color w:val="FFFFFF"/>
              </w:rPr>
            </w:pPr>
          </w:p>
        </w:tc>
      </w:tr>
      <w:tr w:rsidR="00DC1A9D" w:rsidRPr="00166809" w14:paraId="231E7E8D" w14:textId="77777777">
        <w:trPr>
          <w:trHeight w:hRule="exact" w:val="90"/>
        </w:trPr>
        <w:tc>
          <w:tcPr>
            <w:tcW w:w="450" w:type="dxa"/>
            <w:tcBorders>
              <w:top w:val="nil"/>
              <w:left w:val="single" w:sz="4" w:space="0" w:color="auto"/>
              <w:bottom w:val="single" w:sz="4" w:space="0" w:color="auto"/>
              <w:right w:val="nil"/>
            </w:tcBorders>
            <w:shd w:val="clear" w:color="auto" w:fill="807F83"/>
          </w:tcPr>
          <w:p w14:paraId="59E5526B" w14:textId="77777777" w:rsidR="00DC1A9D" w:rsidRPr="00937249" w:rsidRDefault="00DC1A9D" w:rsidP="00415B12">
            <w:pPr>
              <w:pStyle w:val="IRPsanstext"/>
              <w:rPr>
                <w:rFonts w:cs="Arial"/>
              </w:rPr>
            </w:pPr>
          </w:p>
        </w:tc>
        <w:tc>
          <w:tcPr>
            <w:tcW w:w="2070" w:type="dxa"/>
            <w:tcBorders>
              <w:top w:val="nil"/>
              <w:left w:val="single" w:sz="4" w:space="0" w:color="auto"/>
              <w:bottom w:val="single" w:sz="4" w:space="0" w:color="auto"/>
              <w:right w:val="nil"/>
            </w:tcBorders>
            <w:shd w:val="clear" w:color="auto" w:fill="807F83"/>
            <w:vAlign w:val="center"/>
          </w:tcPr>
          <w:p w14:paraId="4D97C895" w14:textId="77777777" w:rsidR="00DC1A9D" w:rsidRPr="00166809" w:rsidRDefault="00DC1A9D" w:rsidP="00415B12">
            <w:pPr>
              <w:pStyle w:val="IRPsanstext"/>
              <w:rPr>
                <w:rFonts w:cs="Arial"/>
              </w:rPr>
            </w:pPr>
          </w:p>
        </w:tc>
        <w:tc>
          <w:tcPr>
            <w:tcW w:w="2010" w:type="dxa"/>
            <w:gridSpan w:val="3"/>
            <w:tcBorders>
              <w:top w:val="nil"/>
              <w:left w:val="nil"/>
              <w:bottom w:val="single" w:sz="4" w:space="0" w:color="auto"/>
              <w:right w:val="nil"/>
            </w:tcBorders>
            <w:shd w:val="clear" w:color="auto" w:fill="807F83"/>
          </w:tcPr>
          <w:p w14:paraId="52F6E3AE" w14:textId="77777777" w:rsidR="00DC1A9D" w:rsidRPr="00166809" w:rsidRDefault="00DC1A9D" w:rsidP="00415B12">
            <w:pPr>
              <w:pStyle w:val="IRPsanstext"/>
              <w:rPr>
                <w:rFonts w:cs="Arial"/>
              </w:rPr>
            </w:pPr>
          </w:p>
        </w:tc>
        <w:tc>
          <w:tcPr>
            <w:tcW w:w="2010" w:type="dxa"/>
            <w:gridSpan w:val="2"/>
            <w:tcBorders>
              <w:top w:val="nil"/>
              <w:left w:val="nil"/>
              <w:bottom w:val="single" w:sz="4" w:space="0" w:color="auto"/>
              <w:right w:val="nil"/>
            </w:tcBorders>
            <w:shd w:val="clear" w:color="auto" w:fill="807F83"/>
          </w:tcPr>
          <w:p w14:paraId="64896519" w14:textId="77777777" w:rsidR="00DC1A9D" w:rsidRPr="00166809" w:rsidRDefault="00DC1A9D" w:rsidP="00415B12">
            <w:pPr>
              <w:pStyle w:val="IRPsanstext"/>
              <w:rPr>
                <w:rFonts w:cs="Arial"/>
              </w:rPr>
            </w:pPr>
          </w:p>
        </w:tc>
        <w:tc>
          <w:tcPr>
            <w:tcW w:w="2010" w:type="dxa"/>
            <w:gridSpan w:val="2"/>
            <w:tcBorders>
              <w:top w:val="nil"/>
              <w:left w:val="nil"/>
              <w:bottom w:val="single" w:sz="4" w:space="0" w:color="auto"/>
              <w:right w:val="nil"/>
            </w:tcBorders>
            <w:shd w:val="clear" w:color="auto" w:fill="807F83"/>
          </w:tcPr>
          <w:p w14:paraId="05F85696" w14:textId="77777777" w:rsidR="00DC1A9D" w:rsidRPr="00166809" w:rsidRDefault="00DC1A9D" w:rsidP="00415B12">
            <w:pPr>
              <w:pStyle w:val="IRPsanstext"/>
              <w:rPr>
                <w:rFonts w:cs="Arial"/>
              </w:rPr>
            </w:pPr>
          </w:p>
        </w:tc>
      </w:tr>
      <w:tr w:rsidR="00DC1A9D" w:rsidRPr="00166809" w14:paraId="09F015AF" w14:textId="77777777">
        <w:trPr>
          <w:trHeight w:val="360"/>
        </w:trPr>
        <w:tc>
          <w:tcPr>
            <w:tcW w:w="450" w:type="dxa"/>
            <w:tcBorders>
              <w:top w:val="single" w:sz="4" w:space="0" w:color="auto"/>
            </w:tcBorders>
            <w:shd w:val="clear" w:color="auto" w:fill="D6CFCD"/>
          </w:tcPr>
          <w:p w14:paraId="63E9BAB1" w14:textId="77777777" w:rsidR="00DC1A9D" w:rsidRPr="00E77908" w:rsidRDefault="00DC1A9D" w:rsidP="00415B12">
            <w:pPr>
              <w:pStyle w:val="IRPsanstext"/>
              <w:jc w:val="both"/>
              <w:rPr>
                <w:rFonts w:ascii="Arial Narrow" w:hAnsi="Arial Narrow" w:cs="Arial"/>
                <w:bCs/>
                <w:iCs/>
                <w:color w:val="000000"/>
              </w:rPr>
            </w:pPr>
            <w:r w:rsidRPr="00E77908">
              <w:rPr>
                <w:rFonts w:ascii="Arial Narrow" w:hAnsi="Arial Narrow" w:cs="Arial"/>
                <w:bCs/>
                <w:iCs/>
                <w:color w:val="000000"/>
              </w:rPr>
              <w:t>1</w:t>
            </w:r>
          </w:p>
        </w:tc>
        <w:tc>
          <w:tcPr>
            <w:tcW w:w="2160" w:type="dxa"/>
            <w:gridSpan w:val="2"/>
            <w:tcBorders>
              <w:top w:val="single" w:sz="4" w:space="0" w:color="auto"/>
            </w:tcBorders>
            <w:shd w:val="clear" w:color="auto" w:fill="D6CFCD"/>
          </w:tcPr>
          <w:p w14:paraId="18ABFF7B" w14:textId="77777777" w:rsidR="00DC1A9D" w:rsidRPr="00166809" w:rsidRDefault="00DC1A9D" w:rsidP="00415B12">
            <w:pPr>
              <w:pStyle w:val="IRPsanstext"/>
              <w:rPr>
                <w:rFonts w:cs="Arial"/>
                <w:bCs/>
                <w:iCs/>
                <w:color w:val="000000"/>
              </w:rPr>
            </w:pPr>
            <w:r w:rsidRPr="00166809">
              <w:rPr>
                <w:rFonts w:cs="Arial"/>
                <w:bCs/>
                <w:iCs/>
                <w:color w:val="000000"/>
              </w:rPr>
              <w:t>Low</w:t>
            </w:r>
          </w:p>
        </w:tc>
        <w:tc>
          <w:tcPr>
            <w:tcW w:w="1590" w:type="dxa"/>
            <w:tcBorders>
              <w:top w:val="single" w:sz="4" w:space="0" w:color="auto"/>
            </w:tcBorders>
          </w:tcPr>
          <w:p w14:paraId="1974C9BC" w14:textId="77777777" w:rsidR="00DC1A9D" w:rsidRPr="00166809" w:rsidRDefault="00DC1A9D" w:rsidP="00415B12">
            <w:pPr>
              <w:pStyle w:val="IRPsanstext"/>
              <w:jc w:val="center"/>
              <w:rPr>
                <w:rFonts w:cs="Arial"/>
                <w:bCs/>
                <w:iCs/>
                <w:color w:val="000000"/>
              </w:rPr>
            </w:pPr>
            <w:r w:rsidRPr="00166809">
              <w:rPr>
                <w:rFonts w:cs="Arial"/>
                <w:bCs/>
                <w:iCs/>
                <w:color w:val="000000"/>
              </w:rPr>
              <w:t>$115.94</w:t>
            </w:r>
          </w:p>
        </w:tc>
        <w:tc>
          <w:tcPr>
            <w:tcW w:w="1590" w:type="dxa"/>
            <w:gridSpan w:val="2"/>
            <w:tcBorders>
              <w:top w:val="single" w:sz="4" w:space="0" w:color="auto"/>
            </w:tcBorders>
            <w:vAlign w:val="center"/>
          </w:tcPr>
          <w:p w14:paraId="306BDFAE"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$166.23</w:t>
            </w:r>
          </w:p>
        </w:tc>
        <w:tc>
          <w:tcPr>
            <w:tcW w:w="1590" w:type="dxa"/>
            <w:gridSpan w:val="2"/>
            <w:tcBorders>
              <w:top w:val="single" w:sz="4" w:space="0" w:color="auto"/>
            </w:tcBorders>
            <w:vAlign w:val="center"/>
          </w:tcPr>
          <w:p w14:paraId="3570DA66"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$193.96</w:t>
            </w:r>
          </w:p>
        </w:tc>
        <w:tc>
          <w:tcPr>
            <w:tcW w:w="1170" w:type="dxa"/>
            <w:tcBorders>
              <w:top w:val="single" w:sz="4" w:space="0" w:color="auto"/>
            </w:tcBorders>
            <w:vAlign w:val="center"/>
          </w:tcPr>
          <w:p w14:paraId="457739C5"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$184.10</w:t>
            </w:r>
          </w:p>
        </w:tc>
      </w:tr>
      <w:tr w:rsidR="00DC1A9D" w:rsidRPr="00166809" w14:paraId="1DFC8A0C" w14:textId="77777777">
        <w:trPr>
          <w:trHeight w:val="360"/>
        </w:trPr>
        <w:tc>
          <w:tcPr>
            <w:tcW w:w="450" w:type="dxa"/>
            <w:tcBorders>
              <w:top w:val="single" w:sz="4" w:space="0" w:color="auto"/>
            </w:tcBorders>
            <w:shd w:val="clear" w:color="auto" w:fill="D6CFCD"/>
          </w:tcPr>
          <w:p w14:paraId="5A7C8941" w14:textId="77777777" w:rsidR="00DC1A9D" w:rsidRPr="00E77908" w:rsidRDefault="00DC1A9D" w:rsidP="00415B12">
            <w:pPr>
              <w:pStyle w:val="IRPsanstext"/>
              <w:jc w:val="both"/>
              <w:rPr>
                <w:rFonts w:ascii="Arial Narrow" w:hAnsi="Arial Narrow" w:cs="Arial"/>
                <w:bCs/>
                <w:iCs/>
                <w:color w:val="000000"/>
              </w:rPr>
            </w:pPr>
            <w:r w:rsidRPr="00E77908">
              <w:rPr>
                <w:rFonts w:ascii="Arial Narrow" w:hAnsi="Arial Narrow" w:cs="Arial"/>
                <w:bCs/>
                <w:iCs/>
                <w:color w:val="000000"/>
              </w:rPr>
              <w:t>2</w:t>
            </w:r>
          </w:p>
        </w:tc>
        <w:tc>
          <w:tcPr>
            <w:tcW w:w="2160" w:type="dxa"/>
            <w:gridSpan w:val="2"/>
            <w:tcBorders>
              <w:top w:val="single" w:sz="4" w:space="0" w:color="auto"/>
            </w:tcBorders>
            <w:shd w:val="clear" w:color="auto" w:fill="D6CFCD"/>
          </w:tcPr>
          <w:p w14:paraId="76AA62AB" w14:textId="77777777" w:rsidR="00DC1A9D" w:rsidRPr="00166809" w:rsidRDefault="00DC1A9D" w:rsidP="00415B12">
            <w:pPr>
              <w:pStyle w:val="IRPsanstext"/>
              <w:rPr>
                <w:rFonts w:cs="Arial"/>
                <w:bCs/>
                <w:iCs/>
                <w:color w:val="000000"/>
              </w:rPr>
            </w:pPr>
            <w:r w:rsidRPr="00166809">
              <w:rPr>
                <w:rFonts w:cs="Arial"/>
                <w:bCs/>
                <w:iCs/>
                <w:color w:val="000000"/>
              </w:rPr>
              <w:t>Base</w:t>
            </w:r>
          </w:p>
        </w:tc>
        <w:tc>
          <w:tcPr>
            <w:tcW w:w="1590" w:type="dxa"/>
            <w:tcBorders>
              <w:top w:val="single" w:sz="4" w:space="0" w:color="auto"/>
            </w:tcBorders>
          </w:tcPr>
          <w:p w14:paraId="01983515" w14:textId="77777777" w:rsidR="00DC1A9D" w:rsidRPr="00166809" w:rsidRDefault="00DC1A9D" w:rsidP="00415B12">
            <w:pPr>
              <w:pStyle w:val="IRPsanstext"/>
              <w:jc w:val="center"/>
              <w:rPr>
                <w:rFonts w:cs="Arial"/>
                <w:bCs/>
                <w:iCs/>
                <w:color w:val="000000"/>
              </w:rPr>
            </w:pPr>
            <w:r w:rsidRPr="00166809">
              <w:rPr>
                <w:rFonts w:cs="Arial"/>
                <w:bCs/>
                <w:iCs/>
                <w:color w:val="000000"/>
              </w:rPr>
              <w:t>$115.97</w:t>
            </w:r>
          </w:p>
        </w:tc>
        <w:tc>
          <w:tcPr>
            <w:tcW w:w="1590" w:type="dxa"/>
            <w:gridSpan w:val="2"/>
            <w:tcBorders>
              <w:top w:val="single" w:sz="4" w:space="0" w:color="auto"/>
            </w:tcBorders>
            <w:vAlign w:val="center"/>
          </w:tcPr>
          <w:p w14:paraId="47391CF4"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$165.34</w:t>
            </w:r>
          </w:p>
        </w:tc>
        <w:tc>
          <w:tcPr>
            <w:tcW w:w="1590" w:type="dxa"/>
            <w:gridSpan w:val="2"/>
            <w:tcBorders>
              <w:top w:val="single" w:sz="4" w:space="0" w:color="auto"/>
            </w:tcBorders>
            <w:vAlign w:val="center"/>
          </w:tcPr>
          <w:p w14:paraId="75188A90"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$193.99</w:t>
            </w:r>
          </w:p>
        </w:tc>
        <w:tc>
          <w:tcPr>
            <w:tcW w:w="1170" w:type="dxa"/>
            <w:tcBorders>
              <w:top w:val="single" w:sz="4" w:space="0" w:color="auto"/>
            </w:tcBorders>
            <w:vAlign w:val="center"/>
          </w:tcPr>
          <w:p w14:paraId="4988BE62"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$183.15</w:t>
            </w:r>
          </w:p>
        </w:tc>
      </w:tr>
      <w:tr w:rsidR="00DC1A9D" w:rsidRPr="00166809" w14:paraId="7BA40594" w14:textId="77777777">
        <w:trPr>
          <w:trHeight w:val="360"/>
        </w:trPr>
        <w:tc>
          <w:tcPr>
            <w:tcW w:w="450" w:type="dxa"/>
            <w:shd w:val="clear" w:color="auto" w:fill="D6CFCD"/>
          </w:tcPr>
          <w:p w14:paraId="7C48BD08" w14:textId="77777777" w:rsidR="00DC1A9D" w:rsidRPr="00E77908" w:rsidRDefault="00DC1A9D" w:rsidP="00415B12">
            <w:pPr>
              <w:pStyle w:val="IRPsanstext"/>
              <w:jc w:val="both"/>
              <w:rPr>
                <w:rFonts w:ascii="Arial Narrow" w:hAnsi="Arial Narrow" w:cs="Arial"/>
                <w:bCs/>
                <w:iCs/>
                <w:color w:val="000000"/>
              </w:rPr>
            </w:pPr>
            <w:r w:rsidRPr="00E77908">
              <w:rPr>
                <w:rFonts w:ascii="Arial Narrow" w:hAnsi="Arial Narrow" w:cs="Arial"/>
                <w:bCs/>
                <w:iCs/>
                <w:color w:val="000000"/>
              </w:rPr>
              <w:t>3</w:t>
            </w:r>
          </w:p>
        </w:tc>
        <w:tc>
          <w:tcPr>
            <w:tcW w:w="2160" w:type="dxa"/>
            <w:gridSpan w:val="2"/>
            <w:shd w:val="clear" w:color="auto" w:fill="D6CFCD"/>
          </w:tcPr>
          <w:p w14:paraId="0D88D179" w14:textId="77777777" w:rsidR="00DC1A9D" w:rsidRPr="00166809" w:rsidRDefault="00DC1A9D" w:rsidP="00415B12">
            <w:pPr>
              <w:pStyle w:val="IRPsanstext"/>
              <w:rPr>
                <w:rFonts w:cs="Arial"/>
                <w:bCs/>
                <w:iCs/>
                <w:color w:val="000000"/>
              </w:rPr>
            </w:pPr>
            <w:r w:rsidRPr="00166809">
              <w:rPr>
                <w:rFonts w:cs="Arial"/>
                <w:bCs/>
                <w:iCs/>
                <w:color w:val="000000"/>
              </w:rPr>
              <w:t>High</w:t>
            </w:r>
          </w:p>
        </w:tc>
        <w:tc>
          <w:tcPr>
            <w:tcW w:w="1590" w:type="dxa"/>
          </w:tcPr>
          <w:p w14:paraId="54D8C248" w14:textId="77777777" w:rsidR="00DC1A9D" w:rsidRPr="00166809" w:rsidRDefault="00DC1A9D" w:rsidP="00415B12">
            <w:pPr>
              <w:pStyle w:val="IRPsanstext"/>
              <w:jc w:val="center"/>
              <w:rPr>
                <w:rFonts w:cs="Arial"/>
                <w:bCs/>
                <w:iCs/>
                <w:color w:val="000000"/>
              </w:rPr>
            </w:pPr>
            <w:r w:rsidRPr="00166809">
              <w:rPr>
                <w:rFonts w:cs="Arial"/>
                <w:bCs/>
                <w:iCs/>
                <w:color w:val="000000"/>
              </w:rPr>
              <w:t>$115.97</w:t>
            </w:r>
          </w:p>
        </w:tc>
        <w:tc>
          <w:tcPr>
            <w:tcW w:w="1590" w:type="dxa"/>
            <w:gridSpan w:val="2"/>
            <w:vAlign w:val="center"/>
          </w:tcPr>
          <w:p w14:paraId="1AA22E42"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$165.34</w:t>
            </w:r>
          </w:p>
        </w:tc>
        <w:tc>
          <w:tcPr>
            <w:tcW w:w="1590" w:type="dxa"/>
            <w:gridSpan w:val="2"/>
            <w:vAlign w:val="center"/>
          </w:tcPr>
          <w:p w14:paraId="5AD5553E"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$193.99</w:t>
            </w:r>
          </w:p>
        </w:tc>
        <w:tc>
          <w:tcPr>
            <w:tcW w:w="1170" w:type="dxa"/>
            <w:vAlign w:val="center"/>
          </w:tcPr>
          <w:p w14:paraId="45341F5D"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$149.04</w:t>
            </w:r>
          </w:p>
        </w:tc>
      </w:tr>
      <w:tr w:rsidR="00DC1A9D" w:rsidRPr="00166809" w14:paraId="7E8917D5" w14:textId="77777777">
        <w:trPr>
          <w:trHeight w:val="360"/>
        </w:trPr>
        <w:tc>
          <w:tcPr>
            <w:tcW w:w="450" w:type="dxa"/>
            <w:shd w:val="clear" w:color="auto" w:fill="D6CFCD"/>
          </w:tcPr>
          <w:p w14:paraId="5E76F3F4" w14:textId="77777777" w:rsidR="00DC1A9D" w:rsidRPr="00E77908" w:rsidRDefault="00DC1A9D" w:rsidP="00415B12">
            <w:pPr>
              <w:pStyle w:val="IRPsanstext"/>
              <w:jc w:val="both"/>
              <w:rPr>
                <w:rFonts w:ascii="Arial Narrow" w:hAnsi="Arial Narrow" w:cs="Arial"/>
                <w:bCs/>
                <w:iCs/>
                <w:color w:val="000000"/>
              </w:rPr>
            </w:pPr>
            <w:r w:rsidRPr="00E77908">
              <w:rPr>
                <w:rFonts w:ascii="Arial Narrow" w:hAnsi="Arial Narrow" w:cs="Arial"/>
                <w:bCs/>
                <w:iCs/>
                <w:color w:val="000000"/>
              </w:rPr>
              <w:t>4</w:t>
            </w:r>
          </w:p>
        </w:tc>
        <w:tc>
          <w:tcPr>
            <w:tcW w:w="2160" w:type="dxa"/>
            <w:gridSpan w:val="2"/>
            <w:shd w:val="clear" w:color="auto" w:fill="D6CFCD"/>
          </w:tcPr>
          <w:p w14:paraId="1479B4C8" w14:textId="77777777" w:rsidR="00DC1A9D" w:rsidRPr="00166809" w:rsidRDefault="00DC1A9D" w:rsidP="00415B12">
            <w:pPr>
              <w:pStyle w:val="IRPsanstext"/>
              <w:rPr>
                <w:rFonts w:cs="Arial"/>
                <w:bCs/>
                <w:iCs/>
                <w:color w:val="000000"/>
              </w:rPr>
            </w:pPr>
            <w:r w:rsidRPr="00166809">
              <w:rPr>
                <w:rFonts w:cs="Arial"/>
                <w:bCs/>
                <w:iCs/>
                <w:color w:val="000000"/>
              </w:rPr>
              <w:t>Base + Low Gas Price</w:t>
            </w:r>
          </w:p>
        </w:tc>
        <w:tc>
          <w:tcPr>
            <w:tcW w:w="1590" w:type="dxa"/>
            <w:vAlign w:val="center"/>
          </w:tcPr>
          <w:p w14:paraId="1C1907AB" w14:textId="77777777" w:rsidR="00DC1A9D" w:rsidRPr="00166809" w:rsidRDefault="00DC1A9D" w:rsidP="00415B12">
            <w:pPr>
              <w:pStyle w:val="IRPsanstext"/>
              <w:jc w:val="center"/>
              <w:rPr>
                <w:rFonts w:cs="Arial"/>
                <w:bCs/>
                <w:iCs/>
                <w:color w:val="000000"/>
              </w:rPr>
            </w:pPr>
            <w:r w:rsidRPr="00166809">
              <w:rPr>
                <w:rFonts w:cs="Arial"/>
                <w:bCs/>
                <w:iCs/>
                <w:color w:val="000000"/>
              </w:rPr>
              <w:t>$115.97</w:t>
            </w:r>
          </w:p>
        </w:tc>
        <w:tc>
          <w:tcPr>
            <w:tcW w:w="1590" w:type="dxa"/>
            <w:gridSpan w:val="2"/>
            <w:vAlign w:val="center"/>
          </w:tcPr>
          <w:p w14:paraId="0747E8A4"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$165.34</w:t>
            </w:r>
          </w:p>
        </w:tc>
        <w:tc>
          <w:tcPr>
            <w:tcW w:w="1590" w:type="dxa"/>
            <w:gridSpan w:val="2"/>
            <w:vAlign w:val="center"/>
          </w:tcPr>
          <w:p w14:paraId="6CB493EC"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$193.99</w:t>
            </w:r>
          </w:p>
        </w:tc>
        <w:tc>
          <w:tcPr>
            <w:tcW w:w="1170" w:type="dxa"/>
            <w:vAlign w:val="center"/>
          </w:tcPr>
          <w:p w14:paraId="669BB559"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$170.09</w:t>
            </w:r>
          </w:p>
        </w:tc>
      </w:tr>
      <w:tr w:rsidR="00DC1A9D" w:rsidRPr="00166809" w14:paraId="029E7386" w14:textId="77777777">
        <w:trPr>
          <w:trHeight w:val="360"/>
        </w:trPr>
        <w:tc>
          <w:tcPr>
            <w:tcW w:w="450" w:type="dxa"/>
            <w:shd w:val="clear" w:color="auto" w:fill="D6CFCD"/>
          </w:tcPr>
          <w:p w14:paraId="6C6433EC" w14:textId="77777777" w:rsidR="00DC1A9D" w:rsidRPr="00E77908" w:rsidRDefault="00DC1A9D" w:rsidP="00415B12">
            <w:pPr>
              <w:pStyle w:val="IRPsanstext"/>
              <w:jc w:val="both"/>
              <w:rPr>
                <w:rFonts w:ascii="Arial Narrow" w:hAnsi="Arial Narrow" w:cs="Arial"/>
                <w:bCs/>
                <w:iCs/>
                <w:color w:val="000000"/>
              </w:rPr>
            </w:pPr>
            <w:r w:rsidRPr="00E77908">
              <w:rPr>
                <w:rFonts w:ascii="Arial Narrow" w:hAnsi="Arial Narrow" w:cs="Arial"/>
                <w:bCs/>
                <w:iCs/>
                <w:color w:val="000000"/>
              </w:rPr>
              <w:t>5</w:t>
            </w:r>
          </w:p>
        </w:tc>
        <w:tc>
          <w:tcPr>
            <w:tcW w:w="2160" w:type="dxa"/>
            <w:gridSpan w:val="2"/>
            <w:shd w:val="clear" w:color="auto" w:fill="D6CFCD"/>
          </w:tcPr>
          <w:p w14:paraId="5B28D427" w14:textId="77777777" w:rsidR="00DC1A9D" w:rsidRPr="00166809" w:rsidRDefault="00DC1A9D" w:rsidP="00415B12">
            <w:pPr>
              <w:pStyle w:val="IRPsanstext"/>
              <w:rPr>
                <w:rFonts w:cs="Arial"/>
                <w:bCs/>
                <w:iCs/>
                <w:color w:val="000000"/>
              </w:rPr>
            </w:pPr>
            <w:r w:rsidRPr="00166809">
              <w:rPr>
                <w:rFonts w:cs="Arial"/>
                <w:bCs/>
                <w:iCs/>
                <w:color w:val="000000"/>
              </w:rPr>
              <w:t>Base + High Gas Price</w:t>
            </w:r>
          </w:p>
        </w:tc>
        <w:tc>
          <w:tcPr>
            <w:tcW w:w="1590" w:type="dxa"/>
            <w:vAlign w:val="center"/>
          </w:tcPr>
          <w:p w14:paraId="485FB9E7" w14:textId="77777777" w:rsidR="00DC1A9D" w:rsidRPr="00166809" w:rsidRDefault="00DC1A9D" w:rsidP="00415B12">
            <w:pPr>
              <w:pStyle w:val="IRPsanstext"/>
              <w:jc w:val="center"/>
              <w:rPr>
                <w:rFonts w:cs="Arial"/>
                <w:bCs/>
                <w:iCs/>
                <w:color w:val="000000"/>
              </w:rPr>
            </w:pPr>
            <w:r w:rsidRPr="00166809">
              <w:rPr>
                <w:rFonts w:cs="Arial"/>
                <w:bCs/>
                <w:iCs/>
                <w:color w:val="000000"/>
              </w:rPr>
              <w:t>$115.97</w:t>
            </w:r>
          </w:p>
        </w:tc>
        <w:tc>
          <w:tcPr>
            <w:tcW w:w="1590" w:type="dxa"/>
            <w:gridSpan w:val="2"/>
            <w:vAlign w:val="center"/>
          </w:tcPr>
          <w:p w14:paraId="1B6BB5AD"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$165.34</w:t>
            </w:r>
          </w:p>
        </w:tc>
        <w:tc>
          <w:tcPr>
            <w:tcW w:w="1590" w:type="dxa"/>
            <w:gridSpan w:val="2"/>
            <w:vAlign w:val="center"/>
          </w:tcPr>
          <w:p w14:paraId="0E2570C3"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$193.99</w:t>
            </w:r>
          </w:p>
        </w:tc>
        <w:tc>
          <w:tcPr>
            <w:tcW w:w="1170" w:type="dxa"/>
            <w:vAlign w:val="center"/>
          </w:tcPr>
          <w:p w14:paraId="4D63A42F"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$184.00</w:t>
            </w:r>
          </w:p>
        </w:tc>
      </w:tr>
      <w:tr w:rsidR="00DC1A9D" w:rsidRPr="00166809" w14:paraId="3DB9F26B" w14:textId="77777777">
        <w:trPr>
          <w:trHeight w:val="360"/>
        </w:trPr>
        <w:tc>
          <w:tcPr>
            <w:tcW w:w="450" w:type="dxa"/>
            <w:shd w:val="clear" w:color="auto" w:fill="D6CFCD"/>
          </w:tcPr>
          <w:p w14:paraId="13C283FE" w14:textId="77777777" w:rsidR="00DC1A9D" w:rsidRPr="00E77908" w:rsidRDefault="00DC1A9D" w:rsidP="00415B12">
            <w:pPr>
              <w:pStyle w:val="IRPsanstext"/>
              <w:jc w:val="both"/>
              <w:rPr>
                <w:rFonts w:ascii="Arial Narrow" w:hAnsi="Arial Narrow" w:cs="Arial"/>
                <w:bCs/>
                <w:iCs/>
                <w:color w:val="000000"/>
              </w:rPr>
            </w:pPr>
            <w:r w:rsidRPr="00E77908">
              <w:rPr>
                <w:rFonts w:ascii="Arial Narrow" w:hAnsi="Arial Narrow" w:cs="Arial"/>
                <w:bCs/>
                <w:iCs/>
                <w:color w:val="000000"/>
              </w:rPr>
              <w:t>6</w:t>
            </w:r>
          </w:p>
        </w:tc>
        <w:tc>
          <w:tcPr>
            <w:tcW w:w="2160" w:type="dxa"/>
            <w:gridSpan w:val="2"/>
            <w:shd w:val="clear" w:color="auto" w:fill="D6CFCD"/>
          </w:tcPr>
          <w:p w14:paraId="284E767A" w14:textId="77777777" w:rsidR="00DC1A9D" w:rsidRPr="00166809" w:rsidRDefault="00DC1A9D" w:rsidP="00415B12">
            <w:pPr>
              <w:pStyle w:val="IRPsanstext"/>
              <w:rPr>
                <w:rFonts w:cs="Arial"/>
                <w:bCs/>
                <w:iCs/>
                <w:color w:val="000000"/>
              </w:rPr>
            </w:pPr>
            <w:r w:rsidRPr="00166809">
              <w:rPr>
                <w:rFonts w:cs="Arial"/>
                <w:bCs/>
                <w:iCs/>
                <w:color w:val="000000"/>
              </w:rPr>
              <w:t>Base + Very High Gas Pr</w:t>
            </w:r>
            <w:r w:rsidR="005B2826">
              <w:rPr>
                <w:rFonts w:cs="Arial"/>
                <w:bCs/>
                <w:iCs/>
                <w:color w:val="000000"/>
              </w:rPr>
              <w:t>ice</w:t>
            </w:r>
          </w:p>
        </w:tc>
        <w:tc>
          <w:tcPr>
            <w:tcW w:w="1590" w:type="dxa"/>
            <w:vAlign w:val="center"/>
          </w:tcPr>
          <w:p w14:paraId="6523F093" w14:textId="77777777" w:rsidR="00DC1A9D" w:rsidRPr="00166809" w:rsidRDefault="00DC1A9D" w:rsidP="00415B12">
            <w:pPr>
              <w:pStyle w:val="IRPsanstext"/>
              <w:jc w:val="center"/>
              <w:rPr>
                <w:rFonts w:cs="Arial"/>
                <w:bCs/>
                <w:iCs/>
                <w:color w:val="000000"/>
              </w:rPr>
            </w:pPr>
            <w:r w:rsidRPr="00166809">
              <w:rPr>
                <w:rFonts w:cs="Arial"/>
                <w:bCs/>
                <w:iCs/>
                <w:color w:val="000000"/>
              </w:rPr>
              <w:t>$115.97</w:t>
            </w:r>
          </w:p>
        </w:tc>
        <w:tc>
          <w:tcPr>
            <w:tcW w:w="1590" w:type="dxa"/>
            <w:gridSpan w:val="2"/>
            <w:vAlign w:val="center"/>
          </w:tcPr>
          <w:p w14:paraId="2ED11178"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$165.34</w:t>
            </w:r>
          </w:p>
        </w:tc>
        <w:tc>
          <w:tcPr>
            <w:tcW w:w="1590" w:type="dxa"/>
            <w:gridSpan w:val="2"/>
            <w:vAlign w:val="center"/>
          </w:tcPr>
          <w:p w14:paraId="2597E8CF"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$193.99</w:t>
            </w:r>
          </w:p>
        </w:tc>
        <w:tc>
          <w:tcPr>
            <w:tcW w:w="1170" w:type="dxa"/>
            <w:vAlign w:val="center"/>
          </w:tcPr>
          <w:p w14:paraId="4FCB1A3A"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$186.15</w:t>
            </w:r>
          </w:p>
        </w:tc>
      </w:tr>
      <w:tr w:rsidR="00DC1A9D" w:rsidRPr="00166809" w14:paraId="082B424A" w14:textId="77777777">
        <w:trPr>
          <w:trHeight w:val="360"/>
        </w:trPr>
        <w:tc>
          <w:tcPr>
            <w:tcW w:w="450" w:type="dxa"/>
            <w:shd w:val="clear" w:color="auto" w:fill="D6CFCD"/>
          </w:tcPr>
          <w:p w14:paraId="2195DA6D" w14:textId="77777777" w:rsidR="00DC1A9D" w:rsidRPr="00E77908" w:rsidRDefault="00DC1A9D" w:rsidP="00415B12">
            <w:pPr>
              <w:pStyle w:val="IRPsanstext"/>
              <w:jc w:val="both"/>
              <w:rPr>
                <w:rFonts w:ascii="Arial Narrow" w:hAnsi="Arial Narrow" w:cs="Arial"/>
                <w:bCs/>
                <w:iCs/>
                <w:color w:val="000000"/>
              </w:rPr>
            </w:pPr>
            <w:r w:rsidRPr="00E77908">
              <w:rPr>
                <w:rFonts w:ascii="Arial Narrow" w:hAnsi="Arial Narrow" w:cs="Arial"/>
                <w:bCs/>
                <w:iCs/>
                <w:color w:val="000000"/>
              </w:rPr>
              <w:t>7</w:t>
            </w:r>
          </w:p>
        </w:tc>
        <w:tc>
          <w:tcPr>
            <w:tcW w:w="2160" w:type="dxa"/>
            <w:gridSpan w:val="2"/>
            <w:shd w:val="clear" w:color="auto" w:fill="D6CFCD"/>
          </w:tcPr>
          <w:p w14:paraId="0CE93C20" w14:textId="77777777" w:rsidR="00DC1A9D" w:rsidRPr="00166809" w:rsidRDefault="00DC1A9D" w:rsidP="00415B12">
            <w:pPr>
              <w:pStyle w:val="IRPsanstext"/>
              <w:rPr>
                <w:rFonts w:cs="Arial"/>
                <w:bCs/>
                <w:iCs/>
                <w:color w:val="000000"/>
              </w:rPr>
            </w:pPr>
            <w:r w:rsidRPr="00166809">
              <w:rPr>
                <w:rFonts w:cs="Arial"/>
                <w:bCs/>
                <w:iCs/>
                <w:color w:val="000000"/>
              </w:rPr>
              <w:t>Base + No CO2</w:t>
            </w:r>
          </w:p>
        </w:tc>
        <w:tc>
          <w:tcPr>
            <w:tcW w:w="1590" w:type="dxa"/>
          </w:tcPr>
          <w:p w14:paraId="6AB457C3" w14:textId="77777777" w:rsidR="00DC1A9D" w:rsidRPr="00166809" w:rsidRDefault="00DC1A9D" w:rsidP="00415B12">
            <w:pPr>
              <w:pStyle w:val="IRPsanstext"/>
              <w:jc w:val="center"/>
              <w:rPr>
                <w:rFonts w:cs="Arial"/>
                <w:bCs/>
                <w:iCs/>
                <w:color w:val="000000"/>
              </w:rPr>
            </w:pPr>
            <w:r w:rsidRPr="00166809">
              <w:rPr>
                <w:rFonts w:cs="Arial"/>
                <w:bCs/>
                <w:iCs/>
                <w:color w:val="000000"/>
              </w:rPr>
              <w:t>$115.97</w:t>
            </w:r>
          </w:p>
        </w:tc>
        <w:tc>
          <w:tcPr>
            <w:tcW w:w="1590" w:type="dxa"/>
            <w:gridSpan w:val="2"/>
            <w:vAlign w:val="center"/>
          </w:tcPr>
          <w:p w14:paraId="2397C043"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$165.34</w:t>
            </w:r>
          </w:p>
        </w:tc>
        <w:tc>
          <w:tcPr>
            <w:tcW w:w="1590" w:type="dxa"/>
            <w:gridSpan w:val="2"/>
            <w:vAlign w:val="center"/>
          </w:tcPr>
          <w:p w14:paraId="0FB79DD0"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$193.99</w:t>
            </w:r>
          </w:p>
        </w:tc>
        <w:tc>
          <w:tcPr>
            <w:tcW w:w="1170" w:type="dxa"/>
            <w:vAlign w:val="center"/>
          </w:tcPr>
          <w:p w14:paraId="122DF561"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$159.90</w:t>
            </w:r>
          </w:p>
        </w:tc>
      </w:tr>
      <w:tr w:rsidR="00DC1A9D" w:rsidRPr="00166809" w14:paraId="7B77DB23" w14:textId="77777777">
        <w:trPr>
          <w:trHeight w:val="360"/>
        </w:trPr>
        <w:tc>
          <w:tcPr>
            <w:tcW w:w="450" w:type="dxa"/>
            <w:shd w:val="clear" w:color="auto" w:fill="D6CFCD"/>
          </w:tcPr>
          <w:p w14:paraId="7E9ABF43" w14:textId="77777777" w:rsidR="00DC1A9D" w:rsidRPr="00E77908" w:rsidRDefault="00DC1A9D" w:rsidP="00415B12">
            <w:pPr>
              <w:pStyle w:val="IRPsanstext"/>
              <w:jc w:val="both"/>
              <w:rPr>
                <w:rFonts w:ascii="Arial Narrow" w:hAnsi="Arial Narrow" w:cs="Arial"/>
                <w:bCs/>
                <w:iCs/>
                <w:color w:val="000000"/>
              </w:rPr>
            </w:pPr>
            <w:r w:rsidRPr="00E77908">
              <w:rPr>
                <w:rFonts w:ascii="Arial Narrow" w:hAnsi="Arial Narrow" w:cs="Arial"/>
                <w:bCs/>
                <w:iCs/>
                <w:color w:val="000000"/>
              </w:rPr>
              <w:t>8</w:t>
            </w:r>
          </w:p>
        </w:tc>
        <w:tc>
          <w:tcPr>
            <w:tcW w:w="2160" w:type="dxa"/>
            <w:gridSpan w:val="2"/>
            <w:shd w:val="clear" w:color="auto" w:fill="D6CFCD"/>
          </w:tcPr>
          <w:p w14:paraId="11A857E4" w14:textId="77777777" w:rsidR="00DC1A9D" w:rsidRPr="00166809" w:rsidRDefault="00DC1A9D" w:rsidP="00415B12">
            <w:pPr>
              <w:pStyle w:val="IRPsanstext"/>
              <w:rPr>
                <w:rFonts w:cs="Arial"/>
                <w:bCs/>
                <w:iCs/>
                <w:color w:val="000000"/>
              </w:rPr>
            </w:pPr>
            <w:r w:rsidRPr="00166809">
              <w:rPr>
                <w:rFonts w:cs="Arial"/>
                <w:bCs/>
                <w:iCs/>
                <w:color w:val="000000"/>
              </w:rPr>
              <w:t>Base + High CO2</w:t>
            </w:r>
          </w:p>
        </w:tc>
        <w:tc>
          <w:tcPr>
            <w:tcW w:w="1590" w:type="dxa"/>
          </w:tcPr>
          <w:p w14:paraId="024084B2" w14:textId="77777777" w:rsidR="00DC1A9D" w:rsidRPr="00166809" w:rsidRDefault="00DC1A9D" w:rsidP="00415B12">
            <w:pPr>
              <w:pStyle w:val="IRPsanstext"/>
              <w:jc w:val="center"/>
              <w:rPr>
                <w:rFonts w:cs="Arial"/>
                <w:bCs/>
                <w:iCs/>
                <w:color w:val="000000"/>
              </w:rPr>
            </w:pPr>
            <w:r w:rsidRPr="00166809">
              <w:rPr>
                <w:rFonts w:cs="Arial"/>
                <w:bCs/>
                <w:iCs/>
                <w:color w:val="000000"/>
              </w:rPr>
              <w:t>$115.97</w:t>
            </w:r>
          </w:p>
        </w:tc>
        <w:tc>
          <w:tcPr>
            <w:tcW w:w="1590" w:type="dxa"/>
            <w:gridSpan w:val="2"/>
            <w:vAlign w:val="center"/>
          </w:tcPr>
          <w:p w14:paraId="002F635B"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$165.34</w:t>
            </w:r>
          </w:p>
        </w:tc>
        <w:tc>
          <w:tcPr>
            <w:tcW w:w="1590" w:type="dxa"/>
            <w:gridSpan w:val="2"/>
            <w:vAlign w:val="center"/>
          </w:tcPr>
          <w:p w14:paraId="35034080"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$193.99</w:t>
            </w:r>
          </w:p>
        </w:tc>
        <w:tc>
          <w:tcPr>
            <w:tcW w:w="1170" w:type="dxa"/>
            <w:vAlign w:val="center"/>
          </w:tcPr>
          <w:p w14:paraId="58CE3FF1"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$155.04</w:t>
            </w:r>
          </w:p>
        </w:tc>
      </w:tr>
      <w:tr w:rsidR="00DC1A9D" w:rsidRPr="00166809" w14:paraId="225F553F" w14:textId="77777777">
        <w:trPr>
          <w:trHeight w:val="360"/>
        </w:trPr>
        <w:tc>
          <w:tcPr>
            <w:tcW w:w="450" w:type="dxa"/>
            <w:shd w:val="clear" w:color="auto" w:fill="D6CFCD"/>
          </w:tcPr>
          <w:p w14:paraId="401EBEB5" w14:textId="77777777" w:rsidR="00DC1A9D" w:rsidRPr="00E77908" w:rsidRDefault="00DC1A9D" w:rsidP="00415B12">
            <w:pPr>
              <w:pStyle w:val="IRPsanstext"/>
              <w:jc w:val="both"/>
              <w:rPr>
                <w:rFonts w:ascii="Arial Narrow" w:hAnsi="Arial Narrow" w:cs="Arial"/>
                <w:bCs/>
                <w:iCs/>
                <w:color w:val="000000"/>
              </w:rPr>
            </w:pPr>
            <w:r w:rsidRPr="00E77908">
              <w:rPr>
                <w:rFonts w:ascii="Arial Narrow" w:hAnsi="Arial Narrow" w:cs="Arial"/>
                <w:bCs/>
                <w:iCs/>
                <w:color w:val="000000"/>
              </w:rPr>
              <w:t>9</w:t>
            </w:r>
          </w:p>
        </w:tc>
        <w:tc>
          <w:tcPr>
            <w:tcW w:w="2160" w:type="dxa"/>
            <w:gridSpan w:val="2"/>
            <w:shd w:val="clear" w:color="auto" w:fill="D6CFCD"/>
          </w:tcPr>
          <w:p w14:paraId="7686FC4B" w14:textId="77777777" w:rsidR="00DC1A9D" w:rsidRPr="00166809" w:rsidRDefault="00DC1A9D" w:rsidP="00415B12">
            <w:pPr>
              <w:pStyle w:val="IRPsanstext"/>
              <w:rPr>
                <w:rFonts w:cs="Arial"/>
                <w:bCs/>
                <w:iCs/>
                <w:color w:val="000000"/>
              </w:rPr>
            </w:pPr>
            <w:r w:rsidRPr="00166809">
              <w:rPr>
                <w:rFonts w:cs="Arial"/>
                <w:bCs/>
                <w:iCs/>
                <w:color w:val="000000"/>
              </w:rPr>
              <w:t>Base + Low Demand</w:t>
            </w:r>
          </w:p>
        </w:tc>
        <w:tc>
          <w:tcPr>
            <w:tcW w:w="1590" w:type="dxa"/>
          </w:tcPr>
          <w:p w14:paraId="3389C195" w14:textId="77777777" w:rsidR="00DC1A9D" w:rsidRPr="00166809" w:rsidRDefault="00DC1A9D" w:rsidP="00415B12">
            <w:pPr>
              <w:pStyle w:val="IRPsanstext"/>
              <w:jc w:val="center"/>
              <w:rPr>
                <w:rFonts w:cs="Arial"/>
                <w:bCs/>
                <w:iCs/>
                <w:color w:val="000000"/>
              </w:rPr>
            </w:pPr>
            <w:r w:rsidRPr="00166809">
              <w:rPr>
                <w:rFonts w:cs="Arial"/>
                <w:bCs/>
                <w:iCs/>
                <w:color w:val="000000"/>
              </w:rPr>
              <w:t>$115.97</w:t>
            </w:r>
          </w:p>
        </w:tc>
        <w:tc>
          <w:tcPr>
            <w:tcW w:w="1590" w:type="dxa"/>
            <w:gridSpan w:val="2"/>
            <w:vAlign w:val="center"/>
          </w:tcPr>
          <w:p w14:paraId="46D4402E"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$165.34</w:t>
            </w:r>
          </w:p>
        </w:tc>
        <w:tc>
          <w:tcPr>
            <w:tcW w:w="1590" w:type="dxa"/>
            <w:gridSpan w:val="2"/>
            <w:vAlign w:val="center"/>
          </w:tcPr>
          <w:p w14:paraId="57AEF063"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$193.99</w:t>
            </w:r>
          </w:p>
        </w:tc>
        <w:tc>
          <w:tcPr>
            <w:tcW w:w="1170" w:type="dxa"/>
            <w:vAlign w:val="center"/>
          </w:tcPr>
          <w:p w14:paraId="6D48F156"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$194.23</w:t>
            </w:r>
          </w:p>
        </w:tc>
      </w:tr>
      <w:tr w:rsidR="00DC1A9D" w:rsidRPr="00166809" w14:paraId="2B3D61D3" w14:textId="77777777">
        <w:trPr>
          <w:trHeight w:val="360"/>
        </w:trPr>
        <w:tc>
          <w:tcPr>
            <w:tcW w:w="450" w:type="dxa"/>
            <w:shd w:val="clear" w:color="auto" w:fill="D6CFCD"/>
          </w:tcPr>
          <w:p w14:paraId="3E562608" w14:textId="77777777" w:rsidR="00DC1A9D" w:rsidRPr="00E77908" w:rsidRDefault="00DC1A9D" w:rsidP="00415B12">
            <w:pPr>
              <w:pStyle w:val="IRPsanstext"/>
              <w:jc w:val="both"/>
              <w:rPr>
                <w:rFonts w:ascii="Arial Narrow" w:hAnsi="Arial Narrow" w:cs="Arial"/>
                <w:bCs/>
                <w:iCs/>
                <w:color w:val="000000"/>
              </w:rPr>
            </w:pPr>
            <w:r w:rsidRPr="00E77908">
              <w:rPr>
                <w:rFonts w:ascii="Arial Narrow" w:hAnsi="Arial Narrow" w:cs="Arial"/>
                <w:bCs/>
                <w:iCs/>
                <w:color w:val="000000"/>
              </w:rPr>
              <w:t>10</w:t>
            </w:r>
          </w:p>
        </w:tc>
        <w:tc>
          <w:tcPr>
            <w:tcW w:w="2160" w:type="dxa"/>
            <w:gridSpan w:val="2"/>
            <w:shd w:val="clear" w:color="auto" w:fill="D6CFCD"/>
          </w:tcPr>
          <w:p w14:paraId="09FDDA13" w14:textId="77777777" w:rsidR="00DC1A9D" w:rsidRPr="00166809" w:rsidRDefault="00DC1A9D" w:rsidP="00415B12">
            <w:pPr>
              <w:pStyle w:val="IRPsanstext"/>
              <w:rPr>
                <w:rFonts w:cs="Arial"/>
                <w:bCs/>
                <w:iCs/>
                <w:color w:val="000000"/>
              </w:rPr>
            </w:pPr>
            <w:r w:rsidRPr="00166809">
              <w:rPr>
                <w:rFonts w:cs="Arial"/>
                <w:bCs/>
                <w:iCs/>
                <w:color w:val="000000"/>
              </w:rPr>
              <w:t>Base + High Demand</w:t>
            </w:r>
          </w:p>
        </w:tc>
        <w:tc>
          <w:tcPr>
            <w:tcW w:w="1590" w:type="dxa"/>
          </w:tcPr>
          <w:p w14:paraId="6AA3C438" w14:textId="77777777" w:rsidR="00DC1A9D" w:rsidRPr="00166809" w:rsidRDefault="00DC1A9D" w:rsidP="00415B12">
            <w:pPr>
              <w:pStyle w:val="IRPsanstext"/>
              <w:jc w:val="center"/>
              <w:rPr>
                <w:rFonts w:cs="Arial"/>
                <w:bCs/>
                <w:iCs/>
                <w:color w:val="000000"/>
              </w:rPr>
            </w:pPr>
            <w:r w:rsidRPr="00166809">
              <w:rPr>
                <w:rFonts w:cs="Arial"/>
                <w:bCs/>
                <w:iCs/>
                <w:color w:val="000000"/>
              </w:rPr>
              <w:t>$115.97</w:t>
            </w:r>
          </w:p>
        </w:tc>
        <w:tc>
          <w:tcPr>
            <w:tcW w:w="1590" w:type="dxa"/>
            <w:gridSpan w:val="2"/>
            <w:vAlign w:val="center"/>
          </w:tcPr>
          <w:p w14:paraId="27AB96D3"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$165.34</w:t>
            </w:r>
          </w:p>
        </w:tc>
        <w:tc>
          <w:tcPr>
            <w:tcW w:w="1590" w:type="dxa"/>
            <w:gridSpan w:val="2"/>
            <w:vAlign w:val="center"/>
          </w:tcPr>
          <w:p w14:paraId="7CC5E781"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$193.99</w:t>
            </w:r>
          </w:p>
        </w:tc>
        <w:tc>
          <w:tcPr>
            <w:tcW w:w="1170" w:type="dxa"/>
            <w:vAlign w:val="center"/>
          </w:tcPr>
          <w:p w14:paraId="4F4F2B4F" w14:textId="77777777" w:rsidR="00DC1A9D" w:rsidRPr="00166809" w:rsidRDefault="00DC1A9D" w:rsidP="00415B12">
            <w:pPr>
              <w:pStyle w:val="IRPsanstext"/>
              <w:jc w:val="center"/>
              <w:rPr>
                <w:rFonts w:eastAsia="Times New Roman" w:cs="Arial"/>
                <w:color w:val="000000"/>
              </w:rPr>
            </w:pPr>
            <w:r w:rsidRPr="00166809">
              <w:rPr>
                <w:rFonts w:eastAsia="Times New Roman" w:cs="Arial"/>
                <w:color w:val="000000"/>
              </w:rPr>
              <w:t>$169.90</w:t>
            </w:r>
          </w:p>
        </w:tc>
      </w:tr>
    </w:tbl>
    <w:p w14:paraId="6CDE933F" w14:textId="77777777" w:rsidR="00AD0F38" w:rsidRPr="00937249" w:rsidRDefault="00AD0F38" w:rsidP="00937249">
      <w:pPr>
        <w:pStyle w:val="IRPsanstext"/>
        <w:rPr>
          <w:rFonts w:cs="Arial"/>
        </w:rPr>
      </w:pPr>
    </w:p>
    <w:p w14:paraId="31C3CF8C" w14:textId="77777777" w:rsidR="00A96C47" w:rsidRPr="00DC1A9D" w:rsidRDefault="00A96C47" w:rsidP="00A96C47">
      <w:pPr>
        <w:rPr>
          <w:rFonts w:ascii="Arial" w:hAnsi="Arial"/>
          <w:sz w:val="20"/>
        </w:rPr>
      </w:pPr>
    </w:p>
    <w:p w14:paraId="3FFE0AD9" w14:textId="77777777" w:rsidR="00AD0F38" w:rsidRPr="00337764" w:rsidRDefault="00AD0F38" w:rsidP="00D02777">
      <w:pPr>
        <w:spacing w:line="320" w:lineRule="exact"/>
      </w:pPr>
      <w:r w:rsidRPr="00D02777">
        <w:rPr>
          <w:rFonts w:ascii="Arial" w:hAnsi="Arial"/>
          <w:sz w:val="20"/>
        </w:rPr>
        <w:t>Figure 6-</w:t>
      </w:r>
      <w:r w:rsidR="00855BD7">
        <w:rPr>
          <w:rFonts w:ascii="Arial" w:hAnsi="Arial"/>
          <w:sz w:val="20"/>
        </w:rPr>
        <w:t>22</w:t>
      </w:r>
      <w:r w:rsidRPr="00D02777">
        <w:rPr>
          <w:rFonts w:ascii="Arial" w:hAnsi="Arial"/>
          <w:sz w:val="20"/>
        </w:rPr>
        <w:t xml:space="preserve"> illustrates how the net cost of a CCCT plant is significantly affected by the margin it generates. A 250-</w:t>
      </w:r>
      <w:r w:rsidR="00637544">
        <w:rPr>
          <w:rFonts w:ascii="Arial" w:hAnsi="Arial"/>
          <w:sz w:val="20"/>
        </w:rPr>
        <w:t>simulation</w:t>
      </w:r>
      <w:r w:rsidR="00637544" w:rsidRPr="00D02777">
        <w:rPr>
          <w:rFonts w:ascii="Arial" w:hAnsi="Arial"/>
          <w:sz w:val="20"/>
        </w:rPr>
        <w:t xml:space="preserve"> </w:t>
      </w:r>
      <w:r w:rsidRPr="00D02777">
        <w:rPr>
          <w:rFonts w:ascii="Arial" w:hAnsi="Arial"/>
          <w:sz w:val="20"/>
        </w:rPr>
        <w:t xml:space="preserve">Monte Carlo analysis for a 2020 vintage plant shows how the net cost per kW of </w:t>
      </w:r>
      <w:proofErr w:type="spellStart"/>
      <w:r w:rsidRPr="00D02777">
        <w:rPr>
          <w:rFonts w:ascii="Arial" w:hAnsi="Arial"/>
          <w:sz w:val="20"/>
        </w:rPr>
        <w:t>peakers</w:t>
      </w:r>
      <w:proofErr w:type="spellEnd"/>
      <w:r w:rsidRPr="00D02777">
        <w:rPr>
          <w:rFonts w:ascii="Arial" w:hAnsi="Arial"/>
          <w:sz w:val="20"/>
        </w:rPr>
        <w:t xml:space="preserve"> and CCCT plants are distributed under different market conditions. The </w:t>
      </w:r>
      <w:proofErr w:type="spellStart"/>
      <w:r w:rsidRPr="00D02777">
        <w:rPr>
          <w:rFonts w:ascii="Arial" w:hAnsi="Arial"/>
          <w:sz w:val="20"/>
        </w:rPr>
        <w:t>peakers</w:t>
      </w:r>
      <w:proofErr w:type="spellEnd"/>
      <w:r w:rsidRPr="00D02777">
        <w:rPr>
          <w:rFonts w:ascii="Arial" w:hAnsi="Arial"/>
          <w:sz w:val="20"/>
        </w:rPr>
        <w:t xml:space="preserve"> show a very tight probability distribution of cost, because they do not dispatch or create much margin in many draws. In contrast, the CCCT plant margins are widely dispersed; this spreads out the CCCT probability distribution more broadly than the </w:t>
      </w:r>
      <w:proofErr w:type="spellStart"/>
      <w:r w:rsidRPr="00D02777">
        <w:rPr>
          <w:rFonts w:ascii="Arial" w:hAnsi="Arial"/>
          <w:sz w:val="20"/>
        </w:rPr>
        <w:t>peaker</w:t>
      </w:r>
      <w:proofErr w:type="spellEnd"/>
      <w:r w:rsidRPr="00D02777">
        <w:rPr>
          <w:rFonts w:ascii="Arial" w:hAnsi="Arial"/>
          <w:sz w:val="20"/>
        </w:rPr>
        <w:t xml:space="preserve"> distribution. Net cost is not specifically used as part of the cost minimization function; however, showing net cost may prov</w:t>
      </w:r>
      <w:r w:rsidR="00855BD7">
        <w:rPr>
          <w:rFonts w:ascii="Arial" w:hAnsi="Arial"/>
          <w:sz w:val="20"/>
        </w:rPr>
        <w:t>ide useful insights. Figure 6-23</w:t>
      </w:r>
      <w:r w:rsidRPr="00D02777">
        <w:rPr>
          <w:rFonts w:ascii="Arial" w:hAnsi="Arial"/>
          <w:sz w:val="20"/>
        </w:rPr>
        <w:t xml:space="preserve"> </w:t>
      </w:r>
      <w:r w:rsidR="00A96C47" w:rsidRPr="00D02777">
        <w:rPr>
          <w:rFonts w:ascii="Arial" w:hAnsi="Arial"/>
          <w:sz w:val="20"/>
        </w:rPr>
        <w:t xml:space="preserve">illustrates that if sufficient </w:t>
      </w:r>
      <w:r w:rsidRPr="00D02777">
        <w:rPr>
          <w:rFonts w:ascii="Arial" w:hAnsi="Arial"/>
          <w:sz w:val="20"/>
        </w:rPr>
        <w:t>backup fuel can be permitted and constructed so as to avoid needing any firm pipel</w:t>
      </w:r>
      <w:r w:rsidR="00A96C47" w:rsidRPr="00D02777">
        <w:rPr>
          <w:rFonts w:ascii="Arial" w:hAnsi="Arial"/>
          <w:sz w:val="20"/>
        </w:rPr>
        <w:t xml:space="preserve">ine capacity, </w:t>
      </w:r>
      <w:proofErr w:type="spellStart"/>
      <w:r w:rsidR="00A96C47" w:rsidRPr="00D02777">
        <w:rPr>
          <w:rFonts w:ascii="Arial" w:hAnsi="Arial"/>
          <w:sz w:val="20"/>
        </w:rPr>
        <w:t>peakers</w:t>
      </w:r>
      <w:proofErr w:type="spellEnd"/>
      <w:r w:rsidR="00A96C47" w:rsidRPr="00D02777">
        <w:rPr>
          <w:rFonts w:ascii="Arial" w:hAnsi="Arial"/>
          <w:sz w:val="20"/>
        </w:rPr>
        <w:t xml:space="preserve"> with oil </w:t>
      </w:r>
      <w:r w:rsidRPr="00D02777">
        <w:rPr>
          <w:rFonts w:ascii="Arial" w:hAnsi="Arial"/>
          <w:sz w:val="20"/>
        </w:rPr>
        <w:t xml:space="preserve">backup may be lower cost and lower risk than CCCT plants. The ability to permit sufficient backup fuel is a resource-specific-level decision, but it is difficult to believe the company could permit such resources in the future, as the natural gas system becomes more constrained and emissions regulations continue to get more stringent. </w:t>
      </w:r>
    </w:p>
    <w:p w14:paraId="0FF2EA45" w14:textId="77777777" w:rsidR="00E74063" w:rsidRDefault="00E74063" w:rsidP="00937249">
      <w:pPr>
        <w:pStyle w:val="IRPsanstext"/>
        <w:rPr>
          <w:rFonts w:cs="Arial"/>
        </w:rPr>
      </w:pPr>
    </w:p>
    <w:p w14:paraId="75121ED2" w14:textId="77777777" w:rsidR="00010FAF" w:rsidRDefault="00010FAF">
      <w:pPr>
        <w:rPr>
          <w:rFonts w:ascii="Arial" w:hAnsi="Arial" w:cs="Arial"/>
          <w:i/>
          <w:sz w:val="20"/>
          <w:szCs w:val="20"/>
        </w:rPr>
      </w:pPr>
      <w:r>
        <w:rPr>
          <w:rFonts w:cs="Arial"/>
          <w:i/>
        </w:rPr>
        <w:br w:type="page"/>
      </w:r>
    </w:p>
    <w:p w14:paraId="5335629D" w14:textId="77777777" w:rsidR="00AD0F38" w:rsidRPr="00E74063" w:rsidRDefault="00AD0F38" w:rsidP="00E74063">
      <w:pPr>
        <w:pStyle w:val="IRPsanstext"/>
        <w:jc w:val="center"/>
        <w:rPr>
          <w:rFonts w:cs="Arial"/>
          <w:i/>
        </w:rPr>
      </w:pPr>
      <w:r w:rsidRPr="00E74063">
        <w:rPr>
          <w:rFonts w:cs="Arial"/>
          <w:i/>
        </w:rPr>
        <w:lastRenderedPageBreak/>
        <w:t>Figure 6-</w:t>
      </w:r>
      <w:r w:rsidR="00855BD7">
        <w:rPr>
          <w:rFonts w:cs="Arial"/>
          <w:i/>
        </w:rPr>
        <w:t>23</w:t>
      </w:r>
      <w:r w:rsidRPr="00E74063">
        <w:rPr>
          <w:rFonts w:cs="Arial"/>
          <w:i/>
        </w:rPr>
        <w:t>: Comparison of Net Cost Distribution in the Base Scenario,</w:t>
      </w:r>
    </w:p>
    <w:p w14:paraId="4214F27B" w14:textId="77777777" w:rsidR="00E74063" w:rsidRPr="00540B5A" w:rsidRDefault="00AD0F38" w:rsidP="00166809">
      <w:pPr>
        <w:pStyle w:val="IRPsanstext"/>
        <w:spacing w:after="120"/>
        <w:jc w:val="center"/>
        <w:rPr>
          <w:rFonts w:cs="Arial"/>
        </w:rPr>
      </w:pPr>
      <w:r w:rsidRPr="00E74063">
        <w:rPr>
          <w:rFonts w:cs="Arial"/>
          <w:i/>
        </w:rPr>
        <w:t xml:space="preserve">CCCT and </w:t>
      </w:r>
      <w:proofErr w:type="spellStart"/>
      <w:r w:rsidRPr="00E74063">
        <w:rPr>
          <w:rFonts w:cs="Arial"/>
          <w:i/>
        </w:rPr>
        <w:t>Peakers</w:t>
      </w:r>
      <w:proofErr w:type="spellEnd"/>
      <w:r w:rsidRPr="00E74063">
        <w:rPr>
          <w:rFonts w:cs="Arial"/>
          <w:i/>
        </w:rPr>
        <w:t xml:space="preserve"> with Oil Backup (in 2016 dollars per kW</w:t>
      </w:r>
      <w:r w:rsidRPr="00937249">
        <w:rPr>
          <w:rFonts w:cs="Arial"/>
        </w:rPr>
        <w:t>)</w:t>
      </w:r>
    </w:p>
    <w:p w14:paraId="38A74388" w14:textId="77777777" w:rsidR="00704F20" w:rsidRPr="00884900" w:rsidRDefault="000F4412" w:rsidP="00704F20">
      <w:pPr>
        <w:pStyle w:val="IRPsecthead1serif"/>
      </w:pPr>
      <w:r w:rsidRPr="000F4412">
        <w:rPr>
          <w:noProof/>
          <w:lang w:eastAsia="en-US"/>
        </w:rPr>
        <w:drawing>
          <wp:inline distT="0" distB="0" distL="0" distR="0" wp14:anchorId="5DCC43A5" wp14:editId="004BF19A">
            <wp:extent cx="5486400" cy="397257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86400" cy="3972578"/>
                    </a:xfrm>
                    <a:prstGeom prst="rect">
                      <a:avLst/>
                    </a:prstGeom>
                    <a:noFill/>
                    <a:ln>
                      <a:noFill/>
                    </a:ln>
                  </pic:spPr>
                </pic:pic>
              </a:graphicData>
            </a:graphic>
          </wp:inline>
        </w:drawing>
      </w:r>
      <w:r w:rsidR="00AD0F38" w:rsidRPr="00937249">
        <w:br w:type="page"/>
      </w:r>
      <w:r w:rsidR="00F71565">
        <w:lastRenderedPageBreak/>
        <w:t>4</w:t>
      </w:r>
      <w:r w:rsidR="00AD0F38" w:rsidRPr="00E74063">
        <w:t>. Renewable Builds</w:t>
      </w:r>
      <w:r w:rsidR="00294A3F">
        <w:t xml:space="preserve"> </w:t>
      </w:r>
    </w:p>
    <w:p w14:paraId="03D69300" w14:textId="77777777" w:rsidR="00E74063" w:rsidRDefault="00E74063" w:rsidP="00937249">
      <w:pPr>
        <w:pStyle w:val="IRPsanstext"/>
        <w:rPr>
          <w:rFonts w:cs="Arial"/>
        </w:rPr>
      </w:pPr>
    </w:p>
    <w:p w14:paraId="59D20B44" w14:textId="77777777" w:rsidR="00AD0F38" w:rsidRPr="00937249" w:rsidRDefault="00AD0F38" w:rsidP="00937249">
      <w:pPr>
        <w:pStyle w:val="IRPsanstext"/>
        <w:rPr>
          <w:rFonts w:cs="Arial"/>
        </w:rPr>
      </w:pPr>
      <w:r w:rsidRPr="00937249">
        <w:rPr>
          <w:rFonts w:cs="Arial"/>
        </w:rPr>
        <w:t>The amount of renewable resources included in portfolios is driven by RPS requirements. In all scenarios but High and Base + Very High Gas Price, wind resources are only added to meet the minimum requirements of RCW 19.285</w:t>
      </w:r>
      <w:r w:rsidR="00232C82">
        <w:rPr>
          <w:rFonts w:cs="Arial"/>
        </w:rPr>
        <w:t>,</w:t>
      </w:r>
      <w:r w:rsidRPr="00937249">
        <w:rPr>
          <w:rFonts w:cs="Arial"/>
        </w:rPr>
        <w:t xml:space="preserve"> not because they</w:t>
      </w:r>
      <w:r w:rsidR="00591EC7">
        <w:rPr>
          <w:rFonts w:cs="Arial"/>
        </w:rPr>
        <w:t xml:space="preserve"> are least cost. See Figure 6-19 and 6-20</w:t>
      </w:r>
      <w:r w:rsidRPr="00937249">
        <w:rPr>
          <w:rFonts w:cs="Arial"/>
        </w:rPr>
        <w:t xml:space="preserve"> above for total wind builds by scenario.</w:t>
      </w:r>
    </w:p>
    <w:p w14:paraId="6A07063E" w14:textId="77777777" w:rsidR="00AD0F38" w:rsidRPr="00937249" w:rsidRDefault="00AD0F38" w:rsidP="00937249">
      <w:pPr>
        <w:pStyle w:val="IRPsanstext"/>
        <w:rPr>
          <w:rFonts w:cs="Arial"/>
        </w:rPr>
      </w:pPr>
    </w:p>
    <w:p w14:paraId="2A8770DC" w14:textId="77777777" w:rsidR="00AD0F38" w:rsidRPr="00937249" w:rsidRDefault="00AD0F38" w:rsidP="00937249">
      <w:pPr>
        <w:pStyle w:val="IRPsanstext"/>
        <w:rPr>
          <w:rFonts w:cs="Arial"/>
          <w:color w:val="3366FF"/>
        </w:rPr>
      </w:pPr>
      <w:proofErr w:type="gramStart"/>
      <w:r w:rsidRPr="00E74063">
        <w:rPr>
          <w:rFonts w:cs="Arial"/>
          <w:b/>
          <w:color w:val="156570"/>
          <w:sz w:val="28"/>
          <w:szCs w:val="28"/>
        </w:rPr>
        <w:t>RPS Incremental Cost Cap Analysis.</w:t>
      </w:r>
      <w:proofErr w:type="gramEnd"/>
      <w:r w:rsidRPr="00937249">
        <w:rPr>
          <w:rFonts w:cs="Arial"/>
          <w:color w:val="3366FF"/>
        </w:rPr>
        <w:t xml:space="preserve"> </w:t>
      </w:r>
      <w:r w:rsidRPr="00937249">
        <w:rPr>
          <w:rFonts w:cs="Arial"/>
        </w:rPr>
        <w:t>As part of RCW 19.285, if the incremental cost of the renewable resources compared to an equivalent non-renewable is greater than 4 percent of its revenue requirement, then the utility will be considered in compliance with the annual renewable energy target.</w:t>
      </w:r>
      <w:r w:rsidRPr="00937249">
        <w:rPr>
          <w:rFonts w:cs="Arial"/>
          <w:vertAlign w:val="superscript"/>
        </w:rPr>
        <w:footnoteReference w:id="16"/>
      </w:r>
      <w:r w:rsidRPr="00937249">
        <w:rPr>
          <w:rFonts w:cs="Arial"/>
        </w:rPr>
        <w:t xml:space="preserve">   </w:t>
      </w:r>
    </w:p>
    <w:p w14:paraId="290176D3" w14:textId="77777777" w:rsidR="00AD0F38" w:rsidRPr="00937249" w:rsidRDefault="00AD0F38" w:rsidP="00937249">
      <w:pPr>
        <w:pStyle w:val="IRPsanstext"/>
        <w:rPr>
          <w:rFonts w:cs="Arial"/>
        </w:rPr>
      </w:pPr>
    </w:p>
    <w:p w14:paraId="38383A65" w14:textId="77777777" w:rsidR="00AD0F38" w:rsidRPr="00937249" w:rsidRDefault="00AD0F38" w:rsidP="00937249">
      <w:pPr>
        <w:pStyle w:val="IRPsanstext"/>
        <w:rPr>
          <w:rFonts w:cs="Arial"/>
        </w:rPr>
      </w:pPr>
      <w:r w:rsidRPr="00937249">
        <w:rPr>
          <w:rFonts w:cs="Arial"/>
        </w:rPr>
        <w:t xml:space="preserve">Each renewable resource that counts towards meeting the renewable energy target was compared to an equivalent non-renewable resource starting in the same year and </w:t>
      </w:r>
      <w:proofErr w:type="spellStart"/>
      <w:r w:rsidRPr="00937249">
        <w:rPr>
          <w:rFonts w:cs="Arial"/>
        </w:rPr>
        <w:t>levelized</w:t>
      </w:r>
      <w:proofErr w:type="spellEnd"/>
      <w:r w:rsidRPr="00937249">
        <w:rPr>
          <w:rFonts w:cs="Arial"/>
        </w:rPr>
        <w:t xml:space="preserve"> over the book life of the plant: 25 years for wind power and 40 years for hydroelectric power. Figure 6-2</w:t>
      </w:r>
      <w:r w:rsidR="00855BD7">
        <w:rPr>
          <w:rFonts w:cs="Arial"/>
        </w:rPr>
        <w:t>4</w:t>
      </w:r>
      <w:r w:rsidRPr="00937249">
        <w:rPr>
          <w:rFonts w:cs="Arial"/>
        </w:rPr>
        <w:t xml:space="preserve"> presents results of this analysis for existing resources and projected resources. This demonstrates that PSE expects to meet the physical targets under RCW 19.285 without being constrained by the cost cap. A negative cost difference means that the renewable was lower cost than the equivalent non-renewable, while a positive cost means that the renewable was a higher cost.</w:t>
      </w:r>
    </w:p>
    <w:p w14:paraId="602501F1" w14:textId="77777777" w:rsidR="00AD0F38" w:rsidRPr="00937249" w:rsidRDefault="00AD0F38" w:rsidP="00937249">
      <w:pPr>
        <w:pStyle w:val="IRPsanstext"/>
        <w:rPr>
          <w:rFonts w:cs="Arial"/>
        </w:rPr>
      </w:pPr>
    </w:p>
    <w:p w14:paraId="06C85ECF" w14:textId="77777777" w:rsidR="00E74063" w:rsidRDefault="00E74063">
      <w:pPr>
        <w:rPr>
          <w:rFonts w:ascii="Arial" w:hAnsi="Arial" w:cs="Arial"/>
          <w:sz w:val="20"/>
          <w:szCs w:val="20"/>
        </w:rPr>
      </w:pPr>
      <w:r>
        <w:rPr>
          <w:rFonts w:cs="Arial"/>
        </w:rPr>
        <w:br w:type="page"/>
      </w:r>
    </w:p>
    <w:p w14:paraId="4FE9E006" w14:textId="77777777" w:rsidR="00AD0F38" w:rsidRPr="00E74063" w:rsidRDefault="00AD0F38" w:rsidP="00E74063">
      <w:pPr>
        <w:pStyle w:val="IRPsanstext"/>
        <w:jc w:val="center"/>
        <w:rPr>
          <w:rFonts w:cs="Arial"/>
          <w:i/>
        </w:rPr>
      </w:pPr>
      <w:r w:rsidRPr="00E74063">
        <w:rPr>
          <w:rFonts w:cs="Arial"/>
          <w:i/>
        </w:rPr>
        <w:lastRenderedPageBreak/>
        <w:t>Figure 6-2</w:t>
      </w:r>
      <w:r w:rsidR="00855BD7">
        <w:rPr>
          <w:rFonts w:cs="Arial"/>
          <w:i/>
        </w:rPr>
        <w:t>4</w:t>
      </w:r>
      <w:r w:rsidRPr="00E74063">
        <w:rPr>
          <w:rFonts w:cs="Arial"/>
          <w:i/>
        </w:rPr>
        <w:t xml:space="preserve">: Equivalent Non-renewable 20-year </w:t>
      </w:r>
      <w:proofErr w:type="spellStart"/>
      <w:r w:rsidRPr="00E74063">
        <w:rPr>
          <w:rFonts w:cs="Arial"/>
          <w:i/>
        </w:rPr>
        <w:t>Levelized</w:t>
      </w:r>
      <w:proofErr w:type="spellEnd"/>
      <w:r w:rsidRPr="00E74063">
        <w:rPr>
          <w:rFonts w:cs="Arial"/>
          <w:i/>
        </w:rPr>
        <w:t xml:space="preserve"> Cost Difference </w:t>
      </w:r>
      <w:r w:rsidRPr="00E74063">
        <w:rPr>
          <w:rFonts w:cs="Arial"/>
          <w:i/>
        </w:rPr>
        <w:br/>
        <w:t>Compared to 4% of 2011 GRC Revenue Requirement</w:t>
      </w:r>
      <w:r w:rsidR="00B74C72">
        <w:rPr>
          <w:rFonts w:cs="Arial"/>
          <w:i/>
        </w:rPr>
        <w:t xml:space="preserve"> + 2014 PCORC adjustment</w:t>
      </w:r>
      <w:r w:rsidRPr="00E74063">
        <w:rPr>
          <w:rFonts w:cs="Arial"/>
          <w:i/>
        </w:rPr>
        <w:t xml:space="preserve"> </w:t>
      </w:r>
    </w:p>
    <w:p w14:paraId="5A442231" w14:textId="77777777" w:rsidR="00AD0F38" w:rsidRPr="00E74063" w:rsidRDefault="00B74C72" w:rsidP="00937249">
      <w:pPr>
        <w:pStyle w:val="IRPsanstext"/>
        <w:rPr>
          <w:rFonts w:cs="Arial"/>
          <w:sz w:val="32"/>
          <w:szCs w:val="32"/>
        </w:rPr>
      </w:pPr>
      <w:r w:rsidRPr="00B74C72">
        <w:rPr>
          <w:noProof/>
          <w:lang w:eastAsia="en-US"/>
        </w:rPr>
        <w:drawing>
          <wp:anchor distT="0" distB="0" distL="114300" distR="114300" simplePos="0" relativeHeight="251654656" behindDoc="0" locked="0" layoutInCell="1" allowOverlap="1" wp14:anchorId="7C80608E" wp14:editId="64052FF4">
            <wp:simplePos x="0" y="0"/>
            <wp:positionH relativeFrom="column">
              <wp:posOffset>-62865</wp:posOffset>
            </wp:positionH>
            <wp:positionV relativeFrom="paragraph">
              <wp:posOffset>162560</wp:posOffset>
            </wp:positionV>
            <wp:extent cx="5486400" cy="3966210"/>
            <wp:effectExtent l="0" t="0" r="0" b="0"/>
            <wp:wrapTopAndBottom/>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86400" cy="3966210"/>
                    </a:xfrm>
                    <a:prstGeom prst="rect">
                      <a:avLst/>
                    </a:prstGeom>
                    <a:noFill/>
                    <a:ln>
                      <a:noFill/>
                    </a:ln>
                  </pic:spPr>
                </pic:pic>
              </a:graphicData>
            </a:graphic>
          </wp:anchor>
        </w:drawing>
      </w:r>
      <w:r w:rsidR="00AD0F38" w:rsidRPr="00937249">
        <w:rPr>
          <w:rFonts w:cs="Arial"/>
        </w:rPr>
        <w:br w:type="page"/>
      </w:r>
      <w:r w:rsidR="00F71565">
        <w:rPr>
          <w:rFonts w:cs="Arial"/>
          <w:sz w:val="32"/>
          <w:szCs w:val="32"/>
        </w:rPr>
        <w:lastRenderedPageBreak/>
        <w:t>5</w:t>
      </w:r>
      <w:r w:rsidR="00AD0F38" w:rsidRPr="00E74063">
        <w:rPr>
          <w:rFonts w:cs="Arial"/>
          <w:sz w:val="32"/>
          <w:szCs w:val="32"/>
        </w:rPr>
        <w:t xml:space="preserve">. Wind vs. Solar </w:t>
      </w:r>
    </w:p>
    <w:p w14:paraId="02E08DBE" w14:textId="77777777" w:rsidR="00E74063" w:rsidRDefault="00E74063" w:rsidP="00937249">
      <w:pPr>
        <w:pStyle w:val="IRPsanstext"/>
        <w:rPr>
          <w:rFonts w:cs="Arial"/>
        </w:rPr>
      </w:pPr>
    </w:p>
    <w:p w14:paraId="7BAA60A0" w14:textId="77777777" w:rsidR="00AD0F38" w:rsidRPr="00937249" w:rsidRDefault="00AD0F38" w:rsidP="00937249">
      <w:pPr>
        <w:pStyle w:val="IRPsanstext"/>
        <w:rPr>
          <w:rFonts w:cs="Arial"/>
        </w:rPr>
      </w:pPr>
      <w:r w:rsidRPr="00937249">
        <w:rPr>
          <w:rFonts w:cs="Arial"/>
        </w:rPr>
        <w:t>The Puget Sound Region is on the lower end of solar potential in the United States,</w:t>
      </w:r>
      <w:r w:rsidRPr="00937249">
        <w:rPr>
          <w:rStyle w:val="FootnoteReference"/>
          <w:rFonts w:cs="Arial"/>
        </w:rPr>
        <w:footnoteReference w:id="17"/>
      </w:r>
      <w:r w:rsidR="00C0184B">
        <w:rPr>
          <w:rFonts w:cs="Arial"/>
        </w:rPr>
        <w:t xml:space="preserve"> </w:t>
      </w:r>
      <w:r w:rsidRPr="00937249">
        <w:rPr>
          <w:rFonts w:cs="Arial"/>
        </w:rPr>
        <w:t xml:space="preserve">and Washington </w:t>
      </w:r>
      <w:proofErr w:type="gramStart"/>
      <w:r w:rsidRPr="00937249">
        <w:rPr>
          <w:rFonts w:cs="Arial"/>
        </w:rPr>
        <w:t>state</w:t>
      </w:r>
      <w:proofErr w:type="gramEnd"/>
      <w:r w:rsidRPr="00937249">
        <w:rPr>
          <w:rFonts w:cs="Arial"/>
        </w:rPr>
        <w:t xml:space="preserve"> currently generates less than 1 MW of utility solar. PSE’s Wild Horse solar facility (0.5 MW) has historically experienced an 18 percent capacity factor. Capacity factor has a significant impact on the economics of solar projects. Solar projects would provide no contribution to PSE’s winter peak capacity since those peaks occur when it’s dark and cold during the winter months.  Even if solar could be imported from areas with higher solar potential, it would still make only limited contribution to peak capacity.  </w:t>
      </w:r>
    </w:p>
    <w:p w14:paraId="5249D994" w14:textId="77777777" w:rsidR="00E74063" w:rsidRDefault="00E74063" w:rsidP="00937249">
      <w:pPr>
        <w:pStyle w:val="IRPsanstext"/>
        <w:rPr>
          <w:rFonts w:cs="Arial"/>
        </w:rPr>
      </w:pPr>
    </w:p>
    <w:p w14:paraId="762CF27B" w14:textId="77777777" w:rsidR="00AD0F38" w:rsidRPr="00937249" w:rsidRDefault="00AD0F38" w:rsidP="00937249">
      <w:pPr>
        <w:pStyle w:val="IRPsanstext"/>
        <w:rPr>
          <w:rFonts w:cs="Arial"/>
        </w:rPr>
      </w:pPr>
      <w:r w:rsidRPr="00937249">
        <w:rPr>
          <w:rFonts w:cs="Arial"/>
        </w:rPr>
        <w:t>Photovoltaic technology costs have declined over the last decade, but there is uncertainty about the degree and pace of fu</w:t>
      </w:r>
      <w:r w:rsidR="00855BD7">
        <w:rPr>
          <w:rFonts w:cs="Arial"/>
        </w:rPr>
        <w:t>ture price declines. Figure 6-25</w:t>
      </w:r>
      <w:r w:rsidRPr="00937249">
        <w:rPr>
          <w:rFonts w:cs="Arial"/>
        </w:rPr>
        <w:t xml:space="preserve"> shows the price curve, and the gray bar indicates the range of costs. The U.S. Energy Information Administration’s 2014 Energy Outlook estimated the all-in capital cost for utility solar at $3,564 per kW (in 2012 dollars) or $4,000 per kW (in 2016 dollars). The </w:t>
      </w:r>
      <w:proofErr w:type="spellStart"/>
      <w:r w:rsidRPr="00937249">
        <w:rPr>
          <w:rFonts w:cs="Arial"/>
        </w:rPr>
        <w:t>levelized</w:t>
      </w:r>
      <w:proofErr w:type="spellEnd"/>
      <w:r w:rsidRPr="00937249">
        <w:rPr>
          <w:rFonts w:cs="Arial"/>
        </w:rPr>
        <w:t xml:space="preserve"> costs range from $101 to $200 per </w:t>
      </w:r>
      <w:proofErr w:type="spellStart"/>
      <w:r w:rsidRPr="00937249">
        <w:rPr>
          <w:rFonts w:cs="Arial"/>
        </w:rPr>
        <w:t>MWh</w:t>
      </w:r>
      <w:proofErr w:type="spellEnd"/>
      <w:r w:rsidRPr="00937249">
        <w:rPr>
          <w:rFonts w:cs="Arial"/>
        </w:rPr>
        <w:t xml:space="preserve"> with capacity factors ranging from 22 to 32 percent. Solar in the Puget Sound Region would fall into the upper end of the cost per </w:t>
      </w:r>
      <w:proofErr w:type="spellStart"/>
      <w:r w:rsidRPr="00937249">
        <w:rPr>
          <w:rFonts w:cs="Arial"/>
        </w:rPr>
        <w:t>MWh</w:t>
      </w:r>
      <w:proofErr w:type="spellEnd"/>
      <w:r w:rsidRPr="00937249">
        <w:rPr>
          <w:rFonts w:cs="Arial"/>
        </w:rPr>
        <w:t xml:space="preserve"> range or even higher due to the poor solar profile of the area.</w:t>
      </w:r>
    </w:p>
    <w:p w14:paraId="355F5238" w14:textId="77777777" w:rsidR="00AD0F38" w:rsidRPr="00937249" w:rsidRDefault="00AD0F38" w:rsidP="00937249">
      <w:pPr>
        <w:pStyle w:val="IRPsanstext"/>
        <w:rPr>
          <w:rFonts w:cs="Arial"/>
        </w:rPr>
      </w:pPr>
    </w:p>
    <w:p w14:paraId="24E1F9CC" w14:textId="77777777" w:rsidR="00E74063" w:rsidRDefault="00E74063">
      <w:pPr>
        <w:rPr>
          <w:rFonts w:cs="Arial"/>
        </w:rPr>
      </w:pPr>
      <w:r>
        <w:rPr>
          <w:rFonts w:cs="Arial"/>
        </w:rPr>
        <w:br w:type="page"/>
      </w:r>
    </w:p>
    <w:p w14:paraId="0C38DD95" w14:textId="77777777" w:rsidR="00AD0F38" w:rsidRPr="00E74063" w:rsidRDefault="00AD0F38" w:rsidP="00E74063">
      <w:pPr>
        <w:jc w:val="center"/>
        <w:rPr>
          <w:rFonts w:ascii="Arial" w:hAnsi="Arial" w:cs="Arial"/>
          <w:i/>
          <w:sz w:val="20"/>
          <w:szCs w:val="20"/>
        </w:rPr>
      </w:pPr>
      <w:r w:rsidRPr="00E74063">
        <w:rPr>
          <w:rFonts w:ascii="Arial" w:hAnsi="Arial" w:cs="Arial"/>
          <w:i/>
          <w:sz w:val="20"/>
          <w:szCs w:val="20"/>
        </w:rPr>
        <w:lastRenderedPageBreak/>
        <w:t>Figure 6-2</w:t>
      </w:r>
      <w:r w:rsidR="00855BD7">
        <w:rPr>
          <w:rFonts w:ascii="Arial" w:hAnsi="Arial" w:cs="Arial"/>
          <w:i/>
          <w:sz w:val="20"/>
          <w:szCs w:val="20"/>
        </w:rPr>
        <w:t>5</w:t>
      </w:r>
      <w:r w:rsidRPr="00E74063">
        <w:rPr>
          <w:rFonts w:ascii="Arial" w:hAnsi="Arial" w:cs="Arial"/>
          <w:i/>
          <w:sz w:val="20"/>
          <w:szCs w:val="20"/>
        </w:rPr>
        <w:t>: Utility-scale Solar PV Capital Cost Estimates</w:t>
      </w:r>
    </w:p>
    <w:p w14:paraId="7C9941C4" w14:textId="77777777" w:rsidR="00AD0F38" w:rsidRPr="00937249" w:rsidRDefault="00E74063" w:rsidP="00937249">
      <w:pPr>
        <w:pStyle w:val="IRPsanstext"/>
        <w:rPr>
          <w:rFonts w:cs="Arial"/>
        </w:rPr>
      </w:pPr>
      <w:r w:rsidRPr="00937249">
        <w:rPr>
          <w:rFonts w:cs="Arial"/>
          <w:noProof/>
          <w:lang w:eastAsia="en-US"/>
        </w:rPr>
        <w:drawing>
          <wp:anchor distT="0" distB="0" distL="114300" distR="114300" simplePos="0" relativeHeight="251645440" behindDoc="0" locked="0" layoutInCell="1" allowOverlap="1" wp14:anchorId="360DA258" wp14:editId="4419E9BA">
            <wp:simplePos x="0" y="0"/>
            <wp:positionH relativeFrom="column">
              <wp:posOffset>51435</wp:posOffset>
            </wp:positionH>
            <wp:positionV relativeFrom="paragraph">
              <wp:posOffset>146050</wp:posOffset>
            </wp:positionV>
            <wp:extent cx="5426075" cy="4066540"/>
            <wp:effectExtent l="0" t="0" r="9525" b="0"/>
            <wp:wrapTopAndBottom/>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26075" cy="4066540"/>
                    </a:xfrm>
                    <a:prstGeom prst="rect">
                      <a:avLst/>
                    </a:prstGeom>
                    <a:noFill/>
                    <a:ln>
                      <a:noFill/>
                    </a:ln>
                    <a:extLst/>
                  </pic:spPr>
                </pic:pic>
              </a:graphicData>
            </a:graphic>
          </wp:anchor>
        </w:drawing>
      </w:r>
    </w:p>
    <w:p w14:paraId="1E7CF597" w14:textId="77777777" w:rsidR="00E74063" w:rsidRDefault="00E74063">
      <w:pPr>
        <w:rPr>
          <w:rFonts w:ascii="Arial" w:hAnsi="Arial" w:cs="Arial"/>
          <w:sz w:val="20"/>
          <w:szCs w:val="20"/>
        </w:rPr>
      </w:pPr>
      <w:r>
        <w:rPr>
          <w:rFonts w:cs="Arial"/>
        </w:rPr>
        <w:br w:type="page"/>
      </w:r>
    </w:p>
    <w:p w14:paraId="3AE65F39" w14:textId="77777777" w:rsidR="00AD0F38" w:rsidRPr="00937249" w:rsidRDefault="00AD0F38" w:rsidP="00937249">
      <w:pPr>
        <w:pStyle w:val="IRPsanstext"/>
        <w:rPr>
          <w:rFonts w:cs="Arial"/>
        </w:rPr>
      </w:pPr>
      <w:r w:rsidRPr="00937249">
        <w:rPr>
          <w:rFonts w:cs="Arial"/>
        </w:rPr>
        <w:lastRenderedPageBreak/>
        <w:t>Figure 6-2</w:t>
      </w:r>
      <w:r w:rsidR="00855BD7">
        <w:rPr>
          <w:rFonts w:cs="Arial"/>
        </w:rPr>
        <w:t>6</w:t>
      </w:r>
      <w:r w:rsidRPr="00937249">
        <w:rPr>
          <w:rFonts w:cs="Arial"/>
        </w:rPr>
        <w:t xml:space="preserve"> shows the impact of capital cost on solar </w:t>
      </w:r>
      <w:proofErr w:type="spellStart"/>
      <w:r w:rsidRPr="00937249">
        <w:rPr>
          <w:rFonts w:cs="Arial"/>
        </w:rPr>
        <w:t>levelized</w:t>
      </w:r>
      <w:proofErr w:type="spellEnd"/>
      <w:r w:rsidRPr="00937249">
        <w:rPr>
          <w:rFonts w:cs="Arial"/>
        </w:rPr>
        <w:t xml:space="preserve"> costs at a 20 percent capacity factor, and how this compares to wind and market. Based on the current projection of 2016 capital costs at $2,664 per kW, costs would have to decrease by over 50 percent to $1,283 per kW to be competitive with wind. In areas with higher solar potential the curve would shift down proportionally based on the capacity factor.</w:t>
      </w:r>
    </w:p>
    <w:p w14:paraId="32DFDE7B" w14:textId="77777777" w:rsidR="00AD0F38" w:rsidRPr="00937249" w:rsidRDefault="00AD0F38" w:rsidP="00937249">
      <w:pPr>
        <w:pStyle w:val="IRPsanstext"/>
        <w:rPr>
          <w:rFonts w:cs="Arial"/>
        </w:rPr>
      </w:pPr>
    </w:p>
    <w:p w14:paraId="5166E72E" w14:textId="77777777" w:rsidR="00AD0F38" w:rsidRPr="00E74063" w:rsidRDefault="00E74063" w:rsidP="00E74063">
      <w:pPr>
        <w:jc w:val="center"/>
        <w:rPr>
          <w:rFonts w:ascii="Arial" w:hAnsi="Arial" w:cs="Arial"/>
          <w:i/>
          <w:sz w:val="20"/>
          <w:szCs w:val="20"/>
        </w:rPr>
      </w:pPr>
      <w:r w:rsidRPr="00E74063">
        <w:rPr>
          <w:rFonts w:ascii="Arial" w:hAnsi="Arial" w:cs="Arial"/>
          <w:i/>
          <w:noProof/>
          <w:sz w:val="20"/>
          <w:szCs w:val="20"/>
          <w:lang w:eastAsia="en-US"/>
        </w:rPr>
        <w:drawing>
          <wp:anchor distT="0" distB="0" distL="114300" distR="114300" simplePos="0" relativeHeight="251646464" behindDoc="0" locked="0" layoutInCell="1" allowOverlap="1" wp14:anchorId="312863A8" wp14:editId="7583EAC3">
            <wp:simplePos x="0" y="0"/>
            <wp:positionH relativeFrom="column">
              <wp:posOffset>51435</wp:posOffset>
            </wp:positionH>
            <wp:positionV relativeFrom="paragraph">
              <wp:posOffset>215900</wp:posOffset>
            </wp:positionV>
            <wp:extent cx="5403215" cy="3917315"/>
            <wp:effectExtent l="0" t="0" r="6985" b="0"/>
            <wp:wrapTopAndBottom/>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3215" cy="3917315"/>
                    </a:xfrm>
                    <a:prstGeom prst="rect">
                      <a:avLst/>
                    </a:prstGeom>
                    <a:noFill/>
                    <a:ln>
                      <a:noFill/>
                    </a:ln>
                    <a:effectLst/>
                    <a:extLst/>
                  </pic:spPr>
                </pic:pic>
              </a:graphicData>
            </a:graphic>
          </wp:anchor>
        </w:drawing>
      </w:r>
      <w:r w:rsidR="00AD0F38" w:rsidRPr="00E74063">
        <w:rPr>
          <w:rFonts w:ascii="Arial" w:hAnsi="Arial" w:cs="Arial"/>
          <w:i/>
          <w:sz w:val="20"/>
          <w:szCs w:val="20"/>
        </w:rPr>
        <w:t>Figure 6-2</w:t>
      </w:r>
      <w:r w:rsidR="00855BD7">
        <w:rPr>
          <w:rFonts w:ascii="Arial" w:hAnsi="Arial" w:cs="Arial"/>
          <w:i/>
          <w:sz w:val="20"/>
          <w:szCs w:val="20"/>
        </w:rPr>
        <w:t>6</w:t>
      </w:r>
      <w:r w:rsidR="00AD0F38" w:rsidRPr="00E74063">
        <w:rPr>
          <w:rFonts w:ascii="Arial" w:hAnsi="Arial" w:cs="Arial"/>
          <w:i/>
          <w:sz w:val="20"/>
          <w:szCs w:val="20"/>
        </w:rPr>
        <w:t xml:space="preserve">: Solar PV </w:t>
      </w:r>
      <w:proofErr w:type="spellStart"/>
      <w:r w:rsidR="00AD0F38" w:rsidRPr="00E74063">
        <w:rPr>
          <w:rFonts w:ascii="Arial" w:hAnsi="Arial" w:cs="Arial"/>
          <w:i/>
          <w:sz w:val="20"/>
          <w:szCs w:val="20"/>
        </w:rPr>
        <w:t>Levelized</w:t>
      </w:r>
      <w:proofErr w:type="spellEnd"/>
      <w:r w:rsidR="00AD0F38" w:rsidRPr="00E74063">
        <w:rPr>
          <w:rFonts w:ascii="Arial" w:hAnsi="Arial" w:cs="Arial"/>
          <w:i/>
          <w:sz w:val="20"/>
          <w:szCs w:val="20"/>
        </w:rPr>
        <w:t xml:space="preserve"> Revenue Requirements</w:t>
      </w:r>
    </w:p>
    <w:p w14:paraId="73BFA906" w14:textId="77777777" w:rsidR="00AD0F38" w:rsidRPr="00937249" w:rsidRDefault="00AD0F38" w:rsidP="00937249">
      <w:pPr>
        <w:pStyle w:val="IRPsanstext"/>
        <w:rPr>
          <w:rFonts w:cs="Arial"/>
        </w:rPr>
      </w:pPr>
    </w:p>
    <w:p w14:paraId="1AC438CD" w14:textId="77777777" w:rsidR="00AD0F38" w:rsidRPr="00937249" w:rsidRDefault="00AD0F38" w:rsidP="00937249">
      <w:pPr>
        <w:pStyle w:val="IRPsanstext"/>
        <w:rPr>
          <w:rFonts w:cs="Arial"/>
        </w:rPr>
      </w:pPr>
    </w:p>
    <w:p w14:paraId="74C3E06B" w14:textId="77777777" w:rsidR="00AD0F38" w:rsidRPr="00937249" w:rsidRDefault="00AD0F38" w:rsidP="00937249">
      <w:pPr>
        <w:pStyle w:val="IRPsanstext"/>
        <w:rPr>
          <w:rFonts w:cs="Arial"/>
        </w:rPr>
      </w:pPr>
    </w:p>
    <w:p w14:paraId="198561CF" w14:textId="77777777" w:rsidR="00E74063" w:rsidRDefault="00E74063">
      <w:pPr>
        <w:rPr>
          <w:rFonts w:ascii="Arial" w:hAnsi="Arial" w:cs="Arial"/>
          <w:sz w:val="20"/>
          <w:szCs w:val="20"/>
        </w:rPr>
      </w:pPr>
      <w:r>
        <w:rPr>
          <w:rFonts w:cs="Arial"/>
        </w:rPr>
        <w:br w:type="page"/>
      </w:r>
    </w:p>
    <w:p w14:paraId="2D05FC45" w14:textId="77777777" w:rsidR="00AD0F38" w:rsidRPr="00937249" w:rsidRDefault="00AD0F38" w:rsidP="00937249">
      <w:pPr>
        <w:pStyle w:val="IRPsanstext"/>
        <w:rPr>
          <w:rFonts w:cs="Arial"/>
        </w:rPr>
      </w:pPr>
      <w:r w:rsidRPr="00937249">
        <w:rPr>
          <w:rFonts w:cs="Arial"/>
        </w:rPr>
        <w:lastRenderedPageBreak/>
        <w:t>Figure 6-2</w:t>
      </w:r>
      <w:r w:rsidR="00855BD7">
        <w:rPr>
          <w:rFonts w:cs="Arial"/>
        </w:rPr>
        <w:t>7</w:t>
      </w:r>
      <w:r w:rsidRPr="00937249">
        <w:rPr>
          <w:rFonts w:cs="Arial"/>
        </w:rPr>
        <w:t xml:space="preserve"> compares wind and solar cost components. Solar resources clearly have higher capital costs and lower capacity factors than wind resources, which makes it difficult for solar to compete with wind resources as a renewable alternative in Washington.</w:t>
      </w:r>
    </w:p>
    <w:p w14:paraId="59ABB423" w14:textId="77777777" w:rsidR="00E74063" w:rsidRDefault="00E74063" w:rsidP="00937249">
      <w:pPr>
        <w:pStyle w:val="IRPsanstext"/>
        <w:rPr>
          <w:rFonts w:cs="Arial"/>
        </w:rPr>
      </w:pPr>
    </w:p>
    <w:p w14:paraId="2B2A9116" w14:textId="77777777" w:rsidR="00AD0F38" w:rsidRPr="00E74063" w:rsidRDefault="00166809" w:rsidP="00E74063">
      <w:pPr>
        <w:pStyle w:val="IRPsanstext"/>
        <w:jc w:val="center"/>
        <w:rPr>
          <w:rFonts w:cs="Arial"/>
          <w:i/>
        </w:rPr>
      </w:pPr>
      <w:r w:rsidRPr="00937249">
        <w:rPr>
          <w:rFonts w:cs="Arial"/>
          <w:noProof/>
          <w:lang w:eastAsia="en-US"/>
        </w:rPr>
        <w:drawing>
          <wp:anchor distT="0" distB="0" distL="114300" distR="114300" simplePos="0" relativeHeight="251665920" behindDoc="0" locked="0" layoutInCell="1" allowOverlap="1" wp14:anchorId="60D226A9" wp14:editId="792209EB">
            <wp:simplePos x="0" y="0"/>
            <wp:positionH relativeFrom="column">
              <wp:posOffset>-62865</wp:posOffset>
            </wp:positionH>
            <wp:positionV relativeFrom="paragraph">
              <wp:posOffset>327660</wp:posOffset>
            </wp:positionV>
            <wp:extent cx="5600700" cy="4430395"/>
            <wp:effectExtent l="0" t="0" r="0" b="0"/>
            <wp:wrapTopAndBottom/>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00700" cy="4430395"/>
                    </a:xfrm>
                    <a:prstGeom prst="rect">
                      <a:avLst/>
                    </a:prstGeom>
                    <a:noFill/>
                    <a:ln>
                      <a:noFill/>
                    </a:ln>
                    <a:effectLst/>
                    <a:extLst/>
                  </pic:spPr>
                </pic:pic>
              </a:graphicData>
            </a:graphic>
          </wp:anchor>
        </w:drawing>
      </w:r>
      <w:r w:rsidR="00AD0F38" w:rsidRPr="00E74063">
        <w:rPr>
          <w:rFonts w:cs="Arial"/>
          <w:i/>
        </w:rPr>
        <w:t>Figure 6-2</w:t>
      </w:r>
      <w:r w:rsidR="00855BD7">
        <w:rPr>
          <w:rFonts w:cs="Arial"/>
          <w:i/>
        </w:rPr>
        <w:t>7</w:t>
      </w:r>
      <w:r w:rsidR="00AD0F38" w:rsidRPr="00E74063">
        <w:rPr>
          <w:rFonts w:cs="Arial"/>
          <w:i/>
        </w:rPr>
        <w:t>: Wind and Solar Cost Components</w:t>
      </w:r>
    </w:p>
    <w:p w14:paraId="1B0CC1D3" w14:textId="77777777" w:rsidR="00AD0F38" w:rsidRPr="00937249" w:rsidRDefault="00AD0F38" w:rsidP="00937249">
      <w:pPr>
        <w:pStyle w:val="IRPsanstext"/>
        <w:rPr>
          <w:rFonts w:cs="Arial"/>
        </w:rPr>
      </w:pPr>
    </w:p>
    <w:p w14:paraId="53748468" w14:textId="77777777" w:rsidR="00AD0F38" w:rsidRPr="00937249" w:rsidRDefault="00AD0F38" w:rsidP="00937249">
      <w:pPr>
        <w:pStyle w:val="IRPsanstext"/>
        <w:rPr>
          <w:rFonts w:cs="Arial"/>
        </w:rPr>
      </w:pPr>
    </w:p>
    <w:p w14:paraId="380871EF" w14:textId="77777777" w:rsidR="00F71565" w:rsidRPr="00D60616" w:rsidRDefault="00AD0F38" w:rsidP="00F71565">
      <w:pPr>
        <w:pStyle w:val="IRPsanstext"/>
      </w:pPr>
      <w:r w:rsidRPr="00937249">
        <w:rPr>
          <w:rFonts w:cs="Arial"/>
        </w:rPr>
        <w:br w:type="page"/>
      </w:r>
    </w:p>
    <w:p w14:paraId="3707A3BC" w14:textId="77777777" w:rsidR="005B2826" w:rsidRDefault="00AD0F38" w:rsidP="00704F20">
      <w:pPr>
        <w:pStyle w:val="IRPsecthead1serif"/>
        <w:rPr>
          <w:b/>
          <w:color w:val="156570"/>
        </w:rPr>
      </w:pPr>
      <w:r w:rsidRPr="00D869A1">
        <w:rPr>
          <w:b/>
          <w:color w:val="156570"/>
        </w:rPr>
        <w:lastRenderedPageBreak/>
        <w:t>S</w:t>
      </w:r>
      <w:r w:rsidR="00D869A1" w:rsidRPr="00D869A1">
        <w:rPr>
          <w:b/>
          <w:color w:val="156570"/>
        </w:rPr>
        <w:t>ENSITIVITY</w:t>
      </w:r>
      <w:r w:rsidRPr="00D869A1">
        <w:rPr>
          <w:b/>
          <w:color w:val="156570"/>
        </w:rPr>
        <w:t xml:space="preserve"> </w:t>
      </w:r>
      <w:r w:rsidR="00D869A1" w:rsidRPr="00D869A1">
        <w:rPr>
          <w:b/>
          <w:color w:val="156570"/>
        </w:rPr>
        <w:t xml:space="preserve">ANALYSIS </w:t>
      </w:r>
      <w:r w:rsidRPr="00D869A1">
        <w:rPr>
          <w:b/>
          <w:color w:val="156570"/>
        </w:rPr>
        <w:t>R</w:t>
      </w:r>
      <w:r w:rsidR="00D869A1" w:rsidRPr="00D869A1">
        <w:rPr>
          <w:b/>
          <w:color w:val="156570"/>
        </w:rPr>
        <w:t>ESULTS</w:t>
      </w:r>
    </w:p>
    <w:p w14:paraId="3B2128D5" w14:textId="77777777" w:rsidR="00D869A1" w:rsidRPr="00D869A1" w:rsidRDefault="005B2826" w:rsidP="00704F20">
      <w:pPr>
        <w:pStyle w:val="IRPsecthead1serif"/>
        <w:rPr>
          <w:b/>
          <w:color w:val="156570"/>
        </w:rPr>
      </w:pPr>
      <w:r>
        <w:rPr>
          <w:b/>
          <w:color w:val="156570"/>
        </w:rPr>
        <w:t>USING 2013 PLANNING STANDARD</w:t>
      </w:r>
      <w:r w:rsidR="00A32941" w:rsidRPr="00D869A1">
        <w:rPr>
          <w:b/>
          <w:color w:val="156570"/>
        </w:rPr>
        <w:t xml:space="preserve"> </w:t>
      </w:r>
    </w:p>
    <w:p w14:paraId="02283C70" w14:textId="77777777" w:rsidR="00D60616" w:rsidRPr="00D60616" w:rsidRDefault="00D60616" w:rsidP="00AD0F38">
      <w:pPr>
        <w:spacing w:line="300" w:lineRule="auto"/>
        <w:rPr>
          <w:rFonts w:ascii="Arial" w:hAnsi="Arial"/>
          <w:sz w:val="32"/>
          <w:szCs w:val="32"/>
        </w:rPr>
      </w:pPr>
    </w:p>
    <w:p w14:paraId="5CA34BFC" w14:textId="77777777" w:rsidR="00AD0F38" w:rsidRPr="00D60616" w:rsidRDefault="00AD0F38" w:rsidP="00AD0F38">
      <w:pPr>
        <w:spacing w:line="300" w:lineRule="auto"/>
        <w:rPr>
          <w:rFonts w:ascii="Arial" w:hAnsi="Arial"/>
          <w:sz w:val="32"/>
          <w:szCs w:val="32"/>
        </w:rPr>
      </w:pPr>
      <w:r w:rsidRPr="00D60616">
        <w:rPr>
          <w:rFonts w:ascii="Arial" w:hAnsi="Arial"/>
          <w:sz w:val="32"/>
          <w:szCs w:val="32"/>
        </w:rPr>
        <w:t>A. Colstrip</w:t>
      </w:r>
    </w:p>
    <w:p w14:paraId="7FA6DE55" w14:textId="77777777" w:rsidR="00AD0F38" w:rsidRDefault="00AD0F38" w:rsidP="00AD0F38">
      <w:pPr>
        <w:spacing w:line="300" w:lineRule="auto"/>
        <w:rPr>
          <w:rFonts w:ascii="Arial" w:hAnsi="Arial"/>
          <w:b/>
          <w:i/>
          <w:sz w:val="20"/>
        </w:rPr>
      </w:pPr>
    </w:p>
    <w:p w14:paraId="3FAC6747" w14:textId="77777777" w:rsidR="00AD0F38" w:rsidRPr="00704F20" w:rsidRDefault="00AD0F38" w:rsidP="00704F20">
      <w:pPr>
        <w:pStyle w:val="IRPsanstext"/>
        <w:rPr>
          <w:b/>
        </w:rPr>
      </w:pPr>
      <w:r w:rsidRPr="00704F20">
        <w:rPr>
          <w:b/>
        </w:rPr>
        <w:t>If Colstrip units are retired, what is the most cost-effective way to replace those resources?</w:t>
      </w:r>
    </w:p>
    <w:p w14:paraId="5402E722" w14:textId="77777777" w:rsidR="00AD0F38" w:rsidRPr="00704F20" w:rsidRDefault="00AD0F38" w:rsidP="00704F20">
      <w:pPr>
        <w:pStyle w:val="IRPsanstext"/>
        <w:ind w:left="720"/>
        <w:rPr>
          <w:b/>
        </w:rPr>
      </w:pPr>
      <w:r w:rsidRPr="00704F20">
        <w:rPr>
          <w:b/>
        </w:rPr>
        <w:t>Baseline: All four Colstrip units remain in service.</w:t>
      </w:r>
    </w:p>
    <w:p w14:paraId="0E69E31D" w14:textId="77777777" w:rsidR="00AD0F38" w:rsidRPr="00704F20" w:rsidRDefault="00AD0F38" w:rsidP="00704F20">
      <w:pPr>
        <w:pStyle w:val="IRPsanstext"/>
        <w:ind w:left="720"/>
        <w:rPr>
          <w:b/>
        </w:rPr>
      </w:pPr>
      <w:r w:rsidRPr="00704F20">
        <w:rPr>
          <w:b/>
        </w:rPr>
        <w:t>Sensitivity 1: Units 1 &amp; 2 retire in 2026</w:t>
      </w:r>
      <w:r w:rsidR="00704F20">
        <w:rPr>
          <w:b/>
        </w:rPr>
        <w:t xml:space="preserve"> (</w:t>
      </w:r>
      <w:r w:rsidR="003961E1" w:rsidRPr="00704F20">
        <w:rPr>
          <w:b/>
        </w:rPr>
        <w:t xml:space="preserve">PSE owns 307 MW total </w:t>
      </w:r>
      <w:r w:rsidR="00704F20">
        <w:rPr>
          <w:b/>
        </w:rPr>
        <w:t>c</w:t>
      </w:r>
      <w:r w:rsidR="003961E1" w:rsidRPr="00704F20">
        <w:rPr>
          <w:b/>
        </w:rPr>
        <w:t>apacity</w:t>
      </w:r>
      <w:r w:rsidR="00704F20">
        <w:rPr>
          <w:b/>
        </w:rPr>
        <w:t>)</w:t>
      </w:r>
      <w:r w:rsidRPr="00704F20">
        <w:rPr>
          <w:b/>
        </w:rPr>
        <w:t>.</w:t>
      </w:r>
    </w:p>
    <w:p w14:paraId="0F3A8842" w14:textId="77777777" w:rsidR="00AD0F38" w:rsidRPr="00704F20" w:rsidRDefault="00AD0F38" w:rsidP="00704F20">
      <w:pPr>
        <w:pStyle w:val="IRPsanstext"/>
        <w:ind w:left="720"/>
        <w:rPr>
          <w:b/>
        </w:rPr>
      </w:pPr>
      <w:r w:rsidRPr="00704F20">
        <w:rPr>
          <w:b/>
        </w:rPr>
        <w:t>Sensitivity 2: All four units retire in 2026</w:t>
      </w:r>
      <w:r w:rsidR="003961E1" w:rsidRPr="00704F20">
        <w:rPr>
          <w:b/>
        </w:rPr>
        <w:t xml:space="preserve"> </w:t>
      </w:r>
      <w:r w:rsidR="00704F20">
        <w:rPr>
          <w:b/>
        </w:rPr>
        <w:t>(</w:t>
      </w:r>
      <w:r w:rsidR="003961E1" w:rsidRPr="00704F20">
        <w:rPr>
          <w:b/>
        </w:rPr>
        <w:t xml:space="preserve">PSE owns 677 MW total </w:t>
      </w:r>
      <w:r w:rsidR="00704F20">
        <w:rPr>
          <w:b/>
        </w:rPr>
        <w:t>c</w:t>
      </w:r>
      <w:r w:rsidR="003961E1" w:rsidRPr="00704F20">
        <w:rPr>
          <w:b/>
        </w:rPr>
        <w:t>ap</w:t>
      </w:r>
      <w:r w:rsidR="00704F20">
        <w:rPr>
          <w:b/>
        </w:rPr>
        <w:t>a</w:t>
      </w:r>
      <w:r w:rsidR="003961E1" w:rsidRPr="00704F20">
        <w:rPr>
          <w:b/>
        </w:rPr>
        <w:t>city</w:t>
      </w:r>
      <w:r w:rsidR="00704F20">
        <w:rPr>
          <w:b/>
        </w:rPr>
        <w:t>)</w:t>
      </w:r>
      <w:r w:rsidRPr="00704F20">
        <w:rPr>
          <w:b/>
        </w:rPr>
        <w:t>.</w:t>
      </w:r>
    </w:p>
    <w:p w14:paraId="538A12B5" w14:textId="77777777" w:rsidR="00AD0F38" w:rsidRPr="00393525" w:rsidRDefault="00AD0F38" w:rsidP="00AD0F38">
      <w:pPr>
        <w:spacing w:line="300" w:lineRule="auto"/>
        <w:rPr>
          <w:rFonts w:ascii="Arial" w:hAnsi="Arial"/>
          <w:b/>
          <w:i/>
          <w:sz w:val="20"/>
        </w:rPr>
      </w:pPr>
    </w:p>
    <w:p w14:paraId="72FC9593" w14:textId="77777777" w:rsidR="00AD0F38" w:rsidRPr="00D02777" w:rsidRDefault="00AD0F38" w:rsidP="00AD0F38">
      <w:pPr>
        <w:pStyle w:val="IRPsanstext"/>
      </w:pPr>
      <w:r>
        <w:rPr>
          <w:rFonts w:eastAsia="Cambria" w:cs="Arial"/>
        </w:rPr>
        <w:t xml:space="preserve">This sensitivity tested a “replacement power” portfolio analysis that took Colstrip out of PSE’s portfolio across three scenarios (Low, Base and High), so that we could compare the different portfolio builds.  </w:t>
      </w:r>
      <w:r w:rsidR="003961E1">
        <w:rPr>
          <w:rFonts w:eastAsia="Cambria" w:cs="Arial"/>
        </w:rPr>
        <w:t>As part of the assumptions for Colstrip retirement, we also assumed that the</w:t>
      </w:r>
      <w:r w:rsidR="00704F20">
        <w:rPr>
          <w:rFonts w:eastAsia="Cambria" w:cs="Arial"/>
        </w:rPr>
        <w:t xml:space="preserve"> Colstrip</w:t>
      </w:r>
      <w:r w:rsidR="003961E1">
        <w:rPr>
          <w:rFonts w:eastAsia="Cambria" w:cs="Arial"/>
        </w:rPr>
        <w:t xml:space="preserve"> transmission capacity </w:t>
      </w:r>
      <w:r w:rsidR="00704F20">
        <w:rPr>
          <w:rFonts w:eastAsia="Cambria" w:cs="Arial"/>
        </w:rPr>
        <w:t>wa</w:t>
      </w:r>
      <w:r w:rsidR="00F736A8">
        <w:rPr>
          <w:rFonts w:eastAsia="Cambria" w:cs="Arial"/>
        </w:rPr>
        <w:t>s</w:t>
      </w:r>
      <w:r w:rsidR="003961E1">
        <w:rPr>
          <w:rFonts w:eastAsia="Cambria" w:cs="Arial"/>
        </w:rPr>
        <w:t xml:space="preserve"> available for wind resources in Montana, </w:t>
      </w:r>
      <w:r w:rsidR="003D09B7">
        <w:rPr>
          <w:rFonts w:eastAsia="Cambria" w:cs="Arial"/>
        </w:rPr>
        <w:t xml:space="preserve">so </w:t>
      </w:r>
      <w:r w:rsidR="003961E1">
        <w:rPr>
          <w:rFonts w:eastAsia="Cambria" w:cs="Arial"/>
        </w:rPr>
        <w:t>the generic M</w:t>
      </w:r>
      <w:r w:rsidR="003D09B7">
        <w:rPr>
          <w:rFonts w:eastAsia="Cambria" w:cs="Arial"/>
        </w:rPr>
        <w:t>ontana</w:t>
      </w:r>
      <w:r w:rsidR="003961E1">
        <w:rPr>
          <w:rFonts w:eastAsia="Cambria" w:cs="Arial"/>
        </w:rPr>
        <w:t xml:space="preserve"> wind costs were reduced to reflect </w:t>
      </w:r>
      <w:r w:rsidR="003D09B7">
        <w:rPr>
          <w:rFonts w:eastAsia="Cambria" w:cs="Arial"/>
        </w:rPr>
        <w:t xml:space="preserve">this assumption. </w:t>
      </w:r>
      <w:r w:rsidR="003961E1">
        <w:rPr>
          <w:rFonts w:eastAsia="Cambria" w:cs="Arial"/>
        </w:rPr>
        <w:t xml:space="preserve"> </w:t>
      </w:r>
      <w:r w:rsidR="003D09B7">
        <w:rPr>
          <w:rFonts w:eastAsia="Cambria" w:cs="Arial"/>
        </w:rPr>
        <w:t>(</w:t>
      </w:r>
      <w:r w:rsidR="00F736A8">
        <w:rPr>
          <w:rFonts w:eastAsia="Cambria" w:cs="Arial"/>
        </w:rPr>
        <w:t xml:space="preserve">See Scenario A in </w:t>
      </w:r>
      <w:r w:rsidR="003D09B7">
        <w:rPr>
          <w:rFonts w:eastAsia="Cambria" w:cs="Arial"/>
        </w:rPr>
        <w:t xml:space="preserve">the </w:t>
      </w:r>
      <w:r w:rsidR="00F736A8">
        <w:rPr>
          <w:rFonts w:eastAsia="Cambria" w:cs="Arial"/>
        </w:rPr>
        <w:t>Montana Wind sensitivity section of this chapter</w:t>
      </w:r>
      <w:r w:rsidR="00E94232">
        <w:rPr>
          <w:rFonts w:eastAsia="Cambria" w:cs="Arial"/>
        </w:rPr>
        <w:t>)</w:t>
      </w:r>
      <w:r w:rsidR="003961E1">
        <w:rPr>
          <w:rFonts w:eastAsia="Cambria" w:cs="Arial"/>
        </w:rPr>
        <w:t xml:space="preserve">.   </w:t>
      </w:r>
      <w:r>
        <w:rPr>
          <w:rFonts w:eastAsia="Cambria" w:cs="Arial"/>
        </w:rPr>
        <w:t xml:space="preserve"> </w:t>
      </w:r>
    </w:p>
    <w:p w14:paraId="5F0310DA" w14:textId="77777777" w:rsidR="00AD0F38" w:rsidRDefault="00AD0F38" w:rsidP="00AD0F38">
      <w:pPr>
        <w:pStyle w:val="IRPsanstext"/>
        <w:rPr>
          <w:rFonts w:eastAsia="Cambria" w:cs="Arial"/>
        </w:rPr>
      </w:pPr>
    </w:p>
    <w:p w14:paraId="13AA5D21" w14:textId="77777777" w:rsidR="00AD0F38" w:rsidRDefault="00AD0F38" w:rsidP="00AD0F38">
      <w:pPr>
        <w:pStyle w:val="IRPsanstext"/>
        <w:rPr>
          <w:rFonts w:eastAsia="Cambria" w:cs="Arial"/>
        </w:rPr>
      </w:pPr>
      <w:r w:rsidRPr="003B1E0E">
        <w:rPr>
          <w:b/>
        </w:rPr>
        <w:t>Baseline Result.</w:t>
      </w:r>
      <w:r>
        <w:rPr>
          <w:rFonts w:eastAsia="Cambria" w:cs="Arial"/>
        </w:rPr>
        <w:t xml:space="preserve"> </w:t>
      </w:r>
      <w:r w:rsidR="00F736A8">
        <w:rPr>
          <w:rFonts w:eastAsia="Cambria" w:cs="Arial"/>
        </w:rPr>
        <w:t>When all four Colstrip units remain in service, f</w:t>
      </w:r>
      <w:r>
        <w:rPr>
          <w:rFonts w:eastAsia="Cambria" w:cs="Arial"/>
        </w:rPr>
        <w:t xml:space="preserve">rame </w:t>
      </w:r>
      <w:proofErr w:type="spellStart"/>
      <w:r>
        <w:rPr>
          <w:rFonts w:eastAsia="Cambria" w:cs="Arial"/>
        </w:rPr>
        <w:t>peakers</w:t>
      </w:r>
      <w:proofErr w:type="spellEnd"/>
      <w:r>
        <w:rPr>
          <w:rFonts w:eastAsia="Cambria" w:cs="Arial"/>
        </w:rPr>
        <w:t xml:space="preserve"> are chosen as the lowest cost resource addition in the Base Scenario.</w:t>
      </w:r>
    </w:p>
    <w:p w14:paraId="09C37DFA" w14:textId="77777777" w:rsidR="00AD0F38" w:rsidRDefault="00AD0F38" w:rsidP="00AD0F38">
      <w:pPr>
        <w:pStyle w:val="IRPsanstext"/>
        <w:rPr>
          <w:rFonts w:eastAsia="Cambria" w:cs="Arial"/>
        </w:rPr>
      </w:pPr>
    </w:p>
    <w:p w14:paraId="2BC4A222" w14:textId="77777777" w:rsidR="00F736A8" w:rsidRDefault="00AD0F38" w:rsidP="00AD0F38">
      <w:pPr>
        <w:pStyle w:val="IRPsanstext"/>
        <w:rPr>
          <w:rFonts w:eastAsia="Cambria" w:cs="Arial"/>
        </w:rPr>
      </w:pPr>
      <w:r w:rsidRPr="003B1E0E">
        <w:rPr>
          <w:b/>
        </w:rPr>
        <w:t>Base Scenario Results.</w:t>
      </w:r>
      <w:r w:rsidRPr="00B02E04">
        <w:rPr>
          <w:rFonts w:eastAsia="Cambria" w:cs="Arial"/>
          <w:b/>
          <w:caps/>
        </w:rPr>
        <w:t xml:space="preserve"> </w:t>
      </w:r>
      <w:r w:rsidR="00867536">
        <w:rPr>
          <w:rFonts w:eastAsia="Cambria" w:cs="Arial"/>
        </w:rPr>
        <w:t xml:space="preserve">In the baseline portfolio, </w:t>
      </w:r>
      <w:r w:rsidR="00F736A8">
        <w:rPr>
          <w:rFonts w:eastAsia="Cambria" w:cs="Arial"/>
        </w:rPr>
        <w:t>two</w:t>
      </w:r>
      <w:r w:rsidR="00867536">
        <w:rPr>
          <w:rFonts w:eastAsia="Cambria" w:cs="Arial"/>
        </w:rPr>
        <w:t xml:space="preserve"> frame </w:t>
      </w:r>
      <w:proofErr w:type="spellStart"/>
      <w:r w:rsidR="00867536">
        <w:rPr>
          <w:rFonts w:eastAsia="Cambria" w:cs="Arial"/>
        </w:rPr>
        <w:t>peakers</w:t>
      </w:r>
      <w:proofErr w:type="spellEnd"/>
      <w:r w:rsidR="00867536">
        <w:rPr>
          <w:rFonts w:eastAsia="Cambria" w:cs="Arial"/>
        </w:rPr>
        <w:t xml:space="preserve"> are added in 2026 to replace the Centralia contract and meet growing demand. </w:t>
      </w:r>
    </w:p>
    <w:p w14:paraId="318CC2AD" w14:textId="77777777" w:rsidR="00F736A8" w:rsidRPr="00884900" w:rsidRDefault="00867536" w:rsidP="00AD0F38">
      <w:pPr>
        <w:pStyle w:val="IRPsanstext"/>
        <w:rPr>
          <w:rFonts w:eastAsia="Cambria" w:cs="Arial"/>
          <w:b/>
          <w:caps/>
        </w:rPr>
      </w:pPr>
      <w:r>
        <w:rPr>
          <w:rFonts w:eastAsia="Cambria" w:cs="Arial"/>
        </w:rPr>
        <w:t xml:space="preserve"> </w:t>
      </w:r>
    </w:p>
    <w:p w14:paraId="001535E7" w14:textId="77777777" w:rsidR="00F736A8" w:rsidRDefault="00867536" w:rsidP="00F26524">
      <w:pPr>
        <w:pStyle w:val="IRPsanstext"/>
        <w:numPr>
          <w:ilvl w:val="0"/>
          <w:numId w:val="32"/>
        </w:numPr>
        <w:rPr>
          <w:rFonts w:eastAsia="Cambria" w:cs="Arial"/>
        </w:rPr>
      </w:pPr>
      <w:r>
        <w:rPr>
          <w:rFonts w:eastAsia="Cambria" w:cs="Arial"/>
        </w:rPr>
        <w:t xml:space="preserve">When </w:t>
      </w:r>
      <w:r w:rsidR="00AD0F38">
        <w:rPr>
          <w:rFonts w:eastAsia="Cambria" w:cs="Arial"/>
        </w:rPr>
        <w:t xml:space="preserve">Colstrip Units 1 &amp; 2 </w:t>
      </w:r>
      <w:proofErr w:type="gramStart"/>
      <w:r w:rsidR="00AD0F38">
        <w:rPr>
          <w:rFonts w:eastAsia="Cambria" w:cs="Arial"/>
        </w:rPr>
        <w:t>are</w:t>
      </w:r>
      <w:proofErr w:type="gramEnd"/>
      <w:r w:rsidR="00AD0F38">
        <w:rPr>
          <w:rFonts w:eastAsia="Cambria" w:cs="Arial"/>
        </w:rPr>
        <w:t xml:space="preserve"> retired in 2026</w:t>
      </w:r>
      <w:r w:rsidR="00F736A8">
        <w:rPr>
          <w:rFonts w:eastAsia="Cambria" w:cs="Arial"/>
        </w:rPr>
        <w:t xml:space="preserve">, </w:t>
      </w:r>
      <w:r w:rsidR="003961E1">
        <w:rPr>
          <w:rFonts w:eastAsia="Cambria" w:cs="Arial"/>
        </w:rPr>
        <w:t>one</w:t>
      </w:r>
      <w:r>
        <w:rPr>
          <w:rFonts w:eastAsia="Cambria" w:cs="Arial"/>
        </w:rPr>
        <w:t xml:space="preserve"> additional </w:t>
      </w:r>
      <w:r w:rsidR="00AD0F38">
        <w:rPr>
          <w:rFonts w:eastAsia="Cambria" w:cs="Arial"/>
        </w:rPr>
        <w:t xml:space="preserve">frame </w:t>
      </w:r>
      <w:proofErr w:type="spellStart"/>
      <w:r w:rsidR="00AD0F38">
        <w:rPr>
          <w:rFonts w:eastAsia="Cambria" w:cs="Arial"/>
        </w:rPr>
        <w:t>peaker</w:t>
      </w:r>
      <w:proofErr w:type="spellEnd"/>
      <w:r w:rsidR="00AD0F38">
        <w:rPr>
          <w:rFonts w:eastAsia="Cambria" w:cs="Arial"/>
        </w:rPr>
        <w:t xml:space="preserve"> </w:t>
      </w:r>
      <w:r>
        <w:rPr>
          <w:rFonts w:eastAsia="Cambria" w:cs="Arial"/>
        </w:rPr>
        <w:t xml:space="preserve">is </w:t>
      </w:r>
      <w:r w:rsidR="00AD0F38">
        <w:rPr>
          <w:rFonts w:eastAsia="Cambria" w:cs="Arial"/>
        </w:rPr>
        <w:t xml:space="preserve">added to replace the lost capacity (228 MW). </w:t>
      </w:r>
      <w:r w:rsidR="003961E1">
        <w:rPr>
          <w:rFonts w:eastAsia="Cambria" w:cs="Arial"/>
        </w:rPr>
        <w:t>Also, 300 MW of wind in Montana is added on top of the 300 MW o</w:t>
      </w:r>
      <w:r w:rsidR="009840C0">
        <w:rPr>
          <w:rFonts w:eastAsia="Cambria" w:cs="Arial"/>
        </w:rPr>
        <w:t xml:space="preserve">f Washington wind for the RPS. </w:t>
      </w:r>
      <w:r w:rsidR="00F9658D">
        <w:rPr>
          <w:rFonts w:eastAsia="Cambria" w:cs="Arial"/>
        </w:rPr>
        <w:t>The M</w:t>
      </w:r>
      <w:r w:rsidR="00F736A8">
        <w:rPr>
          <w:rFonts w:eastAsia="Cambria" w:cs="Arial"/>
        </w:rPr>
        <w:t>ontana</w:t>
      </w:r>
      <w:r w:rsidR="00F9658D">
        <w:rPr>
          <w:rFonts w:eastAsia="Cambria" w:cs="Arial"/>
        </w:rPr>
        <w:t xml:space="preserve"> wind plants become cost effective with the lower capital cost for transmission upgrades and the 55</w:t>
      </w:r>
      <w:r w:rsidR="00F736A8">
        <w:rPr>
          <w:rFonts w:eastAsia="Cambria" w:cs="Arial"/>
        </w:rPr>
        <w:t xml:space="preserve"> percent</w:t>
      </w:r>
      <w:r w:rsidR="00F9658D">
        <w:rPr>
          <w:rFonts w:eastAsia="Cambria" w:cs="Arial"/>
        </w:rPr>
        <w:t xml:space="preserve"> capacity credit. If the capacity credit of MT wind is lower than 55</w:t>
      </w:r>
      <w:r w:rsidR="00F736A8">
        <w:rPr>
          <w:rFonts w:eastAsia="Cambria" w:cs="Arial"/>
        </w:rPr>
        <w:t xml:space="preserve"> percent</w:t>
      </w:r>
      <w:r w:rsidR="00F9658D">
        <w:rPr>
          <w:rFonts w:eastAsia="Cambria" w:cs="Arial"/>
        </w:rPr>
        <w:t xml:space="preserve">, then it is no longer cost effective. </w:t>
      </w:r>
      <w:r w:rsidR="009840C0">
        <w:rPr>
          <w:rFonts w:eastAsia="Cambria" w:cs="Arial"/>
        </w:rPr>
        <w:t xml:space="preserve"> </w:t>
      </w:r>
    </w:p>
    <w:p w14:paraId="48C1843B" w14:textId="77777777" w:rsidR="00F736A8" w:rsidRDefault="00AD0F38" w:rsidP="00F26524">
      <w:pPr>
        <w:pStyle w:val="IRPsanstext"/>
        <w:numPr>
          <w:ilvl w:val="0"/>
          <w:numId w:val="32"/>
        </w:numPr>
        <w:rPr>
          <w:rFonts w:eastAsia="Cambria" w:cs="Arial"/>
        </w:rPr>
      </w:pPr>
      <w:r>
        <w:rPr>
          <w:rFonts w:eastAsia="Cambria" w:cs="Arial"/>
        </w:rPr>
        <w:t>When all 4 units are retired in 2026</w:t>
      </w:r>
      <w:r w:rsidR="00F736A8">
        <w:rPr>
          <w:rFonts w:eastAsia="Cambria" w:cs="Arial"/>
        </w:rPr>
        <w:t xml:space="preserve">, </w:t>
      </w:r>
      <w:r w:rsidR="006C3677">
        <w:rPr>
          <w:rFonts w:eastAsia="Cambria" w:cs="Arial"/>
        </w:rPr>
        <w:t>two</w:t>
      </w:r>
      <w:r w:rsidR="00F736A8">
        <w:rPr>
          <w:rFonts w:eastAsia="Cambria" w:cs="Arial"/>
        </w:rPr>
        <w:t xml:space="preserve"> </w:t>
      </w:r>
      <w:r>
        <w:rPr>
          <w:rFonts w:eastAsia="Cambria" w:cs="Arial"/>
        </w:rPr>
        <w:t>CCCT units (385 MW</w:t>
      </w:r>
      <w:r w:rsidR="00466B1D">
        <w:rPr>
          <w:rFonts w:eastAsia="Cambria" w:cs="Arial"/>
        </w:rPr>
        <w:t xml:space="preserve"> each</w:t>
      </w:r>
      <w:r>
        <w:rPr>
          <w:rFonts w:eastAsia="Cambria" w:cs="Arial"/>
        </w:rPr>
        <w:t xml:space="preserve">) </w:t>
      </w:r>
      <w:r w:rsidR="006C3677">
        <w:rPr>
          <w:rFonts w:eastAsia="Cambria" w:cs="Arial"/>
        </w:rPr>
        <w:t xml:space="preserve">and one frame </w:t>
      </w:r>
      <w:proofErr w:type="spellStart"/>
      <w:r w:rsidR="006C3677">
        <w:rPr>
          <w:rFonts w:eastAsia="Cambria" w:cs="Arial"/>
        </w:rPr>
        <w:t>peaker</w:t>
      </w:r>
      <w:proofErr w:type="spellEnd"/>
      <w:r w:rsidR="006C3677">
        <w:rPr>
          <w:rFonts w:eastAsia="Cambria" w:cs="Arial"/>
        </w:rPr>
        <w:t xml:space="preserve"> </w:t>
      </w:r>
      <w:r>
        <w:rPr>
          <w:rFonts w:eastAsia="Cambria" w:cs="Arial"/>
        </w:rPr>
        <w:t>are added to replace capacity</w:t>
      </w:r>
      <w:r w:rsidR="003961E1" w:rsidRPr="00D02777">
        <w:t xml:space="preserve"> </w:t>
      </w:r>
      <w:r w:rsidR="003961E1">
        <w:rPr>
          <w:rFonts w:eastAsia="Cambria" w:cs="Arial"/>
        </w:rPr>
        <w:t>and meet growing demand</w:t>
      </w:r>
      <w:r>
        <w:rPr>
          <w:rFonts w:eastAsia="Cambria" w:cs="Arial"/>
        </w:rPr>
        <w:t xml:space="preserve"> instead of two frame </w:t>
      </w:r>
      <w:proofErr w:type="spellStart"/>
      <w:r>
        <w:rPr>
          <w:rFonts w:eastAsia="Cambria" w:cs="Arial"/>
        </w:rPr>
        <w:t>peakers</w:t>
      </w:r>
      <w:proofErr w:type="spellEnd"/>
      <w:r w:rsidR="00F736A8">
        <w:rPr>
          <w:rFonts w:eastAsia="Cambria" w:cs="Arial"/>
        </w:rPr>
        <w:t>,</w:t>
      </w:r>
      <w:r w:rsidR="00F9658D">
        <w:rPr>
          <w:rFonts w:eastAsia="Cambria" w:cs="Arial"/>
        </w:rPr>
        <w:t xml:space="preserve"> along with an additional 300 MW of </w:t>
      </w:r>
      <w:r w:rsidR="00F736A8">
        <w:rPr>
          <w:rFonts w:eastAsia="Cambria" w:cs="Arial"/>
        </w:rPr>
        <w:t xml:space="preserve">Montana </w:t>
      </w:r>
      <w:r w:rsidR="00F9658D">
        <w:rPr>
          <w:rFonts w:eastAsia="Cambria" w:cs="Arial"/>
        </w:rPr>
        <w:t>wind</w:t>
      </w:r>
      <w:r>
        <w:rPr>
          <w:rFonts w:eastAsia="Cambria" w:cs="Arial"/>
        </w:rPr>
        <w:t xml:space="preserve">. The CCCT plants become cost effective when </w:t>
      </w:r>
      <w:r w:rsidR="00F736A8">
        <w:rPr>
          <w:rFonts w:eastAsia="Cambria" w:cs="Arial"/>
        </w:rPr>
        <w:t xml:space="preserve">retirements </w:t>
      </w:r>
      <w:r w:rsidR="00195216">
        <w:rPr>
          <w:rFonts w:eastAsia="Cambria" w:cs="Arial"/>
        </w:rPr>
        <w:t>increase</w:t>
      </w:r>
      <w:r>
        <w:rPr>
          <w:rFonts w:eastAsia="Cambria" w:cs="Arial"/>
        </w:rPr>
        <w:t xml:space="preserve"> market price</w:t>
      </w:r>
      <w:r w:rsidR="00195216">
        <w:rPr>
          <w:rFonts w:eastAsia="Cambria" w:cs="Arial"/>
        </w:rPr>
        <w:t>s</w:t>
      </w:r>
      <w:r>
        <w:rPr>
          <w:rFonts w:eastAsia="Cambria" w:cs="Arial"/>
        </w:rPr>
        <w:t xml:space="preserve">, especially the spread between gas prices and power prices. </w:t>
      </w:r>
    </w:p>
    <w:p w14:paraId="42FAB6CF" w14:textId="77777777" w:rsidR="00F736A8" w:rsidRDefault="00F736A8" w:rsidP="00AD0F38">
      <w:pPr>
        <w:pStyle w:val="IRPsanstext"/>
        <w:rPr>
          <w:rFonts w:eastAsia="Cambria" w:cs="Arial"/>
        </w:rPr>
      </w:pPr>
    </w:p>
    <w:p w14:paraId="2743EF7A" w14:textId="77777777" w:rsidR="00AD0F38" w:rsidRDefault="00AD0F38" w:rsidP="00AD0F38">
      <w:pPr>
        <w:pStyle w:val="IRPsanstext"/>
        <w:rPr>
          <w:rFonts w:eastAsia="Cambria" w:cs="Arial"/>
        </w:rPr>
      </w:pPr>
    </w:p>
    <w:p w14:paraId="7446F1B6" w14:textId="77777777" w:rsidR="00166809" w:rsidRDefault="00166809">
      <w:pPr>
        <w:rPr>
          <w:rFonts w:ascii="Arial" w:hAnsi="Arial"/>
          <w:b/>
          <w:sz w:val="20"/>
          <w:szCs w:val="20"/>
        </w:rPr>
      </w:pPr>
      <w:r>
        <w:rPr>
          <w:b/>
        </w:rPr>
        <w:br w:type="page"/>
      </w:r>
    </w:p>
    <w:p w14:paraId="60B3BD84" w14:textId="77777777" w:rsidR="00195216" w:rsidRDefault="00AD0F38" w:rsidP="00AD0F38">
      <w:pPr>
        <w:pStyle w:val="IRPsanstext"/>
        <w:rPr>
          <w:rFonts w:eastAsia="Cambria" w:cs="Arial"/>
        </w:rPr>
      </w:pPr>
      <w:proofErr w:type="gramStart"/>
      <w:r w:rsidRPr="003B1E0E">
        <w:rPr>
          <w:b/>
        </w:rPr>
        <w:lastRenderedPageBreak/>
        <w:t>Low Scenario Results.</w:t>
      </w:r>
      <w:proofErr w:type="gramEnd"/>
      <w:r w:rsidRPr="00DF176E">
        <w:rPr>
          <w:rFonts w:eastAsia="Cambria" w:cs="Arial"/>
          <w:b/>
          <w:color w:val="3366FF"/>
          <w:sz w:val="28"/>
        </w:rPr>
        <w:t xml:space="preserve"> </w:t>
      </w:r>
      <w:r w:rsidR="00D00285">
        <w:rPr>
          <w:rFonts w:eastAsia="Cambria" w:cs="Arial"/>
        </w:rPr>
        <w:t xml:space="preserve">In the Low </w:t>
      </w:r>
      <w:r w:rsidR="00F736A8">
        <w:rPr>
          <w:rFonts w:eastAsia="Cambria" w:cs="Arial"/>
        </w:rPr>
        <w:t>S</w:t>
      </w:r>
      <w:r w:rsidR="00D00285">
        <w:rPr>
          <w:rFonts w:eastAsia="Cambria" w:cs="Arial"/>
        </w:rPr>
        <w:t xml:space="preserve">cenario portfolio, one frame </w:t>
      </w:r>
      <w:proofErr w:type="spellStart"/>
      <w:r w:rsidR="00D00285">
        <w:rPr>
          <w:rFonts w:eastAsia="Cambria" w:cs="Arial"/>
        </w:rPr>
        <w:t>peaker</w:t>
      </w:r>
      <w:proofErr w:type="spellEnd"/>
      <w:r w:rsidR="00D00285">
        <w:rPr>
          <w:rFonts w:eastAsia="Cambria" w:cs="Arial"/>
        </w:rPr>
        <w:t xml:space="preserve"> is added in 2026 to replace Centralia.  </w:t>
      </w:r>
    </w:p>
    <w:p w14:paraId="6A7A4818" w14:textId="77777777" w:rsidR="00195216" w:rsidRDefault="00195216" w:rsidP="00AD0F38">
      <w:pPr>
        <w:pStyle w:val="IRPsanstext"/>
        <w:rPr>
          <w:rFonts w:eastAsia="Cambria" w:cs="Arial"/>
        </w:rPr>
      </w:pPr>
    </w:p>
    <w:p w14:paraId="702CA412" w14:textId="77777777" w:rsidR="00195216" w:rsidRDefault="00D00285" w:rsidP="00F26524">
      <w:pPr>
        <w:pStyle w:val="IRPsanstext"/>
        <w:numPr>
          <w:ilvl w:val="0"/>
          <w:numId w:val="33"/>
        </w:numPr>
        <w:rPr>
          <w:rFonts w:eastAsia="Cambria" w:cs="Arial"/>
        </w:rPr>
      </w:pPr>
      <w:r>
        <w:rPr>
          <w:rFonts w:eastAsia="Cambria" w:cs="Arial"/>
        </w:rPr>
        <w:t xml:space="preserve">When </w:t>
      </w:r>
      <w:r w:rsidR="00AD0F38">
        <w:rPr>
          <w:rFonts w:eastAsia="Cambria" w:cs="Arial"/>
        </w:rPr>
        <w:t xml:space="preserve">Colstrip Units 1 &amp; 2 retire in 2026, two </w:t>
      </w:r>
      <w:r>
        <w:rPr>
          <w:rFonts w:eastAsia="Cambria" w:cs="Arial"/>
        </w:rPr>
        <w:t xml:space="preserve">additional </w:t>
      </w:r>
      <w:r w:rsidR="00195216">
        <w:rPr>
          <w:rFonts w:eastAsia="Cambria" w:cs="Arial"/>
        </w:rPr>
        <w:t>f</w:t>
      </w:r>
      <w:r w:rsidR="00AD0F38">
        <w:rPr>
          <w:rFonts w:eastAsia="Cambria" w:cs="Arial"/>
        </w:rPr>
        <w:t xml:space="preserve">rame </w:t>
      </w:r>
      <w:proofErr w:type="spellStart"/>
      <w:r w:rsidR="00195216">
        <w:rPr>
          <w:rFonts w:eastAsia="Cambria" w:cs="Arial"/>
        </w:rPr>
        <w:t>p</w:t>
      </w:r>
      <w:r w:rsidR="00AD0F38">
        <w:rPr>
          <w:rFonts w:eastAsia="Cambria" w:cs="Arial"/>
        </w:rPr>
        <w:t>eakers</w:t>
      </w:r>
      <w:proofErr w:type="spellEnd"/>
      <w:r w:rsidR="00AD0F38">
        <w:rPr>
          <w:rFonts w:eastAsia="Cambria" w:cs="Arial"/>
        </w:rPr>
        <w:t xml:space="preserve"> are added to replace capacity</w:t>
      </w:r>
      <w:r>
        <w:rPr>
          <w:rFonts w:eastAsia="Cambria" w:cs="Arial"/>
        </w:rPr>
        <w:t xml:space="preserve">, </w:t>
      </w:r>
      <w:r w:rsidR="00195216">
        <w:rPr>
          <w:rFonts w:eastAsia="Cambria" w:cs="Arial"/>
        </w:rPr>
        <w:t xml:space="preserve">for </w:t>
      </w:r>
      <w:r>
        <w:rPr>
          <w:rFonts w:eastAsia="Cambria" w:cs="Arial"/>
        </w:rPr>
        <w:t xml:space="preserve">a total of three frame </w:t>
      </w:r>
      <w:proofErr w:type="spellStart"/>
      <w:r>
        <w:rPr>
          <w:rFonts w:eastAsia="Cambria" w:cs="Arial"/>
        </w:rPr>
        <w:t>peakers</w:t>
      </w:r>
      <w:proofErr w:type="spellEnd"/>
      <w:r>
        <w:rPr>
          <w:rFonts w:eastAsia="Cambria" w:cs="Arial"/>
        </w:rPr>
        <w:t xml:space="preserve"> in 2026</w:t>
      </w:r>
      <w:r w:rsidR="00AD0F38">
        <w:rPr>
          <w:rFonts w:eastAsia="Cambria" w:cs="Arial"/>
        </w:rPr>
        <w:t xml:space="preserve">. </w:t>
      </w:r>
    </w:p>
    <w:p w14:paraId="7B9F4132" w14:textId="77777777" w:rsidR="00AD0F38" w:rsidRDefault="00AD0F38" w:rsidP="00F26524">
      <w:pPr>
        <w:pStyle w:val="IRPsanstext"/>
        <w:numPr>
          <w:ilvl w:val="0"/>
          <w:numId w:val="33"/>
        </w:numPr>
        <w:rPr>
          <w:rFonts w:eastAsia="Cambria" w:cs="Arial"/>
        </w:rPr>
      </w:pPr>
      <w:r>
        <w:rPr>
          <w:rFonts w:eastAsia="Cambria" w:cs="Arial"/>
        </w:rPr>
        <w:t xml:space="preserve">When all four units retire in 2026, three </w:t>
      </w:r>
      <w:r w:rsidR="00D00285">
        <w:rPr>
          <w:rFonts w:eastAsia="Cambria" w:cs="Arial"/>
        </w:rPr>
        <w:t xml:space="preserve">additional </w:t>
      </w:r>
      <w:r>
        <w:rPr>
          <w:rFonts w:eastAsia="Cambria" w:cs="Arial"/>
        </w:rPr>
        <w:t xml:space="preserve">frame </w:t>
      </w:r>
      <w:proofErr w:type="spellStart"/>
      <w:r>
        <w:rPr>
          <w:rFonts w:eastAsia="Cambria" w:cs="Arial"/>
        </w:rPr>
        <w:t>peakers</w:t>
      </w:r>
      <w:proofErr w:type="spellEnd"/>
      <w:r>
        <w:rPr>
          <w:rFonts w:eastAsia="Cambria" w:cs="Arial"/>
        </w:rPr>
        <w:t xml:space="preserve"> are added</w:t>
      </w:r>
      <w:r w:rsidR="00D00285">
        <w:rPr>
          <w:rFonts w:eastAsia="Cambria" w:cs="Arial"/>
        </w:rPr>
        <w:t xml:space="preserve">, for a total of four frame </w:t>
      </w:r>
      <w:proofErr w:type="spellStart"/>
      <w:r w:rsidR="00D00285">
        <w:rPr>
          <w:rFonts w:eastAsia="Cambria" w:cs="Arial"/>
        </w:rPr>
        <w:t>peakers</w:t>
      </w:r>
      <w:proofErr w:type="spellEnd"/>
      <w:r w:rsidR="00D00285">
        <w:rPr>
          <w:rFonts w:eastAsia="Cambria" w:cs="Arial"/>
        </w:rPr>
        <w:t xml:space="preserve"> in 2026</w:t>
      </w:r>
      <w:r>
        <w:rPr>
          <w:rFonts w:eastAsia="Cambria" w:cs="Arial"/>
        </w:rPr>
        <w:t>.</w:t>
      </w:r>
    </w:p>
    <w:p w14:paraId="27950258" w14:textId="77777777" w:rsidR="00AD0F38" w:rsidRDefault="00AD0F38" w:rsidP="00AD0F38">
      <w:pPr>
        <w:pStyle w:val="IRPsanstext"/>
        <w:rPr>
          <w:rFonts w:eastAsia="Cambria" w:cs="Arial"/>
        </w:rPr>
      </w:pPr>
    </w:p>
    <w:p w14:paraId="1A87A218" w14:textId="77777777" w:rsidR="00195216" w:rsidRDefault="00AD0F38" w:rsidP="00AD0F38">
      <w:pPr>
        <w:pStyle w:val="IRPsanstext"/>
        <w:rPr>
          <w:rFonts w:eastAsia="Cambria" w:cs="Arial"/>
        </w:rPr>
      </w:pPr>
      <w:proofErr w:type="gramStart"/>
      <w:r w:rsidRPr="003B1E0E">
        <w:rPr>
          <w:b/>
        </w:rPr>
        <w:t>High Scenario Results.</w:t>
      </w:r>
      <w:proofErr w:type="gramEnd"/>
      <w:r>
        <w:rPr>
          <w:rFonts w:eastAsia="Cambria" w:cs="Arial"/>
        </w:rPr>
        <w:t xml:space="preserve"> </w:t>
      </w:r>
      <w:r w:rsidR="00862111">
        <w:rPr>
          <w:rFonts w:eastAsia="Cambria" w:cs="Arial"/>
        </w:rPr>
        <w:t xml:space="preserve">In the High </w:t>
      </w:r>
      <w:r w:rsidR="00F736A8">
        <w:rPr>
          <w:rFonts w:eastAsia="Cambria" w:cs="Arial"/>
        </w:rPr>
        <w:t>S</w:t>
      </w:r>
      <w:r w:rsidR="00862111">
        <w:rPr>
          <w:rFonts w:eastAsia="Cambria" w:cs="Arial"/>
        </w:rPr>
        <w:t xml:space="preserve">cenario portfolio, one CCCT is added in 2026 to replace Centralia and meet growing demand.  </w:t>
      </w:r>
    </w:p>
    <w:p w14:paraId="60622811" w14:textId="77777777" w:rsidR="00195216" w:rsidRDefault="00195216" w:rsidP="00AD0F38">
      <w:pPr>
        <w:pStyle w:val="IRPsanstext"/>
        <w:rPr>
          <w:rFonts w:eastAsia="Cambria" w:cs="Arial"/>
        </w:rPr>
      </w:pPr>
    </w:p>
    <w:p w14:paraId="30A7FA9B" w14:textId="77777777" w:rsidR="00195216" w:rsidRDefault="00AD0F38" w:rsidP="00F26524">
      <w:pPr>
        <w:pStyle w:val="IRPsanstext"/>
        <w:numPr>
          <w:ilvl w:val="0"/>
          <w:numId w:val="34"/>
        </w:numPr>
        <w:rPr>
          <w:rFonts w:eastAsia="Cambria" w:cs="Arial"/>
        </w:rPr>
      </w:pPr>
      <w:r>
        <w:rPr>
          <w:rFonts w:eastAsia="Cambria" w:cs="Arial"/>
        </w:rPr>
        <w:t xml:space="preserve">When Colstrip Units 1 &amp; 2 retire in 2026, </w:t>
      </w:r>
      <w:r w:rsidR="00862111">
        <w:rPr>
          <w:rFonts w:eastAsia="Cambria" w:cs="Arial"/>
        </w:rPr>
        <w:t xml:space="preserve">500 MW of </w:t>
      </w:r>
      <w:r w:rsidR="00195216">
        <w:rPr>
          <w:rFonts w:eastAsia="Cambria" w:cs="Arial"/>
        </w:rPr>
        <w:t xml:space="preserve">Montana </w:t>
      </w:r>
      <w:r w:rsidR="00862111">
        <w:rPr>
          <w:rFonts w:eastAsia="Cambria" w:cs="Arial"/>
        </w:rPr>
        <w:t xml:space="preserve">wind is added (275 MW </w:t>
      </w:r>
      <w:r w:rsidR="00195216">
        <w:rPr>
          <w:rFonts w:eastAsia="Cambria" w:cs="Arial"/>
        </w:rPr>
        <w:t>c</w:t>
      </w:r>
      <w:r w:rsidR="00862111">
        <w:rPr>
          <w:rFonts w:eastAsia="Cambria" w:cs="Arial"/>
        </w:rPr>
        <w:t>apacity)</w:t>
      </w:r>
      <w:r w:rsidR="00195216">
        <w:rPr>
          <w:rFonts w:eastAsia="Cambria" w:cs="Arial"/>
        </w:rPr>
        <w:t>,</w:t>
      </w:r>
      <w:r>
        <w:rPr>
          <w:rFonts w:eastAsia="Cambria" w:cs="Arial"/>
        </w:rPr>
        <w:t xml:space="preserve"> and additional DSR bundle</w:t>
      </w:r>
      <w:r w:rsidR="00862111">
        <w:rPr>
          <w:rFonts w:eastAsia="Cambria" w:cs="Arial"/>
        </w:rPr>
        <w:t>s</w:t>
      </w:r>
      <w:r>
        <w:rPr>
          <w:rFonts w:eastAsia="Cambria" w:cs="Arial"/>
        </w:rPr>
        <w:t xml:space="preserve"> are added to replace capacity.  </w:t>
      </w:r>
    </w:p>
    <w:p w14:paraId="3745CB66" w14:textId="77777777" w:rsidR="00AD0F38" w:rsidRDefault="00AD0F38" w:rsidP="00F26524">
      <w:pPr>
        <w:pStyle w:val="IRPsanstext"/>
        <w:numPr>
          <w:ilvl w:val="0"/>
          <w:numId w:val="34"/>
        </w:numPr>
        <w:rPr>
          <w:rFonts w:eastAsia="Cambria" w:cs="Arial"/>
        </w:rPr>
      </w:pPr>
      <w:r>
        <w:rPr>
          <w:rFonts w:eastAsia="Cambria" w:cs="Arial"/>
        </w:rPr>
        <w:t>When all four units retire in 2026, the same DSR selected in the baseline case is retained (Bundle D)</w:t>
      </w:r>
      <w:r w:rsidR="00862111">
        <w:rPr>
          <w:rFonts w:eastAsia="Cambria" w:cs="Arial"/>
        </w:rPr>
        <w:t>,</w:t>
      </w:r>
      <w:r w:rsidR="004E5935">
        <w:rPr>
          <w:rFonts w:eastAsia="Cambria" w:cs="Arial"/>
        </w:rPr>
        <w:t xml:space="preserve"> </w:t>
      </w:r>
      <w:r>
        <w:rPr>
          <w:rFonts w:eastAsia="Cambria" w:cs="Arial"/>
        </w:rPr>
        <w:t>one CCCT plant is added to replace capacity</w:t>
      </w:r>
      <w:r w:rsidR="00862111">
        <w:rPr>
          <w:rFonts w:eastAsia="Cambria" w:cs="Arial"/>
        </w:rPr>
        <w:t xml:space="preserve">, and 500 MW of </w:t>
      </w:r>
      <w:r w:rsidR="00195216">
        <w:rPr>
          <w:rFonts w:eastAsia="Cambria" w:cs="Arial"/>
        </w:rPr>
        <w:t>Montana w</w:t>
      </w:r>
      <w:r w:rsidR="00862111">
        <w:rPr>
          <w:rFonts w:eastAsia="Cambria" w:cs="Arial"/>
        </w:rPr>
        <w:t>ind</w:t>
      </w:r>
      <w:r w:rsidR="00195216">
        <w:rPr>
          <w:rFonts w:eastAsia="Cambria" w:cs="Arial"/>
        </w:rPr>
        <w:t xml:space="preserve"> is added</w:t>
      </w:r>
      <w:r>
        <w:rPr>
          <w:rFonts w:eastAsia="Cambria" w:cs="Arial"/>
        </w:rPr>
        <w:t>.</w:t>
      </w:r>
    </w:p>
    <w:p w14:paraId="0B98DFA6" w14:textId="77777777" w:rsidR="00AD0F38" w:rsidRDefault="00AD0F38" w:rsidP="00AD0F38">
      <w:pPr>
        <w:pStyle w:val="IRPsanstext"/>
        <w:rPr>
          <w:rFonts w:eastAsia="Cambria" w:cs="Arial"/>
        </w:rPr>
      </w:pPr>
    </w:p>
    <w:p w14:paraId="02C8A3BF" w14:textId="77777777" w:rsidR="00195216" w:rsidRPr="00D02777" w:rsidRDefault="00855BD7" w:rsidP="00195216">
      <w:pPr>
        <w:pStyle w:val="IRPsanstext"/>
      </w:pPr>
      <w:r>
        <w:rPr>
          <w:rFonts w:eastAsia="Cambria" w:cs="Arial"/>
        </w:rPr>
        <w:t>Figure 6-28</w:t>
      </w:r>
      <w:r w:rsidR="00195216">
        <w:rPr>
          <w:rFonts w:eastAsia="Cambria" w:cs="Arial"/>
        </w:rPr>
        <w:t xml:space="preserve"> illustrates the significantly greater impact that removing all four Colstrip units has on wholesale market prices compared to removing Units 1 &amp; 2 alone, as the effects ripple across the WECC. Tables of annual portfolio additions are located in Appendix N, Electric Analysis.</w:t>
      </w:r>
    </w:p>
    <w:p w14:paraId="663E91F4" w14:textId="77777777" w:rsidR="00AD0F38" w:rsidRDefault="00AD0F38" w:rsidP="00AD0F38">
      <w:pPr>
        <w:rPr>
          <w:rFonts w:ascii="Arial" w:eastAsia="Cambria" w:hAnsi="Arial" w:cs="Arial"/>
          <w:i/>
          <w:sz w:val="20"/>
          <w:szCs w:val="20"/>
        </w:rPr>
      </w:pPr>
      <w:r>
        <w:rPr>
          <w:rFonts w:eastAsia="Cambria" w:cs="Arial"/>
          <w:i/>
          <w:sz w:val="20"/>
          <w:szCs w:val="20"/>
        </w:rPr>
        <w:br w:type="page"/>
      </w:r>
    </w:p>
    <w:p w14:paraId="097226FF" w14:textId="77777777" w:rsidR="00AD0F38" w:rsidRDefault="00D60616" w:rsidP="00AD0F38">
      <w:pPr>
        <w:pStyle w:val="IRPsanstext"/>
        <w:jc w:val="center"/>
        <w:rPr>
          <w:rFonts w:eastAsia="Cambria" w:cs="Arial"/>
          <w:i/>
        </w:rPr>
      </w:pPr>
      <w:r w:rsidRPr="005A246C">
        <w:rPr>
          <w:noProof/>
          <w:lang w:eastAsia="en-US"/>
        </w:rPr>
        <w:lastRenderedPageBreak/>
        <w:drawing>
          <wp:anchor distT="0" distB="0" distL="114300" distR="114300" simplePos="0" relativeHeight="251643392" behindDoc="0" locked="0" layoutInCell="1" allowOverlap="1" wp14:anchorId="29E3651F" wp14:editId="13AB2DB5">
            <wp:simplePos x="0" y="0"/>
            <wp:positionH relativeFrom="column">
              <wp:posOffset>-62865</wp:posOffset>
            </wp:positionH>
            <wp:positionV relativeFrom="paragraph">
              <wp:posOffset>292100</wp:posOffset>
            </wp:positionV>
            <wp:extent cx="5507990" cy="3429000"/>
            <wp:effectExtent l="0" t="0" r="381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07990" cy="3429000"/>
                    </a:xfrm>
                    <a:prstGeom prst="rect">
                      <a:avLst/>
                    </a:prstGeom>
                    <a:noFill/>
                    <a:ln>
                      <a:noFill/>
                    </a:ln>
                  </pic:spPr>
                </pic:pic>
              </a:graphicData>
            </a:graphic>
          </wp:anchor>
        </w:drawing>
      </w:r>
      <w:r w:rsidR="00AD0F38" w:rsidRPr="0052757A">
        <w:rPr>
          <w:rFonts w:eastAsia="Cambria" w:cs="Arial"/>
          <w:i/>
        </w:rPr>
        <w:t>Figure 6-</w:t>
      </w:r>
      <w:r w:rsidR="00855BD7">
        <w:rPr>
          <w:rFonts w:eastAsia="Cambria" w:cs="Arial"/>
          <w:i/>
        </w:rPr>
        <w:t>28</w:t>
      </w:r>
      <w:r w:rsidR="00AD0F38" w:rsidRPr="0052757A">
        <w:rPr>
          <w:rFonts w:eastAsia="Cambria" w:cs="Arial"/>
          <w:i/>
        </w:rPr>
        <w:t>: Forecast Mid-C Electric Prices with and without Colstrip Operating</w:t>
      </w:r>
    </w:p>
    <w:p w14:paraId="7B4EB796" w14:textId="77777777" w:rsidR="00AD0F38" w:rsidRPr="00B02E04" w:rsidRDefault="00AD0F38" w:rsidP="00AD0F38">
      <w:pPr>
        <w:pStyle w:val="IRPsanstext"/>
        <w:jc w:val="center"/>
        <w:rPr>
          <w:rFonts w:eastAsia="Cambria" w:cs="Arial"/>
          <w:i/>
        </w:rPr>
      </w:pPr>
    </w:p>
    <w:p w14:paraId="15E5E31D" w14:textId="77777777" w:rsidR="00AD0F38" w:rsidRPr="002873A4" w:rsidRDefault="00AD0F38" w:rsidP="00AD0F38">
      <w:pPr>
        <w:rPr>
          <w:rFonts w:ascii="Arial" w:hAnsi="Arial"/>
          <w:sz w:val="32"/>
          <w:szCs w:val="32"/>
        </w:rPr>
      </w:pPr>
      <w:r>
        <w:rPr>
          <w:rFonts w:ascii="Arial" w:hAnsi="Arial"/>
          <w:i/>
          <w:sz w:val="32"/>
        </w:rPr>
        <w:br w:type="page"/>
      </w:r>
      <w:r w:rsidRPr="002873A4">
        <w:rPr>
          <w:rFonts w:ascii="Arial" w:hAnsi="Arial"/>
          <w:sz w:val="32"/>
          <w:szCs w:val="32"/>
        </w:rPr>
        <w:lastRenderedPageBreak/>
        <w:t>B. Demand-side Resources (DSR)</w:t>
      </w:r>
    </w:p>
    <w:p w14:paraId="2F469F7C" w14:textId="77777777" w:rsidR="002873A4" w:rsidRPr="002873A4" w:rsidRDefault="002873A4" w:rsidP="00AD0F38">
      <w:pPr>
        <w:rPr>
          <w:rFonts w:ascii="Arial" w:hAnsi="Arial"/>
          <w:i/>
          <w:sz w:val="32"/>
          <w:szCs w:val="32"/>
        </w:rPr>
      </w:pPr>
    </w:p>
    <w:p w14:paraId="43612A9E" w14:textId="77777777" w:rsidR="003B1E0E" w:rsidRPr="00195216" w:rsidRDefault="00AD0F38" w:rsidP="00195216">
      <w:pPr>
        <w:pStyle w:val="IRPsanstext"/>
        <w:rPr>
          <w:b/>
        </w:rPr>
      </w:pPr>
      <w:r w:rsidRPr="00195216">
        <w:rPr>
          <w:b/>
        </w:rPr>
        <w:t>How much does DSR reduce cost, risk and emissions?</w:t>
      </w:r>
    </w:p>
    <w:p w14:paraId="01ACCFAF" w14:textId="77777777" w:rsidR="00AD0F38" w:rsidRPr="00195216" w:rsidRDefault="00AD0F38" w:rsidP="00195216">
      <w:pPr>
        <w:pStyle w:val="IRPsanstext"/>
        <w:ind w:left="720"/>
        <w:rPr>
          <w:b/>
        </w:rPr>
      </w:pPr>
      <w:r w:rsidRPr="00195216">
        <w:rPr>
          <w:b/>
        </w:rPr>
        <w:t>Baseline: All cost-effective DSR per RCW 19.285 requirements.</w:t>
      </w:r>
    </w:p>
    <w:p w14:paraId="5DA82FB5" w14:textId="77777777" w:rsidR="00AD0F38" w:rsidRPr="00195216" w:rsidRDefault="00AD0F38" w:rsidP="00195216">
      <w:pPr>
        <w:pStyle w:val="IRPsanstext"/>
        <w:ind w:left="720"/>
        <w:rPr>
          <w:b/>
        </w:rPr>
      </w:pPr>
      <w:r w:rsidRPr="00195216">
        <w:rPr>
          <w:b/>
        </w:rPr>
        <w:t xml:space="preserve">Sensitivity: No DSR. All needs met with supply-side resources. </w:t>
      </w:r>
    </w:p>
    <w:p w14:paraId="183B295F" w14:textId="77777777" w:rsidR="003B1E0E" w:rsidRDefault="003B1E0E" w:rsidP="00C0184B">
      <w:pPr>
        <w:pStyle w:val="IRPseriftextbig"/>
        <w:spacing w:line="320" w:lineRule="exact"/>
      </w:pPr>
    </w:p>
    <w:p w14:paraId="30AEDA3C" w14:textId="77777777" w:rsidR="00AD0F38" w:rsidRPr="002F3FA9" w:rsidRDefault="00AD0F38" w:rsidP="003B1E0E">
      <w:pPr>
        <w:pStyle w:val="IRPsanstext"/>
      </w:pPr>
      <w:r w:rsidRPr="002F3FA9">
        <w:t xml:space="preserve">Demand-side resources were found to reduce both cost and market risk in portfolios. </w:t>
      </w:r>
    </w:p>
    <w:p w14:paraId="3EF6F688" w14:textId="77777777" w:rsidR="00AD0F38" w:rsidRDefault="00AD0F38" w:rsidP="00AD0F38">
      <w:pPr>
        <w:pStyle w:val="IRPsanstext"/>
      </w:pPr>
    </w:p>
    <w:p w14:paraId="235C84DE" w14:textId="77777777" w:rsidR="00AD0F38" w:rsidRDefault="00AD0F38" w:rsidP="00AD0F38">
      <w:pPr>
        <w:pStyle w:val="IRPsanstext"/>
      </w:pPr>
      <w:r w:rsidRPr="004F736F">
        <w:t xml:space="preserve">Figure </w:t>
      </w:r>
      <w:r>
        <w:t>6-</w:t>
      </w:r>
      <w:r w:rsidR="00855BD7">
        <w:t>29</w:t>
      </w:r>
      <w:r w:rsidRPr="004F736F">
        <w:t xml:space="preserve"> shows the opti</w:t>
      </w:r>
      <w:r>
        <w:t xml:space="preserve">mal DSR bundle in each scenario. </w:t>
      </w:r>
      <w:r w:rsidRPr="004F736F">
        <w:t xml:space="preserve">The avoided cost of capacity </w:t>
      </w:r>
      <w:r>
        <w:t xml:space="preserve">(this includes energy, capacity and renewable resources) </w:t>
      </w:r>
      <w:r w:rsidRPr="004F736F">
        <w:t>plays a big role in the s</w:t>
      </w:r>
      <w:r>
        <w:t xml:space="preserve">election of the optimal bundle. </w:t>
      </w:r>
      <w:r w:rsidRPr="004F736F">
        <w:t>The avoided cost of energy</w:t>
      </w:r>
      <w:r>
        <w:t>, in particular,</w:t>
      </w:r>
      <w:r w:rsidRPr="004F736F">
        <w:t xml:space="preserve"> varies depending</w:t>
      </w:r>
      <w:r>
        <w:t xml:space="preserve"> on the power price included in the scenario. </w:t>
      </w:r>
      <w:r w:rsidRPr="004F736F">
        <w:t>Analysis of ramp rates continues to show that the sooner DSR is acquired, the more cost effective it is.</w:t>
      </w:r>
      <w:r w:rsidR="00855BD7">
        <w:t xml:space="preserve">  In the 2011 IRP, a 10-</w:t>
      </w:r>
      <w:r>
        <w:t xml:space="preserve">year ramp rate was identified as the better option over the </w:t>
      </w:r>
      <w:proofErr w:type="gramStart"/>
      <w:r>
        <w:t>20 year</w:t>
      </w:r>
      <w:proofErr w:type="gramEnd"/>
      <w:r>
        <w:t xml:space="preserve"> ramp rate used by the Council. (Detailed results by scenario, including avoided cost calculations, are presented in Appendix N, Electric Analysis.)</w:t>
      </w:r>
    </w:p>
    <w:p w14:paraId="2F61FABD" w14:textId="77777777" w:rsidR="00AD0F38" w:rsidRDefault="00AD0F38" w:rsidP="00AD0F38">
      <w:pPr>
        <w:pStyle w:val="IRPsanstext"/>
      </w:pPr>
    </w:p>
    <w:p w14:paraId="5CDCE014" w14:textId="77777777" w:rsidR="00AD0F38" w:rsidRPr="004F736F" w:rsidRDefault="00AD0F38" w:rsidP="00AD0F38">
      <w:pPr>
        <w:pStyle w:val="IRPsanstext"/>
      </w:pPr>
      <w:r>
        <w:t>Demand-side resources</w:t>
      </w:r>
      <w:r w:rsidRPr="004F736F">
        <w:t xml:space="preserve"> must be cost effective to be included in the plan, so by definition they </w:t>
      </w:r>
      <w:r>
        <w:t xml:space="preserve">are also least-cost resources. </w:t>
      </w:r>
      <w:r w:rsidRPr="00CB48C4">
        <w:rPr>
          <w:color w:val="000000" w:themeColor="text1"/>
        </w:rPr>
        <w:t>The Base Scenario deterministic least-cost portfolio</w:t>
      </w:r>
      <w:r w:rsidRPr="004F736F">
        <w:t xml:space="preserve"> includes 1,0</w:t>
      </w:r>
      <w:r>
        <w:t>78 MW</w:t>
      </w:r>
      <w:r w:rsidR="003D034A">
        <w:t xml:space="preserve"> </w:t>
      </w:r>
      <w:r>
        <w:t>of DSR by 2035</w:t>
      </w:r>
      <w:r w:rsidRPr="004F736F">
        <w:t xml:space="preserve">.  </w:t>
      </w:r>
    </w:p>
    <w:p w14:paraId="208D3AAE" w14:textId="77777777" w:rsidR="00AD0F38" w:rsidRDefault="00AD0F38" w:rsidP="00AD0F38">
      <w:pPr>
        <w:pStyle w:val="IRPsanstext"/>
      </w:pPr>
    </w:p>
    <w:p w14:paraId="6510EFC3" w14:textId="77777777" w:rsidR="002873A4" w:rsidRDefault="002873A4">
      <w:pPr>
        <w:rPr>
          <w:rFonts w:ascii="Arial" w:hAnsi="Arial"/>
          <w:i/>
          <w:sz w:val="20"/>
          <w:szCs w:val="20"/>
        </w:rPr>
      </w:pPr>
      <w:r>
        <w:rPr>
          <w:i/>
        </w:rPr>
        <w:br w:type="page"/>
      </w:r>
    </w:p>
    <w:p w14:paraId="55CB01C7" w14:textId="77777777" w:rsidR="00AD0F38" w:rsidRPr="002873A4" w:rsidRDefault="00AD0F38" w:rsidP="002873A4">
      <w:pPr>
        <w:pStyle w:val="IRPsanstext"/>
        <w:spacing w:after="120"/>
        <w:jc w:val="center"/>
        <w:rPr>
          <w:i/>
        </w:rPr>
      </w:pPr>
      <w:r w:rsidRPr="004F736F">
        <w:rPr>
          <w:i/>
        </w:rPr>
        <w:lastRenderedPageBreak/>
        <w:t xml:space="preserve">Figure </w:t>
      </w:r>
      <w:r>
        <w:rPr>
          <w:i/>
        </w:rPr>
        <w:t>6-</w:t>
      </w:r>
      <w:r w:rsidR="00855BD7">
        <w:rPr>
          <w:i/>
        </w:rPr>
        <w:t>29</w:t>
      </w:r>
      <w:r>
        <w:rPr>
          <w:i/>
        </w:rPr>
        <w:t xml:space="preserve">: </w:t>
      </w:r>
      <w:r w:rsidRPr="004F736F">
        <w:rPr>
          <w:i/>
        </w:rPr>
        <w:t xml:space="preserve">Optimal DSR Results across Scenarios </w:t>
      </w:r>
      <w:r w:rsidR="003D034A">
        <w:rPr>
          <w:i/>
        </w:rPr>
        <w:t>for 2013 Planning Standard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2252"/>
        <w:gridCol w:w="540"/>
        <w:gridCol w:w="720"/>
        <w:gridCol w:w="1080"/>
        <w:gridCol w:w="1080"/>
        <w:gridCol w:w="630"/>
        <w:gridCol w:w="810"/>
        <w:gridCol w:w="990"/>
      </w:tblGrid>
      <w:tr w:rsidR="002873A4" w:rsidRPr="003B1E0E" w14:paraId="3002A50B" w14:textId="77777777">
        <w:trPr>
          <w:trHeight w:val="360"/>
        </w:trPr>
        <w:tc>
          <w:tcPr>
            <w:tcW w:w="448" w:type="dxa"/>
            <w:tcBorders>
              <w:bottom w:val="single" w:sz="4" w:space="0" w:color="auto"/>
            </w:tcBorders>
            <w:shd w:val="clear" w:color="auto" w:fill="006A71"/>
          </w:tcPr>
          <w:p w14:paraId="68100562" w14:textId="77777777" w:rsidR="00AD0F38" w:rsidRPr="003B1E0E" w:rsidRDefault="00AD0F38" w:rsidP="00AD0F38">
            <w:pPr>
              <w:pStyle w:val="IRPsanstext"/>
              <w:widowControl w:val="0"/>
              <w:rPr>
                <w:rFonts w:ascii="Arial Narrow" w:hAnsi="Arial Narrow" w:cs="Arial"/>
                <w:bCs/>
                <w:color w:val="FFFFFF"/>
              </w:rPr>
            </w:pPr>
          </w:p>
        </w:tc>
        <w:tc>
          <w:tcPr>
            <w:tcW w:w="2252" w:type="dxa"/>
            <w:tcBorders>
              <w:bottom w:val="single" w:sz="4" w:space="0" w:color="auto"/>
            </w:tcBorders>
            <w:shd w:val="clear" w:color="auto" w:fill="006A71"/>
          </w:tcPr>
          <w:p w14:paraId="49AB757D" w14:textId="77777777" w:rsidR="00AD0F38" w:rsidRPr="005B2826" w:rsidRDefault="00AD0F38" w:rsidP="00AD0F38">
            <w:pPr>
              <w:pStyle w:val="IRPsanstext"/>
              <w:widowControl w:val="0"/>
              <w:rPr>
                <w:rFonts w:cs="Arial"/>
                <w:bCs/>
                <w:color w:val="FFFFFF"/>
              </w:rPr>
            </w:pPr>
            <w:r w:rsidRPr="005B2826">
              <w:rPr>
                <w:rFonts w:cs="Arial"/>
                <w:bCs/>
                <w:color w:val="FFFFFF"/>
              </w:rPr>
              <w:t>MW Additions by 2035</w:t>
            </w:r>
          </w:p>
        </w:tc>
        <w:tc>
          <w:tcPr>
            <w:tcW w:w="1260" w:type="dxa"/>
            <w:gridSpan w:val="2"/>
            <w:tcBorders>
              <w:bottom w:val="single" w:sz="4" w:space="0" w:color="auto"/>
            </w:tcBorders>
            <w:shd w:val="clear" w:color="auto" w:fill="006A71"/>
          </w:tcPr>
          <w:p w14:paraId="51C72409" w14:textId="77777777" w:rsidR="00AD0F38" w:rsidRPr="005B2826" w:rsidRDefault="00AD0F38" w:rsidP="00AD0F38">
            <w:pPr>
              <w:pStyle w:val="IRPsanstext"/>
              <w:widowControl w:val="0"/>
              <w:jc w:val="center"/>
              <w:rPr>
                <w:rFonts w:cs="Arial"/>
                <w:bCs/>
                <w:color w:val="FFFFFF"/>
              </w:rPr>
            </w:pPr>
            <w:r w:rsidRPr="005B2826">
              <w:rPr>
                <w:rFonts w:cs="Arial"/>
                <w:bCs/>
                <w:color w:val="FFFFFF"/>
              </w:rPr>
              <w:t>Bundle</w:t>
            </w:r>
          </w:p>
        </w:tc>
        <w:tc>
          <w:tcPr>
            <w:tcW w:w="2160" w:type="dxa"/>
            <w:gridSpan w:val="2"/>
            <w:tcBorders>
              <w:bottom w:val="single" w:sz="4" w:space="0" w:color="auto"/>
            </w:tcBorders>
            <w:shd w:val="clear" w:color="auto" w:fill="006A71"/>
          </w:tcPr>
          <w:p w14:paraId="5FBE4F20" w14:textId="77777777" w:rsidR="00AD0F38" w:rsidRPr="005B2826" w:rsidRDefault="003B1E0E" w:rsidP="00AD0F38">
            <w:pPr>
              <w:pStyle w:val="IRPsanstext"/>
              <w:widowControl w:val="0"/>
              <w:jc w:val="center"/>
              <w:rPr>
                <w:rFonts w:cs="Arial"/>
                <w:bCs/>
                <w:color w:val="FFFFFF"/>
              </w:rPr>
            </w:pPr>
            <w:r w:rsidRPr="005B2826">
              <w:rPr>
                <w:rFonts w:cs="Arial"/>
                <w:bCs/>
                <w:color w:val="FFFFFF"/>
              </w:rPr>
              <w:t>Demand-r</w:t>
            </w:r>
            <w:r w:rsidR="00AD0F38" w:rsidRPr="005B2826">
              <w:rPr>
                <w:rFonts w:cs="Arial"/>
                <w:bCs/>
                <w:color w:val="FFFFFF"/>
              </w:rPr>
              <w:t>esponse</w:t>
            </w:r>
          </w:p>
        </w:tc>
        <w:tc>
          <w:tcPr>
            <w:tcW w:w="630" w:type="dxa"/>
            <w:tcBorders>
              <w:bottom w:val="single" w:sz="4" w:space="0" w:color="auto"/>
            </w:tcBorders>
            <w:shd w:val="clear" w:color="auto" w:fill="006A71"/>
          </w:tcPr>
          <w:p w14:paraId="22EE6102" w14:textId="77777777" w:rsidR="00AD0F38" w:rsidRPr="005B2826" w:rsidRDefault="00AD0F38" w:rsidP="00AD0F38">
            <w:pPr>
              <w:pStyle w:val="IRPsanstext"/>
              <w:widowControl w:val="0"/>
              <w:rPr>
                <w:rFonts w:cs="Arial"/>
                <w:bCs/>
                <w:color w:val="FFFFFF"/>
              </w:rPr>
            </w:pPr>
            <w:r w:rsidRPr="005B2826">
              <w:rPr>
                <w:rFonts w:cs="Arial"/>
                <w:bCs/>
                <w:color w:val="FFFFFF"/>
              </w:rPr>
              <w:t>DE</w:t>
            </w:r>
          </w:p>
        </w:tc>
        <w:tc>
          <w:tcPr>
            <w:tcW w:w="810" w:type="dxa"/>
            <w:tcBorders>
              <w:bottom w:val="single" w:sz="4" w:space="0" w:color="auto"/>
            </w:tcBorders>
            <w:shd w:val="clear" w:color="auto" w:fill="006A71"/>
          </w:tcPr>
          <w:p w14:paraId="2E0C5029" w14:textId="77777777" w:rsidR="00AD0F38" w:rsidRPr="005B2826" w:rsidRDefault="00AD0F38" w:rsidP="00AD0F38">
            <w:pPr>
              <w:pStyle w:val="IRPsanstext"/>
              <w:widowControl w:val="0"/>
              <w:rPr>
                <w:rFonts w:cs="Arial"/>
                <w:bCs/>
                <w:color w:val="FFFFFF"/>
              </w:rPr>
            </w:pPr>
            <w:r w:rsidRPr="005B2826">
              <w:rPr>
                <w:rFonts w:cs="Arial"/>
                <w:bCs/>
                <w:color w:val="FFFFFF"/>
              </w:rPr>
              <w:t>EISA</w:t>
            </w:r>
          </w:p>
        </w:tc>
        <w:tc>
          <w:tcPr>
            <w:tcW w:w="990" w:type="dxa"/>
            <w:tcBorders>
              <w:bottom w:val="single" w:sz="4" w:space="0" w:color="auto"/>
            </w:tcBorders>
            <w:shd w:val="clear" w:color="auto" w:fill="006A71"/>
          </w:tcPr>
          <w:p w14:paraId="296C04D8" w14:textId="77777777" w:rsidR="00AD0F38" w:rsidRPr="005B2826" w:rsidRDefault="00AD0F38" w:rsidP="00AD0F38">
            <w:pPr>
              <w:pStyle w:val="IRPsanstext"/>
              <w:widowControl w:val="0"/>
              <w:rPr>
                <w:rFonts w:cs="Arial"/>
                <w:bCs/>
                <w:color w:val="FFFFFF"/>
              </w:rPr>
            </w:pPr>
            <w:r w:rsidRPr="005B2826">
              <w:rPr>
                <w:rFonts w:cs="Arial"/>
                <w:bCs/>
                <w:color w:val="FFFFFF"/>
              </w:rPr>
              <w:t>Total</w:t>
            </w:r>
          </w:p>
        </w:tc>
      </w:tr>
      <w:tr w:rsidR="002873A4" w:rsidRPr="00AF4B4E" w14:paraId="0B61F1E3" w14:textId="77777777">
        <w:trPr>
          <w:trHeight w:val="116"/>
        </w:trPr>
        <w:tc>
          <w:tcPr>
            <w:tcW w:w="448" w:type="dxa"/>
            <w:tcBorders>
              <w:bottom w:val="single" w:sz="4" w:space="0" w:color="auto"/>
              <w:right w:val="nil"/>
            </w:tcBorders>
            <w:shd w:val="clear" w:color="auto" w:fill="807F83"/>
          </w:tcPr>
          <w:p w14:paraId="708250EA" w14:textId="77777777" w:rsidR="00AD0F38" w:rsidRPr="003B1E0E" w:rsidRDefault="00AD0F38" w:rsidP="00AD0F38">
            <w:pPr>
              <w:pStyle w:val="IRPsanstext"/>
              <w:widowControl w:val="0"/>
              <w:rPr>
                <w:rFonts w:ascii="Arial Narrow" w:hAnsi="Arial Narrow" w:cs="Arial"/>
                <w:bCs/>
              </w:rPr>
            </w:pPr>
          </w:p>
        </w:tc>
        <w:tc>
          <w:tcPr>
            <w:tcW w:w="2252" w:type="dxa"/>
            <w:tcBorders>
              <w:bottom w:val="single" w:sz="4" w:space="0" w:color="auto"/>
              <w:right w:val="nil"/>
            </w:tcBorders>
            <w:shd w:val="clear" w:color="auto" w:fill="807F83"/>
          </w:tcPr>
          <w:p w14:paraId="52670A82" w14:textId="77777777" w:rsidR="00AD0F38" w:rsidRPr="00166809" w:rsidRDefault="00AD0F38" w:rsidP="00AD0F38">
            <w:pPr>
              <w:pStyle w:val="IRPsanstext"/>
              <w:widowControl w:val="0"/>
              <w:rPr>
                <w:rFonts w:cs="Arial"/>
                <w:bCs/>
              </w:rPr>
            </w:pPr>
          </w:p>
        </w:tc>
        <w:tc>
          <w:tcPr>
            <w:tcW w:w="540" w:type="dxa"/>
            <w:tcBorders>
              <w:left w:val="nil"/>
              <w:right w:val="nil"/>
            </w:tcBorders>
            <w:shd w:val="clear" w:color="auto" w:fill="807F83"/>
          </w:tcPr>
          <w:p w14:paraId="560AED79" w14:textId="77777777" w:rsidR="00AD0F38" w:rsidRPr="00166809" w:rsidRDefault="00AD0F38" w:rsidP="00AD0F38">
            <w:pPr>
              <w:pStyle w:val="IRPsanstext"/>
              <w:widowControl w:val="0"/>
              <w:rPr>
                <w:rFonts w:cs="Arial"/>
                <w:bCs/>
              </w:rPr>
            </w:pPr>
          </w:p>
        </w:tc>
        <w:tc>
          <w:tcPr>
            <w:tcW w:w="720" w:type="dxa"/>
            <w:tcBorders>
              <w:left w:val="nil"/>
              <w:right w:val="nil"/>
            </w:tcBorders>
            <w:shd w:val="clear" w:color="auto" w:fill="807F83"/>
          </w:tcPr>
          <w:p w14:paraId="7C452966" w14:textId="77777777" w:rsidR="00AD0F38" w:rsidRPr="00166809" w:rsidRDefault="00AD0F38" w:rsidP="00AD0F38">
            <w:pPr>
              <w:pStyle w:val="IRPsanstext"/>
              <w:widowControl w:val="0"/>
              <w:rPr>
                <w:rFonts w:cs="Arial"/>
                <w:bCs/>
              </w:rPr>
            </w:pPr>
          </w:p>
        </w:tc>
        <w:tc>
          <w:tcPr>
            <w:tcW w:w="1080" w:type="dxa"/>
            <w:tcBorders>
              <w:left w:val="nil"/>
            </w:tcBorders>
            <w:shd w:val="clear" w:color="auto" w:fill="807F83"/>
          </w:tcPr>
          <w:p w14:paraId="04522438" w14:textId="77777777" w:rsidR="00AD0F38" w:rsidRPr="00166809" w:rsidRDefault="00AD0F38" w:rsidP="00AD0F38">
            <w:pPr>
              <w:pStyle w:val="IRPsanstext"/>
              <w:widowControl w:val="0"/>
              <w:rPr>
                <w:rFonts w:cs="Arial"/>
                <w:bCs/>
              </w:rPr>
            </w:pPr>
          </w:p>
        </w:tc>
        <w:tc>
          <w:tcPr>
            <w:tcW w:w="1080" w:type="dxa"/>
            <w:tcBorders>
              <w:left w:val="nil"/>
            </w:tcBorders>
            <w:shd w:val="clear" w:color="auto" w:fill="807F83"/>
          </w:tcPr>
          <w:p w14:paraId="5E443D0D" w14:textId="77777777" w:rsidR="00AD0F38" w:rsidRPr="00166809" w:rsidRDefault="00AD0F38" w:rsidP="00AD0F38">
            <w:pPr>
              <w:pStyle w:val="IRPsanstext"/>
              <w:widowControl w:val="0"/>
              <w:rPr>
                <w:rFonts w:cs="Arial"/>
                <w:bCs/>
              </w:rPr>
            </w:pPr>
          </w:p>
        </w:tc>
        <w:tc>
          <w:tcPr>
            <w:tcW w:w="630" w:type="dxa"/>
            <w:tcBorders>
              <w:left w:val="nil"/>
            </w:tcBorders>
            <w:shd w:val="clear" w:color="auto" w:fill="807F83"/>
          </w:tcPr>
          <w:p w14:paraId="7AE70B36" w14:textId="77777777" w:rsidR="00AD0F38" w:rsidRPr="00166809" w:rsidRDefault="00AD0F38" w:rsidP="00AD0F38">
            <w:pPr>
              <w:pStyle w:val="IRPsanstext"/>
              <w:widowControl w:val="0"/>
              <w:rPr>
                <w:rFonts w:cs="Arial"/>
                <w:bCs/>
              </w:rPr>
            </w:pPr>
          </w:p>
        </w:tc>
        <w:tc>
          <w:tcPr>
            <w:tcW w:w="810" w:type="dxa"/>
            <w:tcBorders>
              <w:left w:val="nil"/>
            </w:tcBorders>
            <w:shd w:val="clear" w:color="auto" w:fill="807F83"/>
          </w:tcPr>
          <w:p w14:paraId="0CA6219D" w14:textId="77777777" w:rsidR="00AD0F38" w:rsidRPr="00166809" w:rsidRDefault="00AD0F38" w:rsidP="00AD0F38">
            <w:pPr>
              <w:pStyle w:val="IRPsanstext"/>
              <w:widowControl w:val="0"/>
              <w:rPr>
                <w:rFonts w:cs="Arial"/>
                <w:bCs/>
              </w:rPr>
            </w:pPr>
          </w:p>
        </w:tc>
        <w:tc>
          <w:tcPr>
            <w:tcW w:w="990" w:type="dxa"/>
            <w:tcBorders>
              <w:left w:val="nil"/>
            </w:tcBorders>
            <w:shd w:val="clear" w:color="auto" w:fill="807F83"/>
          </w:tcPr>
          <w:p w14:paraId="5C643569" w14:textId="77777777" w:rsidR="00AD0F38" w:rsidRPr="00166809" w:rsidRDefault="00AD0F38" w:rsidP="00AD0F38">
            <w:pPr>
              <w:pStyle w:val="IRPsanstext"/>
              <w:widowControl w:val="0"/>
              <w:rPr>
                <w:rFonts w:cs="Arial"/>
                <w:bCs/>
              </w:rPr>
            </w:pPr>
          </w:p>
        </w:tc>
      </w:tr>
      <w:tr w:rsidR="002873A4" w:rsidRPr="00AF4B4E" w14:paraId="248C3D8F" w14:textId="77777777">
        <w:trPr>
          <w:trHeight w:val="360"/>
        </w:trPr>
        <w:tc>
          <w:tcPr>
            <w:tcW w:w="448" w:type="dxa"/>
            <w:shd w:val="clear" w:color="auto" w:fill="D6CFCD"/>
          </w:tcPr>
          <w:p w14:paraId="478944CA" w14:textId="77777777" w:rsidR="00AD0F38" w:rsidRPr="003B1E0E" w:rsidRDefault="00AD0F38" w:rsidP="00AD0F38">
            <w:pPr>
              <w:pStyle w:val="IRPsanstext"/>
              <w:spacing w:beforeAutospacing="1" w:afterAutospacing="1"/>
              <w:jc w:val="center"/>
              <w:rPr>
                <w:rFonts w:ascii="Arial Narrow" w:hAnsi="Arial Narrow" w:cs="Arial"/>
                <w:bCs/>
                <w:iCs/>
                <w:color w:val="000000"/>
              </w:rPr>
            </w:pPr>
            <w:r w:rsidRPr="003B1E0E">
              <w:rPr>
                <w:rFonts w:ascii="Arial Narrow" w:hAnsi="Arial Narrow" w:cs="Arial"/>
                <w:bCs/>
                <w:iCs/>
                <w:color w:val="000000"/>
              </w:rPr>
              <w:t>1</w:t>
            </w:r>
          </w:p>
        </w:tc>
        <w:tc>
          <w:tcPr>
            <w:tcW w:w="2252" w:type="dxa"/>
            <w:shd w:val="clear" w:color="auto" w:fill="D6CFCD"/>
          </w:tcPr>
          <w:p w14:paraId="7820E37A" w14:textId="77777777" w:rsidR="00AD0F38" w:rsidRPr="00166809" w:rsidRDefault="00AD0F38" w:rsidP="003B1E0E">
            <w:pPr>
              <w:pStyle w:val="IRPsanstext"/>
              <w:spacing w:beforeAutospacing="1" w:afterAutospacing="1"/>
              <w:rPr>
                <w:rFonts w:cs="Arial"/>
                <w:bCs/>
                <w:iCs/>
                <w:color w:val="000000"/>
              </w:rPr>
            </w:pPr>
            <w:r w:rsidRPr="00166809">
              <w:rPr>
                <w:rFonts w:cs="Arial"/>
                <w:bCs/>
                <w:iCs/>
                <w:color w:val="000000"/>
              </w:rPr>
              <w:t>Low</w:t>
            </w:r>
          </w:p>
        </w:tc>
        <w:tc>
          <w:tcPr>
            <w:tcW w:w="540" w:type="dxa"/>
          </w:tcPr>
          <w:p w14:paraId="20C3C751" w14:textId="77777777" w:rsidR="00AD0F38" w:rsidRPr="00166809" w:rsidRDefault="00AD0F38" w:rsidP="005B2826">
            <w:pPr>
              <w:pStyle w:val="IRPsanstext"/>
              <w:widowControl w:val="0"/>
              <w:jc w:val="center"/>
              <w:rPr>
                <w:rFonts w:cs="Arial"/>
                <w:bCs/>
              </w:rPr>
            </w:pPr>
            <w:r w:rsidRPr="00166809">
              <w:rPr>
                <w:rFonts w:cs="Arial"/>
                <w:bCs/>
              </w:rPr>
              <w:t>C</w:t>
            </w:r>
          </w:p>
        </w:tc>
        <w:tc>
          <w:tcPr>
            <w:tcW w:w="720" w:type="dxa"/>
          </w:tcPr>
          <w:p w14:paraId="11C23BFB" w14:textId="77777777" w:rsidR="00AD0F38" w:rsidRPr="00166809" w:rsidRDefault="003B1E0E" w:rsidP="005B2826">
            <w:pPr>
              <w:pStyle w:val="IRPsanstext"/>
              <w:widowControl w:val="0"/>
              <w:jc w:val="center"/>
              <w:rPr>
                <w:rFonts w:cs="Arial"/>
                <w:bCs/>
              </w:rPr>
            </w:pPr>
            <w:r w:rsidRPr="00166809">
              <w:rPr>
                <w:rFonts w:cs="Arial"/>
                <w:bCs/>
              </w:rPr>
              <w:t>664</w:t>
            </w:r>
          </w:p>
        </w:tc>
        <w:tc>
          <w:tcPr>
            <w:tcW w:w="1080" w:type="dxa"/>
          </w:tcPr>
          <w:p w14:paraId="6383BF95" w14:textId="77777777" w:rsidR="00AD0F38" w:rsidRPr="00166809" w:rsidRDefault="00AD0F38" w:rsidP="00AD0F38">
            <w:pPr>
              <w:pStyle w:val="IRPsanstext"/>
              <w:widowControl w:val="0"/>
              <w:rPr>
                <w:rFonts w:cs="Arial"/>
                <w:bCs/>
              </w:rPr>
            </w:pPr>
            <w:r w:rsidRPr="00166809">
              <w:rPr>
                <w:rFonts w:cs="Arial"/>
                <w:bCs/>
              </w:rPr>
              <w:t>1,3,4,5</w:t>
            </w:r>
          </w:p>
        </w:tc>
        <w:tc>
          <w:tcPr>
            <w:tcW w:w="1080" w:type="dxa"/>
            <w:vAlign w:val="center"/>
          </w:tcPr>
          <w:p w14:paraId="5059A832" w14:textId="77777777" w:rsidR="00AD0F38" w:rsidRPr="00166809" w:rsidRDefault="003B1E0E" w:rsidP="005B2826">
            <w:pPr>
              <w:pStyle w:val="IRPsanstext"/>
              <w:widowControl w:val="0"/>
              <w:jc w:val="center"/>
              <w:rPr>
                <w:rFonts w:cs="Arial"/>
                <w:bCs/>
              </w:rPr>
            </w:pPr>
            <w:r w:rsidRPr="00166809">
              <w:rPr>
                <w:rFonts w:cs="Arial"/>
                <w:bCs/>
              </w:rPr>
              <w:t>174</w:t>
            </w:r>
          </w:p>
        </w:tc>
        <w:tc>
          <w:tcPr>
            <w:tcW w:w="630" w:type="dxa"/>
            <w:vAlign w:val="center"/>
          </w:tcPr>
          <w:p w14:paraId="1A9663AD" w14:textId="77777777" w:rsidR="00AD0F38" w:rsidRPr="00166809" w:rsidRDefault="003B1E0E" w:rsidP="005B2826">
            <w:pPr>
              <w:pStyle w:val="IRPsanstext"/>
              <w:widowControl w:val="0"/>
              <w:jc w:val="center"/>
              <w:rPr>
                <w:rFonts w:cs="Arial"/>
                <w:bCs/>
              </w:rPr>
            </w:pPr>
            <w:r w:rsidRPr="00166809">
              <w:rPr>
                <w:rFonts w:cs="Arial"/>
                <w:bCs/>
              </w:rPr>
              <w:t>27</w:t>
            </w:r>
          </w:p>
        </w:tc>
        <w:tc>
          <w:tcPr>
            <w:tcW w:w="810" w:type="dxa"/>
            <w:vAlign w:val="center"/>
          </w:tcPr>
          <w:p w14:paraId="167AB1B3" w14:textId="77777777" w:rsidR="00AD0F38" w:rsidRPr="00166809" w:rsidRDefault="003B1E0E" w:rsidP="005B2826">
            <w:pPr>
              <w:pStyle w:val="IRPsanstext"/>
              <w:widowControl w:val="0"/>
              <w:jc w:val="center"/>
              <w:rPr>
                <w:rFonts w:cs="Arial"/>
                <w:bCs/>
              </w:rPr>
            </w:pPr>
            <w:r w:rsidRPr="00166809">
              <w:rPr>
                <w:rFonts w:cs="Arial"/>
                <w:bCs/>
              </w:rPr>
              <w:t>197</w:t>
            </w:r>
          </w:p>
        </w:tc>
        <w:tc>
          <w:tcPr>
            <w:tcW w:w="990" w:type="dxa"/>
            <w:vAlign w:val="center"/>
          </w:tcPr>
          <w:p w14:paraId="7BFFEF4C" w14:textId="77777777" w:rsidR="00AD0F38" w:rsidRPr="00166809" w:rsidRDefault="003B1E0E" w:rsidP="005B2826">
            <w:pPr>
              <w:pStyle w:val="IRPsanstext"/>
              <w:widowControl w:val="0"/>
              <w:jc w:val="center"/>
              <w:rPr>
                <w:rFonts w:cs="Arial"/>
                <w:bCs/>
              </w:rPr>
            </w:pPr>
            <w:r w:rsidRPr="00166809">
              <w:rPr>
                <w:rFonts w:cs="Arial"/>
                <w:bCs/>
              </w:rPr>
              <w:t>1,062</w:t>
            </w:r>
          </w:p>
        </w:tc>
      </w:tr>
      <w:tr w:rsidR="002873A4" w:rsidRPr="00AF4B4E" w14:paraId="2037248C" w14:textId="77777777">
        <w:trPr>
          <w:trHeight w:val="360"/>
        </w:trPr>
        <w:tc>
          <w:tcPr>
            <w:tcW w:w="448" w:type="dxa"/>
            <w:shd w:val="clear" w:color="auto" w:fill="D6CFCD"/>
          </w:tcPr>
          <w:p w14:paraId="33224FAC" w14:textId="77777777" w:rsidR="00AD0F38" w:rsidRPr="003B1E0E" w:rsidRDefault="00AD0F38" w:rsidP="00AD0F38">
            <w:pPr>
              <w:pStyle w:val="IRPsanstext"/>
              <w:spacing w:beforeAutospacing="1" w:afterAutospacing="1"/>
              <w:jc w:val="center"/>
              <w:rPr>
                <w:rFonts w:ascii="Arial Narrow" w:hAnsi="Arial Narrow" w:cs="Arial"/>
                <w:bCs/>
                <w:iCs/>
                <w:color w:val="000000"/>
              </w:rPr>
            </w:pPr>
            <w:r w:rsidRPr="003B1E0E">
              <w:rPr>
                <w:rFonts w:ascii="Arial Narrow" w:hAnsi="Arial Narrow" w:cs="Arial"/>
                <w:bCs/>
                <w:iCs/>
                <w:color w:val="000000"/>
              </w:rPr>
              <w:t>2</w:t>
            </w:r>
          </w:p>
        </w:tc>
        <w:tc>
          <w:tcPr>
            <w:tcW w:w="2252" w:type="dxa"/>
            <w:shd w:val="clear" w:color="auto" w:fill="D6CFCD"/>
          </w:tcPr>
          <w:p w14:paraId="46574037" w14:textId="77777777" w:rsidR="00AD0F38" w:rsidRPr="00166809" w:rsidRDefault="00AD0F38" w:rsidP="003B1E0E">
            <w:pPr>
              <w:pStyle w:val="IRPsanstext"/>
              <w:spacing w:beforeAutospacing="1" w:afterAutospacing="1"/>
              <w:rPr>
                <w:rFonts w:cs="Arial"/>
                <w:bCs/>
                <w:iCs/>
                <w:color w:val="000000"/>
              </w:rPr>
            </w:pPr>
            <w:r w:rsidRPr="00166809">
              <w:rPr>
                <w:rFonts w:cs="Arial"/>
                <w:bCs/>
                <w:iCs/>
                <w:color w:val="000000"/>
              </w:rPr>
              <w:t>Base</w:t>
            </w:r>
          </w:p>
        </w:tc>
        <w:tc>
          <w:tcPr>
            <w:tcW w:w="540" w:type="dxa"/>
          </w:tcPr>
          <w:p w14:paraId="1C4769CE" w14:textId="77777777" w:rsidR="00AD0F38" w:rsidRPr="00166809" w:rsidRDefault="00AD0F38" w:rsidP="005B2826">
            <w:pPr>
              <w:pStyle w:val="IRPsanstext"/>
              <w:widowControl w:val="0"/>
              <w:jc w:val="center"/>
              <w:rPr>
                <w:rFonts w:cs="Arial"/>
                <w:bCs/>
              </w:rPr>
            </w:pPr>
            <w:r w:rsidRPr="00166809">
              <w:rPr>
                <w:rFonts w:cs="Arial"/>
                <w:bCs/>
              </w:rPr>
              <w:t>D</w:t>
            </w:r>
          </w:p>
        </w:tc>
        <w:tc>
          <w:tcPr>
            <w:tcW w:w="720" w:type="dxa"/>
          </w:tcPr>
          <w:p w14:paraId="7AB2C5EB" w14:textId="77777777" w:rsidR="00AD0F38" w:rsidRPr="00166809" w:rsidRDefault="003B1E0E" w:rsidP="005B2826">
            <w:pPr>
              <w:pStyle w:val="IRPsanstext"/>
              <w:widowControl w:val="0"/>
              <w:jc w:val="center"/>
              <w:rPr>
                <w:rFonts w:cs="Arial"/>
                <w:bCs/>
              </w:rPr>
            </w:pPr>
            <w:r w:rsidRPr="00166809">
              <w:rPr>
                <w:rFonts w:cs="Arial"/>
                <w:bCs/>
              </w:rPr>
              <w:t>683</w:t>
            </w:r>
          </w:p>
        </w:tc>
        <w:tc>
          <w:tcPr>
            <w:tcW w:w="1080" w:type="dxa"/>
          </w:tcPr>
          <w:p w14:paraId="375FD084" w14:textId="77777777" w:rsidR="00AD0F38" w:rsidRPr="00166809" w:rsidRDefault="00AD0F38" w:rsidP="00AD0F38">
            <w:pPr>
              <w:pStyle w:val="IRPsanstext"/>
              <w:widowControl w:val="0"/>
              <w:rPr>
                <w:rFonts w:cs="Arial"/>
                <w:bCs/>
              </w:rPr>
            </w:pPr>
            <w:r w:rsidRPr="00166809">
              <w:rPr>
                <w:rFonts w:cs="Arial"/>
                <w:bCs/>
              </w:rPr>
              <w:t>1,3,5</w:t>
            </w:r>
          </w:p>
        </w:tc>
        <w:tc>
          <w:tcPr>
            <w:tcW w:w="1080" w:type="dxa"/>
            <w:vAlign w:val="center"/>
          </w:tcPr>
          <w:p w14:paraId="71CF3370" w14:textId="77777777" w:rsidR="00AD0F38" w:rsidRPr="00166809" w:rsidRDefault="003B1E0E" w:rsidP="005B2826">
            <w:pPr>
              <w:pStyle w:val="IRPsanstext"/>
              <w:widowControl w:val="0"/>
              <w:jc w:val="center"/>
              <w:rPr>
                <w:rFonts w:cs="Arial"/>
                <w:bCs/>
              </w:rPr>
            </w:pPr>
            <w:r w:rsidRPr="00166809">
              <w:rPr>
                <w:rFonts w:cs="Arial"/>
                <w:bCs/>
              </w:rPr>
              <w:t>172</w:t>
            </w:r>
          </w:p>
        </w:tc>
        <w:tc>
          <w:tcPr>
            <w:tcW w:w="630" w:type="dxa"/>
            <w:vAlign w:val="center"/>
          </w:tcPr>
          <w:p w14:paraId="34F54793" w14:textId="77777777" w:rsidR="00AD0F38" w:rsidRPr="00166809" w:rsidRDefault="003B1E0E" w:rsidP="005B2826">
            <w:pPr>
              <w:pStyle w:val="IRPsanstext"/>
              <w:widowControl w:val="0"/>
              <w:jc w:val="center"/>
              <w:rPr>
                <w:rFonts w:cs="Arial"/>
                <w:bCs/>
              </w:rPr>
            </w:pPr>
            <w:r w:rsidRPr="00166809">
              <w:rPr>
                <w:rFonts w:cs="Arial"/>
                <w:bCs/>
              </w:rPr>
              <w:t>27</w:t>
            </w:r>
          </w:p>
        </w:tc>
        <w:tc>
          <w:tcPr>
            <w:tcW w:w="810" w:type="dxa"/>
            <w:vAlign w:val="center"/>
          </w:tcPr>
          <w:p w14:paraId="40C79DDB" w14:textId="77777777" w:rsidR="00AD0F38" w:rsidRPr="00166809" w:rsidRDefault="003B1E0E" w:rsidP="005B2826">
            <w:pPr>
              <w:pStyle w:val="IRPsanstext"/>
              <w:widowControl w:val="0"/>
              <w:jc w:val="center"/>
              <w:rPr>
                <w:rFonts w:cs="Arial"/>
                <w:bCs/>
              </w:rPr>
            </w:pPr>
            <w:r w:rsidRPr="00166809">
              <w:rPr>
                <w:rFonts w:cs="Arial"/>
                <w:bCs/>
              </w:rPr>
              <w:t>197</w:t>
            </w:r>
          </w:p>
        </w:tc>
        <w:tc>
          <w:tcPr>
            <w:tcW w:w="990" w:type="dxa"/>
            <w:vAlign w:val="center"/>
          </w:tcPr>
          <w:p w14:paraId="44FFB107" w14:textId="77777777" w:rsidR="00AD0F38" w:rsidRPr="00166809" w:rsidRDefault="003B1E0E" w:rsidP="005B2826">
            <w:pPr>
              <w:pStyle w:val="IRPsanstext"/>
              <w:widowControl w:val="0"/>
              <w:jc w:val="center"/>
              <w:rPr>
                <w:rFonts w:cs="Arial"/>
                <w:bCs/>
              </w:rPr>
            </w:pPr>
            <w:r w:rsidRPr="00166809">
              <w:rPr>
                <w:rFonts w:cs="Arial"/>
                <w:bCs/>
              </w:rPr>
              <w:t>1,078</w:t>
            </w:r>
          </w:p>
        </w:tc>
      </w:tr>
      <w:tr w:rsidR="002873A4" w:rsidRPr="00AF4B4E" w14:paraId="19FB6009" w14:textId="77777777">
        <w:trPr>
          <w:trHeight w:val="360"/>
        </w:trPr>
        <w:tc>
          <w:tcPr>
            <w:tcW w:w="448" w:type="dxa"/>
            <w:shd w:val="clear" w:color="auto" w:fill="D6CFCD"/>
          </w:tcPr>
          <w:p w14:paraId="7E81E1E0" w14:textId="77777777" w:rsidR="00AD0F38" w:rsidRPr="003B1E0E" w:rsidRDefault="00AD0F38" w:rsidP="00AD0F38">
            <w:pPr>
              <w:pStyle w:val="IRPsanstext"/>
              <w:spacing w:beforeAutospacing="1" w:afterAutospacing="1"/>
              <w:jc w:val="center"/>
              <w:rPr>
                <w:rFonts w:ascii="Arial Narrow" w:hAnsi="Arial Narrow" w:cs="Arial"/>
                <w:bCs/>
                <w:iCs/>
                <w:color w:val="000000"/>
              </w:rPr>
            </w:pPr>
            <w:r w:rsidRPr="003B1E0E">
              <w:rPr>
                <w:rFonts w:ascii="Arial Narrow" w:hAnsi="Arial Narrow" w:cs="Arial"/>
                <w:bCs/>
                <w:iCs/>
                <w:color w:val="000000"/>
              </w:rPr>
              <w:t>3</w:t>
            </w:r>
          </w:p>
        </w:tc>
        <w:tc>
          <w:tcPr>
            <w:tcW w:w="2252" w:type="dxa"/>
            <w:shd w:val="clear" w:color="auto" w:fill="D6CFCD"/>
          </w:tcPr>
          <w:p w14:paraId="57C35877" w14:textId="77777777" w:rsidR="00AD0F38" w:rsidRPr="00166809" w:rsidRDefault="00AD0F38" w:rsidP="003B1E0E">
            <w:pPr>
              <w:pStyle w:val="IRPsanstext"/>
              <w:spacing w:beforeAutospacing="1" w:afterAutospacing="1"/>
              <w:rPr>
                <w:rFonts w:cs="Arial"/>
                <w:bCs/>
                <w:iCs/>
                <w:color w:val="000000"/>
              </w:rPr>
            </w:pPr>
            <w:r w:rsidRPr="00166809">
              <w:rPr>
                <w:rFonts w:cs="Arial"/>
                <w:bCs/>
                <w:iCs/>
                <w:color w:val="000000"/>
              </w:rPr>
              <w:t>High</w:t>
            </w:r>
          </w:p>
        </w:tc>
        <w:tc>
          <w:tcPr>
            <w:tcW w:w="540" w:type="dxa"/>
          </w:tcPr>
          <w:p w14:paraId="7C25C470" w14:textId="77777777" w:rsidR="00AD0F38" w:rsidRPr="00166809" w:rsidRDefault="00AD0F38" w:rsidP="005B2826">
            <w:pPr>
              <w:pStyle w:val="IRPsanstext"/>
              <w:widowControl w:val="0"/>
              <w:jc w:val="center"/>
              <w:rPr>
                <w:rFonts w:cs="Arial"/>
                <w:bCs/>
              </w:rPr>
            </w:pPr>
            <w:r w:rsidRPr="00166809">
              <w:rPr>
                <w:rFonts w:cs="Arial"/>
                <w:bCs/>
              </w:rPr>
              <w:t>D</w:t>
            </w:r>
          </w:p>
        </w:tc>
        <w:tc>
          <w:tcPr>
            <w:tcW w:w="720" w:type="dxa"/>
          </w:tcPr>
          <w:p w14:paraId="4FEDFC84" w14:textId="77777777" w:rsidR="00AD0F38" w:rsidRPr="00166809" w:rsidRDefault="003B1E0E" w:rsidP="005B2826">
            <w:pPr>
              <w:pStyle w:val="IRPsanstext"/>
              <w:widowControl w:val="0"/>
              <w:jc w:val="center"/>
              <w:rPr>
                <w:rFonts w:cs="Arial"/>
                <w:bCs/>
              </w:rPr>
            </w:pPr>
            <w:r w:rsidRPr="00166809">
              <w:rPr>
                <w:rFonts w:cs="Arial"/>
                <w:bCs/>
              </w:rPr>
              <w:t>683</w:t>
            </w:r>
          </w:p>
        </w:tc>
        <w:tc>
          <w:tcPr>
            <w:tcW w:w="1080" w:type="dxa"/>
          </w:tcPr>
          <w:p w14:paraId="77FD294B" w14:textId="77777777" w:rsidR="00AD0F38" w:rsidRPr="00166809" w:rsidRDefault="00AD0F38" w:rsidP="00AD0F38">
            <w:pPr>
              <w:pStyle w:val="IRPsanstext"/>
              <w:widowControl w:val="0"/>
              <w:rPr>
                <w:rFonts w:cs="Arial"/>
                <w:bCs/>
              </w:rPr>
            </w:pPr>
            <w:r w:rsidRPr="00166809">
              <w:rPr>
                <w:rFonts w:cs="Arial"/>
                <w:bCs/>
              </w:rPr>
              <w:t>1,3,4,5</w:t>
            </w:r>
          </w:p>
        </w:tc>
        <w:tc>
          <w:tcPr>
            <w:tcW w:w="1080" w:type="dxa"/>
            <w:vAlign w:val="center"/>
          </w:tcPr>
          <w:p w14:paraId="46261E2D" w14:textId="77777777" w:rsidR="00AD0F38" w:rsidRPr="00166809" w:rsidRDefault="003B1E0E" w:rsidP="005B2826">
            <w:pPr>
              <w:pStyle w:val="IRPsanstext"/>
              <w:widowControl w:val="0"/>
              <w:jc w:val="center"/>
              <w:rPr>
                <w:rFonts w:cs="Arial"/>
                <w:bCs/>
              </w:rPr>
            </w:pPr>
            <w:r w:rsidRPr="00166809">
              <w:rPr>
                <w:rFonts w:cs="Arial"/>
                <w:bCs/>
              </w:rPr>
              <w:t>174</w:t>
            </w:r>
          </w:p>
        </w:tc>
        <w:tc>
          <w:tcPr>
            <w:tcW w:w="630" w:type="dxa"/>
            <w:vAlign w:val="center"/>
          </w:tcPr>
          <w:p w14:paraId="3F608EF9" w14:textId="77777777" w:rsidR="00AD0F38" w:rsidRPr="00166809" w:rsidRDefault="003B1E0E" w:rsidP="005B2826">
            <w:pPr>
              <w:pStyle w:val="IRPsanstext"/>
              <w:widowControl w:val="0"/>
              <w:jc w:val="center"/>
              <w:rPr>
                <w:rFonts w:cs="Arial"/>
                <w:bCs/>
              </w:rPr>
            </w:pPr>
            <w:r w:rsidRPr="00166809">
              <w:rPr>
                <w:rFonts w:cs="Arial"/>
                <w:bCs/>
              </w:rPr>
              <w:t>27</w:t>
            </w:r>
          </w:p>
        </w:tc>
        <w:tc>
          <w:tcPr>
            <w:tcW w:w="810" w:type="dxa"/>
            <w:vAlign w:val="center"/>
          </w:tcPr>
          <w:p w14:paraId="7659AC23" w14:textId="77777777" w:rsidR="00AD0F38" w:rsidRPr="00166809" w:rsidRDefault="003B1E0E" w:rsidP="005B2826">
            <w:pPr>
              <w:pStyle w:val="IRPsanstext"/>
              <w:widowControl w:val="0"/>
              <w:jc w:val="center"/>
              <w:rPr>
                <w:rFonts w:cs="Arial"/>
                <w:bCs/>
              </w:rPr>
            </w:pPr>
            <w:r w:rsidRPr="00166809">
              <w:rPr>
                <w:rFonts w:cs="Arial"/>
                <w:bCs/>
              </w:rPr>
              <w:t>197</w:t>
            </w:r>
          </w:p>
        </w:tc>
        <w:tc>
          <w:tcPr>
            <w:tcW w:w="990" w:type="dxa"/>
            <w:vAlign w:val="center"/>
          </w:tcPr>
          <w:p w14:paraId="692DB811" w14:textId="77777777" w:rsidR="00AD0F38" w:rsidRPr="00166809" w:rsidRDefault="003B1E0E" w:rsidP="005B2826">
            <w:pPr>
              <w:pStyle w:val="IRPsanstext"/>
              <w:widowControl w:val="0"/>
              <w:jc w:val="center"/>
              <w:rPr>
                <w:rFonts w:cs="Arial"/>
                <w:bCs/>
              </w:rPr>
            </w:pPr>
            <w:r w:rsidRPr="00166809">
              <w:rPr>
                <w:rFonts w:cs="Arial"/>
                <w:bCs/>
              </w:rPr>
              <w:t>1,081</w:t>
            </w:r>
          </w:p>
        </w:tc>
      </w:tr>
      <w:tr w:rsidR="002873A4" w:rsidRPr="00AF4B4E" w14:paraId="3749AF78" w14:textId="77777777">
        <w:trPr>
          <w:trHeight w:val="360"/>
        </w:trPr>
        <w:tc>
          <w:tcPr>
            <w:tcW w:w="448" w:type="dxa"/>
            <w:shd w:val="clear" w:color="auto" w:fill="D6CFCD"/>
          </w:tcPr>
          <w:p w14:paraId="5B9FF669" w14:textId="77777777" w:rsidR="00AD0F38" w:rsidRPr="003B1E0E" w:rsidRDefault="00AD0F38" w:rsidP="00AD0F38">
            <w:pPr>
              <w:pStyle w:val="IRPsanstext"/>
              <w:spacing w:beforeAutospacing="1" w:afterAutospacing="1"/>
              <w:jc w:val="center"/>
              <w:rPr>
                <w:rFonts w:ascii="Arial Narrow" w:hAnsi="Arial Narrow" w:cs="Arial"/>
                <w:bCs/>
                <w:iCs/>
                <w:color w:val="000000"/>
              </w:rPr>
            </w:pPr>
            <w:r w:rsidRPr="003B1E0E">
              <w:rPr>
                <w:rFonts w:ascii="Arial Narrow" w:hAnsi="Arial Narrow" w:cs="Arial"/>
                <w:bCs/>
                <w:iCs/>
                <w:color w:val="000000"/>
              </w:rPr>
              <w:t>4</w:t>
            </w:r>
          </w:p>
        </w:tc>
        <w:tc>
          <w:tcPr>
            <w:tcW w:w="2252" w:type="dxa"/>
            <w:shd w:val="clear" w:color="auto" w:fill="D6CFCD"/>
          </w:tcPr>
          <w:p w14:paraId="22BCFC61" w14:textId="77777777" w:rsidR="00AD0F38" w:rsidRPr="00166809" w:rsidRDefault="00AD0F38" w:rsidP="003B1E0E">
            <w:pPr>
              <w:pStyle w:val="IRPsanstext"/>
              <w:spacing w:beforeAutospacing="1" w:afterAutospacing="1"/>
              <w:rPr>
                <w:rFonts w:cs="Arial"/>
                <w:bCs/>
                <w:iCs/>
                <w:color w:val="000000"/>
              </w:rPr>
            </w:pPr>
            <w:r w:rsidRPr="00166809">
              <w:rPr>
                <w:rFonts w:cs="Arial"/>
                <w:bCs/>
                <w:iCs/>
                <w:color w:val="000000"/>
              </w:rPr>
              <w:t>Base + Low Gas Price</w:t>
            </w:r>
          </w:p>
        </w:tc>
        <w:tc>
          <w:tcPr>
            <w:tcW w:w="540" w:type="dxa"/>
          </w:tcPr>
          <w:p w14:paraId="472ACDBC" w14:textId="77777777" w:rsidR="00AD0F38" w:rsidRPr="00166809" w:rsidRDefault="00AD0F38" w:rsidP="005B2826">
            <w:pPr>
              <w:pStyle w:val="IRPsanstext"/>
              <w:widowControl w:val="0"/>
              <w:jc w:val="center"/>
              <w:rPr>
                <w:rFonts w:cs="Arial"/>
                <w:bCs/>
              </w:rPr>
            </w:pPr>
            <w:r w:rsidRPr="00166809">
              <w:rPr>
                <w:rFonts w:cs="Arial"/>
                <w:bCs/>
              </w:rPr>
              <w:t>D</w:t>
            </w:r>
          </w:p>
        </w:tc>
        <w:tc>
          <w:tcPr>
            <w:tcW w:w="720" w:type="dxa"/>
          </w:tcPr>
          <w:p w14:paraId="50237D7D" w14:textId="77777777" w:rsidR="00AD0F38" w:rsidRPr="00166809" w:rsidRDefault="003B1E0E" w:rsidP="005B2826">
            <w:pPr>
              <w:pStyle w:val="IRPsanstext"/>
              <w:widowControl w:val="0"/>
              <w:jc w:val="center"/>
              <w:rPr>
                <w:rFonts w:cs="Arial"/>
                <w:bCs/>
              </w:rPr>
            </w:pPr>
            <w:r w:rsidRPr="00166809">
              <w:rPr>
                <w:rFonts w:cs="Arial"/>
                <w:bCs/>
              </w:rPr>
              <w:t>683</w:t>
            </w:r>
          </w:p>
        </w:tc>
        <w:tc>
          <w:tcPr>
            <w:tcW w:w="1080" w:type="dxa"/>
          </w:tcPr>
          <w:p w14:paraId="7C91F63A" w14:textId="77777777" w:rsidR="00AD0F38" w:rsidRPr="00166809" w:rsidRDefault="00AD0F38" w:rsidP="00AD0F38">
            <w:pPr>
              <w:pStyle w:val="IRPsanstext"/>
              <w:widowControl w:val="0"/>
              <w:rPr>
                <w:rFonts w:cs="Arial"/>
                <w:bCs/>
              </w:rPr>
            </w:pPr>
            <w:r w:rsidRPr="00166809">
              <w:rPr>
                <w:rFonts w:cs="Arial"/>
                <w:bCs/>
              </w:rPr>
              <w:t>1,3,5</w:t>
            </w:r>
          </w:p>
        </w:tc>
        <w:tc>
          <w:tcPr>
            <w:tcW w:w="1080" w:type="dxa"/>
            <w:vAlign w:val="center"/>
          </w:tcPr>
          <w:p w14:paraId="06A01CC3" w14:textId="77777777" w:rsidR="00AD0F38" w:rsidRPr="00166809" w:rsidRDefault="003B1E0E" w:rsidP="005B2826">
            <w:pPr>
              <w:pStyle w:val="IRPsanstext"/>
              <w:widowControl w:val="0"/>
              <w:jc w:val="center"/>
              <w:rPr>
                <w:rFonts w:cs="Arial"/>
                <w:bCs/>
              </w:rPr>
            </w:pPr>
            <w:r w:rsidRPr="00166809">
              <w:rPr>
                <w:rFonts w:cs="Arial"/>
                <w:bCs/>
              </w:rPr>
              <w:t>172</w:t>
            </w:r>
          </w:p>
        </w:tc>
        <w:tc>
          <w:tcPr>
            <w:tcW w:w="630" w:type="dxa"/>
            <w:vAlign w:val="center"/>
          </w:tcPr>
          <w:p w14:paraId="477C2AE6" w14:textId="77777777" w:rsidR="00AD0F38" w:rsidRPr="00166809" w:rsidRDefault="003B1E0E" w:rsidP="005B2826">
            <w:pPr>
              <w:pStyle w:val="IRPsanstext"/>
              <w:widowControl w:val="0"/>
              <w:jc w:val="center"/>
              <w:rPr>
                <w:rFonts w:cs="Arial"/>
                <w:bCs/>
              </w:rPr>
            </w:pPr>
            <w:r w:rsidRPr="00166809">
              <w:rPr>
                <w:rFonts w:cs="Arial"/>
                <w:bCs/>
              </w:rPr>
              <w:t>27</w:t>
            </w:r>
          </w:p>
        </w:tc>
        <w:tc>
          <w:tcPr>
            <w:tcW w:w="810" w:type="dxa"/>
            <w:vAlign w:val="center"/>
          </w:tcPr>
          <w:p w14:paraId="01868D07" w14:textId="77777777" w:rsidR="00AD0F38" w:rsidRPr="00166809" w:rsidRDefault="003B1E0E" w:rsidP="005B2826">
            <w:pPr>
              <w:pStyle w:val="IRPsanstext"/>
              <w:widowControl w:val="0"/>
              <w:jc w:val="center"/>
              <w:rPr>
                <w:rFonts w:cs="Arial"/>
                <w:bCs/>
              </w:rPr>
            </w:pPr>
            <w:r w:rsidRPr="00166809">
              <w:rPr>
                <w:rFonts w:cs="Arial"/>
                <w:bCs/>
              </w:rPr>
              <w:t>197</w:t>
            </w:r>
          </w:p>
        </w:tc>
        <w:tc>
          <w:tcPr>
            <w:tcW w:w="990" w:type="dxa"/>
            <w:vAlign w:val="center"/>
          </w:tcPr>
          <w:p w14:paraId="21DD065C" w14:textId="77777777" w:rsidR="00AD0F38" w:rsidRPr="00166809" w:rsidRDefault="003B1E0E" w:rsidP="005B2826">
            <w:pPr>
              <w:pStyle w:val="IRPsanstext"/>
              <w:widowControl w:val="0"/>
              <w:jc w:val="center"/>
              <w:rPr>
                <w:rFonts w:cs="Arial"/>
                <w:bCs/>
              </w:rPr>
            </w:pPr>
            <w:r w:rsidRPr="00166809">
              <w:rPr>
                <w:rFonts w:cs="Arial"/>
                <w:bCs/>
              </w:rPr>
              <w:t>1,078</w:t>
            </w:r>
          </w:p>
        </w:tc>
      </w:tr>
      <w:tr w:rsidR="002873A4" w:rsidRPr="00AF4B4E" w14:paraId="7D58787E" w14:textId="77777777">
        <w:trPr>
          <w:trHeight w:val="360"/>
        </w:trPr>
        <w:tc>
          <w:tcPr>
            <w:tcW w:w="448" w:type="dxa"/>
            <w:shd w:val="clear" w:color="auto" w:fill="D6CFCD"/>
          </w:tcPr>
          <w:p w14:paraId="20DD6ED7" w14:textId="77777777" w:rsidR="00AD0F38" w:rsidRPr="003B1E0E" w:rsidRDefault="00AD0F38" w:rsidP="00AD0F38">
            <w:pPr>
              <w:pStyle w:val="IRPsanstext"/>
              <w:spacing w:beforeAutospacing="1" w:afterAutospacing="1"/>
              <w:jc w:val="center"/>
              <w:rPr>
                <w:rFonts w:ascii="Arial Narrow" w:hAnsi="Arial Narrow" w:cs="Arial"/>
                <w:bCs/>
                <w:iCs/>
                <w:color w:val="000000"/>
              </w:rPr>
            </w:pPr>
            <w:r w:rsidRPr="003B1E0E">
              <w:rPr>
                <w:rFonts w:ascii="Arial Narrow" w:hAnsi="Arial Narrow" w:cs="Arial"/>
                <w:bCs/>
                <w:iCs/>
                <w:color w:val="000000"/>
              </w:rPr>
              <w:t>5</w:t>
            </w:r>
          </w:p>
        </w:tc>
        <w:tc>
          <w:tcPr>
            <w:tcW w:w="2252" w:type="dxa"/>
            <w:shd w:val="clear" w:color="auto" w:fill="D6CFCD"/>
          </w:tcPr>
          <w:p w14:paraId="69F200F9" w14:textId="77777777" w:rsidR="00AD0F38" w:rsidRPr="00166809" w:rsidRDefault="00AD0F38" w:rsidP="003B1E0E">
            <w:pPr>
              <w:pStyle w:val="IRPsanstext"/>
              <w:spacing w:beforeAutospacing="1" w:afterAutospacing="1"/>
              <w:rPr>
                <w:rFonts w:cs="Arial"/>
                <w:bCs/>
                <w:iCs/>
                <w:color w:val="000000"/>
              </w:rPr>
            </w:pPr>
            <w:r w:rsidRPr="00166809">
              <w:rPr>
                <w:rFonts w:cs="Arial"/>
                <w:bCs/>
                <w:iCs/>
                <w:color w:val="000000"/>
              </w:rPr>
              <w:t>Base + High Gas Price</w:t>
            </w:r>
          </w:p>
        </w:tc>
        <w:tc>
          <w:tcPr>
            <w:tcW w:w="540" w:type="dxa"/>
          </w:tcPr>
          <w:p w14:paraId="041C4C9E" w14:textId="77777777" w:rsidR="00AD0F38" w:rsidRPr="00166809" w:rsidRDefault="00AD0F38" w:rsidP="005B2826">
            <w:pPr>
              <w:pStyle w:val="IRPsanstext"/>
              <w:widowControl w:val="0"/>
              <w:jc w:val="center"/>
              <w:rPr>
                <w:rFonts w:cs="Arial"/>
                <w:bCs/>
              </w:rPr>
            </w:pPr>
            <w:r w:rsidRPr="00166809">
              <w:rPr>
                <w:rFonts w:cs="Arial"/>
                <w:bCs/>
              </w:rPr>
              <w:t>D</w:t>
            </w:r>
          </w:p>
        </w:tc>
        <w:tc>
          <w:tcPr>
            <w:tcW w:w="720" w:type="dxa"/>
          </w:tcPr>
          <w:p w14:paraId="4CB3FC0D" w14:textId="77777777" w:rsidR="00AD0F38" w:rsidRPr="00166809" w:rsidRDefault="003B1E0E" w:rsidP="005B2826">
            <w:pPr>
              <w:pStyle w:val="IRPsanstext"/>
              <w:widowControl w:val="0"/>
              <w:jc w:val="center"/>
              <w:rPr>
                <w:rFonts w:cs="Arial"/>
                <w:bCs/>
              </w:rPr>
            </w:pPr>
            <w:r w:rsidRPr="00166809">
              <w:rPr>
                <w:rFonts w:cs="Arial"/>
                <w:bCs/>
              </w:rPr>
              <w:t>683</w:t>
            </w:r>
          </w:p>
        </w:tc>
        <w:tc>
          <w:tcPr>
            <w:tcW w:w="1080" w:type="dxa"/>
          </w:tcPr>
          <w:p w14:paraId="2FD95079" w14:textId="77777777" w:rsidR="00AD0F38" w:rsidRPr="00166809" w:rsidRDefault="00AD0F38" w:rsidP="00AD0F38">
            <w:pPr>
              <w:pStyle w:val="IRPsanstext"/>
              <w:widowControl w:val="0"/>
              <w:rPr>
                <w:rFonts w:cs="Arial"/>
                <w:bCs/>
              </w:rPr>
            </w:pPr>
            <w:r w:rsidRPr="00166809">
              <w:rPr>
                <w:rFonts w:cs="Arial"/>
                <w:bCs/>
              </w:rPr>
              <w:t>1,3,5</w:t>
            </w:r>
          </w:p>
        </w:tc>
        <w:tc>
          <w:tcPr>
            <w:tcW w:w="1080" w:type="dxa"/>
            <w:vAlign w:val="center"/>
          </w:tcPr>
          <w:p w14:paraId="3EF0EBF4" w14:textId="77777777" w:rsidR="00AD0F38" w:rsidRPr="00166809" w:rsidRDefault="003B1E0E" w:rsidP="005B2826">
            <w:pPr>
              <w:pStyle w:val="IRPsanstext"/>
              <w:widowControl w:val="0"/>
              <w:jc w:val="center"/>
              <w:rPr>
                <w:rFonts w:cs="Arial"/>
                <w:bCs/>
              </w:rPr>
            </w:pPr>
            <w:r w:rsidRPr="00166809">
              <w:rPr>
                <w:rFonts w:cs="Arial"/>
                <w:bCs/>
              </w:rPr>
              <w:t>172</w:t>
            </w:r>
          </w:p>
        </w:tc>
        <w:tc>
          <w:tcPr>
            <w:tcW w:w="630" w:type="dxa"/>
            <w:vAlign w:val="center"/>
          </w:tcPr>
          <w:p w14:paraId="3B98B9BF" w14:textId="77777777" w:rsidR="00AD0F38" w:rsidRPr="00166809" w:rsidRDefault="00AD0F38" w:rsidP="005B2826">
            <w:pPr>
              <w:pStyle w:val="IRPsanstext"/>
              <w:widowControl w:val="0"/>
              <w:jc w:val="center"/>
              <w:rPr>
                <w:rFonts w:cs="Arial"/>
                <w:bCs/>
              </w:rPr>
            </w:pPr>
            <w:r w:rsidRPr="00166809">
              <w:rPr>
                <w:rFonts w:cs="Arial"/>
                <w:bCs/>
              </w:rPr>
              <w:t>27</w:t>
            </w:r>
          </w:p>
        </w:tc>
        <w:tc>
          <w:tcPr>
            <w:tcW w:w="810" w:type="dxa"/>
            <w:vAlign w:val="center"/>
          </w:tcPr>
          <w:p w14:paraId="6D1AA083" w14:textId="77777777" w:rsidR="00AD0F38" w:rsidRPr="00166809" w:rsidRDefault="003B1E0E" w:rsidP="005B2826">
            <w:pPr>
              <w:pStyle w:val="IRPsanstext"/>
              <w:widowControl w:val="0"/>
              <w:jc w:val="center"/>
              <w:rPr>
                <w:rFonts w:cs="Arial"/>
                <w:bCs/>
              </w:rPr>
            </w:pPr>
            <w:r w:rsidRPr="00166809">
              <w:rPr>
                <w:rFonts w:cs="Arial"/>
                <w:bCs/>
              </w:rPr>
              <w:t>197</w:t>
            </w:r>
          </w:p>
        </w:tc>
        <w:tc>
          <w:tcPr>
            <w:tcW w:w="990" w:type="dxa"/>
            <w:vAlign w:val="center"/>
          </w:tcPr>
          <w:p w14:paraId="318CB069" w14:textId="77777777" w:rsidR="00AD0F38" w:rsidRPr="00166809" w:rsidRDefault="003B1E0E" w:rsidP="005B2826">
            <w:pPr>
              <w:pStyle w:val="IRPsanstext"/>
              <w:widowControl w:val="0"/>
              <w:jc w:val="center"/>
              <w:rPr>
                <w:rFonts w:cs="Arial"/>
                <w:bCs/>
              </w:rPr>
            </w:pPr>
            <w:r w:rsidRPr="00166809">
              <w:rPr>
                <w:rFonts w:cs="Arial"/>
                <w:bCs/>
              </w:rPr>
              <w:t>1,078</w:t>
            </w:r>
          </w:p>
        </w:tc>
      </w:tr>
      <w:tr w:rsidR="002873A4" w:rsidRPr="00AF4B4E" w14:paraId="15892A26" w14:textId="77777777">
        <w:trPr>
          <w:trHeight w:val="360"/>
        </w:trPr>
        <w:tc>
          <w:tcPr>
            <w:tcW w:w="448" w:type="dxa"/>
            <w:shd w:val="clear" w:color="auto" w:fill="D6CFCD"/>
          </w:tcPr>
          <w:p w14:paraId="46137D7F" w14:textId="77777777" w:rsidR="00AD0F38" w:rsidRPr="003B1E0E" w:rsidRDefault="00AD0F38" w:rsidP="00AD0F38">
            <w:pPr>
              <w:pStyle w:val="IRPsanstext"/>
              <w:spacing w:beforeAutospacing="1" w:afterAutospacing="1"/>
              <w:jc w:val="center"/>
              <w:rPr>
                <w:rFonts w:ascii="Arial Narrow" w:hAnsi="Arial Narrow" w:cs="Arial"/>
                <w:bCs/>
                <w:iCs/>
                <w:color w:val="000000"/>
              </w:rPr>
            </w:pPr>
            <w:r w:rsidRPr="003B1E0E">
              <w:rPr>
                <w:rFonts w:ascii="Arial Narrow" w:hAnsi="Arial Narrow" w:cs="Arial"/>
                <w:bCs/>
                <w:iCs/>
                <w:color w:val="000000"/>
              </w:rPr>
              <w:t>6</w:t>
            </w:r>
          </w:p>
        </w:tc>
        <w:tc>
          <w:tcPr>
            <w:tcW w:w="2252" w:type="dxa"/>
            <w:shd w:val="clear" w:color="auto" w:fill="D6CFCD"/>
          </w:tcPr>
          <w:p w14:paraId="74C25790" w14:textId="77777777" w:rsidR="00AD0F38" w:rsidRPr="00166809" w:rsidRDefault="00AD0F38" w:rsidP="003B1E0E">
            <w:pPr>
              <w:pStyle w:val="IRPsanstext"/>
              <w:spacing w:beforeAutospacing="1" w:afterAutospacing="1"/>
              <w:rPr>
                <w:rFonts w:cs="Arial"/>
                <w:bCs/>
                <w:iCs/>
                <w:color w:val="000000"/>
              </w:rPr>
            </w:pPr>
            <w:r w:rsidRPr="00166809">
              <w:rPr>
                <w:rFonts w:cs="Arial"/>
                <w:bCs/>
                <w:iCs/>
                <w:color w:val="000000"/>
              </w:rPr>
              <w:t>Base + Very High Gas Price</w:t>
            </w:r>
          </w:p>
        </w:tc>
        <w:tc>
          <w:tcPr>
            <w:tcW w:w="540" w:type="dxa"/>
          </w:tcPr>
          <w:p w14:paraId="5EA614C4" w14:textId="77777777" w:rsidR="00AD0F38" w:rsidRPr="00166809" w:rsidRDefault="00AD0F38" w:rsidP="005B2826">
            <w:pPr>
              <w:pStyle w:val="IRPsanstext"/>
              <w:widowControl w:val="0"/>
              <w:jc w:val="center"/>
              <w:rPr>
                <w:rFonts w:cs="Arial"/>
                <w:bCs/>
              </w:rPr>
            </w:pPr>
            <w:r w:rsidRPr="00166809">
              <w:rPr>
                <w:rFonts w:cs="Arial"/>
                <w:bCs/>
              </w:rPr>
              <w:t>F</w:t>
            </w:r>
          </w:p>
        </w:tc>
        <w:tc>
          <w:tcPr>
            <w:tcW w:w="720" w:type="dxa"/>
          </w:tcPr>
          <w:p w14:paraId="24777AF2" w14:textId="77777777" w:rsidR="00AD0F38" w:rsidRPr="00166809" w:rsidRDefault="003B1E0E" w:rsidP="005B2826">
            <w:pPr>
              <w:pStyle w:val="IRPsanstext"/>
              <w:widowControl w:val="0"/>
              <w:jc w:val="center"/>
              <w:rPr>
                <w:rFonts w:cs="Arial"/>
                <w:bCs/>
              </w:rPr>
            </w:pPr>
            <w:r w:rsidRPr="00166809">
              <w:rPr>
                <w:rFonts w:cs="Arial"/>
                <w:bCs/>
              </w:rPr>
              <w:t>744</w:t>
            </w:r>
          </w:p>
        </w:tc>
        <w:tc>
          <w:tcPr>
            <w:tcW w:w="1080" w:type="dxa"/>
          </w:tcPr>
          <w:p w14:paraId="16B4644B" w14:textId="77777777" w:rsidR="00AD0F38" w:rsidRPr="00166809" w:rsidRDefault="00AD0F38" w:rsidP="00AD0F38">
            <w:pPr>
              <w:pStyle w:val="IRPsanstext"/>
              <w:widowControl w:val="0"/>
              <w:rPr>
                <w:rFonts w:cs="Arial"/>
                <w:bCs/>
              </w:rPr>
            </w:pPr>
            <w:r w:rsidRPr="00166809">
              <w:rPr>
                <w:rFonts w:cs="Arial"/>
                <w:bCs/>
              </w:rPr>
              <w:t>1,3,5</w:t>
            </w:r>
          </w:p>
        </w:tc>
        <w:tc>
          <w:tcPr>
            <w:tcW w:w="1080" w:type="dxa"/>
            <w:vAlign w:val="center"/>
          </w:tcPr>
          <w:p w14:paraId="21784493" w14:textId="77777777" w:rsidR="00AD0F38" w:rsidRPr="00166809" w:rsidRDefault="003B1E0E" w:rsidP="005B2826">
            <w:pPr>
              <w:pStyle w:val="IRPsanstext"/>
              <w:widowControl w:val="0"/>
              <w:jc w:val="center"/>
              <w:rPr>
                <w:rFonts w:cs="Arial"/>
                <w:bCs/>
              </w:rPr>
            </w:pPr>
            <w:r w:rsidRPr="00166809">
              <w:rPr>
                <w:rFonts w:cs="Arial"/>
                <w:bCs/>
              </w:rPr>
              <w:t>172</w:t>
            </w:r>
          </w:p>
        </w:tc>
        <w:tc>
          <w:tcPr>
            <w:tcW w:w="630" w:type="dxa"/>
            <w:vAlign w:val="center"/>
          </w:tcPr>
          <w:p w14:paraId="1DEB7F24" w14:textId="77777777" w:rsidR="00AD0F38" w:rsidRPr="00166809" w:rsidRDefault="003B1E0E" w:rsidP="005B2826">
            <w:pPr>
              <w:pStyle w:val="IRPsanstext"/>
              <w:widowControl w:val="0"/>
              <w:jc w:val="center"/>
              <w:rPr>
                <w:rFonts w:cs="Arial"/>
                <w:bCs/>
              </w:rPr>
            </w:pPr>
            <w:r w:rsidRPr="00166809">
              <w:rPr>
                <w:rFonts w:cs="Arial"/>
                <w:bCs/>
              </w:rPr>
              <w:t>27</w:t>
            </w:r>
          </w:p>
        </w:tc>
        <w:tc>
          <w:tcPr>
            <w:tcW w:w="810" w:type="dxa"/>
            <w:vAlign w:val="center"/>
          </w:tcPr>
          <w:p w14:paraId="6E794358" w14:textId="77777777" w:rsidR="00AD0F38" w:rsidRPr="00166809" w:rsidRDefault="003B1E0E" w:rsidP="005B2826">
            <w:pPr>
              <w:pStyle w:val="IRPsanstext"/>
              <w:widowControl w:val="0"/>
              <w:jc w:val="center"/>
              <w:rPr>
                <w:rFonts w:cs="Arial"/>
                <w:bCs/>
              </w:rPr>
            </w:pPr>
            <w:r w:rsidRPr="00166809">
              <w:rPr>
                <w:rFonts w:cs="Arial"/>
                <w:bCs/>
              </w:rPr>
              <w:t>197</w:t>
            </w:r>
          </w:p>
        </w:tc>
        <w:tc>
          <w:tcPr>
            <w:tcW w:w="990" w:type="dxa"/>
            <w:vAlign w:val="center"/>
          </w:tcPr>
          <w:p w14:paraId="3D197ACF" w14:textId="77777777" w:rsidR="00AD0F38" w:rsidRPr="00166809" w:rsidRDefault="003B1E0E" w:rsidP="005B2826">
            <w:pPr>
              <w:pStyle w:val="IRPsanstext"/>
              <w:widowControl w:val="0"/>
              <w:jc w:val="center"/>
              <w:rPr>
                <w:rFonts w:cs="Arial"/>
                <w:bCs/>
              </w:rPr>
            </w:pPr>
            <w:r w:rsidRPr="00166809">
              <w:rPr>
                <w:rFonts w:cs="Arial"/>
                <w:bCs/>
              </w:rPr>
              <w:t>1,139</w:t>
            </w:r>
          </w:p>
        </w:tc>
      </w:tr>
      <w:tr w:rsidR="002873A4" w:rsidRPr="00AF4B4E" w14:paraId="18F0E960" w14:textId="77777777">
        <w:trPr>
          <w:trHeight w:val="360"/>
        </w:trPr>
        <w:tc>
          <w:tcPr>
            <w:tcW w:w="448" w:type="dxa"/>
            <w:shd w:val="clear" w:color="auto" w:fill="D6CFCD"/>
          </w:tcPr>
          <w:p w14:paraId="4A22AA34" w14:textId="77777777" w:rsidR="00AD0F38" w:rsidRPr="003B1E0E" w:rsidRDefault="00AD0F38" w:rsidP="00AD0F38">
            <w:pPr>
              <w:pStyle w:val="IRPsanstext"/>
              <w:spacing w:beforeAutospacing="1" w:afterAutospacing="1"/>
              <w:jc w:val="center"/>
              <w:rPr>
                <w:rFonts w:ascii="Arial Narrow" w:hAnsi="Arial Narrow" w:cs="Arial"/>
                <w:bCs/>
                <w:iCs/>
                <w:color w:val="000000"/>
              </w:rPr>
            </w:pPr>
            <w:r w:rsidRPr="003B1E0E">
              <w:rPr>
                <w:rFonts w:ascii="Arial Narrow" w:hAnsi="Arial Narrow" w:cs="Arial"/>
                <w:bCs/>
                <w:iCs/>
                <w:color w:val="000000"/>
              </w:rPr>
              <w:t>7</w:t>
            </w:r>
          </w:p>
        </w:tc>
        <w:tc>
          <w:tcPr>
            <w:tcW w:w="2252" w:type="dxa"/>
            <w:shd w:val="clear" w:color="auto" w:fill="D6CFCD"/>
          </w:tcPr>
          <w:p w14:paraId="2EE861C9" w14:textId="77777777" w:rsidR="00AD0F38" w:rsidRPr="00166809" w:rsidRDefault="00AD0F38" w:rsidP="003B1E0E">
            <w:pPr>
              <w:pStyle w:val="IRPsanstext"/>
              <w:spacing w:beforeAutospacing="1" w:afterAutospacing="1"/>
              <w:rPr>
                <w:rFonts w:cs="Arial"/>
                <w:bCs/>
                <w:iCs/>
                <w:color w:val="000000"/>
              </w:rPr>
            </w:pPr>
            <w:r w:rsidRPr="00166809">
              <w:rPr>
                <w:rFonts w:cs="Arial"/>
                <w:bCs/>
                <w:iCs/>
                <w:color w:val="000000"/>
              </w:rPr>
              <w:t>Base + No CO2</w:t>
            </w:r>
          </w:p>
        </w:tc>
        <w:tc>
          <w:tcPr>
            <w:tcW w:w="540" w:type="dxa"/>
          </w:tcPr>
          <w:p w14:paraId="23FC2E25" w14:textId="77777777" w:rsidR="00AD0F38" w:rsidRPr="00166809" w:rsidRDefault="00AD0F38" w:rsidP="005B2826">
            <w:pPr>
              <w:pStyle w:val="IRPsanstext"/>
              <w:widowControl w:val="0"/>
              <w:jc w:val="center"/>
              <w:rPr>
                <w:rFonts w:cs="Arial"/>
                <w:bCs/>
              </w:rPr>
            </w:pPr>
            <w:r w:rsidRPr="00166809">
              <w:rPr>
                <w:rFonts w:cs="Arial"/>
                <w:bCs/>
              </w:rPr>
              <w:t>D</w:t>
            </w:r>
          </w:p>
        </w:tc>
        <w:tc>
          <w:tcPr>
            <w:tcW w:w="720" w:type="dxa"/>
          </w:tcPr>
          <w:p w14:paraId="1C82F7EB" w14:textId="77777777" w:rsidR="00AD0F38" w:rsidRPr="00166809" w:rsidRDefault="003B1E0E" w:rsidP="005B2826">
            <w:pPr>
              <w:pStyle w:val="IRPsanstext"/>
              <w:widowControl w:val="0"/>
              <w:jc w:val="center"/>
              <w:rPr>
                <w:rFonts w:cs="Arial"/>
                <w:bCs/>
              </w:rPr>
            </w:pPr>
            <w:r w:rsidRPr="00166809">
              <w:rPr>
                <w:rFonts w:cs="Arial"/>
                <w:bCs/>
              </w:rPr>
              <w:t>683</w:t>
            </w:r>
          </w:p>
        </w:tc>
        <w:tc>
          <w:tcPr>
            <w:tcW w:w="1080" w:type="dxa"/>
          </w:tcPr>
          <w:p w14:paraId="676DA7DE" w14:textId="77777777" w:rsidR="00AD0F38" w:rsidRPr="00166809" w:rsidRDefault="00AD0F38" w:rsidP="00AD0F38">
            <w:pPr>
              <w:pStyle w:val="IRPsanstext"/>
              <w:widowControl w:val="0"/>
              <w:rPr>
                <w:rFonts w:cs="Arial"/>
                <w:bCs/>
              </w:rPr>
            </w:pPr>
            <w:r w:rsidRPr="00166809">
              <w:rPr>
                <w:rFonts w:cs="Arial"/>
                <w:bCs/>
              </w:rPr>
              <w:t>1,3,5</w:t>
            </w:r>
          </w:p>
        </w:tc>
        <w:tc>
          <w:tcPr>
            <w:tcW w:w="1080" w:type="dxa"/>
            <w:vAlign w:val="center"/>
          </w:tcPr>
          <w:p w14:paraId="74CDE402" w14:textId="77777777" w:rsidR="00AD0F38" w:rsidRPr="00166809" w:rsidRDefault="003B1E0E" w:rsidP="005B2826">
            <w:pPr>
              <w:pStyle w:val="IRPsanstext"/>
              <w:widowControl w:val="0"/>
              <w:jc w:val="center"/>
              <w:rPr>
                <w:rFonts w:cs="Arial"/>
                <w:bCs/>
              </w:rPr>
            </w:pPr>
            <w:r w:rsidRPr="00166809">
              <w:rPr>
                <w:rFonts w:cs="Arial"/>
                <w:bCs/>
              </w:rPr>
              <w:t>172</w:t>
            </w:r>
          </w:p>
        </w:tc>
        <w:tc>
          <w:tcPr>
            <w:tcW w:w="630" w:type="dxa"/>
            <w:vAlign w:val="center"/>
          </w:tcPr>
          <w:p w14:paraId="19B1244E" w14:textId="77777777" w:rsidR="00AD0F38" w:rsidRPr="00166809" w:rsidRDefault="003B1E0E" w:rsidP="005B2826">
            <w:pPr>
              <w:pStyle w:val="IRPsanstext"/>
              <w:widowControl w:val="0"/>
              <w:jc w:val="center"/>
              <w:rPr>
                <w:rFonts w:cs="Arial"/>
                <w:bCs/>
              </w:rPr>
            </w:pPr>
            <w:r w:rsidRPr="00166809">
              <w:rPr>
                <w:rFonts w:cs="Arial"/>
                <w:bCs/>
              </w:rPr>
              <w:t>27</w:t>
            </w:r>
          </w:p>
        </w:tc>
        <w:tc>
          <w:tcPr>
            <w:tcW w:w="810" w:type="dxa"/>
            <w:vAlign w:val="center"/>
          </w:tcPr>
          <w:p w14:paraId="3BCA7650" w14:textId="77777777" w:rsidR="00AD0F38" w:rsidRPr="00166809" w:rsidRDefault="003B1E0E" w:rsidP="005B2826">
            <w:pPr>
              <w:pStyle w:val="IRPsanstext"/>
              <w:widowControl w:val="0"/>
              <w:jc w:val="center"/>
              <w:rPr>
                <w:rFonts w:cs="Arial"/>
                <w:bCs/>
              </w:rPr>
            </w:pPr>
            <w:r w:rsidRPr="00166809">
              <w:rPr>
                <w:rFonts w:cs="Arial"/>
                <w:bCs/>
              </w:rPr>
              <w:t>197</w:t>
            </w:r>
          </w:p>
        </w:tc>
        <w:tc>
          <w:tcPr>
            <w:tcW w:w="990" w:type="dxa"/>
            <w:vAlign w:val="center"/>
          </w:tcPr>
          <w:p w14:paraId="6129BAD2" w14:textId="77777777" w:rsidR="00AD0F38" w:rsidRPr="00166809" w:rsidRDefault="003B1E0E" w:rsidP="005B2826">
            <w:pPr>
              <w:pStyle w:val="IRPsanstext"/>
              <w:widowControl w:val="0"/>
              <w:jc w:val="center"/>
              <w:rPr>
                <w:rFonts w:cs="Arial"/>
                <w:bCs/>
              </w:rPr>
            </w:pPr>
            <w:r w:rsidRPr="00166809">
              <w:rPr>
                <w:rFonts w:cs="Arial"/>
                <w:bCs/>
              </w:rPr>
              <w:t>1,078</w:t>
            </w:r>
          </w:p>
        </w:tc>
      </w:tr>
      <w:tr w:rsidR="002873A4" w:rsidRPr="00AF4B4E" w14:paraId="5E7AB889" w14:textId="77777777">
        <w:trPr>
          <w:trHeight w:val="360"/>
        </w:trPr>
        <w:tc>
          <w:tcPr>
            <w:tcW w:w="448" w:type="dxa"/>
            <w:shd w:val="clear" w:color="auto" w:fill="D6CFCD"/>
          </w:tcPr>
          <w:p w14:paraId="6D35CE9B" w14:textId="77777777" w:rsidR="00AD0F38" w:rsidRPr="003B1E0E" w:rsidRDefault="00AD0F38" w:rsidP="00AD0F38">
            <w:pPr>
              <w:pStyle w:val="IRPsanstext"/>
              <w:spacing w:beforeAutospacing="1" w:afterAutospacing="1"/>
              <w:jc w:val="center"/>
              <w:rPr>
                <w:rFonts w:ascii="Arial Narrow" w:hAnsi="Arial Narrow" w:cs="Arial"/>
                <w:bCs/>
                <w:iCs/>
                <w:color w:val="000000"/>
              </w:rPr>
            </w:pPr>
            <w:r w:rsidRPr="003B1E0E">
              <w:rPr>
                <w:rFonts w:ascii="Arial Narrow" w:hAnsi="Arial Narrow" w:cs="Arial"/>
                <w:bCs/>
                <w:iCs/>
                <w:color w:val="000000"/>
              </w:rPr>
              <w:t>8</w:t>
            </w:r>
          </w:p>
        </w:tc>
        <w:tc>
          <w:tcPr>
            <w:tcW w:w="2252" w:type="dxa"/>
            <w:shd w:val="clear" w:color="auto" w:fill="D6CFCD"/>
          </w:tcPr>
          <w:p w14:paraId="4443FC21" w14:textId="77777777" w:rsidR="00AD0F38" w:rsidRPr="00166809" w:rsidRDefault="00AD0F38" w:rsidP="003B1E0E">
            <w:pPr>
              <w:pStyle w:val="IRPsanstext"/>
              <w:spacing w:beforeAutospacing="1" w:afterAutospacing="1"/>
              <w:rPr>
                <w:rFonts w:cs="Arial"/>
                <w:bCs/>
                <w:iCs/>
                <w:color w:val="000000"/>
              </w:rPr>
            </w:pPr>
            <w:r w:rsidRPr="00166809">
              <w:rPr>
                <w:rFonts w:cs="Arial"/>
                <w:bCs/>
                <w:iCs/>
                <w:color w:val="000000"/>
              </w:rPr>
              <w:t>Base + High CO2</w:t>
            </w:r>
          </w:p>
        </w:tc>
        <w:tc>
          <w:tcPr>
            <w:tcW w:w="540" w:type="dxa"/>
          </w:tcPr>
          <w:p w14:paraId="7F2C6682" w14:textId="77777777" w:rsidR="00AD0F38" w:rsidRPr="00166809" w:rsidRDefault="00AD0F38" w:rsidP="005B2826">
            <w:pPr>
              <w:pStyle w:val="IRPsanstext"/>
              <w:widowControl w:val="0"/>
              <w:jc w:val="center"/>
              <w:rPr>
                <w:rFonts w:cs="Arial"/>
                <w:bCs/>
              </w:rPr>
            </w:pPr>
            <w:r w:rsidRPr="00166809">
              <w:rPr>
                <w:rFonts w:cs="Arial"/>
                <w:bCs/>
              </w:rPr>
              <w:t>E</w:t>
            </w:r>
          </w:p>
        </w:tc>
        <w:tc>
          <w:tcPr>
            <w:tcW w:w="720" w:type="dxa"/>
          </w:tcPr>
          <w:p w14:paraId="65659856" w14:textId="77777777" w:rsidR="00AD0F38" w:rsidRPr="00166809" w:rsidRDefault="003B1E0E" w:rsidP="005B2826">
            <w:pPr>
              <w:pStyle w:val="IRPsanstext"/>
              <w:widowControl w:val="0"/>
              <w:jc w:val="center"/>
              <w:rPr>
                <w:rFonts w:cs="Arial"/>
                <w:bCs/>
              </w:rPr>
            </w:pPr>
            <w:r w:rsidRPr="00166809">
              <w:rPr>
                <w:rFonts w:cs="Arial"/>
                <w:bCs/>
              </w:rPr>
              <w:t>732</w:t>
            </w:r>
          </w:p>
        </w:tc>
        <w:tc>
          <w:tcPr>
            <w:tcW w:w="1080" w:type="dxa"/>
          </w:tcPr>
          <w:p w14:paraId="0592190D" w14:textId="77777777" w:rsidR="00AD0F38" w:rsidRPr="00166809" w:rsidRDefault="00AD0F38" w:rsidP="00AD0F38">
            <w:pPr>
              <w:pStyle w:val="IRPsanstext"/>
              <w:widowControl w:val="0"/>
              <w:rPr>
                <w:rFonts w:cs="Arial"/>
                <w:bCs/>
              </w:rPr>
            </w:pPr>
            <w:r w:rsidRPr="00166809">
              <w:rPr>
                <w:rFonts w:cs="Arial"/>
                <w:bCs/>
              </w:rPr>
              <w:t>1,3,5</w:t>
            </w:r>
          </w:p>
        </w:tc>
        <w:tc>
          <w:tcPr>
            <w:tcW w:w="1080" w:type="dxa"/>
            <w:vAlign w:val="center"/>
          </w:tcPr>
          <w:p w14:paraId="50D7BA39" w14:textId="77777777" w:rsidR="00AD0F38" w:rsidRPr="00166809" w:rsidRDefault="003B1E0E" w:rsidP="005B2826">
            <w:pPr>
              <w:pStyle w:val="IRPsanstext"/>
              <w:widowControl w:val="0"/>
              <w:jc w:val="center"/>
              <w:rPr>
                <w:rFonts w:cs="Arial"/>
                <w:bCs/>
              </w:rPr>
            </w:pPr>
            <w:r w:rsidRPr="00166809">
              <w:rPr>
                <w:rFonts w:cs="Arial"/>
                <w:bCs/>
              </w:rPr>
              <w:t>172</w:t>
            </w:r>
          </w:p>
        </w:tc>
        <w:tc>
          <w:tcPr>
            <w:tcW w:w="630" w:type="dxa"/>
            <w:vAlign w:val="center"/>
          </w:tcPr>
          <w:p w14:paraId="7F1006E0" w14:textId="77777777" w:rsidR="00AD0F38" w:rsidRPr="00166809" w:rsidRDefault="003B1E0E" w:rsidP="005B2826">
            <w:pPr>
              <w:pStyle w:val="IRPsanstext"/>
              <w:widowControl w:val="0"/>
              <w:jc w:val="center"/>
              <w:rPr>
                <w:rFonts w:cs="Arial"/>
                <w:bCs/>
              </w:rPr>
            </w:pPr>
            <w:r w:rsidRPr="00166809">
              <w:rPr>
                <w:rFonts w:cs="Arial"/>
                <w:bCs/>
              </w:rPr>
              <w:t>27</w:t>
            </w:r>
          </w:p>
        </w:tc>
        <w:tc>
          <w:tcPr>
            <w:tcW w:w="810" w:type="dxa"/>
            <w:vAlign w:val="center"/>
          </w:tcPr>
          <w:p w14:paraId="24E4CE57" w14:textId="77777777" w:rsidR="00AD0F38" w:rsidRPr="00166809" w:rsidRDefault="003B1E0E" w:rsidP="005B2826">
            <w:pPr>
              <w:pStyle w:val="IRPsanstext"/>
              <w:widowControl w:val="0"/>
              <w:jc w:val="center"/>
              <w:rPr>
                <w:rFonts w:cs="Arial"/>
                <w:bCs/>
              </w:rPr>
            </w:pPr>
            <w:r w:rsidRPr="00166809">
              <w:rPr>
                <w:rFonts w:cs="Arial"/>
                <w:bCs/>
              </w:rPr>
              <w:t>197</w:t>
            </w:r>
          </w:p>
        </w:tc>
        <w:tc>
          <w:tcPr>
            <w:tcW w:w="990" w:type="dxa"/>
            <w:vAlign w:val="center"/>
          </w:tcPr>
          <w:p w14:paraId="78CCA8F5" w14:textId="77777777" w:rsidR="00AD0F38" w:rsidRPr="00166809" w:rsidRDefault="003B1E0E" w:rsidP="005B2826">
            <w:pPr>
              <w:pStyle w:val="IRPsanstext"/>
              <w:widowControl w:val="0"/>
              <w:jc w:val="center"/>
              <w:rPr>
                <w:rFonts w:cs="Arial"/>
                <w:bCs/>
              </w:rPr>
            </w:pPr>
            <w:r w:rsidRPr="00166809">
              <w:rPr>
                <w:rFonts w:cs="Arial"/>
                <w:bCs/>
              </w:rPr>
              <w:t>1,127</w:t>
            </w:r>
          </w:p>
        </w:tc>
      </w:tr>
      <w:tr w:rsidR="002873A4" w:rsidRPr="00AF4B4E" w14:paraId="2CE84E15" w14:textId="77777777">
        <w:trPr>
          <w:trHeight w:val="360"/>
        </w:trPr>
        <w:tc>
          <w:tcPr>
            <w:tcW w:w="448" w:type="dxa"/>
            <w:shd w:val="clear" w:color="auto" w:fill="D6CFCD"/>
          </w:tcPr>
          <w:p w14:paraId="25065196" w14:textId="77777777" w:rsidR="00AD0F38" w:rsidRPr="003B1E0E" w:rsidRDefault="00AD0F38" w:rsidP="00AD0F38">
            <w:pPr>
              <w:pStyle w:val="IRPsanstext"/>
              <w:spacing w:beforeAutospacing="1" w:afterAutospacing="1"/>
              <w:jc w:val="center"/>
              <w:rPr>
                <w:rFonts w:ascii="Arial Narrow" w:hAnsi="Arial Narrow" w:cs="Arial"/>
                <w:bCs/>
                <w:iCs/>
                <w:color w:val="000000"/>
              </w:rPr>
            </w:pPr>
            <w:r w:rsidRPr="003B1E0E">
              <w:rPr>
                <w:rFonts w:ascii="Arial Narrow" w:hAnsi="Arial Narrow" w:cs="Arial"/>
                <w:bCs/>
                <w:iCs/>
                <w:color w:val="000000"/>
              </w:rPr>
              <w:t>9</w:t>
            </w:r>
          </w:p>
        </w:tc>
        <w:tc>
          <w:tcPr>
            <w:tcW w:w="2252" w:type="dxa"/>
            <w:shd w:val="clear" w:color="auto" w:fill="D6CFCD"/>
          </w:tcPr>
          <w:p w14:paraId="7E74BDF5" w14:textId="77777777" w:rsidR="00AD0F38" w:rsidRPr="00166809" w:rsidRDefault="00AD0F38" w:rsidP="003B1E0E">
            <w:pPr>
              <w:pStyle w:val="IRPsanstext"/>
              <w:spacing w:beforeAutospacing="1" w:afterAutospacing="1"/>
              <w:rPr>
                <w:rFonts w:cs="Arial"/>
                <w:bCs/>
                <w:iCs/>
                <w:color w:val="000000"/>
              </w:rPr>
            </w:pPr>
            <w:r w:rsidRPr="00166809">
              <w:rPr>
                <w:rFonts w:cs="Arial"/>
                <w:bCs/>
                <w:iCs/>
                <w:color w:val="000000"/>
              </w:rPr>
              <w:t>Base + Low Demand</w:t>
            </w:r>
          </w:p>
        </w:tc>
        <w:tc>
          <w:tcPr>
            <w:tcW w:w="540" w:type="dxa"/>
          </w:tcPr>
          <w:p w14:paraId="5FA8515E" w14:textId="77777777" w:rsidR="00AD0F38" w:rsidRPr="00166809" w:rsidRDefault="00AD0F38" w:rsidP="005B2826">
            <w:pPr>
              <w:pStyle w:val="IRPsanstext"/>
              <w:widowControl w:val="0"/>
              <w:jc w:val="center"/>
              <w:rPr>
                <w:rFonts w:cs="Arial"/>
                <w:bCs/>
              </w:rPr>
            </w:pPr>
            <w:r w:rsidRPr="00166809">
              <w:rPr>
                <w:rFonts w:cs="Arial"/>
                <w:bCs/>
              </w:rPr>
              <w:t>C</w:t>
            </w:r>
          </w:p>
        </w:tc>
        <w:tc>
          <w:tcPr>
            <w:tcW w:w="720" w:type="dxa"/>
          </w:tcPr>
          <w:p w14:paraId="57467C9B" w14:textId="77777777" w:rsidR="00AD0F38" w:rsidRPr="00166809" w:rsidRDefault="003B1E0E" w:rsidP="005B2826">
            <w:pPr>
              <w:pStyle w:val="IRPsanstext"/>
              <w:widowControl w:val="0"/>
              <w:jc w:val="center"/>
              <w:rPr>
                <w:rFonts w:cs="Arial"/>
                <w:bCs/>
              </w:rPr>
            </w:pPr>
            <w:r w:rsidRPr="00166809">
              <w:rPr>
                <w:rFonts w:cs="Arial"/>
                <w:bCs/>
              </w:rPr>
              <w:t>664</w:t>
            </w:r>
          </w:p>
        </w:tc>
        <w:tc>
          <w:tcPr>
            <w:tcW w:w="1080" w:type="dxa"/>
          </w:tcPr>
          <w:p w14:paraId="46273102" w14:textId="77777777" w:rsidR="00AD0F38" w:rsidRPr="00166809" w:rsidRDefault="00AD0F38" w:rsidP="00AD0F38">
            <w:pPr>
              <w:pStyle w:val="IRPsanstext"/>
              <w:widowControl w:val="0"/>
              <w:rPr>
                <w:rFonts w:cs="Arial"/>
                <w:bCs/>
              </w:rPr>
            </w:pPr>
            <w:r w:rsidRPr="00166809">
              <w:rPr>
                <w:rFonts w:cs="Arial"/>
                <w:bCs/>
              </w:rPr>
              <w:t>1,3,4,5</w:t>
            </w:r>
          </w:p>
        </w:tc>
        <w:tc>
          <w:tcPr>
            <w:tcW w:w="1080" w:type="dxa"/>
            <w:vAlign w:val="center"/>
          </w:tcPr>
          <w:p w14:paraId="688FE660" w14:textId="77777777" w:rsidR="00AD0F38" w:rsidRPr="00166809" w:rsidRDefault="003B1E0E" w:rsidP="005B2826">
            <w:pPr>
              <w:pStyle w:val="IRPsanstext"/>
              <w:widowControl w:val="0"/>
              <w:jc w:val="center"/>
              <w:rPr>
                <w:rFonts w:cs="Arial"/>
                <w:bCs/>
              </w:rPr>
            </w:pPr>
            <w:r w:rsidRPr="00166809">
              <w:rPr>
                <w:rFonts w:cs="Arial"/>
                <w:bCs/>
              </w:rPr>
              <w:t>174</w:t>
            </w:r>
          </w:p>
        </w:tc>
        <w:tc>
          <w:tcPr>
            <w:tcW w:w="630" w:type="dxa"/>
            <w:vAlign w:val="center"/>
          </w:tcPr>
          <w:p w14:paraId="7385EA1B" w14:textId="77777777" w:rsidR="00AD0F38" w:rsidRPr="00166809" w:rsidRDefault="003B1E0E" w:rsidP="005B2826">
            <w:pPr>
              <w:pStyle w:val="IRPsanstext"/>
              <w:widowControl w:val="0"/>
              <w:jc w:val="center"/>
              <w:rPr>
                <w:rFonts w:cs="Arial"/>
                <w:bCs/>
              </w:rPr>
            </w:pPr>
            <w:r w:rsidRPr="00166809">
              <w:rPr>
                <w:rFonts w:cs="Arial"/>
                <w:bCs/>
              </w:rPr>
              <w:t>27</w:t>
            </w:r>
          </w:p>
        </w:tc>
        <w:tc>
          <w:tcPr>
            <w:tcW w:w="810" w:type="dxa"/>
            <w:vAlign w:val="center"/>
          </w:tcPr>
          <w:p w14:paraId="737309F6" w14:textId="77777777" w:rsidR="00AD0F38" w:rsidRPr="00166809" w:rsidRDefault="003B1E0E" w:rsidP="005B2826">
            <w:pPr>
              <w:pStyle w:val="IRPsanstext"/>
              <w:widowControl w:val="0"/>
              <w:jc w:val="center"/>
              <w:rPr>
                <w:rFonts w:cs="Arial"/>
                <w:bCs/>
              </w:rPr>
            </w:pPr>
            <w:r w:rsidRPr="00166809">
              <w:rPr>
                <w:rFonts w:cs="Arial"/>
                <w:bCs/>
              </w:rPr>
              <w:t>197</w:t>
            </w:r>
          </w:p>
        </w:tc>
        <w:tc>
          <w:tcPr>
            <w:tcW w:w="990" w:type="dxa"/>
            <w:vAlign w:val="center"/>
          </w:tcPr>
          <w:p w14:paraId="1F5221D3" w14:textId="77777777" w:rsidR="00AD0F38" w:rsidRPr="00166809" w:rsidRDefault="003B1E0E" w:rsidP="005B2826">
            <w:pPr>
              <w:pStyle w:val="IRPsanstext"/>
              <w:widowControl w:val="0"/>
              <w:jc w:val="center"/>
              <w:rPr>
                <w:rFonts w:cs="Arial"/>
                <w:bCs/>
              </w:rPr>
            </w:pPr>
            <w:r w:rsidRPr="00166809">
              <w:rPr>
                <w:rFonts w:cs="Arial"/>
                <w:bCs/>
              </w:rPr>
              <w:t>1,062</w:t>
            </w:r>
          </w:p>
        </w:tc>
      </w:tr>
      <w:tr w:rsidR="002873A4" w:rsidRPr="00AF4B4E" w14:paraId="1560E7F1" w14:textId="77777777">
        <w:trPr>
          <w:trHeight w:val="360"/>
        </w:trPr>
        <w:tc>
          <w:tcPr>
            <w:tcW w:w="448" w:type="dxa"/>
            <w:shd w:val="clear" w:color="auto" w:fill="D6CFCD"/>
          </w:tcPr>
          <w:p w14:paraId="67083878" w14:textId="77777777" w:rsidR="00AD0F38" w:rsidRPr="003B1E0E" w:rsidRDefault="00AD0F38" w:rsidP="00AD0F38">
            <w:pPr>
              <w:pStyle w:val="IRPsanstext"/>
              <w:spacing w:beforeAutospacing="1" w:afterAutospacing="1"/>
              <w:jc w:val="center"/>
              <w:rPr>
                <w:rFonts w:ascii="Arial Narrow" w:hAnsi="Arial Narrow" w:cs="Arial"/>
                <w:bCs/>
                <w:iCs/>
                <w:color w:val="000000"/>
              </w:rPr>
            </w:pPr>
            <w:r w:rsidRPr="003B1E0E">
              <w:rPr>
                <w:rFonts w:ascii="Arial Narrow" w:hAnsi="Arial Narrow" w:cs="Arial"/>
                <w:bCs/>
                <w:iCs/>
                <w:color w:val="000000"/>
              </w:rPr>
              <w:t>10</w:t>
            </w:r>
          </w:p>
        </w:tc>
        <w:tc>
          <w:tcPr>
            <w:tcW w:w="2252" w:type="dxa"/>
            <w:shd w:val="clear" w:color="auto" w:fill="D6CFCD"/>
          </w:tcPr>
          <w:p w14:paraId="416B4051" w14:textId="77777777" w:rsidR="00AD0F38" w:rsidRPr="00166809" w:rsidRDefault="00AD0F38" w:rsidP="003B1E0E">
            <w:pPr>
              <w:pStyle w:val="IRPsanstext"/>
              <w:spacing w:beforeAutospacing="1" w:afterAutospacing="1"/>
              <w:rPr>
                <w:rFonts w:cs="Arial"/>
                <w:bCs/>
                <w:iCs/>
                <w:color w:val="000000"/>
              </w:rPr>
            </w:pPr>
            <w:r w:rsidRPr="00166809">
              <w:rPr>
                <w:rFonts w:cs="Arial"/>
                <w:bCs/>
                <w:iCs/>
                <w:color w:val="000000"/>
              </w:rPr>
              <w:t>Base + High Demand</w:t>
            </w:r>
          </w:p>
        </w:tc>
        <w:tc>
          <w:tcPr>
            <w:tcW w:w="540" w:type="dxa"/>
          </w:tcPr>
          <w:p w14:paraId="4A8F2C68" w14:textId="77777777" w:rsidR="00AD0F38" w:rsidRPr="00166809" w:rsidRDefault="00AD0F38" w:rsidP="005B2826">
            <w:pPr>
              <w:pStyle w:val="IRPsanstext"/>
              <w:widowControl w:val="0"/>
              <w:jc w:val="center"/>
              <w:rPr>
                <w:rFonts w:cs="Arial"/>
                <w:bCs/>
              </w:rPr>
            </w:pPr>
            <w:r w:rsidRPr="00166809">
              <w:rPr>
                <w:rFonts w:cs="Arial"/>
                <w:bCs/>
              </w:rPr>
              <w:t>E</w:t>
            </w:r>
          </w:p>
        </w:tc>
        <w:tc>
          <w:tcPr>
            <w:tcW w:w="720" w:type="dxa"/>
          </w:tcPr>
          <w:p w14:paraId="71A76878" w14:textId="77777777" w:rsidR="00AD0F38" w:rsidRPr="00166809" w:rsidRDefault="003B1E0E" w:rsidP="005B2826">
            <w:pPr>
              <w:pStyle w:val="IRPsanstext"/>
              <w:widowControl w:val="0"/>
              <w:jc w:val="center"/>
              <w:rPr>
                <w:rFonts w:cs="Arial"/>
                <w:bCs/>
              </w:rPr>
            </w:pPr>
            <w:r w:rsidRPr="00166809">
              <w:rPr>
                <w:rFonts w:cs="Arial"/>
                <w:bCs/>
              </w:rPr>
              <w:t>732</w:t>
            </w:r>
          </w:p>
        </w:tc>
        <w:tc>
          <w:tcPr>
            <w:tcW w:w="1080" w:type="dxa"/>
          </w:tcPr>
          <w:p w14:paraId="3E5FC9DE" w14:textId="77777777" w:rsidR="00AD0F38" w:rsidRPr="00166809" w:rsidRDefault="00AD0F38" w:rsidP="00AD0F38">
            <w:pPr>
              <w:pStyle w:val="IRPsanstext"/>
              <w:widowControl w:val="0"/>
              <w:rPr>
                <w:rFonts w:cs="Arial"/>
                <w:bCs/>
              </w:rPr>
            </w:pPr>
            <w:r w:rsidRPr="00166809">
              <w:rPr>
                <w:rFonts w:cs="Arial"/>
                <w:bCs/>
              </w:rPr>
              <w:t>1,2,3,5</w:t>
            </w:r>
          </w:p>
        </w:tc>
        <w:tc>
          <w:tcPr>
            <w:tcW w:w="1080" w:type="dxa"/>
            <w:vAlign w:val="center"/>
          </w:tcPr>
          <w:p w14:paraId="7BD0104D" w14:textId="77777777" w:rsidR="00AD0F38" w:rsidRPr="00166809" w:rsidRDefault="003B1E0E" w:rsidP="005B2826">
            <w:pPr>
              <w:pStyle w:val="IRPsanstext"/>
              <w:widowControl w:val="0"/>
              <w:jc w:val="center"/>
              <w:rPr>
                <w:rFonts w:cs="Arial"/>
                <w:bCs/>
              </w:rPr>
            </w:pPr>
            <w:r w:rsidRPr="00166809">
              <w:rPr>
                <w:rFonts w:cs="Arial"/>
                <w:bCs/>
              </w:rPr>
              <w:t>254</w:t>
            </w:r>
          </w:p>
        </w:tc>
        <w:tc>
          <w:tcPr>
            <w:tcW w:w="630" w:type="dxa"/>
            <w:vAlign w:val="center"/>
          </w:tcPr>
          <w:p w14:paraId="780E6530" w14:textId="77777777" w:rsidR="00AD0F38" w:rsidRPr="00166809" w:rsidRDefault="003B1E0E" w:rsidP="005B2826">
            <w:pPr>
              <w:pStyle w:val="IRPsanstext"/>
              <w:widowControl w:val="0"/>
              <w:jc w:val="center"/>
              <w:rPr>
                <w:rFonts w:cs="Arial"/>
                <w:bCs/>
              </w:rPr>
            </w:pPr>
            <w:r w:rsidRPr="00166809">
              <w:rPr>
                <w:rFonts w:cs="Arial"/>
                <w:bCs/>
              </w:rPr>
              <w:t>27</w:t>
            </w:r>
          </w:p>
        </w:tc>
        <w:tc>
          <w:tcPr>
            <w:tcW w:w="810" w:type="dxa"/>
            <w:vAlign w:val="center"/>
          </w:tcPr>
          <w:p w14:paraId="5B4CCF28" w14:textId="77777777" w:rsidR="00AD0F38" w:rsidRPr="00166809" w:rsidRDefault="003B1E0E" w:rsidP="005B2826">
            <w:pPr>
              <w:pStyle w:val="IRPsanstext"/>
              <w:widowControl w:val="0"/>
              <w:jc w:val="center"/>
              <w:rPr>
                <w:rFonts w:cs="Arial"/>
                <w:bCs/>
              </w:rPr>
            </w:pPr>
            <w:r w:rsidRPr="00166809">
              <w:rPr>
                <w:rFonts w:cs="Arial"/>
                <w:bCs/>
              </w:rPr>
              <w:t>197</w:t>
            </w:r>
          </w:p>
        </w:tc>
        <w:tc>
          <w:tcPr>
            <w:tcW w:w="990" w:type="dxa"/>
            <w:vAlign w:val="center"/>
          </w:tcPr>
          <w:p w14:paraId="2CB420F3" w14:textId="77777777" w:rsidR="00AD0F38" w:rsidRPr="00166809" w:rsidRDefault="003B1E0E" w:rsidP="005B2826">
            <w:pPr>
              <w:pStyle w:val="IRPsanstext"/>
              <w:widowControl w:val="0"/>
              <w:jc w:val="center"/>
              <w:rPr>
                <w:rFonts w:cs="Arial"/>
                <w:bCs/>
              </w:rPr>
            </w:pPr>
            <w:r w:rsidRPr="00166809">
              <w:rPr>
                <w:rFonts w:cs="Arial"/>
                <w:bCs/>
              </w:rPr>
              <w:t>1,209</w:t>
            </w:r>
          </w:p>
        </w:tc>
      </w:tr>
    </w:tbl>
    <w:p w14:paraId="41AEBDFA" w14:textId="77777777" w:rsidR="00AD0F38" w:rsidRDefault="00AD0F38" w:rsidP="00AD0F38">
      <w:pPr>
        <w:pStyle w:val="IRPsanstext"/>
      </w:pPr>
    </w:p>
    <w:p w14:paraId="67BAE6DA" w14:textId="77777777" w:rsidR="00AD0F38" w:rsidRDefault="00AD0F38" w:rsidP="00AD0F38">
      <w:pPr>
        <w:rPr>
          <w:rFonts w:ascii="Arial" w:hAnsi="Arial"/>
          <w:sz w:val="20"/>
        </w:rPr>
      </w:pPr>
      <w:r>
        <w:rPr>
          <w:rFonts w:ascii="Arial" w:hAnsi="Arial"/>
          <w:sz w:val="20"/>
        </w:rPr>
        <w:br w:type="page"/>
      </w:r>
    </w:p>
    <w:p w14:paraId="08371A88" w14:textId="77777777" w:rsidR="00AD0F38" w:rsidRPr="001048D3" w:rsidRDefault="00AD0F38" w:rsidP="002873A4">
      <w:pPr>
        <w:pStyle w:val="IRPsanstext"/>
      </w:pPr>
      <w:r>
        <w:lastRenderedPageBreak/>
        <w:t>Demand response is a subset of DSR and is considered as part of determining the least-cost resources.  Demand-</w:t>
      </w:r>
      <w:r w:rsidRPr="001048D3">
        <w:t>response programs were broken down into 5 categories:</w:t>
      </w:r>
      <w:r w:rsidRPr="001048D3">
        <w:br/>
      </w:r>
    </w:p>
    <w:p w14:paraId="45018502" w14:textId="77777777" w:rsidR="00AD0F38" w:rsidRPr="007A13EA" w:rsidRDefault="00AD0F38" w:rsidP="00F26524">
      <w:pPr>
        <w:pStyle w:val="IRPsanstext"/>
        <w:numPr>
          <w:ilvl w:val="0"/>
          <w:numId w:val="19"/>
        </w:numPr>
      </w:pPr>
      <w:r w:rsidRPr="007A13EA">
        <w:t>Residential Direct Load Control (DLC) Space Heating</w:t>
      </w:r>
    </w:p>
    <w:p w14:paraId="66588101" w14:textId="77777777" w:rsidR="00AD0F38" w:rsidRPr="007A13EA" w:rsidRDefault="00AD0F38" w:rsidP="00F26524">
      <w:pPr>
        <w:pStyle w:val="IRPsanstext"/>
        <w:numPr>
          <w:ilvl w:val="0"/>
          <w:numId w:val="19"/>
        </w:numPr>
      </w:pPr>
      <w:r w:rsidRPr="007A13EA">
        <w:t>Residential DLC Water Heating</w:t>
      </w:r>
    </w:p>
    <w:p w14:paraId="6C59F70D" w14:textId="77777777" w:rsidR="00AD0F38" w:rsidRPr="007A13EA" w:rsidRDefault="00AD0F38" w:rsidP="00F26524">
      <w:pPr>
        <w:pStyle w:val="IRPsanstext"/>
        <w:numPr>
          <w:ilvl w:val="0"/>
          <w:numId w:val="19"/>
        </w:numPr>
      </w:pPr>
      <w:r w:rsidRPr="007A13EA">
        <w:t>Residential Critical Peak Pricing (CPP)</w:t>
      </w:r>
    </w:p>
    <w:p w14:paraId="526798F2" w14:textId="77777777" w:rsidR="00AD0F38" w:rsidRPr="007A13EA" w:rsidRDefault="00AD0F38" w:rsidP="00F26524">
      <w:pPr>
        <w:pStyle w:val="IRPsanstext"/>
        <w:numPr>
          <w:ilvl w:val="0"/>
          <w:numId w:val="19"/>
        </w:numPr>
      </w:pPr>
      <w:r w:rsidRPr="007A13EA">
        <w:t>Commercial and Industrial Critical Peak Pricing</w:t>
      </w:r>
    </w:p>
    <w:p w14:paraId="6B63530E" w14:textId="77777777" w:rsidR="00AD0F38" w:rsidRPr="007A13EA" w:rsidRDefault="00AD0F38" w:rsidP="00F26524">
      <w:pPr>
        <w:pStyle w:val="IRPsanstext"/>
        <w:numPr>
          <w:ilvl w:val="0"/>
          <w:numId w:val="19"/>
        </w:numPr>
      </w:pPr>
      <w:r w:rsidRPr="007A13EA">
        <w:t>Curtailment</w:t>
      </w:r>
    </w:p>
    <w:p w14:paraId="5C762371" w14:textId="77777777" w:rsidR="00AD0F38" w:rsidRPr="001048D3" w:rsidRDefault="00AD0F38" w:rsidP="002873A4">
      <w:pPr>
        <w:pStyle w:val="IRPsanstext"/>
      </w:pPr>
    </w:p>
    <w:p w14:paraId="3B3A7A7F" w14:textId="77777777" w:rsidR="00AD0F38" w:rsidRPr="00637CED" w:rsidRDefault="00AD0F38" w:rsidP="002873A4">
      <w:pPr>
        <w:pStyle w:val="IRPsanstext"/>
      </w:pPr>
      <w:r w:rsidRPr="00637CED">
        <w:t>Figure 6-</w:t>
      </w:r>
      <w:r w:rsidR="00855BD7">
        <w:t>30</w:t>
      </w:r>
      <w:r w:rsidRPr="00637CED">
        <w:t xml:space="preserve"> compares expected costs and cost ranges to illustrate how DSR reduces cost and risk in the portfolio. The amount of cost-effective conservation acquired varies across scenarios, but by 2035, the range is very tight, 1,062 MW to 1,209 MW. Compared to the Base Scenario portfolio with no DSR, the Base Scenario portfolio with DSR is lower cost and has a lower TVar90, which measures the risk of how costly a portfolio can get.</w:t>
      </w:r>
    </w:p>
    <w:p w14:paraId="4D7A28D0" w14:textId="77777777" w:rsidR="00AD0F38" w:rsidRPr="001048D3" w:rsidRDefault="00AD0F38" w:rsidP="002873A4">
      <w:pPr>
        <w:pStyle w:val="IRPsanstext"/>
      </w:pPr>
    </w:p>
    <w:p w14:paraId="627C82C3" w14:textId="77777777" w:rsidR="00AD0F38" w:rsidRDefault="002873A4" w:rsidP="002873A4">
      <w:pPr>
        <w:pStyle w:val="IRPsanstext"/>
        <w:jc w:val="center"/>
        <w:rPr>
          <w:i/>
        </w:rPr>
      </w:pPr>
      <w:r w:rsidRPr="007A13EA">
        <w:rPr>
          <w:i/>
          <w:noProof/>
          <w:lang w:eastAsia="en-US"/>
        </w:rPr>
        <w:drawing>
          <wp:anchor distT="0" distB="0" distL="114300" distR="114300" simplePos="0" relativeHeight="251639296" behindDoc="0" locked="0" layoutInCell="1" allowOverlap="1" wp14:anchorId="29052B42" wp14:editId="465946C9">
            <wp:simplePos x="0" y="0"/>
            <wp:positionH relativeFrom="column">
              <wp:posOffset>59055</wp:posOffset>
            </wp:positionH>
            <wp:positionV relativeFrom="paragraph">
              <wp:posOffset>264160</wp:posOffset>
            </wp:positionV>
            <wp:extent cx="5364480" cy="3886200"/>
            <wp:effectExtent l="0" t="0" r="0" b="0"/>
            <wp:wrapTopAndBottom/>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64480" cy="3886200"/>
                    </a:xfrm>
                    <a:prstGeom prst="rect">
                      <a:avLst/>
                    </a:prstGeom>
                    <a:noFill/>
                  </pic:spPr>
                </pic:pic>
              </a:graphicData>
            </a:graphic>
          </wp:anchor>
        </w:drawing>
      </w:r>
      <w:r w:rsidR="00AD0F38" w:rsidRPr="007A13EA">
        <w:rPr>
          <w:i/>
        </w:rPr>
        <w:t>Figure 6</w:t>
      </w:r>
      <w:r w:rsidR="00AD0F38">
        <w:rPr>
          <w:i/>
        </w:rPr>
        <w:t>-</w:t>
      </w:r>
      <w:r w:rsidR="00855BD7">
        <w:rPr>
          <w:i/>
        </w:rPr>
        <w:t>30</w:t>
      </w:r>
      <w:r w:rsidR="00AD0F38" w:rsidRPr="007A13EA">
        <w:rPr>
          <w:i/>
        </w:rPr>
        <w:t>:</w:t>
      </w:r>
      <w:r w:rsidR="00AD0F38">
        <w:t xml:space="preserve"> </w:t>
      </w:r>
      <w:r w:rsidR="00AD0F38" w:rsidRPr="001048D3">
        <w:rPr>
          <w:i/>
        </w:rPr>
        <w:t>Effect of DSR on Costs and Risks</w:t>
      </w:r>
    </w:p>
    <w:p w14:paraId="5DB14C74" w14:textId="77777777" w:rsidR="00AD0F38" w:rsidRPr="00644022" w:rsidRDefault="00AD0F38" w:rsidP="002873A4">
      <w:pPr>
        <w:pStyle w:val="IRPsanstext"/>
      </w:pPr>
    </w:p>
    <w:p w14:paraId="75CEE145" w14:textId="77777777" w:rsidR="002873A4" w:rsidRDefault="002873A4">
      <w:pPr>
        <w:rPr>
          <w:rFonts w:ascii="Arial" w:hAnsi="Arial" w:cs="Arial"/>
          <w:sz w:val="20"/>
        </w:rPr>
      </w:pPr>
      <w:r>
        <w:rPr>
          <w:rFonts w:ascii="Arial" w:hAnsi="Arial" w:cs="Arial"/>
          <w:sz w:val="20"/>
        </w:rPr>
        <w:br w:type="page"/>
      </w:r>
    </w:p>
    <w:p w14:paraId="1CA4F9D2" w14:textId="77777777" w:rsidR="00AD0F38" w:rsidRDefault="00AD0F38" w:rsidP="002873A4">
      <w:pPr>
        <w:pStyle w:val="IRPsanstext"/>
      </w:pPr>
      <w:r w:rsidRPr="00414FA1">
        <w:lastRenderedPageBreak/>
        <w:t>Figure 6-</w:t>
      </w:r>
      <w:r w:rsidR="00855BD7">
        <w:t>31</w:t>
      </w:r>
      <w:r w:rsidRPr="00414FA1">
        <w:t xml:space="preserve"> shows that DSR reduces power cost risk relative to no DSR. </w:t>
      </w:r>
      <w:r>
        <w:t>T</w:t>
      </w:r>
      <w:r w:rsidRPr="00414FA1">
        <w:t xml:space="preserve">he Tail </w:t>
      </w:r>
      <w:proofErr w:type="spellStart"/>
      <w:r w:rsidRPr="00414FA1">
        <w:t>Var</w:t>
      </w:r>
      <w:proofErr w:type="spellEnd"/>
      <w:r w:rsidRPr="00414FA1">
        <w:t xml:space="preserve"> 90 of variable costs for the No DSR portfolio would be a little over $2.04 billion higher than the Base Scenario optimal portfolio with DSR. It also illustrates that the No DSR portfolio revenue requirement is $1.93 billion more than the Base Scenario optimal portfolio, which reflects the higher costs of adding </w:t>
      </w:r>
      <w:proofErr w:type="spellStart"/>
      <w:r w:rsidRPr="00414FA1">
        <w:t>peakers</w:t>
      </w:r>
      <w:proofErr w:type="spellEnd"/>
      <w:r w:rsidRPr="00414FA1">
        <w:t xml:space="preserve"> instead of DSR. This is clearly a reasonable cost/risk tradeoff.  Adding DSR to the portfolio reduces cost and risk at the same time.</w:t>
      </w:r>
    </w:p>
    <w:p w14:paraId="0010BA8B" w14:textId="77777777" w:rsidR="00AD0F38" w:rsidRDefault="00AD0F38" w:rsidP="002873A4">
      <w:pPr>
        <w:pStyle w:val="IRPsanstext"/>
      </w:pPr>
    </w:p>
    <w:p w14:paraId="1CD12464" w14:textId="77777777" w:rsidR="00AD0F38" w:rsidRDefault="00AD0F38" w:rsidP="00EC5150">
      <w:pPr>
        <w:pStyle w:val="IRPsanstext"/>
        <w:spacing w:after="120"/>
        <w:jc w:val="center"/>
        <w:rPr>
          <w:i/>
        </w:rPr>
      </w:pPr>
      <w:r>
        <w:rPr>
          <w:i/>
        </w:rPr>
        <w:t>Figure 6-</w:t>
      </w:r>
      <w:r w:rsidR="00855BD7">
        <w:rPr>
          <w:i/>
        </w:rPr>
        <w:t>31</w:t>
      </w:r>
      <w:r>
        <w:rPr>
          <w:i/>
        </w:rPr>
        <w:t xml:space="preserve">: </w:t>
      </w:r>
      <w:r w:rsidRPr="006844B8">
        <w:rPr>
          <w:i/>
        </w:rPr>
        <w:t>Comparison of Expected Costs and Cost Ranges</w:t>
      </w:r>
      <w:r w:rsidR="00D02777">
        <w:rPr>
          <w:i/>
        </w:rPr>
        <w:t xml:space="preserve"> </w:t>
      </w:r>
      <w:r w:rsidRPr="006844B8">
        <w:rPr>
          <w:i/>
        </w:rPr>
        <w:t>for No-DSR and Optimal Base Scenario Portfolios</w:t>
      </w:r>
      <w:r w:rsidR="00EC5150">
        <w:rPr>
          <w:i/>
        </w:rPr>
        <w:t xml:space="preserve"> </w:t>
      </w:r>
      <w:r w:rsidRPr="006844B8">
        <w:rPr>
          <w:i/>
        </w:rPr>
        <w:t>20-yr NPV Portfolio Cost (dollars in billions)</w:t>
      </w:r>
    </w:p>
    <w:tbl>
      <w:tblPr>
        <w:tblW w:w="0" w:type="auto"/>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1876"/>
        <w:gridCol w:w="2134"/>
        <w:gridCol w:w="2181"/>
      </w:tblGrid>
      <w:tr w:rsidR="00AD0F38" w:rsidRPr="00AF4B4E" w14:paraId="220C154C" w14:textId="77777777">
        <w:trPr>
          <w:jc w:val="center"/>
        </w:trPr>
        <w:tc>
          <w:tcPr>
            <w:tcW w:w="2151" w:type="dxa"/>
            <w:tcBorders>
              <w:bottom w:val="single" w:sz="4" w:space="0" w:color="auto"/>
            </w:tcBorders>
            <w:shd w:val="clear" w:color="auto" w:fill="006A71"/>
          </w:tcPr>
          <w:p w14:paraId="1E6DC528" w14:textId="77777777" w:rsidR="00AD0F38" w:rsidRPr="0067369A" w:rsidRDefault="00AD0F38" w:rsidP="00AD0F38">
            <w:pPr>
              <w:pStyle w:val="IRPsanstext"/>
              <w:widowControl w:val="0"/>
              <w:rPr>
                <w:rFonts w:cs="Arial"/>
                <w:b/>
                <w:bCs/>
                <w:color w:val="FFFFFF"/>
                <w:szCs w:val="18"/>
              </w:rPr>
            </w:pPr>
            <w:r w:rsidRPr="0067369A">
              <w:rPr>
                <w:rFonts w:cs="Arial"/>
                <w:b/>
                <w:bCs/>
                <w:color w:val="FFFFFF"/>
                <w:szCs w:val="18"/>
              </w:rPr>
              <w:t>No CO2 Price</w:t>
            </w:r>
          </w:p>
        </w:tc>
        <w:tc>
          <w:tcPr>
            <w:tcW w:w="1876" w:type="dxa"/>
            <w:tcBorders>
              <w:bottom w:val="single" w:sz="4" w:space="0" w:color="auto"/>
            </w:tcBorders>
            <w:shd w:val="clear" w:color="auto" w:fill="006A71"/>
          </w:tcPr>
          <w:p w14:paraId="743152D0" w14:textId="77777777" w:rsidR="00AD0F38" w:rsidRPr="0067369A" w:rsidRDefault="00AD0F38" w:rsidP="00AD0F38">
            <w:pPr>
              <w:pStyle w:val="IRPsanstext"/>
              <w:widowControl w:val="0"/>
              <w:jc w:val="center"/>
              <w:rPr>
                <w:rFonts w:cs="Arial"/>
                <w:b/>
                <w:bCs/>
                <w:color w:val="FFFFFF"/>
                <w:szCs w:val="18"/>
              </w:rPr>
            </w:pPr>
            <w:r w:rsidRPr="0067369A">
              <w:rPr>
                <w:rFonts w:cs="Arial"/>
                <w:b/>
                <w:bCs/>
                <w:color w:val="FFFFFF"/>
                <w:szCs w:val="18"/>
              </w:rPr>
              <w:t>Base + DSR</w:t>
            </w:r>
          </w:p>
        </w:tc>
        <w:tc>
          <w:tcPr>
            <w:tcW w:w="2134" w:type="dxa"/>
            <w:tcBorders>
              <w:bottom w:val="single" w:sz="4" w:space="0" w:color="auto"/>
            </w:tcBorders>
            <w:shd w:val="clear" w:color="auto" w:fill="006A71"/>
          </w:tcPr>
          <w:p w14:paraId="2342FA1D" w14:textId="77777777" w:rsidR="00AD0F38" w:rsidRPr="0067369A" w:rsidRDefault="00AD0F38" w:rsidP="00AD0F38">
            <w:pPr>
              <w:pStyle w:val="IRPsanstext"/>
              <w:widowControl w:val="0"/>
              <w:jc w:val="center"/>
              <w:rPr>
                <w:rFonts w:cs="Arial"/>
                <w:b/>
                <w:bCs/>
                <w:color w:val="FFFFFF"/>
                <w:szCs w:val="18"/>
              </w:rPr>
            </w:pPr>
            <w:r w:rsidRPr="0067369A">
              <w:rPr>
                <w:rFonts w:cs="Arial"/>
                <w:b/>
                <w:bCs/>
                <w:color w:val="FFFFFF"/>
                <w:szCs w:val="18"/>
              </w:rPr>
              <w:t>Base + No DSR</w:t>
            </w:r>
          </w:p>
        </w:tc>
        <w:tc>
          <w:tcPr>
            <w:tcW w:w="2181" w:type="dxa"/>
            <w:tcBorders>
              <w:bottom w:val="single" w:sz="4" w:space="0" w:color="auto"/>
            </w:tcBorders>
            <w:shd w:val="clear" w:color="auto" w:fill="006A71"/>
          </w:tcPr>
          <w:p w14:paraId="5B81EA73" w14:textId="77777777" w:rsidR="00AD0F38" w:rsidRPr="0067369A" w:rsidRDefault="00AD0F38" w:rsidP="00AD0F38">
            <w:pPr>
              <w:pStyle w:val="IRPsanstext"/>
              <w:widowControl w:val="0"/>
              <w:jc w:val="center"/>
              <w:rPr>
                <w:rFonts w:cs="Arial"/>
                <w:b/>
                <w:bCs/>
                <w:color w:val="FFFFFF"/>
                <w:szCs w:val="18"/>
              </w:rPr>
            </w:pPr>
            <w:r w:rsidRPr="0067369A">
              <w:rPr>
                <w:rFonts w:cs="Arial"/>
                <w:b/>
                <w:bCs/>
                <w:color w:val="FFFFFF"/>
                <w:szCs w:val="18"/>
              </w:rPr>
              <w:t>Difference</w:t>
            </w:r>
          </w:p>
        </w:tc>
      </w:tr>
      <w:tr w:rsidR="00AD0F38" w:rsidRPr="00AF4B4E" w14:paraId="2AE7C02E" w14:textId="77777777">
        <w:trPr>
          <w:trHeight w:hRule="exact" w:val="86"/>
          <w:jc w:val="center"/>
        </w:trPr>
        <w:tc>
          <w:tcPr>
            <w:tcW w:w="2151" w:type="dxa"/>
            <w:tcBorders>
              <w:bottom w:val="single" w:sz="4" w:space="0" w:color="auto"/>
              <w:right w:val="nil"/>
            </w:tcBorders>
            <w:shd w:val="clear" w:color="auto" w:fill="807F83"/>
          </w:tcPr>
          <w:p w14:paraId="4499BE14" w14:textId="77777777" w:rsidR="00AD0F38" w:rsidRPr="002873A4" w:rsidRDefault="00AD0F38" w:rsidP="00AD0F38">
            <w:pPr>
              <w:pStyle w:val="IRPsanstext"/>
              <w:widowControl w:val="0"/>
              <w:rPr>
                <w:rFonts w:cs="Arial"/>
                <w:bCs/>
                <w:szCs w:val="18"/>
              </w:rPr>
            </w:pPr>
          </w:p>
        </w:tc>
        <w:tc>
          <w:tcPr>
            <w:tcW w:w="1876" w:type="dxa"/>
            <w:tcBorders>
              <w:left w:val="nil"/>
              <w:right w:val="nil"/>
            </w:tcBorders>
            <w:shd w:val="clear" w:color="auto" w:fill="807F83"/>
          </w:tcPr>
          <w:p w14:paraId="591DEB51" w14:textId="77777777" w:rsidR="00AD0F38" w:rsidRPr="002873A4" w:rsidRDefault="00AD0F38" w:rsidP="00AD0F38">
            <w:pPr>
              <w:pStyle w:val="IRPsanstext"/>
              <w:widowControl w:val="0"/>
              <w:rPr>
                <w:rFonts w:cs="Arial"/>
                <w:bCs/>
                <w:szCs w:val="18"/>
              </w:rPr>
            </w:pPr>
          </w:p>
        </w:tc>
        <w:tc>
          <w:tcPr>
            <w:tcW w:w="2134" w:type="dxa"/>
            <w:tcBorders>
              <w:left w:val="nil"/>
              <w:right w:val="nil"/>
            </w:tcBorders>
            <w:shd w:val="clear" w:color="auto" w:fill="807F83"/>
          </w:tcPr>
          <w:p w14:paraId="6BD96B66" w14:textId="77777777" w:rsidR="00AD0F38" w:rsidRPr="002873A4" w:rsidRDefault="00AD0F38" w:rsidP="00AD0F38">
            <w:pPr>
              <w:pStyle w:val="IRPsanstext"/>
              <w:widowControl w:val="0"/>
              <w:rPr>
                <w:rFonts w:cs="Arial"/>
                <w:bCs/>
                <w:szCs w:val="18"/>
              </w:rPr>
            </w:pPr>
          </w:p>
        </w:tc>
        <w:tc>
          <w:tcPr>
            <w:tcW w:w="2181" w:type="dxa"/>
            <w:tcBorders>
              <w:left w:val="nil"/>
            </w:tcBorders>
            <w:shd w:val="clear" w:color="auto" w:fill="807F83"/>
          </w:tcPr>
          <w:p w14:paraId="0EFA1441" w14:textId="77777777" w:rsidR="00AD0F38" w:rsidRPr="002873A4" w:rsidRDefault="00AD0F38" w:rsidP="00AD0F38">
            <w:pPr>
              <w:pStyle w:val="IRPsanstext"/>
              <w:widowControl w:val="0"/>
              <w:rPr>
                <w:rFonts w:cs="Arial"/>
                <w:bCs/>
                <w:szCs w:val="18"/>
              </w:rPr>
            </w:pPr>
          </w:p>
        </w:tc>
      </w:tr>
      <w:tr w:rsidR="00AD0F38" w:rsidRPr="00AF4B4E" w14:paraId="069C2D88" w14:textId="77777777">
        <w:trPr>
          <w:jc w:val="center"/>
        </w:trPr>
        <w:tc>
          <w:tcPr>
            <w:tcW w:w="2151" w:type="dxa"/>
            <w:shd w:val="clear" w:color="auto" w:fill="D6CFCD"/>
          </w:tcPr>
          <w:p w14:paraId="17C471E4" w14:textId="77777777" w:rsidR="00AD0F38" w:rsidRPr="002873A4" w:rsidRDefault="00AD0F38" w:rsidP="00AD0F38">
            <w:pPr>
              <w:pStyle w:val="IRPsanstext"/>
              <w:widowControl w:val="0"/>
              <w:rPr>
                <w:rFonts w:cs="Arial"/>
                <w:bCs/>
                <w:szCs w:val="18"/>
              </w:rPr>
            </w:pPr>
            <w:r w:rsidRPr="002873A4">
              <w:rPr>
                <w:rFonts w:cs="Arial"/>
                <w:bCs/>
                <w:szCs w:val="18"/>
              </w:rPr>
              <w:t>Expected Cost</w:t>
            </w:r>
          </w:p>
        </w:tc>
        <w:tc>
          <w:tcPr>
            <w:tcW w:w="1876" w:type="dxa"/>
          </w:tcPr>
          <w:p w14:paraId="6651EEC0" w14:textId="77777777" w:rsidR="00AD0F38" w:rsidRPr="002873A4" w:rsidRDefault="00AD0F38" w:rsidP="00AD0F38">
            <w:pPr>
              <w:pStyle w:val="IRPsanstext"/>
              <w:widowControl w:val="0"/>
              <w:jc w:val="center"/>
              <w:rPr>
                <w:rFonts w:cs="Arial"/>
                <w:bCs/>
                <w:szCs w:val="18"/>
              </w:rPr>
            </w:pPr>
            <w:r w:rsidRPr="002873A4">
              <w:rPr>
                <w:rFonts w:cs="Arial"/>
                <w:bCs/>
                <w:szCs w:val="18"/>
              </w:rPr>
              <w:t>12.28</w:t>
            </w:r>
          </w:p>
        </w:tc>
        <w:tc>
          <w:tcPr>
            <w:tcW w:w="2134" w:type="dxa"/>
          </w:tcPr>
          <w:p w14:paraId="70411B0E" w14:textId="77777777" w:rsidR="00AD0F38" w:rsidRPr="002873A4" w:rsidRDefault="00AD0F38" w:rsidP="00AD0F38">
            <w:pPr>
              <w:pStyle w:val="IRPsanstext"/>
              <w:widowControl w:val="0"/>
              <w:jc w:val="center"/>
              <w:rPr>
                <w:rFonts w:cs="Arial"/>
                <w:bCs/>
                <w:szCs w:val="18"/>
              </w:rPr>
            </w:pPr>
            <w:r w:rsidRPr="002873A4">
              <w:rPr>
                <w:rFonts w:cs="Arial"/>
                <w:bCs/>
                <w:szCs w:val="18"/>
              </w:rPr>
              <w:t>14.21</w:t>
            </w:r>
          </w:p>
        </w:tc>
        <w:tc>
          <w:tcPr>
            <w:tcW w:w="2181" w:type="dxa"/>
          </w:tcPr>
          <w:p w14:paraId="0CB7EA17" w14:textId="77777777" w:rsidR="00AD0F38" w:rsidRPr="002873A4" w:rsidRDefault="00AD0F38" w:rsidP="00AD0F38">
            <w:pPr>
              <w:pStyle w:val="IRPsanstext"/>
              <w:widowControl w:val="0"/>
              <w:jc w:val="center"/>
              <w:rPr>
                <w:rFonts w:cs="Arial"/>
                <w:bCs/>
                <w:szCs w:val="18"/>
              </w:rPr>
            </w:pPr>
            <w:r w:rsidRPr="002873A4">
              <w:rPr>
                <w:rFonts w:cs="Arial"/>
                <w:bCs/>
                <w:szCs w:val="18"/>
              </w:rPr>
              <w:t>1.93</w:t>
            </w:r>
          </w:p>
        </w:tc>
      </w:tr>
      <w:tr w:rsidR="00AD0F38" w:rsidRPr="00AF4B4E" w14:paraId="4F4F1E16" w14:textId="77777777">
        <w:trPr>
          <w:jc w:val="center"/>
        </w:trPr>
        <w:tc>
          <w:tcPr>
            <w:tcW w:w="2151" w:type="dxa"/>
            <w:shd w:val="clear" w:color="auto" w:fill="D6CFCD"/>
          </w:tcPr>
          <w:p w14:paraId="308B5E39" w14:textId="77777777" w:rsidR="00AD0F38" w:rsidRPr="002873A4" w:rsidRDefault="00AD0F38" w:rsidP="00AD0F38">
            <w:pPr>
              <w:pStyle w:val="IRPsanstext"/>
              <w:widowControl w:val="0"/>
              <w:rPr>
                <w:rFonts w:cs="Arial"/>
                <w:bCs/>
                <w:szCs w:val="18"/>
              </w:rPr>
            </w:pPr>
            <w:r w:rsidRPr="002873A4">
              <w:rPr>
                <w:rFonts w:cs="Arial"/>
                <w:bCs/>
                <w:szCs w:val="18"/>
              </w:rPr>
              <w:t>TVar90</w:t>
            </w:r>
          </w:p>
        </w:tc>
        <w:tc>
          <w:tcPr>
            <w:tcW w:w="1876" w:type="dxa"/>
          </w:tcPr>
          <w:p w14:paraId="6DAA83CD" w14:textId="77777777" w:rsidR="00AD0F38" w:rsidRPr="002873A4" w:rsidRDefault="00AD0F38" w:rsidP="00AD0F38">
            <w:pPr>
              <w:pStyle w:val="IRPsanstext"/>
              <w:widowControl w:val="0"/>
              <w:jc w:val="center"/>
              <w:rPr>
                <w:rFonts w:cs="Arial"/>
                <w:bCs/>
                <w:szCs w:val="18"/>
              </w:rPr>
            </w:pPr>
            <w:r w:rsidRPr="002873A4">
              <w:rPr>
                <w:rFonts w:cs="Arial"/>
                <w:bCs/>
                <w:szCs w:val="18"/>
              </w:rPr>
              <w:t>14.45</w:t>
            </w:r>
          </w:p>
        </w:tc>
        <w:tc>
          <w:tcPr>
            <w:tcW w:w="2134" w:type="dxa"/>
          </w:tcPr>
          <w:p w14:paraId="418F3A2C" w14:textId="77777777" w:rsidR="00AD0F38" w:rsidRPr="002873A4" w:rsidRDefault="00AD0F38" w:rsidP="00AD0F38">
            <w:pPr>
              <w:pStyle w:val="IRPsanstext"/>
              <w:widowControl w:val="0"/>
              <w:jc w:val="center"/>
              <w:rPr>
                <w:rFonts w:cs="Arial"/>
                <w:bCs/>
                <w:szCs w:val="18"/>
              </w:rPr>
            </w:pPr>
            <w:r w:rsidRPr="002873A4">
              <w:rPr>
                <w:rFonts w:cs="Arial"/>
                <w:bCs/>
                <w:szCs w:val="18"/>
              </w:rPr>
              <w:t>16.48</w:t>
            </w:r>
          </w:p>
        </w:tc>
        <w:tc>
          <w:tcPr>
            <w:tcW w:w="2181" w:type="dxa"/>
          </w:tcPr>
          <w:p w14:paraId="2EB776A3" w14:textId="77777777" w:rsidR="00AD0F38" w:rsidRPr="002873A4" w:rsidRDefault="00AD0F38" w:rsidP="00AD0F38">
            <w:pPr>
              <w:pStyle w:val="IRPsanstext"/>
              <w:widowControl w:val="0"/>
              <w:jc w:val="center"/>
              <w:rPr>
                <w:rFonts w:cs="Arial"/>
                <w:bCs/>
                <w:szCs w:val="18"/>
              </w:rPr>
            </w:pPr>
            <w:r w:rsidRPr="002873A4">
              <w:rPr>
                <w:rFonts w:cs="Arial"/>
                <w:bCs/>
                <w:szCs w:val="18"/>
              </w:rPr>
              <w:t>2.04</w:t>
            </w:r>
          </w:p>
        </w:tc>
      </w:tr>
    </w:tbl>
    <w:p w14:paraId="294207C9" w14:textId="77777777" w:rsidR="00AD0F38" w:rsidRDefault="00AD0F38" w:rsidP="00AD0F38">
      <w:pPr>
        <w:pStyle w:val="IRPFigureSub"/>
      </w:pPr>
    </w:p>
    <w:p w14:paraId="65318308" w14:textId="77777777" w:rsidR="00AD0F38" w:rsidRPr="002873A4" w:rsidRDefault="00AD0F38" w:rsidP="00AD0F38">
      <w:pPr>
        <w:rPr>
          <w:rFonts w:ascii="Arial" w:hAnsi="Arial"/>
          <w:sz w:val="32"/>
          <w:szCs w:val="32"/>
        </w:rPr>
      </w:pPr>
      <w:r>
        <w:rPr>
          <w:rFonts w:ascii="Arial" w:hAnsi="Arial"/>
          <w:i/>
          <w:sz w:val="32"/>
        </w:rPr>
        <w:br w:type="page"/>
      </w:r>
      <w:r w:rsidRPr="002873A4">
        <w:rPr>
          <w:rFonts w:ascii="Arial" w:hAnsi="Arial"/>
          <w:sz w:val="32"/>
          <w:szCs w:val="32"/>
        </w:rPr>
        <w:lastRenderedPageBreak/>
        <w:t xml:space="preserve">C. Thermal Mix </w:t>
      </w:r>
    </w:p>
    <w:p w14:paraId="377CC204" w14:textId="77777777" w:rsidR="002873A4" w:rsidRPr="002873A4" w:rsidRDefault="002873A4" w:rsidP="00AD0F38">
      <w:pPr>
        <w:rPr>
          <w:rFonts w:ascii="Arial" w:hAnsi="Arial"/>
          <w:sz w:val="32"/>
          <w:szCs w:val="32"/>
        </w:rPr>
      </w:pPr>
    </w:p>
    <w:p w14:paraId="482BF3D0" w14:textId="77777777" w:rsidR="00195216" w:rsidRPr="00195216" w:rsidRDefault="00195216" w:rsidP="00195216">
      <w:pPr>
        <w:pStyle w:val="IRPsanstext"/>
        <w:rPr>
          <w:b/>
        </w:rPr>
      </w:pPr>
      <w:r w:rsidRPr="00195216">
        <w:rPr>
          <w:b/>
        </w:rPr>
        <w:t>How does changing the mix of thermal resources affect portfolio cost and risk?</w:t>
      </w:r>
    </w:p>
    <w:p w14:paraId="59353CAA" w14:textId="77777777" w:rsidR="00195216" w:rsidRPr="00195216" w:rsidRDefault="00195216" w:rsidP="00195216">
      <w:pPr>
        <w:pStyle w:val="IRPsanstext"/>
        <w:ind w:left="720"/>
        <w:rPr>
          <w:b/>
        </w:rPr>
      </w:pPr>
      <w:r w:rsidRPr="00195216">
        <w:rPr>
          <w:b/>
        </w:rPr>
        <w:t xml:space="preserve">Baseline: All </w:t>
      </w:r>
      <w:proofErr w:type="spellStart"/>
      <w:r w:rsidRPr="00195216">
        <w:rPr>
          <w:b/>
        </w:rPr>
        <w:t>peakers</w:t>
      </w:r>
      <w:proofErr w:type="spellEnd"/>
      <w:r w:rsidRPr="00195216">
        <w:rPr>
          <w:b/>
        </w:rPr>
        <w:t xml:space="preserve"> are selected in the Base Scenario portfolio. </w:t>
      </w:r>
    </w:p>
    <w:p w14:paraId="6A65383F" w14:textId="77777777" w:rsidR="00195216" w:rsidRPr="00195216" w:rsidRDefault="00195216" w:rsidP="00195216">
      <w:pPr>
        <w:pStyle w:val="IRPsanstext"/>
        <w:ind w:left="720"/>
        <w:rPr>
          <w:b/>
        </w:rPr>
      </w:pPr>
      <w:r w:rsidRPr="00195216">
        <w:rPr>
          <w:b/>
        </w:rPr>
        <w:t xml:space="preserve">Sensitivity 1: What happens when all CCCT plants are modeled? </w:t>
      </w:r>
    </w:p>
    <w:p w14:paraId="482BB7B5" w14:textId="77777777" w:rsidR="00195216" w:rsidRPr="00195216" w:rsidRDefault="00195216" w:rsidP="00195216">
      <w:pPr>
        <w:pStyle w:val="IRPsanstext"/>
        <w:ind w:left="720"/>
        <w:rPr>
          <w:b/>
        </w:rPr>
      </w:pPr>
      <w:r w:rsidRPr="00195216">
        <w:rPr>
          <w:b/>
        </w:rPr>
        <w:t xml:space="preserve">Sensitivity 2: What happens when a mix of CCCT and frame </w:t>
      </w:r>
      <w:proofErr w:type="spellStart"/>
      <w:r w:rsidRPr="00195216">
        <w:rPr>
          <w:b/>
        </w:rPr>
        <w:t>peakers</w:t>
      </w:r>
      <w:proofErr w:type="spellEnd"/>
      <w:r w:rsidRPr="00195216">
        <w:rPr>
          <w:b/>
        </w:rPr>
        <w:t xml:space="preserve"> are modeled?</w:t>
      </w:r>
    </w:p>
    <w:p w14:paraId="50336708" w14:textId="77777777" w:rsidR="00AD0F38" w:rsidRDefault="00AD0F38" w:rsidP="00AD0F38">
      <w:pPr>
        <w:rPr>
          <w:rFonts w:ascii="Arial" w:hAnsi="Arial"/>
          <w:sz w:val="20"/>
        </w:rPr>
      </w:pPr>
    </w:p>
    <w:p w14:paraId="5F04744C" w14:textId="77777777" w:rsidR="00AD0F38" w:rsidRPr="002873A4" w:rsidRDefault="00AD0F38" w:rsidP="002873A4">
      <w:pPr>
        <w:pStyle w:val="IRPsanstext"/>
        <w:rPr>
          <w:rFonts w:cs="Arial"/>
        </w:rPr>
      </w:pPr>
      <w:r w:rsidRPr="002873A4">
        <w:rPr>
          <w:rFonts w:cs="Arial"/>
        </w:rPr>
        <w:t xml:space="preserve">In this IRP, the lowest cost thermal resource varied between the frame </w:t>
      </w:r>
      <w:proofErr w:type="spellStart"/>
      <w:r w:rsidRPr="002873A4">
        <w:rPr>
          <w:rFonts w:cs="Arial"/>
        </w:rPr>
        <w:t>peaker</w:t>
      </w:r>
      <w:proofErr w:type="spellEnd"/>
      <w:r w:rsidRPr="002873A4">
        <w:rPr>
          <w:rFonts w:cs="Arial"/>
        </w:rPr>
        <w:t xml:space="preserve"> and the CCCT depending on the scenario. The all-</w:t>
      </w:r>
      <w:proofErr w:type="spellStart"/>
      <w:r w:rsidRPr="002873A4">
        <w:rPr>
          <w:rFonts w:cs="Arial"/>
        </w:rPr>
        <w:t>peaker</w:t>
      </w:r>
      <w:proofErr w:type="spellEnd"/>
      <w:r w:rsidRPr="002873A4">
        <w:rPr>
          <w:rFonts w:cs="Arial"/>
        </w:rPr>
        <w:t xml:space="preserve"> portfolio is the least-cost portfolio from the Base Scenario, the CCCT builds are based on the Base + High CO</w:t>
      </w:r>
      <w:r w:rsidRPr="002873A4">
        <w:rPr>
          <w:rFonts w:cs="Arial"/>
          <w:vertAlign w:val="subscript"/>
        </w:rPr>
        <w:t>2</w:t>
      </w:r>
      <w:r w:rsidRPr="002873A4">
        <w:rPr>
          <w:rFonts w:cs="Arial"/>
        </w:rPr>
        <w:t xml:space="preserve"> least-cost portfolio and the mix of frame and CCCT portfolio is the least-cost portfolio from the Base + No CO</w:t>
      </w:r>
      <w:r w:rsidRPr="002873A4">
        <w:rPr>
          <w:rFonts w:cs="Arial"/>
          <w:vertAlign w:val="subscript"/>
        </w:rPr>
        <w:t>2</w:t>
      </w:r>
      <w:r w:rsidRPr="002873A4">
        <w:rPr>
          <w:rFonts w:cs="Arial"/>
        </w:rPr>
        <w:t xml:space="preserve"> scenario.   </w:t>
      </w:r>
    </w:p>
    <w:p w14:paraId="48EE7202" w14:textId="77777777" w:rsidR="002873A4" w:rsidRDefault="002873A4" w:rsidP="002873A4">
      <w:pPr>
        <w:pStyle w:val="IRPsanstext"/>
        <w:rPr>
          <w:rFonts w:cs="Arial"/>
        </w:rPr>
      </w:pPr>
    </w:p>
    <w:p w14:paraId="7E988DDD" w14:textId="77777777" w:rsidR="00AD0F38" w:rsidRDefault="00AD0F38" w:rsidP="002873A4">
      <w:pPr>
        <w:pStyle w:val="IRPsanstext"/>
        <w:rPr>
          <w:rFonts w:cs="Arial"/>
        </w:rPr>
      </w:pPr>
      <w:r w:rsidRPr="002873A4">
        <w:rPr>
          <w:rFonts w:cs="Arial"/>
        </w:rPr>
        <w:t>Figure 6-3</w:t>
      </w:r>
      <w:r w:rsidR="00855BD7">
        <w:rPr>
          <w:rFonts w:cs="Arial"/>
        </w:rPr>
        <w:t>2</w:t>
      </w:r>
      <w:r w:rsidRPr="002873A4">
        <w:rPr>
          <w:rFonts w:cs="Arial"/>
        </w:rPr>
        <w:t xml:space="preserve"> compares the differences among portfolio costs compared to the tail value at risk (TVar90). TVar90</w:t>
      </w:r>
      <w:r w:rsidRPr="002873A4">
        <w:rPr>
          <w:rStyle w:val="FootnoteReference"/>
          <w:rFonts w:cs="Arial"/>
        </w:rPr>
        <w:footnoteReference w:id="18"/>
      </w:r>
      <w:r w:rsidRPr="002873A4">
        <w:rPr>
          <w:rFonts w:cs="Arial"/>
        </w:rPr>
        <w:t xml:space="preserve"> represents the downside financial risk associated with a portfolio; it is calculated as the average value of the worst 10 percent of outcomes.  </w:t>
      </w:r>
    </w:p>
    <w:p w14:paraId="3D876101" w14:textId="77777777" w:rsidR="002873A4" w:rsidRPr="002873A4" w:rsidRDefault="002873A4" w:rsidP="002873A4">
      <w:pPr>
        <w:pStyle w:val="IRPsanstext"/>
        <w:rPr>
          <w:rFonts w:cs="Arial"/>
        </w:rPr>
      </w:pPr>
    </w:p>
    <w:p w14:paraId="0DA137D0" w14:textId="77777777" w:rsidR="00AD0F38" w:rsidRPr="002873A4" w:rsidRDefault="00AD0F38" w:rsidP="002873A4">
      <w:pPr>
        <w:pStyle w:val="IRPsanstext"/>
        <w:spacing w:after="120"/>
        <w:jc w:val="center"/>
        <w:rPr>
          <w:rFonts w:cs="Arial"/>
          <w:i/>
        </w:rPr>
      </w:pPr>
      <w:r w:rsidRPr="002873A4">
        <w:rPr>
          <w:rFonts w:cs="Arial"/>
          <w:i/>
        </w:rPr>
        <w:t>Figure 6-3</w:t>
      </w:r>
      <w:r w:rsidR="00855BD7">
        <w:rPr>
          <w:rFonts w:cs="Arial"/>
          <w:i/>
        </w:rPr>
        <w:t>2</w:t>
      </w:r>
      <w:r w:rsidRPr="002873A4">
        <w:rPr>
          <w:rFonts w:cs="Arial"/>
          <w:i/>
        </w:rPr>
        <w:t>: Thermal Mix – Total Portfolio Cost and TVar90</w:t>
      </w:r>
    </w:p>
    <w:tbl>
      <w:tblPr>
        <w:tblW w:w="85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2360"/>
        <w:gridCol w:w="1420"/>
        <w:gridCol w:w="990"/>
        <w:gridCol w:w="1440"/>
      </w:tblGrid>
      <w:tr w:rsidR="00330C7B" w:rsidRPr="002873A4" w14:paraId="23C68768" w14:textId="77777777">
        <w:trPr>
          <w:trHeight w:val="818"/>
        </w:trPr>
        <w:tc>
          <w:tcPr>
            <w:tcW w:w="2355" w:type="dxa"/>
            <w:shd w:val="clear" w:color="000000" w:fill="156570"/>
            <w:vAlign w:val="center"/>
          </w:tcPr>
          <w:p w14:paraId="7CE6CEDF" w14:textId="77777777" w:rsidR="00AD0F38" w:rsidRPr="0067369A" w:rsidRDefault="00AD0F38" w:rsidP="002873A4">
            <w:pPr>
              <w:pStyle w:val="IRPsanstext"/>
              <w:rPr>
                <w:rFonts w:eastAsia="Times New Roman" w:cs="Arial"/>
                <w:b/>
                <w:bCs/>
                <w:color w:val="FFFFFF"/>
              </w:rPr>
            </w:pPr>
            <w:r w:rsidRPr="0067369A">
              <w:rPr>
                <w:rFonts w:eastAsia="Times New Roman" w:cs="Arial"/>
                <w:b/>
                <w:bCs/>
                <w:color w:val="FFFFFF"/>
              </w:rPr>
              <w:t>NPV ($ millions)</w:t>
            </w:r>
          </w:p>
        </w:tc>
        <w:tc>
          <w:tcPr>
            <w:tcW w:w="2360" w:type="dxa"/>
            <w:shd w:val="clear" w:color="000000" w:fill="156570"/>
            <w:vAlign w:val="center"/>
          </w:tcPr>
          <w:p w14:paraId="3D9B3693" w14:textId="77777777" w:rsidR="00AD0F38" w:rsidRPr="0067369A" w:rsidRDefault="00AD0F38" w:rsidP="002873A4">
            <w:pPr>
              <w:pStyle w:val="IRPsanstext"/>
              <w:rPr>
                <w:rFonts w:eastAsia="Times New Roman" w:cs="Arial"/>
                <w:b/>
                <w:bCs/>
                <w:color w:val="FFFFFF"/>
              </w:rPr>
            </w:pPr>
            <w:r w:rsidRPr="0067369A">
              <w:rPr>
                <w:rFonts w:eastAsia="Times New Roman" w:cs="Arial"/>
                <w:b/>
                <w:bCs/>
                <w:color w:val="FFFFFF"/>
              </w:rPr>
              <w:t>Base Deterministic Portfolio Cost</w:t>
            </w:r>
          </w:p>
        </w:tc>
        <w:tc>
          <w:tcPr>
            <w:tcW w:w="1420" w:type="dxa"/>
            <w:shd w:val="clear" w:color="000000" w:fill="156570"/>
            <w:vAlign w:val="center"/>
          </w:tcPr>
          <w:p w14:paraId="06897F18" w14:textId="77777777" w:rsidR="00AD0F38" w:rsidRPr="0067369A" w:rsidRDefault="00AD0F38" w:rsidP="002873A4">
            <w:pPr>
              <w:pStyle w:val="IRPsanstext"/>
              <w:rPr>
                <w:rFonts w:eastAsia="Times New Roman" w:cs="Arial"/>
                <w:b/>
                <w:bCs/>
                <w:color w:val="FFFFFF"/>
              </w:rPr>
            </w:pPr>
            <w:r w:rsidRPr="0067369A">
              <w:rPr>
                <w:rFonts w:eastAsia="Times New Roman" w:cs="Arial"/>
                <w:b/>
                <w:bCs/>
                <w:color w:val="FFFFFF"/>
              </w:rPr>
              <w:t>Difference from Base</w:t>
            </w:r>
          </w:p>
        </w:tc>
        <w:tc>
          <w:tcPr>
            <w:tcW w:w="990" w:type="dxa"/>
            <w:shd w:val="clear" w:color="000000" w:fill="156570"/>
            <w:vAlign w:val="center"/>
          </w:tcPr>
          <w:p w14:paraId="63DD7F74" w14:textId="77777777" w:rsidR="00AD0F38" w:rsidRPr="0067369A" w:rsidRDefault="00AD0F38" w:rsidP="002873A4">
            <w:pPr>
              <w:pStyle w:val="IRPsanstext"/>
              <w:rPr>
                <w:rFonts w:eastAsia="Times New Roman" w:cs="Arial"/>
                <w:b/>
                <w:bCs/>
                <w:color w:val="FFFFFF"/>
              </w:rPr>
            </w:pPr>
            <w:r w:rsidRPr="0067369A">
              <w:rPr>
                <w:rFonts w:eastAsia="Times New Roman" w:cs="Arial"/>
                <w:b/>
                <w:bCs/>
                <w:color w:val="FFFFFF"/>
              </w:rPr>
              <w:t>TVar90</w:t>
            </w:r>
          </w:p>
        </w:tc>
        <w:tc>
          <w:tcPr>
            <w:tcW w:w="1440" w:type="dxa"/>
            <w:shd w:val="clear" w:color="000000" w:fill="156570"/>
            <w:vAlign w:val="center"/>
          </w:tcPr>
          <w:p w14:paraId="436F66C6" w14:textId="77777777" w:rsidR="00AD0F38" w:rsidRPr="0067369A" w:rsidRDefault="00AD0F38" w:rsidP="002873A4">
            <w:pPr>
              <w:pStyle w:val="IRPsanstext"/>
              <w:rPr>
                <w:rFonts w:eastAsia="Times New Roman" w:cs="Arial"/>
                <w:b/>
                <w:bCs/>
                <w:color w:val="FFFFFF"/>
              </w:rPr>
            </w:pPr>
            <w:r w:rsidRPr="0067369A">
              <w:rPr>
                <w:rFonts w:eastAsia="Times New Roman" w:cs="Arial"/>
                <w:b/>
                <w:bCs/>
                <w:color w:val="FFFFFF"/>
              </w:rPr>
              <w:t>Difference from Base</w:t>
            </w:r>
          </w:p>
        </w:tc>
      </w:tr>
      <w:tr w:rsidR="00AD0F38" w:rsidRPr="002873A4" w14:paraId="6F40ACFF" w14:textId="77777777">
        <w:trPr>
          <w:trHeight w:val="411"/>
        </w:trPr>
        <w:tc>
          <w:tcPr>
            <w:tcW w:w="2355" w:type="dxa"/>
            <w:shd w:val="clear" w:color="auto" w:fill="auto"/>
            <w:vAlign w:val="center"/>
          </w:tcPr>
          <w:p w14:paraId="12457395" w14:textId="77777777" w:rsidR="00AD0F38" w:rsidRPr="002873A4" w:rsidRDefault="00AD0F38" w:rsidP="002873A4">
            <w:pPr>
              <w:pStyle w:val="IRPsanstext"/>
              <w:rPr>
                <w:rFonts w:eastAsia="Times New Roman" w:cs="Arial"/>
                <w:bCs/>
                <w:color w:val="000000"/>
              </w:rPr>
            </w:pPr>
            <w:r w:rsidRPr="002873A4">
              <w:rPr>
                <w:rFonts w:eastAsia="Times New Roman" w:cs="Arial"/>
                <w:bCs/>
                <w:color w:val="000000"/>
              </w:rPr>
              <w:t xml:space="preserve">Base (all Frame </w:t>
            </w:r>
            <w:proofErr w:type="spellStart"/>
            <w:r w:rsidRPr="002873A4">
              <w:rPr>
                <w:rFonts w:eastAsia="Times New Roman" w:cs="Arial"/>
                <w:bCs/>
                <w:color w:val="000000"/>
              </w:rPr>
              <w:t>Peaker</w:t>
            </w:r>
            <w:proofErr w:type="spellEnd"/>
            <w:r w:rsidRPr="002873A4">
              <w:rPr>
                <w:rFonts w:eastAsia="Times New Roman" w:cs="Arial"/>
                <w:bCs/>
                <w:color w:val="000000"/>
              </w:rPr>
              <w:t>)</w:t>
            </w:r>
          </w:p>
        </w:tc>
        <w:tc>
          <w:tcPr>
            <w:tcW w:w="2360" w:type="dxa"/>
            <w:shd w:val="clear" w:color="auto" w:fill="auto"/>
            <w:vAlign w:val="center"/>
          </w:tcPr>
          <w:p w14:paraId="0D6FC398" w14:textId="77777777" w:rsidR="00AD0F38" w:rsidRPr="002873A4" w:rsidRDefault="00AD0F38" w:rsidP="0067369A">
            <w:pPr>
              <w:pStyle w:val="IRPsanstext"/>
              <w:jc w:val="center"/>
              <w:rPr>
                <w:rFonts w:eastAsia="Times New Roman" w:cs="Arial"/>
                <w:bCs/>
                <w:color w:val="000000"/>
              </w:rPr>
            </w:pPr>
            <w:r w:rsidRPr="002873A4">
              <w:rPr>
                <w:rFonts w:eastAsia="Times New Roman" w:cs="Arial"/>
                <w:bCs/>
                <w:color w:val="000000"/>
              </w:rPr>
              <w:t>12,277</w:t>
            </w:r>
          </w:p>
        </w:tc>
        <w:tc>
          <w:tcPr>
            <w:tcW w:w="1420" w:type="dxa"/>
            <w:shd w:val="clear" w:color="auto" w:fill="auto"/>
            <w:vAlign w:val="center"/>
          </w:tcPr>
          <w:p w14:paraId="13AF54FF" w14:textId="77777777" w:rsidR="00AD0F38" w:rsidRPr="002873A4" w:rsidRDefault="0067369A" w:rsidP="0067369A">
            <w:pPr>
              <w:pStyle w:val="IRPsanstext"/>
              <w:jc w:val="center"/>
              <w:rPr>
                <w:rFonts w:eastAsia="Times New Roman" w:cs="Arial"/>
                <w:bCs/>
                <w:color w:val="000000"/>
              </w:rPr>
            </w:pPr>
            <w:r>
              <w:rPr>
                <w:rFonts w:eastAsia="Times New Roman" w:cs="Arial"/>
                <w:bCs/>
                <w:color w:val="000000"/>
              </w:rPr>
              <w:t>-</w:t>
            </w:r>
          </w:p>
        </w:tc>
        <w:tc>
          <w:tcPr>
            <w:tcW w:w="990" w:type="dxa"/>
            <w:shd w:val="clear" w:color="auto" w:fill="auto"/>
            <w:vAlign w:val="center"/>
          </w:tcPr>
          <w:p w14:paraId="485C65A5" w14:textId="77777777" w:rsidR="00AD0F38" w:rsidRPr="002873A4" w:rsidRDefault="00AD0F38" w:rsidP="0067369A">
            <w:pPr>
              <w:pStyle w:val="IRPsanstext"/>
              <w:jc w:val="center"/>
              <w:rPr>
                <w:rFonts w:eastAsia="Times New Roman" w:cs="Arial"/>
                <w:bCs/>
                <w:color w:val="000000"/>
              </w:rPr>
            </w:pPr>
            <w:r w:rsidRPr="002873A4">
              <w:rPr>
                <w:rFonts w:eastAsia="Times New Roman" w:cs="Arial"/>
                <w:bCs/>
                <w:color w:val="000000"/>
              </w:rPr>
              <w:t>14,445</w:t>
            </w:r>
          </w:p>
        </w:tc>
        <w:tc>
          <w:tcPr>
            <w:tcW w:w="1440" w:type="dxa"/>
            <w:shd w:val="clear" w:color="auto" w:fill="auto"/>
            <w:vAlign w:val="center"/>
          </w:tcPr>
          <w:p w14:paraId="1BB44ED3" w14:textId="77777777" w:rsidR="00AD0F38" w:rsidRPr="002873A4" w:rsidRDefault="0067369A" w:rsidP="0067369A">
            <w:pPr>
              <w:pStyle w:val="IRPsanstext"/>
              <w:jc w:val="center"/>
              <w:rPr>
                <w:rFonts w:eastAsia="Times New Roman" w:cs="Arial"/>
                <w:bCs/>
                <w:color w:val="000000"/>
              </w:rPr>
            </w:pPr>
            <w:r>
              <w:rPr>
                <w:rFonts w:eastAsia="Times New Roman" w:cs="Arial"/>
                <w:bCs/>
                <w:color w:val="000000"/>
              </w:rPr>
              <w:t>-</w:t>
            </w:r>
          </w:p>
        </w:tc>
      </w:tr>
      <w:tr w:rsidR="00AD0F38" w:rsidRPr="002873A4" w14:paraId="7F8670D4" w14:textId="77777777">
        <w:trPr>
          <w:trHeight w:val="411"/>
        </w:trPr>
        <w:tc>
          <w:tcPr>
            <w:tcW w:w="2355" w:type="dxa"/>
            <w:shd w:val="clear" w:color="auto" w:fill="auto"/>
            <w:vAlign w:val="center"/>
          </w:tcPr>
          <w:p w14:paraId="1F39A342" w14:textId="77777777" w:rsidR="00AD0F38" w:rsidRPr="002873A4" w:rsidRDefault="00AD0F38" w:rsidP="002873A4">
            <w:pPr>
              <w:pStyle w:val="IRPsanstext"/>
              <w:rPr>
                <w:rFonts w:eastAsia="Times New Roman" w:cs="Arial"/>
                <w:color w:val="000000"/>
              </w:rPr>
            </w:pPr>
            <w:r w:rsidRPr="002873A4">
              <w:rPr>
                <w:rFonts w:eastAsia="Times New Roman" w:cs="Arial"/>
                <w:color w:val="000000"/>
              </w:rPr>
              <w:t>All CCCT</w:t>
            </w:r>
          </w:p>
        </w:tc>
        <w:tc>
          <w:tcPr>
            <w:tcW w:w="2360" w:type="dxa"/>
            <w:shd w:val="clear" w:color="auto" w:fill="auto"/>
            <w:vAlign w:val="center"/>
          </w:tcPr>
          <w:p w14:paraId="0138CEC2" w14:textId="77777777" w:rsidR="00AD0F38" w:rsidRPr="002873A4" w:rsidRDefault="00AD0F38" w:rsidP="0067369A">
            <w:pPr>
              <w:pStyle w:val="IRPsanstext"/>
              <w:jc w:val="center"/>
              <w:rPr>
                <w:rFonts w:eastAsia="Times New Roman" w:cs="Arial"/>
                <w:color w:val="000000"/>
              </w:rPr>
            </w:pPr>
            <w:r w:rsidRPr="002873A4">
              <w:rPr>
                <w:rFonts w:eastAsia="Times New Roman" w:cs="Arial"/>
                <w:color w:val="000000"/>
              </w:rPr>
              <w:t>12,471</w:t>
            </w:r>
          </w:p>
        </w:tc>
        <w:tc>
          <w:tcPr>
            <w:tcW w:w="1420" w:type="dxa"/>
            <w:shd w:val="clear" w:color="auto" w:fill="auto"/>
            <w:vAlign w:val="center"/>
          </w:tcPr>
          <w:p w14:paraId="7B60894B" w14:textId="77777777" w:rsidR="00AD0F38" w:rsidRPr="002873A4" w:rsidRDefault="00AD0F38" w:rsidP="0067369A">
            <w:pPr>
              <w:pStyle w:val="IRPsanstext"/>
              <w:jc w:val="center"/>
              <w:rPr>
                <w:rFonts w:eastAsia="Times New Roman" w:cs="Arial"/>
                <w:color w:val="000000"/>
              </w:rPr>
            </w:pPr>
            <w:r w:rsidRPr="002873A4">
              <w:rPr>
                <w:rFonts w:eastAsia="Times New Roman" w:cs="Arial"/>
                <w:color w:val="000000"/>
              </w:rPr>
              <w:t>194</w:t>
            </w:r>
          </w:p>
        </w:tc>
        <w:tc>
          <w:tcPr>
            <w:tcW w:w="990" w:type="dxa"/>
            <w:shd w:val="clear" w:color="auto" w:fill="auto"/>
            <w:vAlign w:val="center"/>
          </w:tcPr>
          <w:p w14:paraId="417FF184" w14:textId="77777777" w:rsidR="00AD0F38" w:rsidRPr="002873A4" w:rsidRDefault="00AD0F38" w:rsidP="0067369A">
            <w:pPr>
              <w:pStyle w:val="IRPsanstext"/>
              <w:jc w:val="center"/>
              <w:rPr>
                <w:rFonts w:eastAsia="Times New Roman" w:cs="Arial"/>
                <w:color w:val="000000"/>
              </w:rPr>
            </w:pPr>
            <w:r w:rsidRPr="002873A4">
              <w:rPr>
                <w:rFonts w:eastAsia="Times New Roman" w:cs="Arial"/>
                <w:color w:val="000000"/>
              </w:rPr>
              <w:t>13,778</w:t>
            </w:r>
          </w:p>
        </w:tc>
        <w:tc>
          <w:tcPr>
            <w:tcW w:w="1440" w:type="dxa"/>
            <w:shd w:val="clear" w:color="auto" w:fill="auto"/>
            <w:vAlign w:val="center"/>
          </w:tcPr>
          <w:p w14:paraId="6461304A" w14:textId="77777777" w:rsidR="00AD0F38" w:rsidRPr="0067369A" w:rsidRDefault="00AD0F38" w:rsidP="0067369A">
            <w:pPr>
              <w:pStyle w:val="IRPsanstext"/>
              <w:jc w:val="center"/>
              <w:rPr>
                <w:rFonts w:eastAsia="Times New Roman" w:cs="Arial"/>
              </w:rPr>
            </w:pPr>
            <w:r w:rsidRPr="0067369A">
              <w:rPr>
                <w:rFonts w:eastAsia="Times New Roman" w:cs="Arial"/>
              </w:rPr>
              <w:t>(667)</w:t>
            </w:r>
          </w:p>
        </w:tc>
      </w:tr>
      <w:tr w:rsidR="00AD0F38" w:rsidRPr="002873A4" w14:paraId="5FB6E2C2" w14:textId="77777777">
        <w:trPr>
          <w:trHeight w:val="411"/>
        </w:trPr>
        <w:tc>
          <w:tcPr>
            <w:tcW w:w="2355" w:type="dxa"/>
            <w:shd w:val="clear" w:color="auto" w:fill="auto"/>
            <w:vAlign w:val="center"/>
          </w:tcPr>
          <w:p w14:paraId="63A36F12" w14:textId="77777777" w:rsidR="00AD0F38" w:rsidRPr="002873A4" w:rsidRDefault="00AD0F38" w:rsidP="00E051E6">
            <w:pPr>
              <w:pStyle w:val="IRPsanstext"/>
              <w:rPr>
                <w:rFonts w:eastAsia="Times New Roman" w:cs="Arial"/>
                <w:color w:val="000000"/>
              </w:rPr>
            </w:pPr>
            <w:r w:rsidRPr="002873A4">
              <w:rPr>
                <w:rFonts w:eastAsia="Times New Roman" w:cs="Arial"/>
                <w:color w:val="000000"/>
              </w:rPr>
              <w:t>Mix CCCT</w:t>
            </w:r>
            <w:r w:rsidR="00E051E6">
              <w:rPr>
                <w:rFonts w:eastAsia="Times New Roman" w:cs="Arial"/>
                <w:color w:val="000000"/>
              </w:rPr>
              <w:t xml:space="preserve"> &amp; Frame</w:t>
            </w:r>
          </w:p>
        </w:tc>
        <w:tc>
          <w:tcPr>
            <w:tcW w:w="2360" w:type="dxa"/>
            <w:shd w:val="clear" w:color="auto" w:fill="auto"/>
            <w:vAlign w:val="center"/>
          </w:tcPr>
          <w:p w14:paraId="0FE901B3" w14:textId="77777777" w:rsidR="00AD0F38" w:rsidRPr="002873A4" w:rsidRDefault="00AD0F38" w:rsidP="0067369A">
            <w:pPr>
              <w:pStyle w:val="IRPsanstext"/>
              <w:jc w:val="center"/>
              <w:rPr>
                <w:rFonts w:eastAsia="Times New Roman" w:cs="Arial"/>
                <w:color w:val="000000"/>
              </w:rPr>
            </w:pPr>
            <w:r w:rsidRPr="002873A4">
              <w:rPr>
                <w:rFonts w:eastAsia="Times New Roman" w:cs="Arial"/>
                <w:color w:val="000000"/>
              </w:rPr>
              <w:t>12,363</w:t>
            </w:r>
          </w:p>
        </w:tc>
        <w:tc>
          <w:tcPr>
            <w:tcW w:w="1420" w:type="dxa"/>
            <w:shd w:val="clear" w:color="auto" w:fill="auto"/>
            <w:vAlign w:val="center"/>
          </w:tcPr>
          <w:p w14:paraId="78F2E2AD" w14:textId="77777777" w:rsidR="00AD0F38" w:rsidRPr="002873A4" w:rsidRDefault="00AD0F38" w:rsidP="0067369A">
            <w:pPr>
              <w:pStyle w:val="IRPsanstext"/>
              <w:jc w:val="center"/>
              <w:rPr>
                <w:rFonts w:eastAsia="Times New Roman" w:cs="Arial"/>
                <w:color w:val="000000"/>
              </w:rPr>
            </w:pPr>
            <w:r w:rsidRPr="002873A4">
              <w:rPr>
                <w:rFonts w:eastAsia="Times New Roman" w:cs="Arial"/>
                <w:color w:val="000000"/>
              </w:rPr>
              <w:t>86</w:t>
            </w:r>
          </w:p>
        </w:tc>
        <w:tc>
          <w:tcPr>
            <w:tcW w:w="990" w:type="dxa"/>
            <w:shd w:val="clear" w:color="auto" w:fill="auto"/>
            <w:vAlign w:val="center"/>
          </w:tcPr>
          <w:p w14:paraId="18EEFEF6" w14:textId="77777777" w:rsidR="00AD0F38" w:rsidRPr="002873A4" w:rsidRDefault="00AD0F38" w:rsidP="0067369A">
            <w:pPr>
              <w:pStyle w:val="IRPsanstext"/>
              <w:jc w:val="center"/>
              <w:rPr>
                <w:rFonts w:eastAsia="Times New Roman" w:cs="Arial"/>
                <w:color w:val="000000"/>
              </w:rPr>
            </w:pPr>
            <w:r w:rsidRPr="002873A4">
              <w:rPr>
                <w:rFonts w:eastAsia="Times New Roman" w:cs="Arial"/>
                <w:color w:val="000000"/>
              </w:rPr>
              <w:t>13,932</w:t>
            </w:r>
          </w:p>
        </w:tc>
        <w:tc>
          <w:tcPr>
            <w:tcW w:w="1440" w:type="dxa"/>
            <w:shd w:val="clear" w:color="auto" w:fill="auto"/>
            <w:vAlign w:val="center"/>
          </w:tcPr>
          <w:p w14:paraId="23B7DD70" w14:textId="77777777" w:rsidR="00AD0F38" w:rsidRPr="0067369A" w:rsidRDefault="00AD0F38" w:rsidP="0067369A">
            <w:pPr>
              <w:pStyle w:val="IRPsanstext"/>
              <w:jc w:val="center"/>
              <w:rPr>
                <w:rFonts w:eastAsia="Times New Roman" w:cs="Arial"/>
              </w:rPr>
            </w:pPr>
            <w:r w:rsidRPr="0067369A">
              <w:rPr>
                <w:rFonts w:eastAsia="Times New Roman" w:cs="Arial"/>
              </w:rPr>
              <w:t>(512)</w:t>
            </w:r>
          </w:p>
        </w:tc>
      </w:tr>
    </w:tbl>
    <w:p w14:paraId="06261ADA" w14:textId="77777777" w:rsidR="00AD0F38" w:rsidRPr="002873A4" w:rsidRDefault="00AD0F38" w:rsidP="002873A4">
      <w:pPr>
        <w:pStyle w:val="IRPsanstext"/>
        <w:rPr>
          <w:rFonts w:cs="Arial"/>
        </w:rPr>
      </w:pPr>
    </w:p>
    <w:p w14:paraId="7EE0BFA9" w14:textId="77777777" w:rsidR="00C13F4C" w:rsidRDefault="00C13F4C">
      <w:pPr>
        <w:rPr>
          <w:rFonts w:ascii="Arial" w:hAnsi="Arial" w:cs="Arial"/>
          <w:sz w:val="20"/>
          <w:szCs w:val="20"/>
        </w:rPr>
      </w:pPr>
      <w:r>
        <w:rPr>
          <w:rFonts w:cs="Arial"/>
        </w:rPr>
        <w:br w:type="page"/>
      </w:r>
    </w:p>
    <w:p w14:paraId="0F25A584" w14:textId="77777777" w:rsidR="00AD0F38" w:rsidRPr="002873A4" w:rsidRDefault="00AD0F38" w:rsidP="002873A4">
      <w:pPr>
        <w:pStyle w:val="IRPsanstext"/>
        <w:rPr>
          <w:rFonts w:cs="Arial"/>
        </w:rPr>
      </w:pPr>
      <w:r w:rsidRPr="002873A4">
        <w:rPr>
          <w:rFonts w:cs="Arial"/>
        </w:rPr>
        <w:lastRenderedPageBreak/>
        <w:t>The all-CCCT portfolio adds $194 million to the deterministic portfolio cost, but saves $667 million in risk to the TVar90. The mixed portfolio adds $86 million to total portfolio cost, but saves $512 million in risk. In this analysis, the all-CCCT portfolio appears to be less risky because the benefit associated with the cost increase is greater than for the mixed portfolio. The box plots in Figure 6-3</w:t>
      </w:r>
      <w:r w:rsidR="00855BD7">
        <w:rPr>
          <w:rFonts w:cs="Arial"/>
        </w:rPr>
        <w:t>3</w:t>
      </w:r>
      <w:r w:rsidRPr="002873A4">
        <w:rPr>
          <w:rFonts w:cs="Arial"/>
        </w:rPr>
        <w:t xml:space="preserve"> chart the distribution of the three different portfolio costs.</w:t>
      </w:r>
    </w:p>
    <w:p w14:paraId="324B7AD1" w14:textId="77777777" w:rsidR="00AD0F38" w:rsidRPr="002873A4" w:rsidRDefault="00AD0F38" w:rsidP="002873A4">
      <w:pPr>
        <w:pStyle w:val="IRPsanstext"/>
        <w:rPr>
          <w:rFonts w:cs="Arial"/>
        </w:rPr>
      </w:pPr>
    </w:p>
    <w:p w14:paraId="14B370CE" w14:textId="77777777" w:rsidR="00AD0F38" w:rsidRPr="00C13F4C" w:rsidRDefault="00AD0F38" w:rsidP="00C13F4C">
      <w:pPr>
        <w:pStyle w:val="IRPsanstext"/>
        <w:jc w:val="center"/>
        <w:rPr>
          <w:rFonts w:cs="Arial"/>
          <w:i/>
        </w:rPr>
      </w:pPr>
      <w:r w:rsidRPr="00C13F4C">
        <w:rPr>
          <w:rFonts w:cs="Arial"/>
          <w:i/>
        </w:rPr>
        <w:t>Figure 6-3</w:t>
      </w:r>
      <w:r w:rsidR="00855BD7">
        <w:rPr>
          <w:rFonts w:cs="Arial"/>
          <w:i/>
        </w:rPr>
        <w:t>3</w:t>
      </w:r>
      <w:r w:rsidRPr="00C13F4C">
        <w:rPr>
          <w:rFonts w:cs="Arial"/>
          <w:i/>
        </w:rPr>
        <w:t>: Thermal Mix – Range of Portfolio Costs across 1,000 Trials</w:t>
      </w:r>
    </w:p>
    <w:p w14:paraId="42FB5040" w14:textId="77777777" w:rsidR="00AD0F38" w:rsidRPr="00C13F4C" w:rsidRDefault="00C13F4C" w:rsidP="002873A4">
      <w:pPr>
        <w:pStyle w:val="IRPsanstext"/>
        <w:rPr>
          <w:rFonts w:cs="Arial"/>
          <w:sz w:val="32"/>
          <w:szCs w:val="32"/>
        </w:rPr>
      </w:pPr>
      <w:r w:rsidRPr="00C13F4C">
        <w:rPr>
          <w:rFonts w:cs="Arial"/>
          <w:i/>
          <w:noProof/>
          <w:lang w:eastAsia="en-US"/>
        </w:rPr>
        <w:drawing>
          <wp:anchor distT="0" distB="0" distL="114300" distR="114300" simplePos="0" relativeHeight="251640320" behindDoc="0" locked="0" layoutInCell="1" allowOverlap="1" wp14:anchorId="69FD759E" wp14:editId="3B961E1E">
            <wp:simplePos x="0" y="0"/>
            <wp:positionH relativeFrom="column">
              <wp:posOffset>51435</wp:posOffset>
            </wp:positionH>
            <wp:positionV relativeFrom="paragraph">
              <wp:posOffset>88900</wp:posOffset>
            </wp:positionV>
            <wp:extent cx="5365115" cy="3886200"/>
            <wp:effectExtent l="0" t="0" r="0" b="0"/>
            <wp:wrapTopAndBottom/>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65115" cy="3886200"/>
                    </a:xfrm>
                    <a:prstGeom prst="rect">
                      <a:avLst/>
                    </a:prstGeom>
                    <a:noFill/>
                  </pic:spPr>
                </pic:pic>
              </a:graphicData>
            </a:graphic>
          </wp:anchor>
        </w:drawing>
      </w:r>
      <w:r w:rsidR="00AD0F38" w:rsidRPr="002873A4">
        <w:rPr>
          <w:rFonts w:cs="Arial"/>
        </w:rPr>
        <w:br w:type="page"/>
      </w:r>
      <w:proofErr w:type="gramStart"/>
      <w:r w:rsidR="00AD0F38" w:rsidRPr="00C13F4C">
        <w:rPr>
          <w:rFonts w:cs="Arial"/>
          <w:sz w:val="32"/>
          <w:szCs w:val="32"/>
        </w:rPr>
        <w:lastRenderedPageBreak/>
        <w:t>D. Gas Plant</w:t>
      </w:r>
      <w:proofErr w:type="gramEnd"/>
      <w:r w:rsidR="00AD0F38" w:rsidRPr="00C13F4C">
        <w:rPr>
          <w:rFonts w:cs="Arial"/>
          <w:sz w:val="32"/>
          <w:szCs w:val="32"/>
        </w:rPr>
        <w:t xml:space="preserve"> Location </w:t>
      </w:r>
    </w:p>
    <w:p w14:paraId="3E4270AE" w14:textId="77777777" w:rsidR="00C13F4C" w:rsidRPr="00C13F4C" w:rsidRDefault="00C13F4C" w:rsidP="002873A4">
      <w:pPr>
        <w:pStyle w:val="IRPsanstext"/>
        <w:rPr>
          <w:rFonts w:cs="Arial"/>
          <w:sz w:val="32"/>
          <w:szCs w:val="32"/>
        </w:rPr>
      </w:pPr>
    </w:p>
    <w:p w14:paraId="15E99D5A" w14:textId="77777777" w:rsidR="00AD0F38" w:rsidRPr="00195216" w:rsidRDefault="00AD0F38" w:rsidP="00195216">
      <w:pPr>
        <w:pStyle w:val="IRPsanstext"/>
        <w:rPr>
          <w:b/>
        </w:rPr>
      </w:pPr>
      <w:r w:rsidRPr="00195216">
        <w:rPr>
          <w:b/>
        </w:rPr>
        <w:t>What if gas plants are built in eastern Washington instead of PSE service territory?</w:t>
      </w:r>
    </w:p>
    <w:p w14:paraId="3E464CE1" w14:textId="77777777" w:rsidR="00AD0F38" w:rsidRPr="00195216" w:rsidRDefault="00AD0F38" w:rsidP="00195216">
      <w:pPr>
        <w:pStyle w:val="IRPsanstext"/>
        <w:ind w:left="720"/>
        <w:rPr>
          <w:b/>
        </w:rPr>
      </w:pPr>
      <w:r w:rsidRPr="00195216">
        <w:rPr>
          <w:b/>
        </w:rPr>
        <w:t>Baseline: Gas plants are located in PSE service territory</w:t>
      </w:r>
      <w:r w:rsidR="00195216">
        <w:rPr>
          <w:b/>
        </w:rPr>
        <w:t>.</w:t>
      </w:r>
    </w:p>
    <w:p w14:paraId="2A001CA5" w14:textId="77777777" w:rsidR="00AD0F38" w:rsidRPr="00195216" w:rsidRDefault="00AD0F38" w:rsidP="00195216">
      <w:pPr>
        <w:pStyle w:val="IRPsanstext"/>
        <w:ind w:left="720"/>
        <w:rPr>
          <w:b/>
        </w:rPr>
      </w:pPr>
      <w:r w:rsidRPr="00195216">
        <w:rPr>
          <w:b/>
        </w:rPr>
        <w:t>Sensitivity: Model with gas transport and transmission costs from eastern Washington.</w:t>
      </w:r>
    </w:p>
    <w:p w14:paraId="6157B5AA" w14:textId="77777777" w:rsidR="0067369A" w:rsidRDefault="0067369A" w:rsidP="002873A4">
      <w:pPr>
        <w:pStyle w:val="IRPsanstext"/>
        <w:rPr>
          <w:rFonts w:cs="Arial"/>
        </w:rPr>
      </w:pPr>
    </w:p>
    <w:p w14:paraId="7CE11EC9" w14:textId="77777777" w:rsidR="00AD0F38" w:rsidRPr="002873A4" w:rsidRDefault="00AD0F38" w:rsidP="002873A4">
      <w:pPr>
        <w:pStyle w:val="IRPsanstext"/>
        <w:rPr>
          <w:rFonts w:cs="Arial"/>
        </w:rPr>
      </w:pPr>
      <w:r w:rsidRPr="002873A4">
        <w:rPr>
          <w:rFonts w:cs="Arial"/>
        </w:rPr>
        <w:t xml:space="preserve">Resources located within PSE’s balancing authority west of the Cascade mountains have higher fuel costs but would carry lower transmission costs than resources located on the east side of the mountains. East side resources incur lower fuel costs, but higher transmission costs since they require the purchase of transmission contracts from BPA to bring the power to our system. As a result, the Base Scenario portfolio with west side plants selects frame </w:t>
      </w:r>
      <w:proofErr w:type="spellStart"/>
      <w:r w:rsidRPr="002873A4">
        <w:rPr>
          <w:rFonts w:cs="Arial"/>
        </w:rPr>
        <w:t>peakers</w:t>
      </w:r>
      <w:proofErr w:type="spellEnd"/>
      <w:r w:rsidRPr="002873A4">
        <w:rPr>
          <w:rFonts w:cs="Arial"/>
        </w:rPr>
        <w:t xml:space="preserve"> as lower cost, but when the Base Scenario is modeled with east side plants, CCCT plants are lower cost and therefore selected </w:t>
      </w:r>
      <w:proofErr w:type="gramStart"/>
      <w:r w:rsidRPr="002873A4">
        <w:rPr>
          <w:rFonts w:cs="Arial"/>
        </w:rPr>
        <w:t>in  the</w:t>
      </w:r>
      <w:proofErr w:type="gramEnd"/>
      <w:r w:rsidRPr="002873A4">
        <w:rPr>
          <w:rFonts w:cs="Arial"/>
        </w:rPr>
        <w:t xml:space="preserve"> portfolio.</w:t>
      </w:r>
    </w:p>
    <w:p w14:paraId="6366F1AA" w14:textId="77777777" w:rsidR="00C13F4C" w:rsidRDefault="00C13F4C" w:rsidP="002873A4">
      <w:pPr>
        <w:pStyle w:val="IRPsanstext"/>
        <w:rPr>
          <w:rFonts w:cs="Arial"/>
        </w:rPr>
      </w:pPr>
    </w:p>
    <w:p w14:paraId="7F51EF47" w14:textId="77777777" w:rsidR="00AD0F38" w:rsidRPr="002873A4" w:rsidRDefault="00AD0F38" w:rsidP="002873A4">
      <w:pPr>
        <w:pStyle w:val="IRPsanstext"/>
        <w:rPr>
          <w:rFonts w:cs="Arial"/>
        </w:rPr>
      </w:pPr>
      <w:r w:rsidRPr="002873A4">
        <w:rPr>
          <w:rFonts w:cs="Arial"/>
        </w:rPr>
        <w:t>Figure 6-3</w:t>
      </w:r>
      <w:r w:rsidR="00855BD7">
        <w:rPr>
          <w:rFonts w:cs="Arial"/>
        </w:rPr>
        <w:t>4</w:t>
      </w:r>
      <w:r w:rsidRPr="002873A4">
        <w:rPr>
          <w:rFonts w:cs="Arial"/>
        </w:rPr>
        <w:t xml:space="preserve">, below, indicates that overall costs over the 20-years are very close between these two scenarios. Resources built in eastern Washington would be located within BPA’s balancing authority and subject to the risk of BPA transmission tariff pricing and policy changes. West side plants, on the other hand, give PSE access to all of the short-term operational benefits that thermal resources can provide (minute-to-minute up to sub-hourly). Access to these same benefits from east side plants would depend upon BPA transmission policies. Given these considerations, and the small difference in cost between the two, PSE chose to include west side </w:t>
      </w:r>
      <w:proofErr w:type="spellStart"/>
      <w:r w:rsidRPr="002873A4">
        <w:rPr>
          <w:rFonts w:cs="Arial"/>
        </w:rPr>
        <w:t>peakers</w:t>
      </w:r>
      <w:proofErr w:type="spellEnd"/>
      <w:r w:rsidRPr="002873A4">
        <w:rPr>
          <w:rFonts w:cs="Arial"/>
        </w:rPr>
        <w:t xml:space="preserve"> in the resource plan. </w:t>
      </w:r>
    </w:p>
    <w:p w14:paraId="055585E9" w14:textId="77777777" w:rsidR="00166453" w:rsidRDefault="00166453">
      <w:pPr>
        <w:rPr>
          <w:rFonts w:ascii="Arial" w:hAnsi="Arial" w:cs="Arial"/>
          <w:i/>
          <w:sz w:val="20"/>
          <w:szCs w:val="20"/>
        </w:rPr>
      </w:pPr>
      <w:r>
        <w:rPr>
          <w:rFonts w:cs="Arial"/>
          <w:i/>
        </w:rPr>
        <w:br w:type="page"/>
      </w:r>
    </w:p>
    <w:p w14:paraId="3CFEECB9" w14:textId="77777777" w:rsidR="00BF0D28" w:rsidRDefault="00AD0F38" w:rsidP="00BF0D28">
      <w:pPr>
        <w:pStyle w:val="IRPsanstext"/>
        <w:jc w:val="center"/>
        <w:rPr>
          <w:rFonts w:cs="Arial"/>
        </w:rPr>
      </w:pPr>
      <w:r w:rsidRPr="00C13F4C">
        <w:rPr>
          <w:rFonts w:cs="Arial"/>
          <w:i/>
          <w:noProof/>
          <w:lang w:eastAsia="en-US"/>
        </w:rPr>
        <w:lastRenderedPageBreak/>
        <w:drawing>
          <wp:anchor distT="0" distB="0" distL="114300" distR="114300" simplePos="0" relativeHeight="251641344" behindDoc="0" locked="0" layoutInCell="1" allowOverlap="1" wp14:anchorId="090E3813" wp14:editId="0189D5D9">
            <wp:simplePos x="0" y="0"/>
            <wp:positionH relativeFrom="column">
              <wp:posOffset>51435</wp:posOffset>
            </wp:positionH>
            <wp:positionV relativeFrom="paragraph">
              <wp:posOffset>520700</wp:posOffset>
            </wp:positionV>
            <wp:extent cx="5321300" cy="3863975"/>
            <wp:effectExtent l="0" t="0" r="12700" b="0"/>
            <wp:wrapTopAndBottom/>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21300" cy="3863975"/>
                    </a:xfrm>
                    <a:prstGeom prst="rect">
                      <a:avLst/>
                    </a:prstGeom>
                    <a:noFill/>
                  </pic:spPr>
                </pic:pic>
              </a:graphicData>
            </a:graphic>
          </wp:anchor>
        </w:drawing>
      </w:r>
      <w:r w:rsidRPr="00C13F4C">
        <w:rPr>
          <w:rFonts w:cs="Arial"/>
          <w:i/>
        </w:rPr>
        <w:t>Figure 6-3</w:t>
      </w:r>
      <w:r w:rsidR="00855BD7">
        <w:rPr>
          <w:rFonts w:cs="Arial"/>
          <w:i/>
        </w:rPr>
        <w:t>4</w:t>
      </w:r>
      <w:r w:rsidRPr="00C13F4C">
        <w:rPr>
          <w:rFonts w:cs="Arial"/>
          <w:i/>
        </w:rPr>
        <w:t xml:space="preserve">: Annual Revenue Requirements and Total Portfolio Costs for Gas Plants </w:t>
      </w:r>
      <w:r w:rsidRPr="00C13F4C">
        <w:rPr>
          <w:rFonts w:cs="Arial"/>
          <w:i/>
        </w:rPr>
        <w:br/>
        <w:t>Located East and West of the Cascades</w:t>
      </w:r>
    </w:p>
    <w:p w14:paraId="1ACC4E13" w14:textId="77777777" w:rsidR="00BF0D28" w:rsidRDefault="00BF0D28">
      <w:pPr>
        <w:rPr>
          <w:rFonts w:ascii="Arial" w:hAnsi="Arial" w:cs="Arial"/>
          <w:sz w:val="20"/>
          <w:szCs w:val="20"/>
        </w:rPr>
      </w:pPr>
      <w:r>
        <w:rPr>
          <w:rFonts w:cs="Arial"/>
        </w:rPr>
        <w:br w:type="page"/>
      </w:r>
    </w:p>
    <w:p w14:paraId="2ADBF2B7" w14:textId="77777777" w:rsidR="00AD0F38" w:rsidRPr="00BF0D28" w:rsidRDefault="00AD0F38" w:rsidP="00BF0D28">
      <w:pPr>
        <w:pStyle w:val="IRPsanstext"/>
        <w:rPr>
          <w:rFonts w:cs="Arial"/>
          <w:sz w:val="32"/>
          <w:szCs w:val="32"/>
        </w:rPr>
      </w:pPr>
      <w:r w:rsidRPr="00BF0D28">
        <w:rPr>
          <w:rFonts w:cs="Arial"/>
          <w:sz w:val="32"/>
          <w:szCs w:val="32"/>
        </w:rPr>
        <w:lastRenderedPageBreak/>
        <w:t>E. Gas Transport/Oil Backup for Peaking Plants</w:t>
      </w:r>
    </w:p>
    <w:p w14:paraId="52FB18B7" w14:textId="77777777" w:rsidR="00BF0D28" w:rsidRPr="00BF0D28" w:rsidRDefault="00BF0D28" w:rsidP="00BF0D28">
      <w:pPr>
        <w:pStyle w:val="IRPsanstext"/>
        <w:rPr>
          <w:rFonts w:cs="Arial"/>
          <w:sz w:val="32"/>
          <w:szCs w:val="32"/>
        </w:rPr>
      </w:pPr>
    </w:p>
    <w:p w14:paraId="05F01434" w14:textId="77777777" w:rsidR="00AD0F38" w:rsidRPr="00195216" w:rsidRDefault="00AD0F38" w:rsidP="00195216">
      <w:pPr>
        <w:pStyle w:val="IRPsanstext"/>
        <w:rPr>
          <w:b/>
          <w:w w:val="105"/>
        </w:rPr>
      </w:pPr>
      <w:r w:rsidRPr="00195216">
        <w:rPr>
          <w:b/>
          <w:w w:val="105"/>
        </w:rPr>
        <w:t xml:space="preserve">What if </w:t>
      </w:r>
      <w:proofErr w:type="spellStart"/>
      <w:r w:rsidRPr="00195216">
        <w:rPr>
          <w:b/>
          <w:w w:val="105"/>
        </w:rPr>
        <w:t>peakers</w:t>
      </w:r>
      <w:proofErr w:type="spellEnd"/>
      <w:r w:rsidRPr="00195216">
        <w:rPr>
          <w:b/>
          <w:w w:val="105"/>
        </w:rPr>
        <w:t xml:space="preserve"> cannot rely on oil for backup fuel and must have firm gas supply instead?</w:t>
      </w:r>
    </w:p>
    <w:p w14:paraId="6643BBB2" w14:textId="77777777" w:rsidR="00AD0F38" w:rsidRPr="00195216" w:rsidRDefault="00AD0F38" w:rsidP="00195216">
      <w:pPr>
        <w:pStyle w:val="IRPsanstext"/>
        <w:ind w:left="720"/>
        <w:rPr>
          <w:b/>
          <w:w w:val="105"/>
        </w:rPr>
      </w:pPr>
      <w:r w:rsidRPr="00195216">
        <w:rPr>
          <w:b/>
          <w:w w:val="105"/>
        </w:rPr>
        <w:t xml:space="preserve">Baseline: </w:t>
      </w:r>
      <w:proofErr w:type="spellStart"/>
      <w:r w:rsidRPr="00195216">
        <w:rPr>
          <w:b/>
          <w:w w:val="105"/>
        </w:rPr>
        <w:t>Peakers</w:t>
      </w:r>
      <w:proofErr w:type="spellEnd"/>
      <w:r w:rsidRPr="00195216">
        <w:rPr>
          <w:b/>
          <w:w w:val="105"/>
        </w:rPr>
        <w:t xml:space="preserve"> are modeled assuming they have 50 percent firm pipeline capacity with 48 hours of oil backup fuel.</w:t>
      </w:r>
    </w:p>
    <w:p w14:paraId="4F848D54" w14:textId="77777777" w:rsidR="00AD0F38" w:rsidRPr="00195216" w:rsidRDefault="00AD0F38" w:rsidP="00195216">
      <w:pPr>
        <w:pStyle w:val="IRPsanstext"/>
        <w:ind w:left="720"/>
        <w:rPr>
          <w:b/>
          <w:w w:val="105"/>
        </w:rPr>
      </w:pPr>
      <w:r w:rsidRPr="00195216">
        <w:rPr>
          <w:b/>
          <w:w w:val="105"/>
        </w:rPr>
        <w:t>Sensitivity: Model plants with 100 percent firm pipeline capacity and no oil backup capability.</w:t>
      </w:r>
    </w:p>
    <w:p w14:paraId="2B2EBE69" w14:textId="77777777" w:rsidR="00AD0F38" w:rsidRPr="002873A4" w:rsidRDefault="00AD0F38" w:rsidP="002873A4">
      <w:pPr>
        <w:pStyle w:val="IRPsanstext"/>
        <w:rPr>
          <w:rFonts w:cs="Arial"/>
          <w:color w:val="3366FF"/>
          <w:spacing w:val="1"/>
          <w:w w:val="105"/>
        </w:rPr>
      </w:pPr>
    </w:p>
    <w:p w14:paraId="3B4B9564" w14:textId="77777777" w:rsidR="00AD0F38" w:rsidRPr="002873A4" w:rsidRDefault="00AD0F38" w:rsidP="002873A4">
      <w:pPr>
        <w:pStyle w:val="IRPsanstext"/>
        <w:rPr>
          <w:rFonts w:cs="Arial"/>
          <w:spacing w:val="1"/>
          <w:w w:val="105"/>
        </w:rPr>
      </w:pPr>
      <w:r w:rsidRPr="002873A4">
        <w:rPr>
          <w:rFonts w:cs="Arial"/>
          <w:spacing w:val="1"/>
          <w:w w:val="105"/>
        </w:rPr>
        <w:t>PSE has been reviewing its simple cycle combustion turbines (SCCT) (aka: “</w:t>
      </w:r>
      <w:proofErr w:type="spellStart"/>
      <w:r w:rsidRPr="002873A4">
        <w:rPr>
          <w:rFonts w:cs="Arial"/>
          <w:spacing w:val="1"/>
          <w:w w:val="105"/>
        </w:rPr>
        <w:t>peakers</w:t>
      </w:r>
      <w:proofErr w:type="spellEnd"/>
      <w:r w:rsidRPr="002873A4">
        <w:rPr>
          <w:rFonts w:cs="Arial"/>
          <w:spacing w:val="1"/>
          <w:w w:val="105"/>
        </w:rPr>
        <w:t xml:space="preserve">”) that have the capability to generate with natural gas or distillate fuel oil to determine if oil generation would be adequate to keep these plants operating to meet extreme winter peak demand in winter months. Several components were involved in the review: </w:t>
      </w:r>
    </w:p>
    <w:p w14:paraId="5DAEEF99" w14:textId="77777777" w:rsidR="00AD0F38" w:rsidRPr="002873A4" w:rsidRDefault="00AD0F38" w:rsidP="002873A4">
      <w:pPr>
        <w:pStyle w:val="IRPsanstext"/>
        <w:rPr>
          <w:rFonts w:cs="Arial"/>
          <w:spacing w:val="1"/>
          <w:w w:val="105"/>
        </w:rPr>
      </w:pPr>
    </w:p>
    <w:p w14:paraId="1B2AAB5B" w14:textId="77777777" w:rsidR="00AD0F38" w:rsidRPr="002873A4" w:rsidRDefault="00AD0F38" w:rsidP="00F26524">
      <w:pPr>
        <w:pStyle w:val="IRPsanstext"/>
        <w:numPr>
          <w:ilvl w:val="1"/>
          <w:numId w:val="20"/>
        </w:numPr>
        <w:rPr>
          <w:rFonts w:cs="Arial"/>
          <w:spacing w:val="1"/>
          <w:w w:val="105"/>
        </w:rPr>
      </w:pPr>
      <w:r w:rsidRPr="002873A4">
        <w:rPr>
          <w:rFonts w:cs="Arial"/>
          <w:spacing w:val="1"/>
          <w:w w:val="105"/>
        </w:rPr>
        <w:t xml:space="preserve">Supply of Backup Fuel: Current use practices, policies and oil generation capacity from </w:t>
      </w:r>
      <w:proofErr w:type="spellStart"/>
      <w:r w:rsidRPr="002873A4">
        <w:rPr>
          <w:rFonts w:cs="Arial"/>
          <w:spacing w:val="1"/>
          <w:w w:val="105"/>
        </w:rPr>
        <w:t>peaker</w:t>
      </w:r>
      <w:proofErr w:type="spellEnd"/>
      <w:r w:rsidRPr="002873A4">
        <w:rPr>
          <w:rFonts w:cs="Arial"/>
          <w:spacing w:val="1"/>
          <w:w w:val="105"/>
        </w:rPr>
        <w:t xml:space="preserve"> oil storage tanks, </w:t>
      </w:r>
    </w:p>
    <w:p w14:paraId="4EFC95AE" w14:textId="77777777" w:rsidR="00AD0F38" w:rsidRPr="002873A4" w:rsidRDefault="00AD0F38" w:rsidP="00F26524">
      <w:pPr>
        <w:pStyle w:val="IRPsanstext"/>
        <w:numPr>
          <w:ilvl w:val="1"/>
          <w:numId w:val="20"/>
        </w:numPr>
        <w:rPr>
          <w:rFonts w:cs="Arial"/>
          <w:spacing w:val="1"/>
          <w:w w:val="105"/>
        </w:rPr>
      </w:pPr>
      <w:r w:rsidRPr="002873A4">
        <w:rPr>
          <w:rFonts w:cs="Arial"/>
          <w:spacing w:val="1"/>
          <w:w w:val="105"/>
        </w:rPr>
        <w:t>Supply of Non-firm Gas Supply: Review of any excess existing firm gas pipeline capacity in the gas sales portfolio that could be available to serve the SCCT peaking plants, and</w:t>
      </w:r>
    </w:p>
    <w:p w14:paraId="4B0702F6" w14:textId="77777777" w:rsidR="00AD0F38" w:rsidRPr="002873A4" w:rsidRDefault="00AD0F38" w:rsidP="00F26524">
      <w:pPr>
        <w:pStyle w:val="IRPsanstext"/>
        <w:numPr>
          <w:ilvl w:val="1"/>
          <w:numId w:val="20"/>
        </w:numPr>
        <w:rPr>
          <w:rFonts w:cs="Arial"/>
          <w:spacing w:val="1"/>
          <w:w w:val="105"/>
        </w:rPr>
      </w:pPr>
      <w:r w:rsidRPr="002873A4">
        <w:rPr>
          <w:rFonts w:cs="Arial"/>
          <w:spacing w:val="1"/>
          <w:w w:val="105"/>
        </w:rPr>
        <w:t xml:space="preserve">Demand/Need for Non-firm Gas Supply: Review of 2021 </w:t>
      </w:r>
      <w:proofErr w:type="spellStart"/>
      <w:r w:rsidRPr="002873A4">
        <w:rPr>
          <w:rFonts w:cs="Arial"/>
          <w:spacing w:val="1"/>
          <w:w w:val="105"/>
        </w:rPr>
        <w:t>peaker</w:t>
      </w:r>
      <w:proofErr w:type="spellEnd"/>
      <w:r w:rsidRPr="002873A4">
        <w:rPr>
          <w:rFonts w:cs="Arial"/>
          <w:spacing w:val="1"/>
          <w:w w:val="105"/>
        </w:rPr>
        <w:t xml:space="preserve"> generation modeled to meet gas sales demand during peak winter months. </w:t>
      </w:r>
    </w:p>
    <w:p w14:paraId="67096D88" w14:textId="77777777" w:rsidR="00AD0F38" w:rsidRPr="002873A4" w:rsidRDefault="00AD0F38" w:rsidP="002873A4">
      <w:pPr>
        <w:pStyle w:val="IRPsanstext"/>
        <w:rPr>
          <w:rFonts w:cs="Arial"/>
          <w:spacing w:val="1"/>
          <w:w w:val="105"/>
        </w:rPr>
      </w:pPr>
    </w:p>
    <w:p w14:paraId="6FBBF643" w14:textId="77777777" w:rsidR="00BF0D28" w:rsidRDefault="00BF0D28" w:rsidP="002873A4">
      <w:pPr>
        <w:pStyle w:val="IRPsanstext"/>
        <w:rPr>
          <w:rFonts w:cs="Arial"/>
        </w:rPr>
      </w:pPr>
    </w:p>
    <w:p w14:paraId="18E34BD9" w14:textId="77777777" w:rsidR="00BF0D28" w:rsidRDefault="00BF0D28">
      <w:pPr>
        <w:rPr>
          <w:rFonts w:ascii="Arial" w:hAnsi="Arial" w:cs="Arial"/>
          <w:sz w:val="32"/>
          <w:szCs w:val="32"/>
        </w:rPr>
      </w:pPr>
      <w:r>
        <w:rPr>
          <w:rFonts w:cs="Arial"/>
          <w:sz w:val="32"/>
          <w:szCs w:val="32"/>
        </w:rPr>
        <w:br w:type="page"/>
      </w:r>
    </w:p>
    <w:p w14:paraId="62E17FB3" w14:textId="77777777" w:rsidR="00BF0D28" w:rsidRPr="00294A3F" w:rsidRDefault="00BF0D28" w:rsidP="002873A4">
      <w:pPr>
        <w:pStyle w:val="IRPsanstext"/>
        <w:rPr>
          <w:rFonts w:cs="Arial"/>
          <w:b/>
          <w:caps/>
          <w:szCs w:val="32"/>
        </w:rPr>
      </w:pPr>
      <w:r w:rsidRPr="00294A3F">
        <w:rPr>
          <w:rFonts w:cs="Arial"/>
          <w:b/>
          <w:caps/>
          <w:szCs w:val="32"/>
        </w:rPr>
        <w:lastRenderedPageBreak/>
        <w:t>Current use practices, policies and oil generation capacity</w:t>
      </w:r>
    </w:p>
    <w:p w14:paraId="7FECD4E2" w14:textId="77777777" w:rsidR="00AD0F38" w:rsidRPr="002873A4" w:rsidRDefault="00AD0F38" w:rsidP="002873A4">
      <w:pPr>
        <w:pStyle w:val="IRPsanstext"/>
        <w:rPr>
          <w:rFonts w:cs="Arial"/>
        </w:rPr>
      </w:pPr>
      <w:r w:rsidRPr="002873A4">
        <w:rPr>
          <w:rFonts w:cs="Arial"/>
        </w:rPr>
        <w:t xml:space="preserve">PSE’s run time on distillate fuel for winter months is limited to the capacity of the fuel oil tanks at each site because we have limited ability to quickly refill the tanks via tanker trucks during the inclement weather of winter months. The current policy is to keep </w:t>
      </w:r>
      <w:r w:rsidR="00DF1BA5">
        <w:rPr>
          <w:rFonts w:cs="Arial"/>
        </w:rPr>
        <w:t>53</w:t>
      </w:r>
      <w:r w:rsidRPr="002873A4">
        <w:rPr>
          <w:rFonts w:cs="Arial"/>
        </w:rPr>
        <w:t xml:space="preserve"> hours of oil in the tanks (</w:t>
      </w:r>
      <w:r w:rsidR="00DF1BA5">
        <w:rPr>
          <w:rFonts w:cs="Arial"/>
        </w:rPr>
        <w:t>48 hours</w:t>
      </w:r>
      <w:r w:rsidRPr="002873A4">
        <w:rPr>
          <w:rFonts w:cs="Arial"/>
        </w:rPr>
        <w:t xml:space="preserve"> for generation plus five hours for testing) - even though they have capacity to hold several more days. Based on the current air permits for the peaking plants, there are no constraints with running the plants on oil to meet peaking needs during the winter months as noted below.  </w:t>
      </w:r>
    </w:p>
    <w:p w14:paraId="3BAFE0A8" w14:textId="77777777" w:rsidR="00BF0D28" w:rsidRDefault="00BF0D28" w:rsidP="00BF0D28">
      <w:pPr>
        <w:rPr>
          <w:rFonts w:cs="Arial"/>
        </w:rPr>
      </w:pPr>
    </w:p>
    <w:p w14:paraId="654A5EED" w14:textId="77777777" w:rsidR="00AD0F38" w:rsidRPr="00BF0D28" w:rsidRDefault="00855BD7" w:rsidP="00BF0D28">
      <w:pPr>
        <w:rPr>
          <w:rFonts w:ascii="Arial" w:hAnsi="Arial" w:cs="Arial"/>
          <w:sz w:val="20"/>
          <w:szCs w:val="20"/>
        </w:rPr>
      </w:pPr>
      <w:r>
        <w:rPr>
          <w:rFonts w:ascii="Arial" w:hAnsi="Arial" w:cs="Arial"/>
          <w:sz w:val="20"/>
          <w:szCs w:val="20"/>
        </w:rPr>
        <w:t>See Figure 6-35</w:t>
      </w:r>
      <w:r w:rsidR="00AD0F38" w:rsidRPr="00BF0D28">
        <w:rPr>
          <w:rFonts w:ascii="Arial" w:hAnsi="Arial" w:cs="Arial"/>
          <w:sz w:val="20"/>
          <w:szCs w:val="20"/>
        </w:rPr>
        <w:t xml:space="preserve"> for more generation information for the peaking plants.</w:t>
      </w:r>
    </w:p>
    <w:p w14:paraId="71289864" w14:textId="77777777" w:rsidR="00BF0D28" w:rsidRDefault="00BF0D28" w:rsidP="002873A4">
      <w:pPr>
        <w:pStyle w:val="IRPsanstext"/>
        <w:rPr>
          <w:rFonts w:cs="Arial"/>
        </w:rPr>
      </w:pPr>
    </w:p>
    <w:p w14:paraId="3D6B1C8E" w14:textId="77777777" w:rsidR="00AD0F38" w:rsidRPr="00BF0D28" w:rsidRDefault="00855BD7" w:rsidP="00BF0D28">
      <w:pPr>
        <w:pStyle w:val="IRPsanstext"/>
        <w:spacing w:after="120"/>
        <w:jc w:val="center"/>
        <w:rPr>
          <w:rFonts w:cs="Arial"/>
          <w:i/>
        </w:rPr>
      </w:pPr>
      <w:r>
        <w:rPr>
          <w:rFonts w:cs="Arial"/>
          <w:i/>
        </w:rPr>
        <w:t>Figure 6-35</w:t>
      </w:r>
      <w:r w:rsidR="00AD0F38" w:rsidRPr="00BF0D28">
        <w:rPr>
          <w:rFonts w:cs="Arial"/>
          <w:i/>
        </w:rPr>
        <w:t>: Peaking Plants, Summary Information</w:t>
      </w: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810"/>
        <w:gridCol w:w="1170"/>
        <w:gridCol w:w="1170"/>
        <w:gridCol w:w="810"/>
        <w:gridCol w:w="990"/>
        <w:gridCol w:w="1080"/>
        <w:gridCol w:w="1350"/>
      </w:tblGrid>
      <w:tr w:rsidR="00DC1A9D" w:rsidRPr="002873A4" w14:paraId="081D08C1" w14:textId="77777777">
        <w:tc>
          <w:tcPr>
            <w:tcW w:w="1278" w:type="dxa"/>
            <w:shd w:val="clear" w:color="auto" w:fill="156570"/>
          </w:tcPr>
          <w:p w14:paraId="51334089" w14:textId="77777777" w:rsidR="00E946C3" w:rsidRDefault="00AD0F38" w:rsidP="00BA7904">
            <w:pPr>
              <w:pStyle w:val="IRPsanstext"/>
              <w:spacing w:before="120" w:after="120" w:line="276" w:lineRule="auto"/>
              <w:jc w:val="center"/>
              <w:rPr>
                <w:rFonts w:cs="Arial"/>
                <w:color w:val="FFFFFF" w:themeColor="background1"/>
                <w:sz w:val="18"/>
                <w:szCs w:val="18"/>
              </w:rPr>
            </w:pPr>
            <w:r w:rsidRPr="00BF0D28">
              <w:rPr>
                <w:rFonts w:cs="Arial"/>
                <w:color w:val="FFFFFF" w:themeColor="background1"/>
                <w:sz w:val="18"/>
                <w:szCs w:val="18"/>
              </w:rPr>
              <w:t>Simple Cycle Combustion Turbine (</w:t>
            </w:r>
            <w:proofErr w:type="spellStart"/>
            <w:r w:rsidRPr="00BF0D28">
              <w:rPr>
                <w:rFonts w:cs="Arial"/>
                <w:color w:val="FFFFFF" w:themeColor="background1"/>
                <w:sz w:val="18"/>
                <w:szCs w:val="18"/>
              </w:rPr>
              <w:t>Peaker</w:t>
            </w:r>
            <w:proofErr w:type="spellEnd"/>
            <w:r w:rsidRPr="00BF0D28">
              <w:rPr>
                <w:rFonts w:cs="Arial"/>
                <w:color w:val="FFFFFF" w:themeColor="background1"/>
                <w:sz w:val="18"/>
                <w:szCs w:val="18"/>
              </w:rPr>
              <w:t>)</w:t>
            </w:r>
          </w:p>
        </w:tc>
        <w:tc>
          <w:tcPr>
            <w:tcW w:w="810" w:type="dxa"/>
            <w:shd w:val="clear" w:color="auto" w:fill="156570"/>
          </w:tcPr>
          <w:p w14:paraId="363FB684" w14:textId="77777777" w:rsidR="00E946C3" w:rsidRDefault="00AD0F38" w:rsidP="00BA7904">
            <w:pPr>
              <w:pStyle w:val="IRPsanstext"/>
              <w:spacing w:before="120" w:after="120" w:line="276" w:lineRule="auto"/>
              <w:jc w:val="center"/>
              <w:rPr>
                <w:rFonts w:cs="Arial"/>
                <w:color w:val="FFFFFF" w:themeColor="background1"/>
                <w:sz w:val="18"/>
                <w:szCs w:val="18"/>
              </w:rPr>
            </w:pPr>
            <w:r w:rsidRPr="00BF0D28">
              <w:rPr>
                <w:rFonts w:cs="Arial"/>
                <w:color w:val="FFFFFF" w:themeColor="background1"/>
                <w:sz w:val="18"/>
                <w:szCs w:val="18"/>
              </w:rPr>
              <w:t xml:space="preserve">No. </w:t>
            </w:r>
            <w:proofErr w:type="gramStart"/>
            <w:r w:rsidRPr="00BF0D28">
              <w:rPr>
                <w:rFonts w:cs="Arial"/>
                <w:color w:val="FFFFFF" w:themeColor="background1"/>
                <w:sz w:val="18"/>
                <w:szCs w:val="18"/>
              </w:rPr>
              <w:t>of</w:t>
            </w:r>
            <w:proofErr w:type="gramEnd"/>
            <w:r w:rsidRPr="00BF0D28">
              <w:rPr>
                <w:rFonts w:cs="Arial"/>
                <w:color w:val="FFFFFF" w:themeColor="background1"/>
                <w:sz w:val="18"/>
                <w:szCs w:val="18"/>
              </w:rPr>
              <w:t xml:space="preserve"> Oil Tanks</w:t>
            </w:r>
            <w:r w:rsidRPr="00BF0D28">
              <w:rPr>
                <w:rFonts w:cs="Arial"/>
                <w:color w:val="FFFFFF" w:themeColor="background1"/>
                <w:sz w:val="18"/>
                <w:szCs w:val="18"/>
                <w:vertAlign w:val="superscript"/>
              </w:rPr>
              <w:t>1</w:t>
            </w:r>
          </w:p>
        </w:tc>
        <w:tc>
          <w:tcPr>
            <w:tcW w:w="1170" w:type="dxa"/>
            <w:shd w:val="clear" w:color="auto" w:fill="156570"/>
          </w:tcPr>
          <w:p w14:paraId="4549AB43" w14:textId="77777777" w:rsidR="00E946C3" w:rsidRDefault="00AD0F38" w:rsidP="00BA7904">
            <w:pPr>
              <w:pStyle w:val="IRPsanstext"/>
              <w:spacing w:before="120" w:after="120" w:line="276" w:lineRule="auto"/>
              <w:jc w:val="center"/>
              <w:rPr>
                <w:rFonts w:cs="Arial"/>
                <w:color w:val="FFFFFF" w:themeColor="background1"/>
                <w:sz w:val="18"/>
                <w:szCs w:val="18"/>
              </w:rPr>
            </w:pPr>
            <w:r w:rsidRPr="00BF0D28">
              <w:rPr>
                <w:rFonts w:cs="Arial"/>
                <w:color w:val="FFFFFF" w:themeColor="background1"/>
                <w:sz w:val="18"/>
                <w:szCs w:val="18"/>
              </w:rPr>
              <w:t>Oil Tank Capacity (gallons)</w:t>
            </w:r>
          </w:p>
        </w:tc>
        <w:tc>
          <w:tcPr>
            <w:tcW w:w="1170" w:type="dxa"/>
            <w:shd w:val="clear" w:color="auto" w:fill="156570"/>
          </w:tcPr>
          <w:p w14:paraId="363C03DB" w14:textId="77777777" w:rsidR="00E946C3" w:rsidRDefault="00AD0F38" w:rsidP="00BA7904">
            <w:pPr>
              <w:pStyle w:val="IRPsanstext"/>
              <w:spacing w:before="120" w:after="120" w:line="276" w:lineRule="auto"/>
              <w:jc w:val="center"/>
              <w:rPr>
                <w:rFonts w:cs="Arial"/>
                <w:color w:val="FFFFFF" w:themeColor="background1"/>
                <w:sz w:val="18"/>
                <w:szCs w:val="18"/>
              </w:rPr>
            </w:pPr>
            <w:r w:rsidRPr="00BF0D28">
              <w:rPr>
                <w:rFonts w:cs="Arial"/>
                <w:color w:val="FFFFFF" w:themeColor="background1"/>
                <w:sz w:val="18"/>
                <w:szCs w:val="18"/>
              </w:rPr>
              <w:t>Oil use per Day  (gallons)</w:t>
            </w:r>
          </w:p>
        </w:tc>
        <w:tc>
          <w:tcPr>
            <w:tcW w:w="810" w:type="dxa"/>
            <w:shd w:val="clear" w:color="auto" w:fill="156570"/>
          </w:tcPr>
          <w:p w14:paraId="376CAC38" w14:textId="77777777" w:rsidR="00E946C3" w:rsidRDefault="00AD0F38" w:rsidP="00BA7904">
            <w:pPr>
              <w:pStyle w:val="IRPsanstext"/>
              <w:spacing w:before="120" w:after="120" w:line="276" w:lineRule="auto"/>
              <w:jc w:val="center"/>
              <w:rPr>
                <w:rFonts w:cs="Arial"/>
                <w:color w:val="FFFFFF" w:themeColor="background1"/>
                <w:sz w:val="18"/>
                <w:szCs w:val="18"/>
              </w:rPr>
            </w:pPr>
            <w:r w:rsidRPr="00BF0D28">
              <w:rPr>
                <w:rFonts w:cs="Arial"/>
                <w:color w:val="FFFFFF" w:themeColor="background1"/>
                <w:sz w:val="18"/>
                <w:szCs w:val="18"/>
              </w:rPr>
              <w:t xml:space="preserve">Oil </w:t>
            </w:r>
            <w:proofErr w:type="spellStart"/>
            <w:r w:rsidRPr="00BF0D28">
              <w:rPr>
                <w:rFonts w:cs="Arial"/>
                <w:color w:val="FFFFFF" w:themeColor="background1"/>
                <w:sz w:val="18"/>
                <w:szCs w:val="18"/>
              </w:rPr>
              <w:t>Gener</w:t>
            </w:r>
            <w:r w:rsidR="00BF0D28" w:rsidRPr="00BF0D28">
              <w:rPr>
                <w:rFonts w:cs="Arial"/>
                <w:color w:val="FFFFFF" w:themeColor="background1"/>
                <w:sz w:val="18"/>
                <w:szCs w:val="18"/>
              </w:rPr>
              <w:t>-</w:t>
            </w:r>
            <w:r w:rsidRPr="00BF0D28">
              <w:rPr>
                <w:rFonts w:cs="Arial"/>
                <w:color w:val="FFFFFF" w:themeColor="background1"/>
                <w:sz w:val="18"/>
                <w:szCs w:val="18"/>
              </w:rPr>
              <w:t>ation</w:t>
            </w:r>
            <w:proofErr w:type="spellEnd"/>
            <w:r w:rsidRPr="00BF0D28">
              <w:rPr>
                <w:rFonts w:cs="Arial"/>
                <w:color w:val="FFFFFF" w:themeColor="background1"/>
                <w:sz w:val="18"/>
                <w:szCs w:val="18"/>
              </w:rPr>
              <w:t xml:space="preserve"> (days)</w:t>
            </w:r>
          </w:p>
        </w:tc>
        <w:tc>
          <w:tcPr>
            <w:tcW w:w="990" w:type="dxa"/>
            <w:shd w:val="clear" w:color="auto" w:fill="156570"/>
          </w:tcPr>
          <w:p w14:paraId="5F17BB01" w14:textId="77777777" w:rsidR="00E946C3" w:rsidRDefault="00AD0F38" w:rsidP="00BA7904">
            <w:pPr>
              <w:pStyle w:val="IRPsanstext"/>
              <w:spacing w:before="120" w:after="120" w:line="276" w:lineRule="auto"/>
              <w:jc w:val="center"/>
              <w:rPr>
                <w:rFonts w:cs="Arial"/>
                <w:color w:val="FFFFFF" w:themeColor="background1"/>
                <w:sz w:val="18"/>
                <w:szCs w:val="18"/>
              </w:rPr>
            </w:pPr>
            <w:r w:rsidRPr="00BF0D28">
              <w:rPr>
                <w:rFonts w:cs="Arial"/>
                <w:color w:val="FFFFFF" w:themeColor="background1"/>
                <w:sz w:val="18"/>
                <w:szCs w:val="18"/>
              </w:rPr>
              <w:t>Peak Capacity (MW)</w:t>
            </w:r>
          </w:p>
        </w:tc>
        <w:tc>
          <w:tcPr>
            <w:tcW w:w="1080" w:type="dxa"/>
            <w:shd w:val="clear" w:color="auto" w:fill="156570"/>
          </w:tcPr>
          <w:p w14:paraId="2C6E0D53" w14:textId="77777777" w:rsidR="00E946C3" w:rsidRDefault="00AD0F38" w:rsidP="00BA7904">
            <w:pPr>
              <w:pStyle w:val="IRPsanstext"/>
              <w:spacing w:before="120" w:after="120" w:line="276" w:lineRule="auto"/>
              <w:jc w:val="center"/>
              <w:rPr>
                <w:rFonts w:cs="Arial"/>
                <w:color w:val="FFFFFF" w:themeColor="background1"/>
                <w:sz w:val="18"/>
                <w:szCs w:val="18"/>
              </w:rPr>
            </w:pPr>
            <w:r w:rsidRPr="00BF0D28">
              <w:rPr>
                <w:rFonts w:cs="Arial"/>
                <w:color w:val="FFFFFF" w:themeColor="background1"/>
                <w:sz w:val="18"/>
                <w:szCs w:val="18"/>
              </w:rPr>
              <w:t xml:space="preserve">Oil </w:t>
            </w:r>
            <w:proofErr w:type="spellStart"/>
            <w:r w:rsidRPr="00BF0D28">
              <w:rPr>
                <w:rFonts w:cs="Arial"/>
                <w:color w:val="FFFFFF" w:themeColor="background1"/>
                <w:sz w:val="18"/>
                <w:szCs w:val="18"/>
              </w:rPr>
              <w:t>gener</w:t>
            </w:r>
            <w:proofErr w:type="spellEnd"/>
            <w:r w:rsidR="00BF0D28" w:rsidRPr="00BF0D28">
              <w:rPr>
                <w:rFonts w:cs="Arial"/>
                <w:color w:val="FFFFFF" w:themeColor="background1"/>
                <w:sz w:val="18"/>
                <w:szCs w:val="18"/>
              </w:rPr>
              <w:t>-</w:t>
            </w:r>
            <w:r w:rsidR="00BF0D28" w:rsidRPr="00BF0D28">
              <w:rPr>
                <w:rFonts w:cs="Arial"/>
                <w:color w:val="FFFFFF" w:themeColor="background1"/>
                <w:sz w:val="18"/>
                <w:szCs w:val="18"/>
              </w:rPr>
              <w:br/>
            </w:r>
            <w:proofErr w:type="spellStart"/>
            <w:r w:rsidRPr="00BF0D28">
              <w:rPr>
                <w:rFonts w:cs="Arial"/>
                <w:color w:val="FFFFFF" w:themeColor="background1"/>
                <w:sz w:val="18"/>
                <w:szCs w:val="18"/>
              </w:rPr>
              <w:t>ation</w:t>
            </w:r>
            <w:proofErr w:type="spellEnd"/>
            <w:r w:rsidRPr="00BF0D28">
              <w:rPr>
                <w:rFonts w:cs="Arial"/>
                <w:color w:val="FFFFFF" w:themeColor="background1"/>
                <w:sz w:val="18"/>
                <w:szCs w:val="18"/>
              </w:rPr>
              <w:t xml:space="preserve"> for 48 hours (</w:t>
            </w:r>
            <w:proofErr w:type="spellStart"/>
            <w:r w:rsidRPr="00BF0D28">
              <w:rPr>
                <w:rFonts w:cs="Arial"/>
                <w:color w:val="FFFFFF" w:themeColor="background1"/>
                <w:sz w:val="18"/>
                <w:szCs w:val="18"/>
              </w:rPr>
              <w:t>MWh</w:t>
            </w:r>
            <w:proofErr w:type="spellEnd"/>
            <w:r w:rsidRPr="00BF0D28">
              <w:rPr>
                <w:rFonts w:cs="Arial"/>
                <w:color w:val="FFFFFF" w:themeColor="background1"/>
                <w:sz w:val="18"/>
                <w:szCs w:val="18"/>
              </w:rPr>
              <w:t>)</w:t>
            </w:r>
          </w:p>
        </w:tc>
        <w:tc>
          <w:tcPr>
            <w:tcW w:w="1350" w:type="dxa"/>
            <w:shd w:val="clear" w:color="auto" w:fill="156570"/>
          </w:tcPr>
          <w:p w14:paraId="1501FB94" w14:textId="77777777" w:rsidR="00E946C3" w:rsidRDefault="00AD0F38" w:rsidP="00BA7904">
            <w:pPr>
              <w:pStyle w:val="IRPsanstext"/>
              <w:spacing w:before="120" w:after="120" w:line="276" w:lineRule="auto"/>
              <w:jc w:val="center"/>
              <w:rPr>
                <w:rFonts w:cs="Arial"/>
                <w:color w:val="FFFFFF" w:themeColor="background1"/>
                <w:sz w:val="18"/>
                <w:szCs w:val="18"/>
              </w:rPr>
            </w:pPr>
            <w:r w:rsidRPr="00BF0D28">
              <w:rPr>
                <w:rFonts w:cs="Arial"/>
                <w:color w:val="FFFFFF" w:themeColor="background1"/>
                <w:sz w:val="18"/>
                <w:szCs w:val="18"/>
              </w:rPr>
              <w:t>Generation per Tank of Oil (</w:t>
            </w:r>
            <w:proofErr w:type="spellStart"/>
            <w:proofErr w:type="gramStart"/>
            <w:r w:rsidRPr="00BF0D28">
              <w:rPr>
                <w:rFonts w:cs="Arial"/>
                <w:color w:val="FFFFFF" w:themeColor="background1"/>
                <w:sz w:val="18"/>
                <w:szCs w:val="18"/>
              </w:rPr>
              <w:t>MWh</w:t>
            </w:r>
            <w:proofErr w:type="spellEnd"/>
            <w:r w:rsidRPr="00BF0D28">
              <w:rPr>
                <w:rFonts w:cs="Arial"/>
                <w:color w:val="FFFFFF" w:themeColor="background1"/>
                <w:sz w:val="18"/>
                <w:szCs w:val="18"/>
              </w:rPr>
              <w:t>)</w:t>
            </w:r>
            <w:r w:rsidRPr="00BF0D28">
              <w:rPr>
                <w:rFonts w:cs="Arial"/>
                <w:color w:val="FFFFFF" w:themeColor="background1"/>
                <w:sz w:val="18"/>
                <w:szCs w:val="18"/>
                <w:vertAlign w:val="superscript"/>
              </w:rPr>
              <w:t>2</w:t>
            </w:r>
            <w:proofErr w:type="gramEnd"/>
          </w:p>
        </w:tc>
      </w:tr>
      <w:tr w:rsidR="00BF0D28" w:rsidRPr="002873A4" w14:paraId="13423369" w14:textId="77777777">
        <w:tc>
          <w:tcPr>
            <w:tcW w:w="1278" w:type="dxa"/>
          </w:tcPr>
          <w:p w14:paraId="5CE57920" w14:textId="77777777" w:rsidR="00AD0F38" w:rsidRPr="00BF0D28" w:rsidRDefault="00AD0F38" w:rsidP="00BF0D28">
            <w:pPr>
              <w:pStyle w:val="IRPsanstext"/>
              <w:spacing w:before="120" w:after="120" w:line="276" w:lineRule="auto"/>
              <w:rPr>
                <w:rFonts w:cs="Arial"/>
                <w:sz w:val="18"/>
                <w:szCs w:val="18"/>
              </w:rPr>
            </w:pPr>
            <w:proofErr w:type="spellStart"/>
            <w:r w:rsidRPr="00BF0D28">
              <w:rPr>
                <w:rFonts w:cs="Arial"/>
                <w:sz w:val="18"/>
                <w:szCs w:val="18"/>
              </w:rPr>
              <w:t>Whitehorn</w:t>
            </w:r>
            <w:proofErr w:type="spellEnd"/>
            <w:r w:rsidRPr="00BF0D28">
              <w:rPr>
                <w:rFonts w:cs="Arial"/>
                <w:sz w:val="18"/>
                <w:szCs w:val="18"/>
              </w:rPr>
              <w:t xml:space="preserve"> </w:t>
            </w:r>
            <w:r w:rsidR="00BF0D28">
              <w:rPr>
                <w:rFonts w:cs="Arial"/>
                <w:sz w:val="18"/>
                <w:szCs w:val="18"/>
              </w:rPr>
              <w:br/>
            </w:r>
            <w:r w:rsidRPr="00BF0D28">
              <w:rPr>
                <w:rFonts w:cs="Arial"/>
                <w:sz w:val="18"/>
                <w:szCs w:val="18"/>
              </w:rPr>
              <w:t>2 &amp; 3</w:t>
            </w:r>
          </w:p>
        </w:tc>
        <w:tc>
          <w:tcPr>
            <w:tcW w:w="810" w:type="dxa"/>
          </w:tcPr>
          <w:p w14:paraId="6A64B67C"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1</w:t>
            </w:r>
          </w:p>
        </w:tc>
        <w:tc>
          <w:tcPr>
            <w:tcW w:w="1170" w:type="dxa"/>
          </w:tcPr>
          <w:p w14:paraId="34B9A889"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5,914,971</w:t>
            </w:r>
          </w:p>
        </w:tc>
        <w:tc>
          <w:tcPr>
            <w:tcW w:w="1170" w:type="dxa"/>
          </w:tcPr>
          <w:p w14:paraId="5183626A"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340,938</w:t>
            </w:r>
          </w:p>
        </w:tc>
        <w:tc>
          <w:tcPr>
            <w:tcW w:w="810" w:type="dxa"/>
          </w:tcPr>
          <w:p w14:paraId="386363C3"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17</w:t>
            </w:r>
          </w:p>
        </w:tc>
        <w:tc>
          <w:tcPr>
            <w:tcW w:w="990" w:type="dxa"/>
          </w:tcPr>
          <w:p w14:paraId="57F6EEDA"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168</w:t>
            </w:r>
          </w:p>
        </w:tc>
        <w:tc>
          <w:tcPr>
            <w:tcW w:w="1080" w:type="dxa"/>
          </w:tcPr>
          <w:p w14:paraId="3736182F"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8,064</w:t>
            </w:r>
          </w:p>
        </w:tc>
        <w:tc>
          <w:tcPr>
            <w:tcW w:w="1350" w:type="dxa"/>
          </w:tcPr>
          <w:p w14:paraId="314A87A3"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69,952</w:t>
            </w:r>
          </w:p>
        </w:tc>
      </w:tr>
      <w:tr w:rsidR="00BF0D28" w:rsidRPr="002873A4" w14:paraId="5B290711" w14:textId="77777777">
        <w:tc>
          <w:tcPr>
            <w:tcW w:w="1278" w:type="dxa"/>
          </w:tcPr>
          <w:p w14:paraId="6DBB09A6" w14:textId="77777777" w:rsidR="00AD0F38" w:rsidRPr="00BF0D28" w:rsidRDefault="00AD0F38" w:rsidP="00BF0D28">
            <w:pPr>
              <w:pStyle w:val="IRPsanstext"/>
              <w:spacing w:before="120" w:after="120" w:line="276" w:lineRule="auto"/>
              <w:rPr>
                <w:rFonts w:cs="Arial"/>
                <w:sz w:val="18"/>
                <w:szCs w:val="18"/>
              </w:rPr>
            </w:pPr>
            <w:r w:rsidRPr="00BF0D28">
              <w:rPr>
                <w:rFonts w:cs="Arial"/>
                <w:sz w:val="18"/>
                <w:szCs w:val="18"/>
              </w:rPr>
              <w:t xml:space="preserve">Frederickson </w:t>
            </w:r>
            <w:r w:rsidR="00BF0D28">
              <w:rPr>
                <w:rFonts w:cs="Arial"/>
                <w:sz w:val="18"/>
                <w:szCs w:val="18"/>
              </w:rPr>
              <w:br/>
            </w:r>
            <w:r w:rsidRPr="00BF0D28">
              <w:rPr>
                <w:rFonts w:cs="Arial"/>
                <w:sz w:val="18"/>
                <w:szCs w:val="18"/>
              </w:rPr>
              <w:t>1 &amp; 2</w:t>
            </w:r>
          </w:p>
        </w:tc>
        <w:tc>
          <w:tcPr>
            <w:tcW w:w="810" w:type="dxa"/>
          </w:tcPr>
          <w:p w14:paraId="3B6E2296"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1</w:t>
            </w:r>
          </w:p>
        </w:tc>
        <w:tc>
          <w:tcPr>
            <w:tcW w:w="1170" w:type="dxa"/>
          </w:tcPr>
          <w:p w14:paraId="0B31A2F2"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4,070,766</w:t>
            </w:r>
          </w:p>
        </w:tc>
        <w:tc>
          <w:tcPr>
            <w:tcW w:w="1170" w:type="dxa"/>
          </w:tcPr>
          <w:p w14:paraId="0A44D836"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340,935</w:t>
            </w:r>
          </w:p>
        </w:tc>
        <w:tc>
          <w:tcPr>
            <w:tcW w:w="810" w:type="dxa"/>
          </w:tcPr>
          <w:p w14:paraId="0E274F3C"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12</w:t>
            </w:r>
          </w:p>
        </w:tc>
        <w:tc>
          <w:tcPr>
            <w:tcW w:w="990" w:type="dxa"/>
          </w:tcPr>
          <w:p w14:paraId="15176C71"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168</w:t>
            </w:r>
          </w:p>
        </w:tc>
        <w:tc>
          <w:tcPr>
            <w:tcW w:w="1080" w:type="dxa"/>
          </w:tcPr>
          <w:p w14:paraId="3EA7F501"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8,064</w:t>
            </w:r>
          </w:p>
        </w:tc>
        <w:tc>
          <w:tcPr>
            <w:tcW w:w="1350" w:type="dxa"/>
          </w:tcPr>
          <w:p w14:paraId="4C6F0BEB"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48,142</w:t>
            </w:r>
          </w:p>
        </w:tc>
      </w:tr>
      <w:tr w:rsidR="00DC1A9D" w:rsidRPr="002873A4" w14:paraId="5CDDDD1E" w14:textId="77777777">
        <w:tc>
          <w:tcPr>
            <w:tcW w:w="1278" w:type="dxa"/>
          </w:tcPr>
          <w:p w14:paraId="50010911" w14:textId="77777777" w:rsidR="00AD0F38" w:rsidRPr="00BF0D28" w:rsidRDefault="00AD0F38" w:rsidP="00BF0D28">
            <w:pPr>
              <w:pStyle w:val="IRPsanstext"/>
              <w:spacing w:before="120" w:after="120" w:line="276" w:lineRule="auto"/>
              <w:rPr>
                <w:rFonts w:cs="Arial"/>
                <w:sz w:val="18"/>
                <w:szCs w:val="18"/>
              </w:rPr>
            </w:pPr>
            <w:r w:rsidRPr="00BF0D28">
              <w:rPr>
                <w:rFonts w:cs="Arial"/>
                <w:sz w:val="18"/>
                <w:szCs w:val="18"/>
              </w:rPr>
              <w:t xml:space="preserve">Fredonia </w:t>
            </w:r>
            <w:r w:rsidR="00BF0D28">
              <w:rPr>
                <w:rFonts w:cs="Arial"/>
                <w:sz w:val="18"/>
                <w:szCs w:val="18"/>
              </w:rPr>
              <w:br/>
            </w:r>
            <w:r w:rsidRPr="00BF0D28">
              <w:rPr>
                <w:rFonts w:cs="Arial"/>
                <w:sz w:val="18"/>
                <w:szCs w:val="18"/>
              </w:rPr>
              <w:t>1 &amp; 2</w:t>
            </w:r>
          </w:p>
        </w:tc>
        <w:tc>
          <w:tcPr>
            <w:tcW w:w="810" w:type="dxa"/>
            <w:vMerge w:val="restart"/>
            <w:vAlign w:val="center"/>
          </w:tcPr>
          <w:p w14:paraId="52C5AE9C" w14:textId="77777777" w:rsidR="00AD0F38" w:rsidRPr="00BF0D28" w:rsidRDefault="00AD0F38" w:rsidP="0018478A">
            <w:pPr>
              <w:pStyle w:val="IRPsanstext"/>
              <w:spacing w:before="120" w:after="120" w:line="276" w:lineRule="auto"/>
              <w:jc w:val="center"/>
              <w:rPr>
                <w:rFonts w:cs="Arial"/>
                <w:sz w:val="18"/>
                <w:szCs w:val="18"/>
              </w:rPr>
            </w:pPr>
            <w:r w:rsidRPr="00BF0D28">
              <w:rPr>
                <w:rFonts w:cs="Arial"/>
                <w:sz w:val="18"/>
                <w:szCs w:val="18"/>
              </w:rPr>
              <w:t>1</w:t>
            </w:r>
          </w:p>
        </w:tc>
        <w:tc>
          <w:tcPr>
            <w:tcW w:w="1170" w:type="dxa"/>
            <w:vMerge w:val="restart"/>
            <w:vAlign w:val="center"/>
          </w:tcPr>
          <w:p w14:paraId="04C883EC" w14:textId="77777777" w:rsidR="00E946C3" w:rsidRDefault="00AD0F38">
            <w:pPr>
              <w:pStyle w:val="IRPsanstext"/>
              <w:spacing w:before="120" w:after="120" w:line="276" w:lineRule="auto"/>
              <w:jc w:val="center"/>
              <w:rPr>
                <w:rFonts w:cs="Arial"/>
                <w:sz w:val="18"/>
                <w:szCs w:val="18"/>
              </w:rPr>
            </w:pPr>
            <w:r w:rsidRPr="00BF0D28">
              <w:rPr>
                <w:rFonts w:cs="Arial"/>
                <w:sz w:val="18"/>
                <w:szCs w:val="18"/>
              </w:rPr>
              <w:t>5,914,971</w:t>
            </w:r>
          </w:p>
        </w:tc>
        <w:tc>
          <w:tcPr>
            <w:tcW w:w="1170" w:type="dxa"/>
          </w:tcPr>
          <w:p w14:paraId="1B79A1C5"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455,832</w:t>
            </w:r>
          </w:p>
        </w:tc>
        <w:tc>
          <w:tcPr>
            <w:tcW w:w="810" w:type="dxa"/>
          </w:tcPr>
          <w:p w14:paraId="243FBC6A"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6</w:t>
            </w:r>
          </w:p>
        </w:tc>
        <w:tc>
          <w:tcPr>
            <w:tcW w:w="990" w:type="dxa"/>
          </w:tcPr>
          <w:p w14:paraId="3C2BEAAD"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234</w:t>
            </w:r>
          </w:p>
        </w:tc>
        <w:tc>
          <w:tcPr>
            <w:tcW w:w="1080" w:type="dxa"/>
          </w:tcPr>
          <w:p w14:paraId="7BD6C337"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11,232</w:t>
            </w:r>
          </w:p>
        </w:tc>
        <w:tc>
          <w:tcPr>
            <w:tcW w:w="1350" w:type="dxa"/>
          </w:tcPr>
          <w:p w14:paraId="790C030C"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36,364</w:t>
            </w:r>
          </w:p>
        </w:tc>
      </w:tr>
      <w:tr w:rsidR="00DC1A9D" w:rsidRPr="002873A4" w14:paraId="554D06C5" w14:textId="77777777">
        <w:tc>
          <w:tcPr>
            <w:tcW w:w="1278" w:type="dxa"/>
          </w:tcPr>
          <w:p w14:paraId="4678A82E" w14:textId="77777777" w:rsidR="00AD0F38" w:rsidRPr="00BF0D28" w:rsidRDefault="00AD0F38" w:rsidP="00BF0D28">
            <w:pPr>
              <w:pStyle w:val="IRPsanstext"/>
              <w:spacing w:before="120" w:after="120" w:line="276" w:lineRule="auto"/>
              <w:rPr>
                <w:rFonts w:cs="Arial"/>
                <w:sz w:val="18"/>
                <w:szCs w:val="18"/>
              </w:rPr>
            </w:pPr>
            <w:r w:rsidRPr="00BF0D28">
              <w:rPr>
                <w:rFonts w:cs="Arial"/>
                <w:sz w:val="18"/>
                <w:szCs w:val="18"/>
              </w:rPr>
              <w:t xml:space="preserve">Fredonia </w:t>
            </w:r>
            <w:r w:rsidR="00BF0D28">
              <w:rPr>
                <w:rFonts w:cs="Arial"/>
                <w:sz w:val="18"/>
                <w:szCs w:val="18"/>
              </w:rPr>
              <w:br/>
            </w:r>
            <w:r w:rsidRPr="00BF0D28">
              <w:rPr>
                <w:rFonts w:cs="Arial"/>
                <w:sz w:val="18"/>
                <w:szCs w:val="18"/>
              </w:rPr>
              <w:t>3 &amp; 4</w:t>
            </w:r>
          </w:p>
        </w:tc>
        <w:tc>
          <w:tcPr>
            <w:tcW w:w="810" w:type="dxa"/>
            <w:vMerge/>
          </w:tcPr>
          <w:p w14:paraId="1DD8D636" w14:textId="77777777" w:rsidR="00AD0F38" w:rsidRPr="00BF0D28" w:rsidRDefault="00AD0F38" w:rsidP="00294A3F">
            <w:pPr>
              <w:pStyle w:val="IRPsanstext"/>
              <w:spacing w:before="120" w:after="120" w:line="276" w:lineRule="auto"/>
              <w:jc w:val="center"/>
              <w:rPr>
                <w:rFonts w:cs="Arial"/>
                <w:sz w:val="18"/>
                <w:szCs w:val="18"/>
              </w:rPr>
            </w:pPr>
          </w:p>
        </w:tc>
        <w:tc>
          <w:tcPr>
            <w:tcW w:w="1170" w:type="dxa"/>
            <w:vMerge/>
          </w:tcPr>
          <w:p w14:paraId="229EA5DE" w14:textId="77777777" w:rsidR="00AD0F38" w:rsidRPr="00BF0D28" w:rsidRDefault="00AD0F38" w:rsidP="00294A3F">
            <w:pPr>
              <w:pStyle w:val="IRPsanstext"/>
              <w:spacing w:before="120" w:after="120" w:line="276" w:lineRule="auto"/>
              <w:jc w:val="center"/>
              <w:rPr>
                <w:rFonts w:cs="Arial"/>
                <w:sz w:val="18"/>
                <w:szCs w:val="18"/>
              </w:rPr>
            </w:pPr>
          </w:p>
        </w:tc>
        <w:tc>
          <w:tcPr>
            <w:tcW w:w="1170" w:type="dxa"/>
          </w:tcPr>
          <w:p w14:paraId="3B4DFDBB"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207,720</w:t>
            </w:r>
          </w:p>
        </w:tc>
        <w:tc>
          <w:tcPr>
            <w:tcW w:w="810" w:type="dxa"/>
          </w:tcPr>
          <w:p w14:paraId="3A0BBEBC"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6</w:t>
            </w:r>
          </w:p>
        </w:tc>
        <w:tc>
          <w:tcPr>
            <w:tcW w:w="990" w:type="dxa"/>
          </w:tcPr>
          <w:p w14:paraId="6FA0F6EE"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126</w:t>
            </w:r>
          </w:p>
        </w:tc>
        <w:tc>
          <w:tcPr>
            <w:tcW w:w="1080" w:type="dxa"/>
          </w:tcPr>
          <w:p w14:paraId="0D2DF0FD"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6,048</w:t>
            </w:r>
          </w:p>
        </w:tc>
        <w:tc>
          <w:tcPr>
            <w:tcW w:w="1350" w:type="dxa"/>
          </w:tcPr>
          <w:p w14:paraId="3682DC5F" w14:textId="77777777" w:rsidR="00AD0F38" w:rsidRPr="00BF0D28" w:rsidRDefault="00AD0F38" w:rsidP="00294A3F">
            <w:pPr>
              <w:pStyle w:val="IRPsanstext"/>
              <w:spacing w:before="120" w:after="120" w:line="276" w:lineRule="auto"/>
              <w:jc w:val="center"/>
              <w:rPr>
                <w:rFonts w:cs="Arial"/>
                <w:sz w:val="18"/>
                <w:szCs w:val="18"/>
              </w:rPr>
            </w:pPr>
            <w:r w:rsidRPr="00BF0D28">
              <w:rPr>
                <w:rFonts w:cs="Arial"/>
                <w:sz w:val="18"/>
                <w:szCs w:val="18"/>
              </w:rPr>
              <w:t>19,581</w:t>
            </w:r>
          </w:p>
        </w:tc>
      </w:tr>
      <w:tr w:rsidR="00BF0D28" w:rsidRPr="002873A4" w14:paraId="39240AAC" w14:textId="77777777">
        <w:tc>
          <w:tcPr>
            <w:tcW w:w="1278" w:type="dxa"/>
          </w:tcPr>
          <w:p w14:paraId="0709A0BE" w14:textId="77777777" w:rsidR="00AD0F38" w:rsidRPr="00BF0D28" w:rsidRDefault="00AD0F38" w:rsidP="00BF0D28">
            <w:pPr>
              <w:pStyle w:val="IRPsanstext"/>
              <w:spacing w:before="120" w:after="120" w:line="276" w:lineRule="auto"/>
              <w:rPr>
                <w:rFonts w:cs="Arial"/>
                <w:b/>
                <w:sz w:val="18"/>
                <w:szCs w:val="18"/>
              </w:rPr>
            </w:pPr>
            <w:r w:rsidRPr="00BF0D28">
              <w:rPr>
                <w:rFonts w:cs="Arial"/>
                <w:b/>
                <w:sz w:val="18"/>
                <w:szCs w:val="18"/>
              </w:rPr>
              <w:t>Total</w:t>
            </w:r>
          </w:p>
        </w:tc>
        <w:tc>
          <w:tcPr>
            <w:tcW w:w="810" w:type="dxa"/>
          </w:tcPr>
          <w:p w14:paraId="17683F17" w14:textId="77777777" w:rsidR="00AD0F38" w:rsidRPr="00BF0D28" w:rsidRDefault="00AD0F38" w:rsidP="00294A3F">
            <w:pPr>
              <w:pStyle w:val="IRPsanstext"/>
              <w:spacing w:before="120" w:after="120" w:line="276" w:lineRule="auto"/>
              <w:jc w:val="center"/>
              <w:rPr>
                <w:rFonts w:cs="Arial"/>
                <w:b/>
                <w:sz w:val="18"/>
                <w:szCs w:val="18"/>
              </w:rPr>
            </w:pPr>
          </w:p>
        </w:tc>
        <w:tc>
          <w:tcPr>
            <w:tcW w:w="1170" w:type="dxa"/>
          </w:tcPr>
          <w:p w14:paraId="15491353" w14:textId="77777777" w:rsidR="00AD0F38" w:rsidRPr="00BF0D28" w:rsidRDefault="00AD0F38" w:rsidP="00294A3F">
            <w:pPr>
              <w:pStyle w:val="IRPsanstext"/>
              <w:spacing w:before="120" w:after="120" w:line="276" w:lineRule="auto"/>
              <w:jc w:val="center"/>
              <w:rPr>
                <w:rFonts w:cs="Arial"/>
                <w:b/>
                <w:sz w:val="18"/>
                <w:szCs w:val="18"/>
              </w:rPr>
            </w:pPr>
            <w:r w:rsidRPr="00BF0D28">
              <w:rPr>
                <w:rFonts w:cs="Arial"/>
                <w:b/>
                <w:sz w:val="18"/>
                <w:szCs w:val="18"/>
              </w:rPr>
              <w:t>14,282,295</w:t>
            </w:r>
          </w:p>
        </w:tc>
        <w:tc>
          <w:tcPr>
            <w:tcW w:w="1170" w:type="dxa"/>
          </w:tcPr>
          <w:p w14:paraId="2F7712F2" w14:textId="77777777" w:rsidR="00AD0F38" w:rsidRPr="00BF0D28" w:rsidRDefault="00AD0F38" w:rsidP="00294A3F">
            <w:pPr>
              <w:pStyle w:val="IRPsanstext"/>
              <w:spacing w:before="120" w:after="120" w:line="276" w:lineRule="auto"/>
              <w:jc w:val="center"/>
              <w:rPr>
                <w:rFonts w:cs="Arial"/>
                <w:b/>
                <w:sz w:val="18"/>
                <w:szCs w:val="18"/>
              </w:rPr>
            </w:pPr>
            <w:r w:rsidRPr="00BF0D28">
              <w:rPr>
                <w:rFonts w:cs="Arial"/>
                <w:b/>
                <w:sz w:val="18"/>
                <w:szCs w:val="18"/>
              </w:rPr>
              <w:t>1,345,428</w:t>
            </w:r>
          </w:p>
        </w:tc>
        <w:tc>
          <w:tcPr>
            <w:tcW w:w="810" w:type="dxa"/>
          </w:tcPr>
          <w:p w14:paraId="061EA5CF" w14:textId="77777777" w:rsidR="00AD0F38" w:rsidRPr="00BF0D28" w:rsidRDefault="00AD0F38" w:rsidP="00294A3F">
            <w:pPr>
              <w:pStyle w:val="IRPsanstext"/>
              <w:spacing w:before="120" w:after="120" w:line="276" w:lineRule="auto"/>
              <w:jc w:val="center"/>
              <w:rPr>
                <w:rFonts w:cs="Arial"/>
                <w:b/>
                <w:sz w:val="18"/>
                <w:szCs w:val="18"/>
              </w:rPr>
            </w:pPr>
          </w:p>
        </w:tc>
        <w:tc>
          <w:tcPr>
            <w:tcW w:w="990" w:type="dxa"/>
          </w:tcPr>
          <w:p w14:paraId="60CBAC25" w14:textId="77777777" w:rsidR="00AD0F38" w:rsidRPr="00BF0D28" w:rsidRDefault="00AD0F38" w:rsidP="00294A3F">
            <w:pPr>
              <w:pStyle w:val="IRPsanstext"/>
              <w:spacing w:before="120" w:after="120" w:line="276" w:lineRule="auto"/>
              <w:jc w:val="center"/>
              <w:rPr>
                <w:rFonts w:cs="Arial"/>
                <w:b/>
                <w:sz w:val="18"/>
                <w:szCs w:val="18"/>
              </w:rPr>
            </w:pPr>
            <w:r w:rsidRPr="00BF0D28">
              <w:rPr>
                <w:rFonts w:cs="Arial"/>
                <w:b/>
                <w:sz w:val="18"/>
                <w:szCs w:val="18"/>
              </w:rPr>
              <w:t>696</w:t>
            </w:r>
          </w:p>
        </w:tc>
        <w:tc>
          <w:tcPr>
            <w:tcW w:w="1080" w:type="dxa"/>
          </w:tcPr>
          <w:p w14:paraId="0097FF42" w14:textId="77777777" w:rsidR="00AD0F38" w:rsidRPr="00BF0D28" w:rsidRDefault="00AD0F38" w:rsidP="00294A3F">
            <w:pPr>
              <w:pStyle w:val="IRPsanstext"/>
              <w:spacing w:before="120" w:after="120" w:line="276" w:lineRule="auto"/>
              <w:jc w:val="center"/>
              <w:rPr>
                <w:rFonts w:cs="Arial"/>
                <w:b/>
                <w:sz w:val="18"/>
                <w:szCs w:val="18"/>
              </w:rPr>
            </w:pPr>
            <w:r w:rsidRPr="00BF0D28">
              <w:rPr>
                <w:rFonts w:cs="Arial"/>
                <w:b/>
                <w:sz w:val="18"/>
                <w:szCs w:val="18"/>
              </w:rPr>
              <w:t>33,408</w:t>
            </w:r>
          </w:p>
        </w:tc>
        <w:tc>
          <w:tcPr>
            <w:tcW w:w="1350" w:type="dxa"/>
          </w:tcPr>
          <w:p w14:paraId="62282519" w14:textId="77777777" w:rsidR="00AD0F38" w:rsidRPr="00BF0D28" w:rsidRDefault="00AD0F38" w:rsidP="00294A3F">
            <w:pPr>
              <w:pStyle w:val="IRPsanstext"/>
              <w:spacing w:before="120" w:after="120" w:line="276" w:lineRule="auto"/>
              <w:jc w:val="center"/>
              <w:rPr>
                <w:rFonts w:cs="Arial"/>
                <w:b/>
                <w:sz w:val="18"/>
                <w:szCs w:val="18"/>
              </w:rPr>
            </w:pPr>
            <w:r w:rsidRPr="00BF0D28">
              <w:rPr>
                <w:rFonts w:cs="Arial"/>
                <w:b/>
                <w:sz w:val="18"/>
                <w:szCs w:val="18"/>
              </w:rPr>
              <w:t>174,038</w:t>
            </w:r>
          </w:p>
        </w:tc>
      </w:tr>
    </w:tbl>
    <w:p w14:paraId="36BA3E94" w14:textId="77777777" w:rsidR="00BF0D28" w:rsidRDefault="00BF0D28" w:rsidP="00BF0D28">
      <w:pPr>
        <w:pStyle w:val="IRPfooter"/>
      </w:pPr>
    </w:p>
    <w:p w14:paraId="21FF824B" w14:textId="77777777" w:rsidR="00AD0F38" w:rsidRPr="00166809" w:rsidRDefault="00BF0D28" w:rsidP="00BF0D28">
      <w:pPr>
        <w:pStyle w:val="IRPfooter"/>
        <w:rPr>
          <w:sz w:val="20"/>
          <w:szCs w:val="20"/>
        </w:rPr>
      </w:pPr>
      <w:r w:rsidRPr="00166809">
        <w:rPr>
          <w:sz w:val="20"/>
          <w:szCs w:val="20"/>
        </w:rPr>
        <w:t>NOTES</w:t>
      </w:r>
    </w:p>
    <w:p w14:paraId="62363882" w14:textId="77777777" w:rsidR="00AD0F38" w:rsidRPr="00166809" w:rsidRDefault="00AD0F38" w:rsidP="00BF0D28">
      <w:pPr>
        <w:pStyle w:val="IRPfooter"/>
        <w:rPr>
          <w:sz w:val="20"/>
          <w:szCs w:val="20"/>
        </w:rPr>
      </w:pPr>
      <w:r w:rsidRPr="00166809">
        <w:rPr>
          <w:sz w:val="20"/>
          <w:szCs w:val="20"/>
        </w:rPr>
        <w:t xml:space="preserve">Fredonia 1 &amp; 2 and 3 &amp; 4 share one oil tank. </w:t>
      </w:r>
    </w:p>
    <w:p w14:paraId="5522B515" w14:textId="77777777" w:rsidR="00AD0F38" w:rsidRPr="00166809" w:rsidRDefault="00AD0F38" w:rsidP="00BF0D28">
      <w:pPr>
        <w:pStyle w:val="IRPfooter"/>
        <w:rPr>
          <w:sz w:val="20"/>
          <w:szCs w:val="20"/>
        </w:rPr>
      </w:pPr>
      <w:r w:rsidRPr="00166809">
        <w:rPr>
          <w:sz w:val="20"/>
          <w:szCs w:val="20"/>
        </w:rPr>
        <w:t>Estimated generation at peak demand temperatures of 23 degrees.</w:t>
      </w:r>
    </w:p>
    <w:p w14:paraId="2F89C903" w14:textId="77777777" w:rsidR="00AD0F38" w:rsidRPr="002873A4" w:rsidRDefault="00AD0F38" w:rsidP="002873A4">
      <w:pPr>
        <w:pStyle w:val="IRPsanstext"/>
        <w:rPr>
          <w:rFonts w:cs="Arial"/>
          <w:highlight w:val="yellow"/>
        </w:rPr>
      </w:pPr>
    </w:p>
    <w:p w14:paraId="53F13E86" w14:textId="77777777" w:rsidR="00BF0D28" w:rsidRDefault="00BF0D28" w:rsidP="002873A4">
      <w:pPr>
        <w:pStyle w:val="IRPsanstext"/>
        <w:rPr>
          <w:rFonts w:cs="Arial"/>
        </w:rPr>
      </w:pPr>
    </w:p>
    <w:p w14:paraId="68F86AA0" w14:textId="77777777" w:rsidR="00BF0D28" w:rsidRDefault="00BF0D28">
      <w:pPr>
        <w:rPr>
          <w:rFonts w:ascii="Arial" w:hAnsi="Arial" w:cs="Arial"/>
          <w:sz w:val="32"/>
          <w:szCs w:val="32"/>
        </w:rPr>
      </w:pPr>
      <w:r>
        <w:rPr>
          <w:rFonts w:cs="Arial"/>
          <w:sz w:val="32"/>
          <w:szCs w:val="32"/>
        </w:rPr>
        <w:br w:type="page"/>
      </w:r>
    </w:p>
    <w:p w14:paraId="1D1F7510" w14:textId="77777777" w:rsidR="0067369A" w:rsidRDefault="00BF0D28" w:rsidP="00BF0D28">
      <w:pPr>
        <w:pStyle w:val="IRPsanstext"/>
        <w:rPr>
          <w:b/>
          <w:caps/>
        </w:rPr>
      </w:pPr>
      <w:r w:rsidRPr="0067369A">
        <w:rPr>
          <w:b/>
          <w:caps/>
        </w:rPr>
        <w:t xml:space="preserve">Review of any excess existing firm gas pipeline capacity </w:t>
      </w:r>
    </w:p>
    <w:p w14:paraId="5ADAA0BB" w14:textId="77777777" w:rsidR="0067369A" w:rsidRDefault="00BF0D28" w:rsidP="00BF0D28">
      <w:pPr>
        <w:pStyle w:val="IRPsanstext"/>
        <w:rPr>
          <w:b/>
          <w:caps/>
        </w:rPr>
      </w:pPr>
      <w:r w:rsidRPr="0067369A">
        <w:rPr>
          <w:b/>
          <w:caps/>
        </w:rPr>
        <w:t>in the gas sales portfolio</w:t>
      </w:r>
      <w:r w:rsidR="0067369A">
        <w:rPr>
          <w:b/>
          <w:caps/>
        </w:rPr>
        <w:t xml:space="preserve"> </w:t>
      </w:r>
    </w:p>
    <w:p w14:paraId="10550F70" w14:textId="77777777" w:rsidR="00330C7B" w:rsidRDefault="00330C7B" w:rsidP="00BF0D28">
      <w:pPr>
        <w:pStyle w:val="IRPsanstext"/>
        <w:rPr>
          <w:b/>
          <w:caps/>
        </w:rPr>
      </w:pPr>
    </w:p>
    <w:p w14:paraId="2A3DE593" w14:textId="77777777" w:rsidR="00AD0F38" w:rsidRPr="0067369A" w:rsidRDefault="00AD0F38" w:rsidP="00BF0D28">
      <w:pPr>
        <w:pStyle w:val="IRPsanstext"/>
        <w:rPr>
          <w:b/>
          <w:caps/>
        </w:rPr>
      </w:pPr>
      <w:r w:rsidRPr="002873A4">
        <w:t xml:space="preserve">Will non-firm gas supply be available from Northwest Pipeline when the </w:t>
      </w:r>
      <w:proofErr w:type="spellStart"/>
      <w:r w:rsidRPr="002873A4">
        <w:t>peakers</w:t>
      </w:r>
      <w:proofErr w:type="spellEnd"/>
      <w:r w:rsidRPr="002873A4">
        <w:t xml:space="preserve"> need it, after consuming the fuel in their oil tanks? There is no gas industry organization that studies these kinds of questions, the way the NPCC’s Resource Adequacy Advisory Committee studies regional electric supply. We can, however, study our own gas utility loads and resources in order to draw conclusions about the availability of non-firm fuel supply.   Here we examine whether excess firm gas is available from the gas utility during peak days.  Peak need was determined using the gas portfolio model (</w:t>
      </w:r>
      <w:proofErr w:type="spellStart"/>
      <w:r w:rsidRPr="002873A4">
        <w:t>Sendout</w:t>
      </w:r>
      <w:proofErr w:type="spellEnd"/>
      <w:r w:rsidRPr="002873A4">
        <w:t>) and historical temperature data sets.</w:t>
      </w:r>
    </w:p>
    <w:p w14:paraId="239D007C" w14:textId="77777777" w:rsidR="00AD0F38" w:rsidRPr="002873A4" w:rsidRDefault="00AD0F38" w:rsidP="00BF0D28">
      <w:pPr>
        <w:pStyle w:val="IRPsanstext"/>
      </w:pPr>
    </w:p>
    <w:p w14:paraId="592864D8" w14:textId="77777777" w:rsidR="00AD0F38" w:rsidRPr="00BF0D28" w:rsidRDefault="00AD0F38" w:rsidP="00BF0D28">
      <w:pPr>
        <w:pStyle w:val="IRPsanstext"/>
      </w:pPr>
      <w:r w:rsidRPr="002873A4">
        <w:t xml:space="preserve">A historical temperature data set (1900-2014) for the region was obtained from the National Oceanic and Atmospheric Administration (NOAA). To create a </w:t>
      </w:r>
      <w:proofErr w:type="gramStart"/>
      <w:r w:rsidRPr="002873A4">
        <w:t>long term</w:t>
      </w:r>
      <w:proofErr w:type="gramEnd"/>
      <w:r w:rsidRPr="002873A4">
        <w:t xml:space="preserve"> data set we combined daily weather data from the Portage Bay Weather Station from 1900-1948 and from SeaTac International Airport from 1949-2014 to create a 114 year temperature record.  Average daily temperatures were calculated as the average of the minimum temperature and maximum temperature.  </w:t>
      </w:r>
    </w:p>
    <w:p w14:paraId="7DB19D77" w14:textId="77777777" w:rsidR="00AD0F38" w:rsidRPr="002873A4" w:rsidRDefault="00AD0F38" w:rsidP="00BF0D28">
      <w:pPr>
        <w:pStyle w:val="IRPsanstext"/>
      </w:pPr>
    </w:p>
    <w:p w14:paraId="21F2C6C2" w14:textId="77777777" w:rsidR="00AD0F38" w:rsidRPr="002873A4" w:rsidRDefault="00AD0F38" w:rsidP="00BF0D28">
      <w:pPr>
        <w:pStyle w:val="IRPsanstext"/>
      </w:pPr>
      <w:r w:rsidRPr="002873A4">
        <w:t xml:space="preserve">Using the 114 years of daily historical temperature data, 114 gas load profiles were created with 2021 loads using </w:t>
      </w:r>
      <w:r w:rsidR="004E5935">
        <w:t>the Gas Portfolio Model (</w:t>
      </w:r>
      <w:r w:rsidRPr="002873A4">
        <w:t>GPM</w:t>
      </w:r>
      <w:r w:rsidR="004E5935">
        <w:t>)</w:t>
      </w:r>
      <w:r w:rsidRPr="002873A4">
        <w:t xml:space="preserve">.  Months with high gas loads (December and January) were examined further and compared to our existing daily firm gas pipeline supply (533 </w:t>
      </w:r>
      <w:proofErr w:type="spellStart"/>
      <w:r w:rsidRPr="002873A4">
        <w:t>Mdth</w:t>
      </w:r>
      <w:proofErr w:type="spellEnd"/>
      <w:r w:rsidRPr="002873A4">
        <w:t>/day) to determine if the gas utility could meet the gas load using the firm pipeline supply.</w:t>
      </w:r>
    </w:p>
    <w:p w14:paraId="79BFC2EF" w14:textId="77777777" w:rsidR="00AD0F38" w:rsidRPr="002873A4" w:rsidRDefault="00AD0F38" w:rsidP="002873A4">
      <w:pPr>
        <w:pStyle w:val="IRPsanstext"/>
        <w:rPr>
          <w:rFonts w:cs="Arial"/>
        </w:rPr>
      </w:pPr>
    </w:p>
    <w:p w14:paraId="4CA64F72" w14:textId="77777777" w:rsidR="00AD0F38" w:rsidRPr="002873A4" w:rsidRDefault="00AD0F38" w:rsidP="002873A4">
      <w:pPr>
        <w:pStyle w:val="IRPsanstext"/>
        <w:rPr>
          <w:rFonts w:cs="Arial"/>
        </w:rPr>
      </w:pPr>
      <w:r w:rsidRPr="002873A4">
        <w:rPr>
          <w:rFonts w:cs="Arial"/>
        </w:rPr>
        <w:t>Below are three charts showing different possible 2021 gas loads using three different years of histo</w:t>
      </w:r>
      <w:r w:rsidR="00166453">
        <w:rPr>
          <w:rFonts w:cs="Arial"/>
        </w:rPr>
        <w:t>rical temperature</w:t>
      </w:r>
      <w:r w:rsidR="00855BD7">
        <w:rPr>
          <w:rFonts w:cs="Arial"/>
        </w:rPr>
        <w:t>s.  Figure 6-36</w:t>
      </w:r>
      <w:r w:rsidRPr="002873A4">
        <w:rPr>
          <w:rFonts w:cs="Arial"/>
        </w:rPr>
        <w:t xml:space="preserve"> shows December 1949 to February 1950 with January 1950 highlighted in grey.  January 1950 was the coldest month in the </w:t>
      </w:r>
      <w:proofErr w:type="gramStart"/>
      <w:r w:rsidRPr="002873A4">
        <w:rPr>
          <w:rFonts w:cs="Arial"/>
        </w:rPr>
        <w:t>114 year</w:t>
      </w:r>
      <w:proofErr w:type="gramEnd"/>
      <w:r w:rsidRPr="002873A4">
        <w:rPr>
          <w:rFonts w:cs="Arial"/>
        </w:rPr>
        <w:t xml:space="preserve"> dataset, with extreme cold spells occurring three times throughout the month.  With 2021 gas loads and this temperature pattern, the demand is greater than the existing firm pipeline capacity for most of the month, only dropping below 533 </w:t>
      </w:r>
      <w:proofErr w:type="spellStart"/>
      <w:r w:rsidRPr="002873A4">
        <w:rPr>
          <w:rFonts w:cs="Arial"/>
        </w:rPr>
        <w:t>Mdth</w:t>
      </w:r>
      <w:proofErr w:type="spellEnd"/>
      <w:r w:rsidRPr="002873A4">
        <w:rPr>
          <w:rFonts w:cs="Arial"/>
        </w:rPr>
        <w:t xml:space="preserve">/day for 3 days.  In addition to the firm pipeline supply, fuel from Jackson Prairie storage can be used to meet gas and electric loads.  Gas storage at Jackson Prairie can be withdrawn to meet loads, but is also refilled throughout the winter on lower load days.  Therefore, even if the load </w:t>
      </w:r>
      <w:proofErr w:type="gramStart"/>
      <w:r w:rsidRPr="002873A4">
        <w:rPr>
          <w:rFonts w:cs="Arial"/>
        </w:rPr>
        <w:t>was</w:t>
      </w:r>
      <w:proofErr w:type="gramEnd"/>
      <w:r w:rsidRPr="002873A4">
        <w:rPr>
          <w:rFonts w:cs="Arial"/>
        </w:rPr>
        <w:t xml:space="preserve"> below 533 </w:t>
      </w:r>
      <w:proofErr w:type="spellStart"/>
      <w:r w:rsidRPr="002873A4">
        <w:rPr>
          <w:rFonts w:cs="Arial"/>
        </w:rPr>
        <w:t>Mdth</w:t>
      </w:r>
      <w:proofErr w:type="spellEnd"/>
      <w:r w:rsidRPr="002873A4">
        <w:rPr>
          <w:rFonts w:cs="Arial"/>
        </w:rPr>
        <w:t xml:space="preserve"> for the 3 days during this example, the fuel would likely go toward refilling Jackson Prairie storage and would not be available for running the peaking units to generate electricity.  </w:t>
      </w:r>
    </w:p>
    <w:p w14:paraId="2342B5BD" w14:textId="77777777" w:rsidR="00AD0F38" w:rsidRPr="002873A4" w:rsidRDefault="00AD0F38" w:rsidP="002873A4">
      <w:pPr>
        <w:pStyle w:val="IRPsanstext"/>
        <w:rPr>
          <w:rFonts w:cs="Arial"/>
        </w:rPr>
      </w:pPr>
    </w:p>
    <w:p w14:paraId="5142C7A9" w14:textId="77777777" w:rsidR="00AD0F38" w:rsidRPr="002873A4" w:rsidRDefault="00AD0F38" w:rsidP="002873A4">
      <w:pPr>
        <w:pStyle w:val="IRPsanstext"/>
        <w:rPr>
          <w:rFonts w:cs="Arial"/>
        </w:rPr>
      </w:pPr>
      <w:r w:rsidRPr="002873A4">
        <w:rPr>
          <w:rFonts w:cs="Arial"/>
        </w:rPr>
        <w:br w:type="page"/>
      </w:r>
    </w:p>
    <w:p w14:paraId="09F27A7C" w14:textId="77777777" w:rsidR="00AD0F38" w:rsidRPr="00BE330B" w:rsidRDefault="00AD0F38" w:rsidP="00BF0D28">
      <w:pPr>
        <w:spacing w:after="120"/>
        <w:jc w:val="center"/>
        <w:rPr>
          <w:rFonts w:ascii="Arial" w:hAnsi="Arial"/>
          <w:i/>
          <w:sz w:val="20"/>
          <w:szCs w:val="20"/>
        </w:rPr>
      </w:pPr>
      <w:r w:rsidRPr="00BE330B">
        <w:rPr>
          <w:rFonts w:ascii="Arial" w:hAnsi="Arial"/>
          <w:i/>
          <w:sz w:val="20"/>
          <w:szCs w:val="20"/>
        </w:rPr>
        <w:t>Figure 6-</w:t>
      </w:r>
      <w:r>
        <w:rPr>
          <w:rFonts w:ascii="Arial" w:hAnsi="Arial"/>
          <w:i/>
          <w:sz w:val="20"/>
          <w:szCs w:val="20"/>
        </w:rPr>
        <w:t>3</w:t>
      </w:r>
      <w:r w:rsidR="00855BD7">
        <w:rPr>
          <w:rFonts w:ascii="Arial" w:hAnsi="Arial"/>
          <w:i/>
          <w:sz w:val="20"/>
          <w:szCs w:val="20"/>
        </w:rPr>
        <w:t>6</w:t>
      </w:r>
      <w:r w:rsidR="00BD62F3">
        <w:rPr>
          <w:rFonts w:ascii="Arial" w:hAnsi="Arial"/>
          <w:i/>
          <w:sz w:val="20"/>
          <w:szCs w:val="20"/>
        </w:rPr>
        <w:t>: 2021 Gas Sales Utility L</w:t>
      </w:r>
      <w:r>
        <w:rPr>
          <w:rFonts w:ascii="Arial" w:hAnsi="Arial"/>
          <w:i/>
          <w:sz w:val="20"/>
          <w:szCs w:val="20"/>
        </w:rPr>
        <w:t xml:space="preserve">oads with </w:t>
      </w:r>
      <w:proofErr w:type="gramStart"/>
      <w:r>
        <w:rPr>
          <w:rFonts w:ascii="Arial" w:hAnsi="Arial"/>
          <w:i/>
          <w:sz w:val="20"/>
          <w:szCs w:val="20"/>
        </w:rPr>
        <w:t>Winter</w:t>
      </w:r>
      <w:proofErr w:type="gramEnd"/>
      <w:r>
        <w:rPr>
          <w:rFonts w:ascii="Arial" w:hAnsi="Arial"/>
          <w:i/>
          <w:sz w:val="20"/>
          <w:szCs w:val="20"/>
        </w:rPr>
        <w:t xml:space="preserve"> 1949-1950 Weather</w:t>
      </w:r>
    </w:p>
    <w:p w14:paraId="3651A397" w14:textId="77777777" w:rsidR="00AD0F38" w:rsidRDefault="00BA7904" w:rsidP="00AD0F38">
      <w:pPr>
        <w:rPr>
          <w:rFonts w:ascii="Arial" w:hAnsi="Arial"/>
          <w:sz w:val="20"/>
          <w:szCs w:val="20"/>
        </w:rPr>
      </w:pPr>
      <w:r>
        <w:rPr>
          <w:rFonts w:ascii="Arial" w:hAnsi="Arial"/>
          <w:noProof/>
          <w:sz w:val="20"/>
          <w:szCs w:val="20"/>
          <w:lang w:eastAsia="en-US"/>
        </w:rPr>
        <mc:AlternateContent>
          <mc:Choice Requires="wps">
            <w:drawing>
              <wp:anchor distT="0" distB="0" distL="114300" distR="114300" simplePos="0" relativeHeight="251675136" behindDoc="0" locked="0" layoutInCell="1" allowOverlap="1" wp14:anchorId="1FDD8800" wp14:editId="10B73B40">
                <wp:simplePos x="0" y="0"/>
                <wp:positionH relativeFrom="column">
                  <wp:posOffset>3594735</wp:posOffset>
                </wp:positionH>
                <wp:positionV relativeFrom="paragraph">
                  <wp:posOffset>527050</wp:posOffset>
                </wp:positionV>
                <wp:extent cx="487680" cy="259080"/>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2E1996" w14:textId="77777777" w:rsidR="00BC242C" w:rsidRPr="00303A61" w:rsidRDefault="00BC242C" w:rsidP="00AD0F38">
                            <w:pPr>
                              <w:rPr>
                                <w:rFonts w:ascii="Arial" w:hAnsi="Arial" w:cs="Arial"/>
                              </w:rPr>
                            </w:pPr>
                            <w:r w:rsidRPr="00303A61">
                              <w:rPr>
                                <w:rFonts w:ascii="Arial" w:hAnsi="Arial" w:cs="Arial"/>
                              </w:rPr>
                              <w:t>10°F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93" o:spid="_x0000_s1028" type="#_x0000_t202" style="position:absolute;margin-left:283.05pt;margin-top:41.5pt;width:38.4pt;height:20.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" filled="f" stroked="f" strokeweight=".5pt">
                <v:path arrowok="t"/>
                <v:textbox>
                  <w:txbxContent>
                    <w:p w14:paraId="462E1996" w14:textId="77777777" w:rsidR="00BC242C" w:rsidRPr="00303A61" w:rsidRDefault="00BC242C" w:rsidP="00AD0F38">
                      <w:pPr>
                        <w:rPr>
                          <w:rFonts w:ascii="Arial" w:hAnsi="Arial" w:cs="Arial"/>
                        </w:rPr>
                      </w:pPr>
                      <w:r w:rsidRPr="00303A61">
                        <w:rPr>
                          <w:rFonts w:ascii="Arial" w:hAnsi="Arial" w:cs="Arial"/>
                        </w:rPr>
                        <w:t>10°F</w:t>
                      </w:r>
                    </w:p>
                  </w:txbxContent>
                </v:textbox>
              </v:shape>
            </w:pict>
          </mc:Fallback>
        </mc:AlternateContent>
      </w:r>
      <w:r>
        <w:rPr>
          <w:rFonts w:ascii="Arial" w:hAnsi="Arial"/>
          <w:noProof/>
          <w:sz w:val="20"/>
          <w:szCs w:val="20"/>
          <w:lang w:eastAsia="en-US"/>
        </w:rPr>
        <mc:AlternateContent>
          <mc:Choice Requires="wps">
            <w:drawing>
              <wp:anchor distT="0" distB="0" distL="114300" distR="114300" simplePos="0" relativeHeight="251674112" behindDoc="0" locked="0" layoutInCell="1" allowOverlap="1" wp14:anchorId="6068BDA8" wp14:editId="2D40CF74">
                <wp:simplePos x="0" y="0"/>
                <wp:positionH relativeFrom="column">
                  <wp:posOffset>2794635</wp:posOffset>
                </wp:positionH>
                <wp:positionV relativeFrom="paragraph">
                  <wp:posOffset>755650</wp:posOffset>
                </wp:positionV>
                <wp:extent cx="487680" cy="25908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E9159" w14:textId="77777777" w:rsidR="00BC242C" w:rsidRPr="00303A61" w:rsidRDefault="00BC242C" w:rsidP="00AD0F38">
                            <w:pPr>
                              <w:rPr>
                                <w:rFonts w:ascii="Arial" w:hAnsi="Arial" w:cs="Arial"/>
                              </w:rPr>
                            </w:pPr>
                            <w:r w:rsidRPr="00303A61">
                              <w:rPr>
                                <w:rFonts w:ascii="Arial" w:hAnsi="Arial" w:cs="Arial"/>
                              </w:rPr>
                              <w:t>12°F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94" o:spid="_x0000_s1029" type="#_x0000_t202" style="position:absolute;margin-left:220.05pt;margin-top:59.5pt;width:38.4pt;height:20.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" filled="f" stroked="f" strokeweight=".5pt">
                <v:path arrowok="t"/>
                <v:textbox>
                  <w:txbxContent>
                    <w:p w14:paraId="7F3E9159" w14:textId="77777777" w:rsidR="00BC242C" w:rsidRPr="00303A61" w:rsidRDefault="00BC242C" w:rsidP="00AD0F38">
                      <w:pPr>
                        <w:rPr>
                          <w:rFonts w:ascii="Arial" w:hAnsi="Arial" w:cs="Arial"/>
                        </w:rPr>
                      </w:pPr>
                      <w:r w:rsidRPr="00303A61">
                        <w:rPr>
                          <w:rFonts w:ascii="Arial" w:hAnsi="Arial" w:cs="Arial"/>
                        </w:rPr>
                        <w:t>12°F</w:t>
                      </w:r>
                    </w:p>
                  </w:txbxContent>
                </v:textbox>
              </v:shape>
            </w:pict>
          </mc:Fallback>
        </mc:AlternateContent>
      </w:r>
      <w:r>
        <w:rPr>
          <w:rFonts w:ascii="Arial" w:hAnsi="Arial"/>
          <w:noProof/>
          <w:sz w:val="20"/>
          <w:szCs w:val="20"/>
          <w:lang w:eastAsia="en-US"/>
        </w:rPr>
        <mc:AlternateContent>
          <mc:Choice Requires="wps">
            <w:drawing>
              <wp:anchor distT="0" distB="0" distL="114300" distR="114300" simplePos="0" relativeHeight="251673088" behindDoc="0" locked="0" layoutInCell="1" allowOverlap="1" wp14:anchorId="2A636936" wp14:editId="42C80ED0">
                <wp:simplePos x="0" y="0"/>
                <wp:positionH relativeFrom="column">
                  <wp:posOffset>2253615</wp:posOffset>
                </wp:positionH>
                <wp:positionV relativeFrom="paragraph">
                  <wp:posOffset>1037590</wp:posOffset>
                </wp:positionV>
                <wp:extent cx="487680" cy="259080"/>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4E5A8" w14:textId="77777777" w:rsidR="00BC242C" w:rsidRPr="00303A61" w:rsidRDefault="00BC242C" w:rsidP="00AD0F38">
                            <w:pPr>
                              <w:rPr>
                                <w:rFonts w:ascii="Arial" w:hAnsi="Arial" w:cs="Arial"/>
                              </w:rPr>
                            </w:pPr>
                            <w:r w:rsidRPr="00303A61">
                              <w:rPr>
                                <w:rFonts w:ascii="Arial" w:hAnsi="Arial" w:cs="Arial"/>
                              </w:rPr>
                              <w:t>15°F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95" o:spid="_x0000_s1030" type="#_x0000_t202" style="position:absolute;margin-left:177.45pt;margin-top:81.7pt;width:38.4pt;height:20.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" filled="f" stroked="f" strokeweight=".5pt">
                <v:path arrowok="t"/>
                <v:textbox>
                  <w:txbxContent>
                    <w:p w14:paraId="2594E5A8" w14:textId="77777777" w:rsidR="00BC242C" w:rsidRPr="00303A61" w:rsidRDefault="00BC242C" w:rsidP="00AD0F38">
                      <w:pPr>
                        <w:rPr>
                          <w:rFonts w:ascii="Arial" w:hAnsi="Arial" w:cs="Arial"/>
                        </w:rPr>
                      </w:pPr>
                      <w:r w:rsidRPr="00303A61">
                        <w:rPr>
                          <w:rFonts w:ascii="Arial" w:hAnsi="Arial" w:cs="Arial"/>
                        </w:rPr>
                        <w:t>15°F</w:t>
                      </w:r>
                    </w:p>
                  </w:txbxContent>
                </v:textbox>
              </v:shape>
            </w:pict>
          </mc:Fallback>
        </mc:AlternateContent>
      </w:r>
      <w:r w:rsidR="00AD0F38">
        <w:rPr>
          <w:rFonts w:ascii="Arial" w:hAnsi="Arial"/>
          <w:noProof/>
          <w:sz w:val="20"/>
          <w:szCs w:val="20"/>
          <w:lang w:eastAsia="en-US"/>
        </w:rPr>
        <w:drawing>
          <wp:inline distT="0" distB="0" distL="0" distR="0" wp14:anchorId="0FED255F" wp14:editId="17BF5EE4">
            <wp:extent cx="5475339" cy="4409440"/>
            <wp:effectExtent l="0" t="0" r="11430" b="10160"/>
            <wp:docPr id="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75752" cy="4409773"/>
                    </a:xfrm>
                    <a:prstGeom prst="rect">
                      <a:avLst/>
                    </a:prstGeom>
                    <a:noFill/>
                  </pic:spPr>
                </pic:pic>
              </a:graphicData>
            </a:graphic>
          </wp:inline>
        </w:drawing>
      </w:r>
    </w:p>
    <w:p w14:paraId="74FDA8B3" w14:textId="77777777" w:rsidR="00AD0F38" w:rsidRDefault="00AD0F38" w:rsidP="00AD0F38">
      <w:pPr>
        <w:spacing w:line="300" w:lineRule="auto"/>
        <w:rPr>
          <w:rFonts w:ascii="Arial" w:hAnsi="Arial"/>
          <w:sz w:val="20"/>
          <w:szCs w:val="20"/>
        </w:rPr>
      </w:pPr>
    </w:p>
    <w:p w14:paraId="423DDADB" w14:textId="77777777" w:rsidR="00AD0F38" w:rsidRDefault="00AD0F38" w:rsidP="004E5935">
      <w:pPr>
        <w:pStyle w:val="IRPsanstext"/>
        <w:rPr>
          <w:i/>
        </w:rPr>
      </w:pPr>
      <w:r w:rsidRPr="00BE330B">
        <w:t>January 1950 was the most e</w:t>
      </w:r>
      <w:r>
        <w:t xml:space="preserve">xtreme month in the data set. </w:t>
      </w:r>
      <w:r w:rsidRPr="00BE330B">
        <w:t>January 1980 (Figure 6-</w:t>
      </w:r>
      <w:r w:rsidR="00855BD7">
        <w:t>37</w:t>
      </w:r>
      <w:r w:rsidRPr="00BE330B">
        <w:t xml:space="preserve">) represents a 1-in-10 January, meaning that 1-in-10 Januaries in the data set were as cold or colder than 1980.  The January 1980 peak temperatures are </w:t>
      </w:r>
      <w:r>
        <w:t xml:space="preserve">higher </w:t>
      </w:r>
      <w:r w:rsidRPr="00BE330B">
        <w:t xml:space="preserve">than the January 1950, but the load is still above the firm pipeline capacity for much of the month, </w:t>
      </w:r>
      <w:r w:rsidR="004E5935">
        <w:t xml:space="preserve">and therefore not available to run </w:t>
      </w:r>
      <w:proofErr w:type="spellStart"/>
      <w:r w:rsidR="004E5935">
        <w:t>peakers</w:t>
      </w:r>
      <w:proofErr w:type="spellEnd"/>
      <w:r w:rsidR="004E5935">
        <w:t xml:space="preserve"> during that time.  In this example, </w:t>
      </w:r>
      <w:r w:rsidR="004E5935" w:rsidRPr="00BE330B">
        <w:t xml:space="preserve">8 days </w:t>
      </w:r>
      <w:r w:rsidR="004E5935">
        <w:t>had loads</w:t>
      </w:r>
      <w:r w:rsidR="004E5935" w:rsidRPr="00BE330B">
        <w:t xml:space="preserve"> below 533 </w:t>
      </w:r>
      <w:proofErr w:type="spellStart"/>
      <w:r w:rsidR="004E5935" w:rsidRPr="00BE330B">
        <w:t>Mdth</w:t>
      </w:r>
      <w:proofErr w:type="spellEnd"/>
      <w:r w:rsidR="004E5935">
        <w:t xml:space="preserve">/day, however </w:t>
      </w:r>
      <w:r w:rsidR="004E5935" w:rsidRPr="00BE330B">
        <w:t xml:space="preserve">some or all of </w:t>
      </w:r>
      <w:r w:rsidR="004E5935">
        <w:t xml:space="preserve">that excess volume </w:t>
      </w:r>
      <w:r w:rsidR="004E5935" w:rsidRPr="00BE330B">
        <w:t xml:space="preserve">would still go to refill storage and therefore, on those days, the fuel would not be available for running the </w:t>
      </w:r>
      <w:proofErr w:type="spellStart"/>
      <w:r w:rsidR="004E5935" w:rsidRPr="00BE330B">
        <w:t>peakers</w:t>
      </w:r>
      <w:proofErr w:type="spellEnd"/>
      <w:r w:rsidR="004E5935" w:rsidRPr="00BE330B">
        <w:t>.</w:t>
      </w:r>
    </w:p>
    <w:p w14:paraId="5A01D8E7" w14:textId="77777777" w:rsidR="00AD0F38" w:rsidRDefault="00AD0F38" w:rsidP="00AD0F38">
      <w:pPr>
        <w:jc w:val="center"/>
        <w:rPr>
          <w:rFonts w:ascii="Arial" w:hAnsi="Arial"/>
          <w:i/>
          <w:sz w:val="20"/>
          <w:szCs w:val="20"/>
        </w:rPr>
      </w:pPr>
    </w:p>
    <w:p w14:paraId="13EAEB7D" w14:textId="77777777" w:rsidR="00AD0F38" w:rsidRDefault="00AD0F38" w:rsidP="00AD0F38">
      <w:pPr>
        <w:rPr>
          <w:rFonts w:ascii="Arial" w:hAnsi="Arial"/>
          <w:i/>
          <w:sz w:val="20"/>
          <w:szCs w:val="20"/>
        </w:rPr>
      </w:pPr>
      <w:r>
        <w:rPr>
          <w:rFonts w:ascii="Arial" w:hAnsi="Arial"/>
          <w:i/>
          <w:sz w:val="20"/>
          <w:szCs w:val="20"/>
        </w:rPr>
        <w:br w:type="page"/>
      </w:r>
    </w:p>
    <w:p w14:paraId="3658DE85" w14:textId="77777777" w:rsidR="00AD0F38" w:rsidRPr="00361F40" w:rsidRDefault="00AD0F38" w:rsidP="00303A61">
      <w:pPr>
        <w:spacing w:after="120"/>
        <w:jc w:val="center"/>
        <w:rPr>
          <w:rFonts w:ascii="Arial" w:hAnsi="Arial"/>
          <w:i/>
          <w:sz w:val="20"/>
          <w:szCs w:val="20"/>
        </w:rPr>
      </w:pPr>
      <w:r w:rsidRPr="00361F40">
        <w:rPr>
          <w:rFonts w:ascii="Arial" w:hAnsi="Arial"/>
          <w:i/>
          <w:sz w:val="20"/>
          <w:szCs w:val="20"/>
        </w:rPr>
        <w:t xml:space="preserve">Figure </w:t>
      </w:r>
      <w:r>
        <w:rPr>
          <w:rFonts w:ascii="Arial" w:hAnsi="Arial"/>
          <w:i/>
          <w:sz w:val="20"/>
          <w:szCs w:val="20"/>
        </w:rPr>
        <w:t>6-</w:t>
      </w:r>
      <w:r w:rsidR="00855BD7">
        <w:rPr>
          <w:rFonts w:ascii="Arial" w:hAnsi="Arial"/>
          <w:i/>
          <w:sz w:val="20"/>
          <w:szCs w:val="20"/>
        </w:rPr>
        <w:t>37</w:t>
      </w:r>
      <w:r w:rsidR="00BD62F3">
        <w:rPr>
          <w:rFonts w:ascii="Arial" w:hAnsi="Arial"/>
          <w:i/>
          <w:sz w:val="20"/>
          <w:szCs w:val="20"/>
        </w:rPr>
        <w:t>: 2021 Gas Sales Utility L</w:t>
      </w:r>
      <w:r>
        <w:rPr>
          <w:rFonts w:ascii="Arial" w:hAnsi="Arial"/>
          <w:i/>
          <w:sz w:val="20"/>
          <w:szCs w:val="20"/>
        </w:rPr>
        <w:t xml:space="preserve">oads with </w:t>
      </w:r>
      <w:proofErr w:type="gramStart"/>
      <w:r>
        <w:rPr>
          <w:rFonts w:ascii="Arial" w:hAnsi="Arial"/>
          <w:i/>
          <w:sz w:val="20"/>
          <w:szCs w:val="20"/>
        </w:rPr>
        <w:t>Winter</w:t>
      </w:r>
      <w:proofErr w:type="gramEnd"/>
      <w:r>
        <w:rPr>
          <w:rFonts w:ascii="Arial" w:hAnsi="Arial"/>
          <w:i/>
          <w:sz w:val="20"/>
          <w:szCs w:val="20"/>
        </w:rPr>
        <w:t xml:space="preserve"> 1979-1980 Weather</w:t>
      </w:r>
    </w:p>
    <w:p w14:paraId="0A5D726E" w14:textId="77777777" w:rsidR="00AD0F38" w:rsidRPr="00BE330B" w:rsidRDefault="00BA7904" w:rsidP="00AD0F38">
      <w:pPr>
        <w:rPr>
          <w:rFonts w:ascii="Arial" w:hAnsi="Arial"/>
          <w:sz w:val="20"/>
          <w:szCs w:val="20"/>
        </w:rPr>
      </w:pPr>
      <w:r>
        <w:rPr>
          <w:rFonts w:ascii="Arial" w:hAnsi="Arial" w:cs="Arial"/>
          <w:noProof/>
          <w:sz w:val="20"/>
          <w:szCs w:val="20"/>
          <w:lang w:eastAsia="en-US"/>
        </w:rPr>
        <mc:AlternateContent>
          <mc:Choice Requires="wps">
            <w:drawing>
              <wp:anchor distT="0" distB="0" distL="114300" distR="114300" simplePos="0" relativeHeight="251677184" behindDoc="0" locked="0" layoutInCell="1" allowOverlap="1" wp14:anchorId="23A81F35" wp14:editId="03C1E795">
                <wp:simplePos x="0" y="0"/>
                <wp:positionH relativeFrom="column">
                  <wp:posOffset>3449955</wp:posOffset>
                </wp:positionH>
                <wp:positionV relativeFrom="paragraph">
                  <wp:posOffset>1410970</wp:posOffset>
                </wp:positionV>
                <wp:extent cx="487680" cy="259080"/>
                <wp:effectExtent l="0" t="0" r="0" b="0"/>
                <wp:wrapNone/>
                <wp:docPr id="4100" name="Text Box 4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31032" w14:textId="77777777" w:rsidR="00BC242C" w:rsidRPr="00303A61" w:rsidRDefault="00BC242C" w:rsidP="00AD0F38">
                            <w:pPr>
                              <w:rPr>
                                <w:rFonts w:ascii="Arial" w:hAnsi="Arial" w:cs="Arial"/>
                              </w:rPr>
                            </w:pPr>
                            <w:r w:rsidRPr="00303A61">
                              <w:rPr>
                                <w:rFonts w:ascii="Arial" w:hAnsi="Arial" w:cs="Arial"/>
                              </w:rPr>
                              <w:t>23°F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100" o:spid="_x0000_s1031" type="#_x0000_t202" style="position:absolute;margin-left:271.65pt;margin-top:111.1pt;width:38.4pt;height:20.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" filled="f" stroked="f" strokeweight=".5pt">
                <v:path arrowok="t"/>
                <v:textbox>
                  <w:txbxContent>
                    <w:p w14:paraId="61F31032" w14:textId="77777777" w:rsidR="00BC242C" w:rsidRPr="00303A61" w:rsidRDefault="00BC242C" w:rsidP="00AD0F38">
                      <w:pPr>
                        <w:rPr>
                          <w:rFonts w:ascii="Arial" w:hAnsi="Arial" w:cs="Arial"/>
                        </w:rPr>
                      </w:pPr>
                      <w:r w:rsidRPr="00303A61">
                        <w:rPr>
                          <w:rFonts w:ascii="Arial" w:hAnsi="Arial" w:cs="Arial"/>
                        </w:rPr>
                        <w:t>23°F</w:t>
                      </w:r>
                    </w:p>
                  </w:txbxContent>
                </v:textbox>
              </v:shape>
            </w:pict>
          </mc:Fallback>
        </mc:AlternateContent>
      </w:r>
      <w:r>
        <w:rPr>
          <w:rFonts w:ascii="Arial" w:hAnsi="Arial"/>
          <w:noProof/>
          <w:sz w:val="20"/>
          <w:szCs w:val="20"/>
          <w:lang w:eastAsia="en-US"/>
        </w:rPr>
        <mc:AlternateContent>
          <mc:Choice Requires="wps">
            <w:drawing>
              <wp:anchor distT="0" distB="0" distL="114300" distR="114300" simplePos="0" relativeHeight="251676160" behindDoc="0" locked="0" layoutInCell="1" allowOverlap="1" wp14:anchorId="40DE02DD" wp14:editId="2020B9EB">
                <wp:simplePos x="0" y="0"/>
                <wp:positionH relativeFrom="column">
                  <wp:posOffset>2451735</wp:posOffset>
                </wp:positionH>
                <wp:positionV relativeFrom="paragraph">
                  <wp:posOffset>1555750</wp:posOffset>
                </wp:positionV>
                <wp:extent cx="487680" cy="259080"/>
                <wp:effectExtent l="0" t="0" r="0" b="0"/>
                <wp:wrapNone/>
                <wp:docPr id="4106" name="Text Box 4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83A259" w14:textId="77777777" w:rsidR="00BC242C" w:rsidRPr="00303A61" w:rsidRDefault="00BC242C" w:rsidP="00AD0F38">
                            <w:pPr>
                              <w:rPr>
                                <w:rFonts w:ascii="Arial" w:hAnsi="Arial" w:cs="Arial"/>
                              </w:rPr>
                            </w:pPr>
                            <w:r w:rsidRPr="00303A61">
                              <w:rPr>
                                <w:rFonts w:ascii="Arial" w:hAnsi="Arial" w:cs="Arial"/>
                              </w:rPr>
                              <w:t>27°F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106" o:spid="_x0000_s1032" type="#_x0000_t202" style="position:absolute;margin-left:193.05pt;margin-top:122.5pt;width:38.4pt;height:20.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" filled="f" stroked="f" strokeweight=".5pt">
                <v:path arrowok="t"/>
                <v:textbox>
                  <w:txbxContent>
                    <w:p w14:paraId="4683A259" w14:textId="77777777" w:rsidR="00BC242C" w:rsidRPr="00303A61" w:rsidRDefault="00BC242C" w:rsidP="00AD0F38">
                      <w:pPr>
                        <w:rPr>
                          <w:rFonts w:ascii="Arial" w:hAnsi="Arial" w:cs="Arial"/>
                        </w:rPr>
                      </w:pPr>
                      <w:r w:rsidRPr="00303A61">
                        <w:rPr>
                          <w:rFonts w:ascii="Arial" w:hAnsi="Arial" w:cs="Arial"/>
                        </w:rPr>
                        <w:t>27°F</w:t>
                      </w:r>
                    </w:p>
                  </w:txbxContent>
                </v:textbox>
              </v:shape>
            </w:pict>
          </mc:Fallback>
        </mc:AlternateContent>
      </w:r>
      <w:r w:rsidR="00AD0F38">
        <w:rPr>
          <w:rFonts w:ascii="Arial" w:hAnsi="Arial"/>
          <w:noProof/>
          <w:sz w:val="20"/>
          <w:szCs w:val="20"/>
          <w:lang w:eastAsia="en-US"/>
        </w:rPr>
        <w:drawing>
          <wp:inline distT="0" distB="0" distL="0" distR="0" wp14:anchorId="228939D9" wp14:editId="057D0CA2">
            <wp:extent cx="5423535" cy="4367721"/>
            <wp:effectExtent l="0" t="0" r="12065"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23535" cy="4367721"/>
                    </a:xfrm>
                    <a:prstGeom prst="rect">
                      <a:avLst/>
                    </a:prstGeom>
                    <a:noFill/>
                  </pic:spPr>
                </pic:pic>
              </a:graphicData>
            </a:graphic>
          </wp:inline>
        </w:drawing>
      </w:r>
    </w:p>
    <w:p w14:paraId="3DFB9ED5" w14:textId="77777777" w:rsidR="00303A61" w:rsidRDefault="00303A61" w:rsidP="00303A61">
      <w:pPr>
        <w:pStyle w:val="IRPsanstext"/>
      </w:pPr>
    </w:p>
    <w:p w14:paraId="7909260B" w14:textId="77777777" w:rsidR="00AD0F38" w:rsidRDefault="00AD0F38" w:rsidP="00303A61">
      <w:pPr>
        <w:pStyle w:val="IRPsanstext"/>
      </w:pPr>
      <w:r w:rsidRPr="00BE330B">
        <w:t>A more recent and less extreme data set is January 2013 (Figure 6-</w:t>
      </w:r>
      <w:r w:rsidR="00855BD7">
        <w:t>38</w:t>
      </w:r>
      <w:r w:rsidRPr="00BE330B">
        <w:t xml:space="preserve">).  In this data set, 17 days in January were above the existing firm pipeline capacity, so on those days there would be no excess pipeline capacity for </w:t>
      </w:r>
      <w:proofErr w:type="spellStart"/>
      <w:r w:rsidRPr="00BE330B">
        <w:t>peakers</w:t>
      </w:r>
      <w:proofErr w:type="spellEnd"/>
      <w:r>
        <w:t>,</w:t>
      </w:r>
      <w:r w:rsidRPr="00BE330B">
        <w:t xml:space="preserve"> and gas from storage would be used to meet gas utility loads.  </w:t>
      </w:r>
    </w:p>
    <w:p w14:paraId="6F057DF0" w14:textId="77777777" w:rsidR="00AD0F38" w:rsidRDefault="00AD0F38" w:rsidP="00AD0F38">
      <w:pPr>
        <w:spacing w:line="300" w:lineRule="auto"/>
        <w:jc w:val="center"/>
        <w:rPr>
          <w:rFonts w:ascii="Arial" w:hAnsi="Arial"/>
          <w:i/>
          <w:sz w:val="20"/>
          <w:szCs w:val="20"/>
        </w:rPr>
      </w:pPr>
    </w:p>
    <w:p w14:paraId="40BD4976" w14:textId="77777777" w:rsidR="00AD0F38" w:rsidRDefault="00AD0F38" w:rsidP="00AD0F38">
      <w:pPr>
        <w:rPr>
          <w:rFonts w:ascii="Arial" w:hAnsi="Arial"/>
          <w:i/>
          <w:sz w:val="20"/>
          <w:szCs w:val="20"/>
        </w:rPr>
      </w:pPr>
      <w:r>
        <w:rPr>
          <w:rFonts w:ascii="Arial" w:hAnsi="Arial"/>
          <w:i/>
          <w:sz w:val="20"/>
          <w:szCs w:val="20"/>
        </w:rPr>
        <w:br w:type="page"/>
      </w:r>
    </w:p>
    <w:p w14:paraId="38B815A6" w14:textId="77777777" w:rsidR="00AD0F38" w:rsidRPr="00361F40" w:rsidRDefault="00AD0F38" w:rsidP="00303A61">
      <w:pPr>
        <w:spacing w:after="120"/>
        <w:jc w:val="center"/>
        <w:rPr>
          <w:rFonts w:ascii="Arial" w:hAnsi="Arial"/>
          <w:i/>
          <w:sz w:val="20"/>
          <w:szCs w:val="20"/>
        </w:rPr>
      </w:pPr>
      <w:r w:rsidRPr="00361F40">
        <w:rPr>
          <w:rFonts w:ascii="Arial" w:hAnsi="Arial"/>
          <w:i/>
          <w:sz w:val="20"/>
          <w:szCs w:val="20"/>
        </w:rPr>
        <w:t xml:space="preserve">Figure </w:t>
      </w:r>
      <w:r>
        <w:rPr>
          <w:rFonts w:ascii="Arial" w:hAnsi="Arial"/>
          <w:i/>
          <w:sz w:val="20"/>
          <w:szCs w:val="20"/>
        </w:rPr>
        <w:t>6-</w:t>
      </w:r>
      <w:r w:rsidR="00855BD7">
        <w:rPr>
          <w:rFonts w:ascii="Arial" w:hAnsi="Arial"/>
          <w:i/>
          <w:sz w:val="20"/>
          <w:szCs w:val="20"/>
        </w:rPr>
        <w:t>38</w:t>
      </w:r>
      <w:r w:rsidR="00BD62F3">
        <w:rPr>
          <w:rFonts w:ascii="Arial" w:hAnsi="Arial"/>
          <w:i/>
          <w:sz w:val="20"/>
          <w:szCs w:val="20"/>
        </w:rPr>
        <w:t>: 2021 Gas Sales U</w:t>
      </w:r>
      <w:r>
        <w:rPr>
          <w:rFonts w:ascii="Arial" w:hAnsi="Arial"/>
          <w:i/>
          <w:sz w:val="20"/>
          <w:szCs w:val="20"/>
        </w:rPr>
        <w:t>tility Loads with Winter 2012-2013 Weather</w:t>
      </w:r>
    </w:p>
    <w:p w14:paraId="09235CB9" w14:textId="77777777" w:rsidR="00AD0F38" w:rsidRPr="00BE330B" w:rsidRDefault="00BA7904" w:rsidP="00AD0F38">
      <w:pPr>
        <w:rPr>
          <w:rFonts w:ascii="Arial" w:hAnsi="Arial"/>
          <w:sz w:val="20"/>
          <w:szCs w:val="20"/>
        </w:rPr>
      </w:pPr>
      <w:r>
        <w:rPr>
          <w:rFonts w:ascii="Arial" w:hAnsi="Arial"/>
          <w:noProof/>
          <w:sz w:val="20"/>
          <w:szCs w:val="20"/>
          <w:lang w:eastAsia="en-US"/>
        </w:rPr>
        <mc:AlternateContent>
          <mc:Choice Requires="wps">
            <w:drawing>
              <wp:anchor distT="0" distB="0" distL="114300" distR="114300" simplePos="0" relativeHeight="251678208" behindDoc="0" locked="0" layoutInCell="1" allowOverlap="1" wp14:anchorId="295A4B51" wp14:editId="08081934">
                <wp:simplePos x="0" y="0"/>
                <wp:positionH relativeFrom="column">
                  <wp:posOffset>2680335</wp:posOffset>
                </wp:positionH>
                <wp:positionV relativeFrom="paragraph">
                  <wp:posOffset>1753870</wp:posOffset>
                </wp:positionV>
                <wp:extent cx="487680" cy="259080"/>
                <wp:effectExtent l="0" t="0" r="0" b="0"/>
                <wp:wrapNone/>
                <wp:docPr id="4108" name="Text Box 4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383C57" w14:textId="77777777" w:rsidR="00BC242C" w:rsidRPr="00303A61" w:rsidRDefault="00BC242C" w:rsidP="00AD0F38">
                            <w:pPr>
                              <w:rPr>
                                <w:rFonts w:ascii="Arial" w:hAnsi="Arial" w:cs="Arial"/>
                              </w:rPr>
                            </w:pPr>
                            <w:r w:rsidRPr="00303A61">
                              <w:rPr>
                                <w:rFonts w:ascii="Arial" w:hAnsi="Arial" w:cs="Arial"/>
                              </w:rPr>
                              <w:t>30°F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108" o:spid="_x0000_s1033" type="#_x0000_t202" style="position:absolute;margin-left:211.05pt;margin-top:138.1pt;width:38.4pt;height:20.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" filled="f" stroked="f" strokeweight=".5pt">
                <v:path arrowok="t"/>
                <v:textbox>
                  <w:txbxContent>
                    <w:p w14:paraId="3F383C57" w14:textId="77777777" w:rsidR="00BC242C" w:rsidRPr="00303A61" w:rsidRDefault="00BC242C" w:rsidP="00AD0F38">
                      <w:pPr>
                        <w:rPr>
                          <w:rFonts w:ascii="Arial" w:hAnsi="Arial" w:cs="Arial"/>
                        </w:rPr>
                      </w:pPr>
                      <w:r w:rsidRPr="00303A61">
                        <w:rPr>
                          <w:rFonts w:ascii="Arial" w:hAnsi="Arial" w:cs="Arial"/>
                        </w:rPr>
                        <w:t>30°F</w:t>
                      </w:r>
                    </w:p>
                  </w:txbxContent>
                </v:textbox>
              </v:shape>
            </w:pict>
          </mc:Fallback>
        </mc:AlternateContent>
      </w:r>
      <w:r w:rsidR="00AD0F38">
        <w:rPr>
          <w:rFonts w:ascii="Arial" w:hAnsi="Arial"/>
          <w:noProof/>
          <w:sz w:val="20"/>
          <w:szCs w:val="20"/>
          <w:lang w:eastAsia="en-US"/>
        </w:rPr>
        <w:drawing>
          <wp:inline distT="0" distB="0" distL="0" distR="0" wp14:anchorId="39BB8AE6" wp14:editId="6ACC7D6F">
            <wp:extent cx="5423535" cy="4367721"/>
            <wp:effectExtent l="0" t="0" r="12065" b="127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23535" cy="4367721"/>
                    </a:xfrm>
                    <a:prstGeom prst="rect">
                      <a:avLst/>
                    </a:prstGeom>
                    <a:noFill/>
                  </pic:spPr>
                </pic:pic>
              </a:graphicData>
            </a:graphic>
          </wp:inline>
        </w:drawing>
      </w:r>
    </w:p>
    <w:p w14:paraId="2CA8C966" w14:textId="77777777" w:rsidR="00AD0F38" w:rsidRDefault="00AD0F38" w:rsidP="00AD0F38">
      <w:pPr>
        <w:spacing w:line="300" w:lineRule="auto"/>
        <w:rPr>
          <w:rFonts w:ascii="Arial" w:hAnsi="Arial"/>
          <w:sz w:val="20"/>
          <w:szCs w:val="20"/>
        </w:rPr>
      </w:pPr>
    </w:p>
    <w:p w14:paraId="62431DA0" w14:textId="77777777" w:rsidR="00AD0F38" w:rsidRDefault="00AD0F38" w:rsidP="00303A61">
      <w:pPr>
        <w:pStyle w:val="IRPsanstext"/>
      </w:pPr>
      <w:r w:rsidRPr="00BE330B">
        <w:t xml:space="preserve">When loads are above the existing firm pipeline capacity (533 </w:t>
      </w:r>
      <w:proofErr w:type="spellStart"/>
      <w:r w:rsidRPr="00BE330B">
        <w:t>Mdth</w:t>
      </w:r>
      <w:proofErr w:type="spellEnd"/>
      <w:r>
        <w:t xml:space="preserve"> per day</w:t>
      </w:r>
      <w:r w:rsidRPr="00BE330B">
        <w:t xml:space="preserve">) there is no excess pipeline capacity for </w:t>
      </w:r>
      <w:proofErr w:type="spellStart"/>
      <w:r w:rsidRPr="00BE330B">
        <w:t>peakers</w:t>
      </w:r>
      <w:proofErr w:type="spellEnd"/>
      <w:r w:rsidRPr="00BE330B">
        <w:t xml:space="preserve"> and some or all of storage capacity is used to meet gas utility loads.  When loads are below 533 </w:t>
      </w:r>
      <w:proofErr w:type="spellStart"/>
      <w:r w:rsidRPr="00BE330B">
        <w:t>Mdth</w:t>
      </w:r>
      <w:proofErr w:type="spellEnd"/>
      <w:r>
        <w:t xml:space="preserve"> per day</w:t>
      </w:r>
      <w:r w:rsidRPr="00BE330B">
        <w:t xml:space="preserve"> in the winter some or all of </w:t>
      </w:r>
      <w:r w:rsidR="004E5935">
        <w:t xml:space="preserve">the excess </w:t>
      </w:r>
      <w:r w:rsidRPr="00BE330B">
        <w:t xml:space="preserve">volume is being used to refill storage, depending on how storage volume </w:t>
      </w:r>
      <w:r w:rsidR="004E5935">
        <w:t xml:space="preserve">that </w:t>
      </w:r>
      <w:r w:rsidRPr="00BE330B">
        <w:t xml:space="preserve">has been used, the monthly ending target for storage volume, and the </w:t>
      </w:r>
      <w:proofErr w:type="gramStart"/>
      <w:r w:rsidRPr="00BE330B">
        <w:t>short term</w:t>
      </w:r>
      <w:proofErr w:type="gramEnd"/>
      <w:r w:rsidRPr="00BE330B">
        <w:t xml:space="preserve"> weather forecast is.  In more mild years some or all of this volume may be available to fuel the peaking units.  </w:t>
      </w:r>
    </w:p>
    <w:p w14:paraId="43D47F95" w14:textId="77777777" w:rsidR="00AD0F38" w:rsidRPr="00BE330B" w:rsidRDefault="00AD0F38" w:rsidP="00303A61">
      <w:pPr>
        <w:pStyle w:val="IRPsanstext"/>
      </w:pPr>
    </w:p>
    <w:p w14:paraId="4A2F45A7" w14:textId="77777777" w:rsidR="00AD0F38" w:rsidRPr="00BE330B" w:rsidRDefault="00AD0F38" w:rsidP="00303A61">
      <w:pPr>
        <w:pStyle w:val="IRPsanstext"/>
      </w:pPr>
      <w:r w:rsidRPr="00BE330B">
        <w:t xml:space="preserve">Therefore, there are times that the electric utility cannot rely on </w:t>
      </w:r>
      <w:r>
        <w:t xml:space="preserve">surplus </w:t>
      </w:r>
      <w:r w:rsidRPr="00BE330B">
        <w:t>gas supply for fuel for generation.  These times are typically during cold weather events in the winter w</w:t>
      </w:r>
      <w:r w:rsidR="00855BD7">
        <w:t xml:space="preserve">hen the gas supply is peaking. </w:t>
      </w:r>
      <w:proofErr w:type="spellStart"/>
      <w:r w:rsidRPr="00BE330B">
        <w:t>Peakers</w:t>
      </w:r>
      <w:proofErr w:type="spellEnd"/>
      <w:r w:rsidRPr="00BE330B">
        <w:t xml:space="preserve"> are likely needed on cold days when there are peaks in the gas need.</w:t>
      </w:r>
    </w:p>
    <w:p w14:paraId="128FFF4C" w14:textId="77777777" w:rsidR="00AD0F38" w:rsidRDefault="00AD0F38" w:rsidP="00303A61">
      <w:pPr>
        <w:pStyle w:val="IRPsanstext"/>
        <w:rPr>
          <w:rFonts w:cs="Arial"/>
          <w:b/>
          <w:caps/>
        </w:rPr>
      </w:pPr>
    </w:p>
    <w:p w14:paraId="3941C21A" w14:textId="77777777" w:rsidR="00303A61" w:rsidRDefault="00303A61">
      <w:pPr>
        <w:rPr>
          <w:rFonts w:ascii="Arial" w:hAnsi="Arial" w:cs="Arial"/>
          <w:b/>
          <w:caps/>
          <w:sz w:val="20"/>
          <w:szCs w:val="20"/>
        </w:rPr>
      </w:pPr>
      <w:r>
        <w:rPr>
          <w:rFonts w:cs="Arial"/>
          <w:b/>
          <w:caps/>
        </w:rPr>
        <w:br w:type="page"/>
      </w:r>
    </w:p>
    <w:p w14:paraId="2AC041D4" w14:textId="77777777" w:rsidR="005B2826" w:rsidRDefault="00303A61" w:rsidP="00303A61">
      <w:pPr>
        <w:pStyle w:val="IRPsanstext"/>
        <w:rPr>
          <w:b/>
          <w:caps/>
        </w:rPr>
      </w:pPr>
      <w:r w:rsidRPr="0067369A">
        <w:rPr>
          <w:b/>
          <w:caps/>
        </w:rPr>
        <w:t xml:space="preserve">Review </w:t>
      </w:r>
      <w:proofErr w:type="gramStart"/>
      <w:r w:rsidRPr="0067369A">
        <w:rPr>
          <w:b/>
          <w:caps/>
        </w:rPr>
        <w:t>of</w:t>
      </w:r>
      <w:proofErr w:type="gramEnd"/>
      <w:r w:rsidRPr="0067369A">
        <w:rPr>
          <w:b/>
          <w:caps/>
        </w:rPr>
        <w:t xml:space="preserve"> 2021 Peaker Generation modeled </w:t>
      </w:r>
    </w:p>
    <w:p w14:paraId="2CAA2873" w14:textId="77777777" w:rsidR="00166809" w:rsidRDefault="00303A61" w:rsidP="00303A61">
      <w:pPr>
        <w:pStyle w:val="IRPsanstext"/>
        <w:rPr>
          <w:b/>
          <w:caps/>
        </w:rPr>
      </w:pPr>
      <w:r w:rsidRPr="0067369A">
        <w:rPr>
          <w:b/>
          <w:caps/>
        </w:rPr>
        <w:t>to meet gas sales during peak winter months</w:t>
      </w:r>
    </w:p>
    <w:p w14:paraId="16DE93BB" w14:textId="77777777" w:rsidR="00330C7B" w:rsidRPr="005B2826" w:rsidRDefault="00330C7B" w:rsidP="00303A61">
      <w:pPr>
        <w:pStyle w:val="IRPsanstext"/>
        <w:rPr>
          <w:b/>
          <w:caps/>
        </w:rPr>
      </w:pPr>
    </w:p>
    <w:p w14:paraId="73D61923" w14:textId="77777777" w:rsidR="00AD0F38" w:rsidRDefault="00AD0F38" w:rsidP="00303A61">
      <w:pPr>
        <w:pStyle w:val="IRPsanstext"/>
      </w:pPr>
      <w:r>
        <w:t xml:space="preserve">Having established that PSE’s electric utility should not rely on non-firm fuel supply for extended periods in the winter, we turned our attention to whether existing oil inventories were sufficient.  To examine this question, we used PSE’s RAM to do a comparative sensitivity analysis.  We started with a baseline case </w:t>
      </w:r>
      <w:r w:rsidR="004E5935">
        <w:t xml:space="preserve">that included the </w:t>
      </w:r>
      <w:proofErr w:type="spellStart"/>
      <w:r w:rsidR="004E5935">
        <w:t>peakers</w:t>
      </w:r>
      <w:proofErr w:type="spellEnd"/>
      <w:r w:rsidR="004E5935">
        <w:t xml:space="preserve"> in the </w:t>
      </w:r>
      <w:r>
        <w:t xml:space="preserve">RAM, subject to the base forced outage rates and all other assumptions.  The winter </w:t>
      </w:r>
      <w:proofErr w:type="spellStart"/>
      <w:r>
        <w:t>unserved</w:t>
      </w:r>
      <w:proofErr w:type="spellEnd"/>
      <w:r>
        <w:t xml:space="preserve"> energy in </w:t>
      </w:r>
      <w:proofErr w:type="spellStart"/>
      <w:r>
        <w:t>MWh</w:t>
      </w:r>
      <w:proofErr w:type="spellEnd"/>
      <w:r>
        <w:t xml:space="preserve"> was calculated in each of 6,160 simulations. We then performed another case, where all the dual-fuel</w:t>
      </w:r>
      <w:r w:rsidR="004E5935">
        <w:t>e</w:t>
      </w:r>
      <w:r>
        <w:t xml:space="preserve">d </w:t>
      </w:r>
      <w:proofErr w:type="spellStart"/>
      <w:r>
        <w:t>peakers</w:t>
      </w:r>
      <w:proofErr w:type="spellEnd"/>
      <w:r>
        <w:t xml:space="preserve"> were excluded, and again calculated the </w:t>
      </w:r>
      <w:proofErr w:type="spellStart"/>
      <w:r>
        <w:t>MWh</w:t>
      </w:r>
      <w:proofErr w:type="spellEnd"/>
      <w:r>
        <w:t xml:space="preserve"> of </w:t>
      </w:r>
      <w:proofErr w:type="spellStart"/>
      <w:r>
        <w:t>unserved</w:t>
      </w:r>
      <w:proofErr w:type="spellEnd"/>
      <w:r>
        <w:t xml:space="preserve"> energy in each of 6,160 simulations. The additional </w:t>
      </w:r>
      <w:proofErr w:type="spellStart"/>
      <w:r>
        <w:t>MWh</w:t>
      </w:r>
      <w:proofErr w:type="spellEnd"/>
      <w:r>
        <w:t xml:space="preserve"> of </w:t>
      </w:r>
      <w:proofErr w:type="spellStart"/>
      <w:r>
        <w:t>unserved</w:t>
      </w:r>
      <w:proofErr w:type="spellEnd"/>
      <w:r>
        <w:t xml:space="preserve"> energy represents the number of </w:t>
      </w:r>
      <w:proofErr w:type="spellStart"/>
      <w:r>
        <w:t>MWh</w:t>
      </w:r>
      <w:proofErr w:type="spellEnd"/>
      <w:r>
        <w:t xml:space="preserve">, by simulation, the </w:t>
      </w:r>
      <w:proofErr w:type="spellStart"/>
      <w:r>
        <w:t>peakers</w:t>
      </w:r>
      <w:proofErr w:type="spellEnd"/>
      <w:r>
        <w:t xml:space="preserve"> are needed to meet load across the entire winter.  In this analysis, the only difference is inclusion of the dual-fuel </w:t>
      </w:r>
      <w:proofErr w:type="spellStart"/>
      <w:r>
        <w:t>peakers</w:t>
      </w:r>
      <w:proofErr w:type="spellEnd"/>
      <w:r>
        <w:t xml:space="preserve">. Therefore, we can compare the </w:t>
      </w:r>
      <w:proofErr w:type="spellStart"/>
      <w:r>
        <w:t>MWh</w:t>
      </w:r>
      <w:proofErr w:type="spellEnd"/>
      <w:r>
        <w:t xml:space="preserve"> needed with the </w:t>
      </w:r>
      <w:proofErr w:type="spellStart"/>
      <w:r>
        <w:t>MWh</w:t>
      </w:r>
      <w:proofErr w:type="spellEnd"/>
      <w:r>
        <w:t xml:space="preserve"> that could be generated with 48-hours of oil supply in the tanks.</w:t>
      </w:r>
    </w:p>
    <w:p w14:paraId="778F5A5C" w14:textId="77777777" w:rsidR="00AD0F38" w:rsidRDefault="00AD0F38" w:rsidP="00303A61">
      <w:pPr>
        <w:pStyle w:val="IRPsanstext"/>
      </w:pPr>
    </w:p>
    <w:p w14:paraId="518A64FF" w14:textId="77777777" w:rsidR="00AD0F38" w:rsidRDefault="00AD0F38" w:rsidP="00303A61">
      <w:pPr>
        <w:pStyle w:val="IRPsanstext"/>
      </w:pPr>
      <w:r>
        <w:t>Figure 6-</w:t>
      </w:r>
      <w:r w:rsidR="00855BD7">
        <w:t>39</w:t>
      </w:r>
      <w:r>
        <w:t xml:space="preserve"> illustrates that the </w:t>
      </w:r>
      <w:proofErr w:type="spellStart"/>
      <w:r>
        <w:t>peakers</w:t>
      </w:r>
      <w:proofErr w:type="spellEnd"/>
      <w:r>
        <w:t xml:space="preserve"> are needed for reliability purposes in many simulations.  However, the chart also illustrates 48-hours of oil inventory is sufficient to cover all but five of the 6,160 simulations.  This analysis is conservative, in that it does not provide for the ability to refill the oil tanks at any time throughout the winter – the inventory </w:t>
      </w:r>
      <w:proofErr w:type="gramStart"/>
      <w:r>
        <w:t>is assumed to be fixed</w:t>
      </w:r>
      <w:proofErr w:type="gramEnd"/>
      <w:r>
        <w:t>. Results of</w:t>
      </w:r>
      <w:r w:rsidR="00AA05FF">
        <w:t xml:space="preserve"> this analysis demonstrate that</w:t>
      </w:r>
      <w:r>
        <w:t xml:space="preserve"> backup fuel for the existing units is sufficient. This analysis is not directly applicable to new </w:t>
      </w:r>
      <w:proofErr w:type="spellStart"/>
      <w:r>
        <w:t>peakers</w:t>
      </w:r>
      <w:proofErr w:type="spellEnd"/>
      <w:r>
        <w:t xml:space="preserve">, but does provide important insights. That conclusion will be driven by whether backup fuel can be permitted at a specific location and by the maximum run hours allowed. We now have a framework for analyzing whether new </w:t>
      </w:r>
      <w:proofErr w:type="spellStart"/>
      <w:r>
        <w:t>peakers</w:t>
      </w:r>
      <w:proofErr w:type="spellEnd"/>
      <w:r>
        <w:t xml:space="preserve"> with backup fuel will need firm pipeline capacity.    </w:t>
      </w:r>
    </w:p>
    <w:p w14:paraId="455161EE" w14:textId="77777777" w:rsidR="00AD0F38" w:rsidRDefault="00AD0F38" w:rsidP="00303A61">
      <w:pPr>
        <w:pStyle w:val="IRPsanstext"/>
        <w:rPr>
          <w:i/>
        </w:rPr>
      </w:pPr>
    </w:p>
    <w:p w14:paraId="5E26B263" w14:textId="77777777" w:rsidR="00303A61" w:rsidRDefault="00303A61">
      <w:pPr>
        <w:rPr>
          <w:rFonts w:ascii="Arial" w:hAnsi="Arial"/>
          <w:i/>
          <w:sz w:val="20"/>
          <w:szCs w:val="20"/>
        </w:rPr>
      </w:pPr>
      <w:r>
        <w:rPr>
          <w:rFonts w:ascii="Arial" w:hAnsi="Arial"/>
          <w:i/>
          <w:sz w:val="20"/>
          <w:szCs w:val="20"/>
        </w:rPr>
        <w:br w:type="page"/>
      </w:r>
    </w:p>
    <w:p w14:paraId="0D967262" w14:textId="77777777" w:rsidR="00AD0F38" w:rsidRPr="00DB599A" w:rsidRDefault="00AD0F38" w:rsidP="00303A61">
      <w:pPr>
        <w:spacing w:after="120" w:line="300" w:lineRule="auto"/>
        <w:jc w:val="center"/>
        <w:rPr>
          <w:rFonts w:ascii="Arial" w:hAnsi="Arial"/>
          <w:i/>
          <w:sz w:val="20"/>
          <w:szCs w:val="20"/>
        </w:rPr>
      </w:pPr>
      <w:r w:rsidRPr="00DB599A">
        <w:rPr>
          <w:rFonts w:ascii="Arial" w:hAnsi="Arial"/>
          <w:i/>
          <w:sz w:val="20"/>
          <w:szCs w:val="20"/>
        </w:rPr>
        <w:t>Figure 6-</w:t>
      </w:r>
      <w:r w:rsidR="00855BD7">
        <w:rPr>
          <w:rFonts w:ascii="Arial" w:hAnsi="Arial"/>
          <w:i/>
          <w:sz w:val="20"/>
          <w:szCs w:val="20"/>
        </w:rPr>
        <w:t>39</w:t>
      </w:r>
      <w:r w:rsidRPr="00DB599A">
        <w:rPr>
          <w:rFonts w:ascii="Arial" w:hAnsi="Arial"/>
          <w:i/>
          <w:sz w:val="20"/>
          <w:szCs w:val="20"/>
        </w:rPr>
        <w:t>: Back-up Fuel for Existing Dual Fuel Units</w:t>
      </w:r>
    </w:p>
    <w:p w14:paraId="5FAEDB16" w14:textId="77777777" w:rsidR="00AD0F38" w:rsidRDefault="00AD0F38" w:rsidP="00AD0F38">
      <w:pPr>
        <w:rPr>
          <w:rFonts w:ascii="Arial" w:hAnsi="Arial"/>
          <w:sz w:val="20"/>
          <w:szCs w:val="20"/>
        </w:rPr>
      </w:pPr>
      <w:r>
        <w:rPr>
          <w:noProof/>
          <w:lang w:eastAsia="en-US"/>
        </w:rPr>
        <w:drawing>
          <wp:inline distT="0" distB="0" distL="0" distR="0" wp14:anchorId="41F4EA09" wp14:editId="6BC32585">
            <wp:extent cx="5380152" cy="3304540"/>
            <wp:effectExtent l="0" t="0" r="508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80152" cy="3304540"/>
                    </a:xfrm>
                    <a:prstGeom prst="rect">
                      <a:avLst/>
                    </a:prstGeom>
                    <a:noFill/>
                    <a:ln>
                      <a:noFill/>
                    </a:ln>
                    <a:effectLst/>
                    <a:extLst/>
                  </pic:spPr>
                </pic:pic>
              </a:graphicData>
            </a:graphic>
          </wp:inline>
        </w:drawing>
      </w:r>
    </w:p>
    <w:p w14:paraId="5217D1C1" w14:textId="77777777" w:rsidR="00AD0F38" w:rsidRPr="00303A61" w:rsidRDefault="00AD0F38" w:rsidP="00303A61">
      <w:pPr>
        <w:pStyle w:val="IRPsanstext"/>
        <w:rPr>
          <w:rFonts w:cs="Arial"/>
          <w:sz w:val="32"/>
          <w:szCs w:val="32"/>
        </w:rPr>
      </w:pPr>
      <w:r>
        <w:rPr>
          <w:sz w:val="32"/>
        </w:rPr>
        <w:br w:type="page"/>
      </w:r>
      <w:r w:rsidRPr="00303A61">
        <w:rPr>
          <w:rFonts w:cs="Arial"/>
          <w:sz w:val="32"/>
          <w:szCs w:val="32"/>
        </w:rPr>
        <w:t xml:space="preserve">F. Energy Storage and Flexibility </w:t>
      </w:r>
    </w:p>
    <w:p w14:paraId="76D6AF21" w14:textId="77777777" w:rsidR="00303A61" w:rsidRPr="00303A61" w:rsidRDefault="00303A61" w:rsidP="00303A61">
      <w:pPr>
        <w:pStyle w:val="IRPsanstext"/>
        <w:rPr>
          <w:rFonts w:cs="Arial"/>
        </w:rPr>
      </w:pPr>
    </w:p>
    <w:p w14:paraId="250972E9" w14:textId="77777777" w:rsidR="00C0184B" w:rsidRPr="00195216" w:rsidRDefault="00AD0F38" w:rsidP="00195216">
      <w:pPr>
        <w:pStyle w:val="IRPsanstext"/>
        <w:rPr>
          <w:b/>
        </w:rPr>
      </w:pPr>
      <w:r w:rsidRPr="00195216">
        <w:rPr>
          <w:b/>
        </w:rPr>
        <w:t xml:space="preserve">What is the cost difference between a portfolio with and without energy </w:t>
      </w:r>
      <w:proofErr w:type="gramStart"/>
      <w:r w:rsidRPr="00195216">
        <w:rPr>
          <w:b/>
        </w:rPr>
        <w:t>storage.</w:t>
      </w:r>
      <w:proofErr w:type="gramEnd"/>
      <w:r w:rsidRPr="00195216">
        <w:rPr>
          <w:b/>
        </w:rPr>
        <w:t xml:space="preserve"> How do energy storage resources impact system flexibility? </w:t>
      </w:r>
    </w:p>
    <w:p w14:paraId="768A1A1A" w14:textId="77777777" w:rsidR="00AD0F38" w:rsidRPr="00195216" w:rsidRDefault="00AD0F38" w:rsidP="00195216">
      <w:pPr>
        <w:pStyle w:val="IRPsanstext"/>
        <w:ind w:left="720"/>
        <w:rPr>
          <w:b/>
        </w:rPr>
      </w:pPr>
      <w:r w:rsidRPr="00195216">
        <w:rPr>
          <w:b/>
        </w:rPr>
        <w:t xml:space="preserve">Baseline: Batteries chosen only if analysis selects them as lowest economic cost. </w:t>
      </w:r>
    </w:p>
    <w:p w14:paraId="2B183FE6" w14:textId="77777777" w:rsidR="00AD0F38" w:rsidRPr="00195216" w:rsidRDefault="00AD0F38" w:rsidP="00195216">
      <w:pPr>
        <w:pStyle w:val="IRPsanstext"/>
        <w:ind w:left="720"/>
        <w:rPr>
          <w:b/>
        </w:rPr>
      </w:pPr>
      <w:r w:rsidRPr="00195216">
        <w:rPr>
          <w:b/>
        </w:rPr>
        <w:t xml:space="preserve">Sensitivity 1: Add 80 MW </w:t>
      </w:r>
      <w:proofErr w:type="gramStart"/>
      <w:r w:rsidRPr="00195216">
        <w:rPr>
          <w:b/>
        </w:rPr>
        <w:t>battery</w:t>
      </w:r>
      <w:proofErr w:type="gramEnd"/>
      <w:r w:rsidRPr="00195216">
        <w:rPr>
          <w:b/>
        </w:rPr>
        <w:t xml:space="preserve"> in 2023 instead of economically chosen </w:t>
      </w:r>
      <w:proofErr w:type="spellStart"/>
      <w:r w:rsidRPr="00195216">
        <w:rPr>
          <w:b/>
        </w:rPr>
        <w:t>peaker</w:t>
      </w:r>
      <w:proofErr w:type="spellEnd"/>
      <w:r w:rsidRPr="00195216">
        <w:rPr>
          <w:b/>
        </w:rPr>
        <w:t xml:space="preserve">. </w:t>
      </w:r>
    </w:p>
    <w:p w14:paraId="5C58161F" w14:textId="77777777" w:rsidR="00AD0F38" w:rsidRPr="00195216" w:rsidRDefault="00AD0F38" w:rsidP="00195216">
      <w:pPr>
        <w:pStyle w:val="IRPsanstext"/>
        <w:ind w:left="720"/>
        <w:rPr>
          <w:b/>
        </w:rPr>
      </w:pPr>
      <w:r w:rsidRPr="00195216">
        <w:rPr>
          <w:b/>
        </w:rPr>
        <w:t xml:space="preserve">Sensitivity 2: Add 80 MW pumped hydro storage in 2023 instead of economically chosen </w:t>
      </w:r>
      <w:proofErr w:type="spellStart"/>
      <w:r w:rsidRPr="00195216">
        <w:rPr>
          <w:b/>
        </w:rPr>
        <w:t>peaker</w:t>
      </w:r>
      <w:proofErr w:type="spellEnd"/>
      <w:r w:rsidRPr="00195216">
        <w:rPr>
          <w:b/>
        </w:rPr>
        <w:t xml:space="preserve">. </w:t>
      </w:r>
    </w:p>
    <w:p w14:paraId="3A558C9D" w14:textId="77777777" w:rsidR="00AD0F38" w:rsidRPr="00195216" w:rsidRDefault="00AD0F38" w:rsidP="00195216">
      <w:pPr>
        <w:pStyle w:val="IRPsanstext"/>
        <w:ind w:left="720"/>
        <w:rPr>
          <w:b/>
        </w:rPr>
      </w:pPr>
      <w:r w:rsidRPr="00195216">
        <w:rPr>
          <w:b/>
        </w:rPr>
        <w:t xml:space="preserve">Sensitivity 3: Add 200 MW of pumped hydro storage in 2023 instead of economically chosen </w:t>
      </w:r>
      <w:proofErr w:type="spellStart"/>
      <w:r w:rsidRPr="00195216">
        <w:rPr>
          <w:b/>
        </w:rPr>
        <w:t>peaker</w:t>
      </w:r>
      <w:proofErr w:type="spellEnd"/>
      <w:r w:rsidRPr="00195216">
        <w:rPr>
          <w:b/>
        </w:rPr>
        <w:t xml:space="preserve">. </w:t>
      </w:r>
    </w:p>
    <w:p w14:paraId="7F002558" w14:textId="77777777" w:rsidR="00AD0F38" w:rsidRPr="00303A61" w:rsidRDefault="00AD0F38" w:rsidP="00303A61">
      <w:pPr>
        <w:pStyle w:val="IRPsanstext"/>
        <w:rPr>
          <w:rFonts w:cs="Arial"/>
        </w:rPr>
      </w:pPr>
    </w:p>
    <w:p w14:paraId="43A597A8" w14:textId="77777777" w:rsidR="00AD0F38" w:rsidRPr="00303A61" w:rsidRDefault="00AD0F38" w:rsidP="00303A61">
      <w:pPr>
        <w:pStyle w:val="IRPsanstext"/>
        <w:rPr>
          <w:rFonts w:cs="Arial"/>
        </w:rPr>
      </w:pPr>
      <w:r w:rsidRPr="00303A61">
        <w:rPr>
          <w:rFonts w:cs="Arial"/>
        </w:rPr>
        <w:t xml:space="preserve">The optimal portfolio in the 2015 IRP Base Scenario added an 80 MW battery in 2035, the final year of the study period, primarily because it was the right size needed for the price; when additional resources are first needed starting in 2021, most scenarios we analyzed added frame </w:t>
      </w:r>
      <w:proofErr w:type="spellStart"/>
      <w:r w:rsidRPr="00303A61">
        <w:rPr>
          <w:rFonts w:cs="Arial"/>
        </w:rPr>
        <w:t>peakers</w:t>
      </w:r>
      <w:proofErr w:type="spellEnd"/>
      <w:r w:rsidRPr="00303A61">
        <w:rPr>
          <w:rFonts w:cs="Arial"/>
        </w:rPr>
        <w:t xml:space="preserve"> in that year. This sensitivity analysis explores two energy storage alternatives to that selection, batteries and pumped hydro.  The first year additional resources are needed according to the 2015 IRP Base Scenario demand forecast and 2013 planning standard is in 2023</w:t>
      </w:r>
      <w:r w:rsidRPr="00303A61">
        <w:rPr>
          <w:rFonts w:cs="Arial"/>
          <w:color w:val="3366FF"/>
        </w:rPr>
        <w:t>.</w:t>
      </w:r>
      <w:r w:rsidRPr="00303A61">
        <w:rPr>
          <w:rFonts w:cs="Arial"/>
        </w:rPr>
        <w:t xml:space="preserve"> </w:t>
      </w:r>
    </w:p>
    <w:p w14:paraId="42B7D715" w14:textId="77777777" w:rsidR="00AD0F38" w:rsidRPr="00303A61" w:rsidRDefault="00AD0F38" w:rsidP="00303A61">
      <w:pPr>
        <w:pStyle w:val="IRPsanstext"/>
        <w:rPr>
          <w:rFonts w:cs="Arial"/>
        </w:rPr>
      </w:pPr>
    </w:p>
    <w:p w14:paraId="21C30C4F" w14:textId="77777777" w:rsidR="00AD0F38" w:rsidRPr="00303A61" w:rsidRDefault="00AD0F38" w:rsidP="00303A61">
      <w:pPr>
        <w:pStyle w:val="IRPsanstext"/>
        <w:rPr>
          <w:rFonts w:cs="Arial"/>
          <w:color w:val="3366FF"/>
        </w:rPr>
      </w:pPr>
      <w:r w:rsidRPr="00303A61">
        <w:rPr>
          <w:rFonts w:cs="Arial"/>
          <w:b/>
          <w:color w:val="156570"/>
          <w:sz w:val="28"/>
          <w:szCs w:val="28"/>
        </w:rPr>
        <w:t>Pumped Storage.</w:t>
      </w:r>
      <w:r w:rsidRPr="00303A61">
        <w:rPr>
          <w:rFonts w:cs="Arial"/>
          <w:color w:val="3366FF"/>
        </w:rPr>
        <w:t xml:space="preserve"> </w:t>
      </w:r>
      <w:r w:rsidRPr="00303A61">
        <w:rPr>
          <w:rFonts w:cs="Arial"/>
        </w:rPr>
        <w:t xml:space="preserve">Pumped hydro is a proven storage technology: however, the facilities are very expensive to build and may have controversial environmental impacts. They also have extensive permitting processes and require sites with specific topologic and/or geologic characteristics. </w:t>
      </w:r>
    </w:p>
    <w:p w14:paraId="52BBF7B5" w14:textId="77777777" w:rsidR="00AD0F38" w:rsidRPr="00303A61" w:rsidRDefault="00AD0F38" w:rsidP="00303A61">
      <w:pPr>
        <w:pStyle w:val="IRPsanstext"/>
        <w:rPr>
          <w:rFonts w:cs="Arial"/>
        </w:rPr>
      </w:pPr>
    </w:p>
    <w:p w14:paraId="101ABFC3" w14:textId="77777777" w:rsidR="00AD0F38" w:rsidRPr="00303A61" w:rsidRDefault="00AD0F38" w:rsidP="00303A61">
      <w:pPr>
        <w:pStyle w:val="IRPsanstext"/>
        <w:rPr>
          <w:rFonts w:cs="Arial"/>
        </w:rPr>
      </w:pPr>
      <w:r w:rsidRPr="00303A61">
        <w:rPr>
          <w:rFonts w:cs="Arial"/>
        </w:rPr>
        <w:t xml:space="preserve">The </w:t>
      </w:r>
      <w:hyperlink r:id="rId67" w:history="1">
        <w:r w:rsidRPr="00303A61">
          <w:rPr>
            <w:rFonts w:cs="Arial"/>
          </w:rPr>
          <w:t>assumed overnight cost</w:t>
        </w:r>
      </w:hyperlink>
      <w:r w:rsidRPr="00303A61">
        <w:rPr>
          <w:rFonts w:cs="Arial"/>
        </w:rPr>
        <w:t xml:space="preserve"> to construct pumped storage is $2,400 per kW in 2014 dollars as compared to $896 per kW for a frame </w:t>
      </w:r>
      <w:proofErr w:type="spellStart"/>
      <w:r w:rsidRPr="00303A61">
        <w:rPr>
          <w:rFonts w:cs="Arial"/>
        </w:rPr>
        <w:t>peaker</w:t>
      </w:r>
      <w:proofErr w:type="spellEnd"/>
      <w:r w:rsidRPr="00303A61">
        <w:rPr>
          <w:rFonts w:cs="Arial"/>
        </w:rPr>
        <w:t xml:space="preserve">. The analysis assumes no benefit for ancillary services.  Pumped storage projects are usually very large, so realistically PSE would have to partner with other owners for a share of the project. </w:t>
      </w:r>
      <w:r w:rsidR="00DF1BA5">
        <w:rPr>
          <w:rFonts w:cs="Arial"/>
        </w:rPr>
        <w:t xml:space="preserve">For example, the proposed JD Pool pumped storage hydro project in </w:t>
      </w:r>
      <w:r w:rsidR="00D32FB9">
        <w:rPr>
          <w:rFonts w:cs="Arial"/>
        </w:rPr>
        <w:t>southern Washington</w:t>
      </w:r>
      <w:r w:rsidR="00DF1BA5">
        <w:rPr>
          <w:rFonts w:cs="Arial"/>
        </w:rPr>
        <w:t xml:space="preserve"> is estimated to be 1,500 MW.  </w:t>
      </w:r>
      <w:r w:rsidRPr="00303A61">
        <w:rPr>
          <w:rFonts w:cs="Arial"/>
        </w:rPr>
        <w:t>The analysis tested two sizes of pumped storage, 80 MW and 200 MW, adding them in 2023. As shown in Figure 6-</w:t>
      </w:r>
      <w:r w:rsidR="00855BD7">
        <w:rPr>
          <w:rFonts w:cs="Arial"/>
        </w:rPr>
        <w:t>40</w:t>
      </w:r>
      <w:r w:rsidRPr="00303A61">
        <w:rPr>
          <w:rFonts w:cs="Arial"/>
        </w:rPr>
        <w:t xml:space="preserve">, 80 MW of pumped storage would increase portfolio cost by $200 million, and 200 MW of pumped storage would increase it by $638 million. </w:t>
      </w:r>
    </w:p>
    <w:p w14:paraId="6D3B499E" w14:textId="77777777" w:rsidR="00AD0F38" w:rsidRPr="00303A61" w:rsidRDefault="00AD0F38" w:rsidP="00303A61">
      <w:pPr>
        <w:pStyle w:val="IRPsanstext"/>
        <w:rPr>
          <w:rFonts w:cs="Arial"/>
        </w:rPr>
      </w:pPr>
    </w:p>
    <w:p w14:paraId="168431EE" w14:textId="77777777" w:rsidR="00303A61" w:rsidRDefault="00303A61">
      <w:pPr>
        <w:rPr>
          <w:rFonts w:ascii="Arial" w:hAnsi="Arial" w:cs="Arial"/>
          <w:color w:val="3366FF"/>
          <w:sz w:val="20"/>
          <w:szCs w:val="20"/>
        </w:rPr>
      </w:pPr>
      <w:r>
        <w:rPr>
          <w:rFonts w:cs="Arial"/>
          <w:color w:val="3366FF"/>
        </w:rPr>
        <w:br w:type="page"/>
      </w:r>
    </w:p>
    <w:p w14:paraId="687C30EE" w14:textId="77777777" w:rsidR="00AD0F38" w:rsidRPr="00303A61" w:rsidRDefault="00AD0F38" w:rsidP="00303A61">
      <w:pPr>
        <w:pStyle w:val="IRPsanstext"/>
        <w:rPr>
          <w:rFonts w:cs="Arial"/>
          <w:color w:val="3366FF"/>
        </w:rPr>
      </w:pPr>
      <w:r w:rsidRPr="00303A61">
        <w:rPr>
          <w:rFonts w:cs="Arial"/>
          <w:b/>
          <w:color w:val="156570"/>
          <w:sz w:val="28"/>
          <w:szCs w:val="28"/>
        </w:rPr>
        <w:t>Batteries.</w:t>
      </w:r>
      <w:r w:rsidRPr="00303A61">
        <w:rPr>
          <w:rFonts w:cs="Arial"/>
          <w:color w:val="3366FF"/>
        </w:rPr>
        <w:t xml:space="preserve"> </w:t>
      </w:r>
      <w:r w:rsidRPr="00303A61">
        <w:rPr>
          <w:rFonts w:cs="Arial"/>
        </w:rPr>
        <w:t xml:space="preserve">Historically, electricity is consumed immediately after it is created. The emergence of a new generation of advanced </w:t>
      </w:r>
      <w:proofErr w:type="gramStart"/>
      <w:r w:rsidRPr="00303A61">
        <w:rPr>
          <w:rFonts w:cs="Arial"/>
        </w:rPr>
        <w:t>batteries which</w:t>
      </w:r>
      <w:proofErr w:type="gramEnd"/>
      <w:r w:rsidRPr="00303A61">
        <w:rPr>
          <w:rFonts w:cs="Arial"/>
        </w:rPr>
        <w:t xml:space="preserve"> allow for storage on the grid has led to the first instances of large-scale energy storage for the electric distribution network. Batteries can also provide ancillary services such as spinning reserves and frequency regulation, along with peak capacity. </w:t>
      </w:r>
    </w:p>
    <w:p w14:paraId="7F6E0082" w14:textId="77777777" w:rsidR="00AD0F38" w:rsidRPr="00303A61" w:rsidRDefault="00AD0F38" w:rsidP="00303A61">
      <w:pPr>
        <w:pStyle w:val="IRPsanstext"/>
        <w:rPr>
          <w:rFonts w:cs="Arial"/>
        </w:rPr>
      </w:pPr>
    </w:p>
    <w:p w14:paraId="3A168A91" w14:textId="77777777" w:rsidR="00AD0F38" w:rsidRPr="00303A61" w:rsidRDefault="00AD0F38" w:rsidP="00303A61">
      <w:pPr>
        <w:pStyle w:val="IRPsanstext"/>
        <w:rPr>
          <w:rFonts w:cs="Arial"/>
        </w:rPr>
      </w:pPr>
      <w:r w:rsidRPr="00303A61">
        <w:rPr>
          <w:rFonts w:cs="Arial"/>
        </w:rPr>
        <w:t xml:space="preserve">Batteries were chosen in the deterministic portfolio for the Base Scenario in 2035 due to how they fit into the portfolio in the very last year of the peak capacity calculation. This sensitivity forces a battery into the portfolio build in 2023 that could provide 2 hours of maximum capacity at 80 MW. For purposes of the analysis, batteries are assumed to provide 100 percent peak capacity credit. Forcing the 80 MW </w:t>
      </w:r>
      <w:proofErr w:type="gramStart"/>
      <w:r w:rsidRPr="00303A61">
        <w:rPr>
          <w:rFonts w:cs="Arial"/>
        </w:rPr>
        <w:t>battery</w:t>
      </w:r>
      <w:proofErr w:type="gramEnd"/>
      <w:r w:rsidRPr="00303A61">
        <w:rPr>
          <w:rFonts w:cs="Arial"/>
        </w:rPr>
        <w:t xml:space="preserve"> into the portfolio build at 2023 increased the portfolio cost by $97 million. Batteries would have to provide $150 per kW in flexibility to match the optimal portfolio in the Base Scenario, which is above what would be deemed reasonable.  As part of the operational flexibility analysis, batteries have a benefit of $99.52 per </w:t>
      </w:r>
      <w:proofErr w:type="gramStart"/>
      <w:r w:rsidRPr="00303A61">
        <w:rPr>
          <w:rFonts w:cs="Arial"/>
        </w:rPr>
        <w:t>kw</w:t>
      </w:r>
      <w:proofErr w:type="gramEnd"/>
      <w:r w:rsidRPr="00303A61">
        <w:rPr>
          <w:rFonts w:cs="Arial"/>
        </w:rPr>
        <w:t xml:space="preserve"> per year.</w:t>
      </w:r>
    </w:p>
    <w:p w14:paraId="0DCEA296" w14:textId="77777777" w:rsidR="00AD0F38" w:rsidRPr="00303A61" w:rsidRDefault="00AD0F38" w:rsidP="00303A61">
      <w:pPr>
        <w:pStyle w:val="IRPsanstext"/>
        <w:rPr>
          <w:rFonts w:cs="Arial"/>
        </w:rPr>
      </w:pPr>
    </w:p>
    <w:p w14:paraId="4B401A06" w14:textId="77777777" w:rsidR="006632C4" w:rsidRPr="00303A61" w:rsidRDefault="00AD0F38" w:rsidP="00166809">
      <w:pPr>
        <w:pStyle w:val="IRPsanstext"/>
        <w:spacing w:after="120"/>
        <w:jc w:val="center"/>
        <w:rPr>
          <w:rFonts w:cs="Arial"/>
          <w:i/>
        </w:rPr>
      </w:pPr>
      <w:r w:rsidRPr="00303A61">
        <w:rPr>
          <w:rFonts w:cs="Arial"/>
          <w:i/>
        </w:rPr>
        <w:t>Figure 6-</w:t>
      </w:r>
      <w:r w:rsidR="00855BD7">
        <w:rPr>
          <w:rFonts w:cs="Arial"/>
          <w:i/>
        </w:rPr>
        <w:t>40</w:t>
      </w:r>
      <w:r w:rsidRPr="00303A61">
        <w:rPr>
          <w:rFonts w:cs="Arial"/>
          <w:i/>
        </w:rPr>
        <w:t>: Battery and Pumped Storage Portfolio Cost</w:t>
      </w:r>
    </w:p>
    <w:tbl>
      <w:tblPr>
        <w:tblW w:w="8308" w:type="dxa"/>
        <w:jc w:val="center"/>
        <w:tblInd w:w="152" w:type="dxa"/>
        <w:tblLook w:val="04A0" w:firstRow="1" w:lastRow="0" w:firstColumn="1" w:lastColumn="0" w:noHBand="0" w:noVBand="1"/>
      </w:tblPr>
      <w:tblGrid>
        <w:gridCol w:w="5104"/>
        <w:gridCol w:w="1890"/>
        <w:gridCol w:w="1314"/>
      </w:tblGrid>
      <w:tr w:rsidR="006632C4" w:rsidRPr="00B956D8" w14:paraId="4B4017D6" w14:textId="77777777">
        <w:trPr>
          <w:trHeight w:val="232"/>
          <w:jc w:val="center"/>
        </w:trPr>
        <w:tc>
          <w:tcPr>
            <w:tcW w:w="5104" w:type="dxa"/>
            <w:tcBorders>
              <w:top w:val="single" w:sz="4" w:space="0" w:color="auto"/>
              <w:left w:val="single" w:sz="4" w:space="0" w:color="auto"/>
              <w:bottom w:val="single" w:sz="8" w:space="0" w:color="auto"/>
              <w:right w:val="single" w:sz="4" w:space="0" w:color="auto"/>
            </w:tcBorders>
            <w:shd w:val="clear" w:color="auto" w:fill="006A71"/>
            <w:vAlign w:val="center"/>
          </w:tcPr>
          <w:p w14:paraId="75334798" w14:textId="77777777" w:rsidR="006632C4" w:rsidRPr="00B956D8" w:rsidRDefault="006632C4" w:rsidP="00A06060">
            <w:pPr>
              <w:pStyle w:val="IRPsanstext"/>
              <w:rPr>
                <w:rFonts w:cs="Arial"/>
                <w:b/>
                <w:bCs/>
                <w:color w:val="FFFFFF"/>
              </w:rPr>
            </w:pPr>
          </w:p>
        </w:tc>
        <w:tc>
          <w:tcPr>
            <w:tcW w:w="1890" w:type="dxa"/>
            <w:tcBorders>
              <w:top w:val="single" w:sz="4" w:space="0" w:color="auto"/>
              <w:left w:val="single" w:sz="4" w:space="0" w:color="auto"/>
              <w:bottom w:val="single" w:sz="8" w:space="0" w:color="auto"/>
              <w:right w:val="single" w:sz="4" w:space="0" w:color="auto"/>
            </w:tcBorders>
            <w:shd w:val="clear" w:color="auto" w:fill="006A71"/>
            <w:vAlign w:val="center"/>
          </w:tcPr>
          <w:p w14:paraId="4B4E963E" w14:textId="77777777" w:rsidR="006632C4" w:rsidRPr="00B956D8" w:rsidRDefault="006632C4" w:rsidP="00A06060">
            <w:pPr>
              <w:pStyle w:val="IRPsanstext"/>
              <w:jc w:val="center"/>
              <w:rPr>
                <w:rFonts w:cs="Arial"/>
                <w:b/>
                <w:bCs/>
                <w:color w:val="FFFFFF"/>
              </w:rPr>
            </w:pPr>
            <w:r>
              <w:rPr>
                <w:rFonts w:cs="Arial"/>
                <w:b/>
                <w:bCs/>
                <w:color w:val="FFFFFF"/>
              </w:rPr>
              <w:t>NPV Portfolio Cost ($Millions</w:t>
            </w:r>
            <w:r w:rsidR="003742A6">
              <w:rPr>
                <w:rFonts w:cs="Arial"/>
                <w:b/>
                <w:bCs/>
                <w:color w:val="FFFFFF"/>
              </w:rPr>
              <w:t>)</w:t>
            </w:r>
          </w:p>
        </w:tc>
        <w:tc>
          <w:tcPr>
            <w:tcW w:w="1314" w:type="dxa"/>
            <w:tcBorders>
              <w:top w:val="single" w:sz="4" w:space="0" w:color="auto"/>
              <w:left w:val="single" w:sz="4" w:space="0" w:color="auto"/>
              <w:bottom w:val="single" w:sz="8" w:space="0" w:color="auto"/>
              <w:right w:val="single" w:sz="4" w:space="0" w:color="auto"/>
            </w:tcBorders>
            <w:shd w:val="clear" w:color="auto" w:fill="006A71"/>
          </w:tcPr>
          <w:p w14:paraId="20E6A476" w14:textId="77777777" w:rsidR="006632C4" w:rsidRPr="00B956D8" w:rsidRDefault="006632C4" w:rsidP="00A06060">
            <w:pPr>
              <w:pStyle w:val="IRPsanstext"/>
              <w:jc w:val="center"/>
              <w:rPr>
                <w:rFonts w:cs="Arial"/>
                <w:b/>
                <w:bCs/>
                <w:color w:val="FFFFFF"/>
              </w:rPr>
            </w:pPr>
            <w:r>
              <w:rPr>
                <w:rFonts w:cs="Arial"/>
                <w:b/>
                <w:bCs/>
                <w:color w:val="FFFFFF"/>
              </w:rPr>
              <w:t>Difference from Base</w:t>
            </w:r>
          </w:p>
        </w:tc>
      </w:tr>
      <w:tr w:rsidR="006632C4" w:rsidRPr="00B956D8" w14:paraId="33A9D5F5" w14:textId="77777777">
        <w:trPr>
          <w:trHeight w:hRule="exact" w:val="110"/>
          <w:jc w:val="center"/>
        </w:trPr>
        <w:tc>
          <w:tcPr>
            <w:tcW w:w="6994" w:type="dxa"/>
            <w:gridSpan w:val="2"/>
            <w:tcBorders>
              <w:top w:val="nil"/>
              <w:left w:val="single" w:sz="4" w:space="0" w:color="auto"/>
              <w:bottom w:val="single" w:sz="8" w:space="0" w:color="auto"/>
              <w:right w:val="single" w:sz="4" w:space="0" w:color="auto"/>
            </w:tcBorders>
            <w:shd w:val="clear" w:color="auto" w:fill="808080"/>
            <w:vAlign w:val="center"/>
          </w:tcPr>
          <w:p w14:paraId="74DF45D4" w14:textId="77777777" w:rsidR="006632C4" w:rsidRPr="00B956D8" w:rsidRDefault="006632C4" w:rsidP="00A06060">
            <w:pPr>
              <w:pStyle w:val="IRPsanstext"/>
              <w:rPr>
                <w:rFonts w:cs="Arial"/>
              </w:rPr>
            </w:pPr>
          </w:p>
        </w:tc>
        <w:tc>
          <w:tcPr>
            <w:tcW w:w="1314" w:type="dxa"/>
            <w:tcBorders>
              <w:top w:val="nil"/>
              <w:left w:val="single" w:sz="4" w:space="0" w:color="auto"/>
              <w:bottom w:val="single" w:sz="8" w:space="0" w:color="auto"/>
              <w:right w:val="single" w:sz="4" w:space="0" w:color="auto"/>
            </w:tcBorders>
            <w:shd w:val="clear" w:color="auto" w:fill="808080"/>
          </w:tcPr>
          <w:p w14:paraId="3486D518" w14:textId="77777777" w:rsidR="006632C4" w:rsidRPr="00B956D8" w:rsidRDefault="006632C4" w:rsidP="00A06060">
            <w:pPr>
              <w:pStyle w:val="IRPsanstext"/>
              <w:rPr>
                <w:rFonts w:cs="Arial"/>
              </w:rPr>
            </w:pPr>
          </w:p>
        </w:tc>
      </w:tr>
      <w:tr w:rsidR="006632C4" w:rsidRPr="00B956D8" w14:paraId="17937B41" w14:textId="77777777">
        <w:trPr>
          <w:trHeight w:val="205"/>
          <w:jc w:val="center"/>
        </w:trPr>
        <w:tc>
          <w:tcPr>
            <w:tcW w:w="5104" w:type="dxa"/>
            <w:tcBorders>
              <w:top w:val="nil"/>
              <w:left w:val="single" w:sz="4" w:space="0" w:color="auto"/>
              <w:bottom w:val="single" w:sz="8" w:space="0" w:color="auto"/>
              <w:right w:val="single" w:sz="4" w:space="0" w:color="auto"/>
            </w:tcBorders>
            <w:shd w:val="clear" w:color="auto" w:fill="auto"/>
            <w:vAlign w:val="center"/>
          </w:tcPr>
          <w:p w14:paraId="1581E27C" w14:textId="77777777" w:rsidR="006632C4" w:rsidRPr="003742A6" w:rsidRDefault="006632C4" w:rsidP="00A06060">
            <w:pPr>
              <w:pStyle w:val="IRPsanstext"/>
              <w:rPr>
                <w:rFonts w:cs="Arial"/>
                <w:vertAlign w:val="superscript"/>
              </w:rPr>
            </w:pPr>
            <w:r>
              <w:rPr>
                <w:rFonts w:cs="Arial"/>
              </w:rPr>
              <w:t>Base</w:t>
            </w:r>
            <w:r w:rsidR="003742A6">
              <w:rPr>
                <w:rFonts w:cs="Arial"/>
              </w:rPr>
              <w:t xml:space="preserve"> Portfolio</w:t>
            </w:r>
            <w:r w:rsidR="003742A6">
              <w:rPr>
                <w:rFonts w:cs="Arial"/>
                <w:vertAlign w:val="superscript"/>
              </w:rPr>
              <w:t>1</w:t>
            </w:r>
          </w:p>
        </w:tc>
        <w:tc>
          <w:tcPr>
            <w:tcW w:w="1890" w:type="dxa"/>
            <w:tcBorders>
              <w:top w:val="nil"/>
              <w:left w:val="single" w:sz="4" w:space="0" w:color="auto"/>
              <w:bottom w:val="single" w:sz="8" w:space="0" w:color="auto"/>
              <w:right w:val="single" w:sz="4" w:space="0" w:color="auto"/>
            </w:tcBorders>
            <w:shd w:val="clear" w:color="auto" w:fill="auto"/>
            <w:vAlign w:val="center"/>
          </w:tcPr>
          <w:p w14:paraId="32DA77A7" w14:textId="77777777" w:rsidR="006632C4" w:rsidRPr="00B956D8" w:rsidRDefault="006632C4" w:rsidP="006632C4">
            <w:pPr>
              <w:pStyle w:val="IRPsanstext"/>
              <w:jc w:val="center"/>
              <w:rPr>
                <w:rFonts w:cs="Arial"/>
              </w:rPr>
            </w:pPr>
            <w:r>
              <w:rPr>
                <w:rFonts w:cs="Arial"/>
              </w:rPr>
              <w:t>12,277</w:t>
            </w:r>
          </w:p>
        </w:tc>
        <w:tc>
          <w:tcPr>
            <w:tcW w:w="1314" w:type="dxa"/>
            <w:tcBorders>
              <w:top w:val="nil"/>
              <w:left w:val="single" w:sz="4" w:space="0" w:color="auto"/>
              <w:bottom w:val="single" w:sz="8" w:space="0" w:color="auto"/>
              <w:right w:val="single" w:sz="4" w:space="0" w:color="auto"/>
            </w:tcBorders>
          </w:tcPr>
          <w:p w14:paraId="022D1BE3" w14:textId="77777777" w:rsidR="006632C4" w:rsidRPr="00B956D8" w:rsidRDefault="006632C4" w:rsidP="006632C4">
            <w:pPr>
              <w:pStyle w:val="IRPsanstext"/>
              <w:jc w:val="center"/>
              <w:rPr>
                <w:rFonts w:cs="Arial"/>
              </w:rPr>
            </w:pPr>
          </w:p>
        </w:tc>
      </w:tr>
      <w:tr w:rsidR="006632C4" w:rsidRPr="00B956D8" w14:paraId="5E1E2F65" w14:textId="77777777">
        <w:trPr>
          <w:trHeight w:val="205"/>
          <w:jc w:val="center"/>
        </w:trPr>
        <w:tc>
          <w:tcPr>
            <w:tcW w:w="5104" w:type="dxa"/>
            <w:tcBorders>
              <w:top w:val="nil"/>
              <w:left w:val="single" w:sz="4" w:space="0" w:color="auto"/>
              <w:bottom w:val="single" w:sz="8" w:space="0" w:color="auto"/>
              <w:right w:val="single" w:sz="4" w:space="0" w:color="auto"/>
            </w:tcBorders>
            <w:shd w:val="clear" w:color="auto" w:fill="auto"/>
            <w:vAlign w:val="center"/>
          </w:tcPr>
          <w:p w14:paraId="0FEC3167" w14:textId="77777777" w:rsidR="006632C4" w:rsidRPr="00B956D8" w:rsidRDefault="006632C4" w:rsidP="00A06060">
            <w:pPr>
              <w:pStyle w:val="IRPsanstext"/>
              <w:rPr>
                <w:rFonts w:cs="Arial"/>
              </w:rPr>
            </w:pPr>
            <w:r>
              <w:rPr>
                <w:rFonts w:cs="Arial"/>
              </w:rPr>
              <w:t>80 MW Pumped Storage in 2023</w:t>
            </w:r>
          </w:p>
        </w:tc>
        <w:tc>
          <w:tcPr>
            <w:tcW w:w="1890" w:type="dxa"/>
            <w:tcBorders>
              <w:top w:val="nil"/>
              <w:left w:val="single" w:sz="4" w:space="0" w:color="auto"/>
              <w:bottom w:val="single" w:sz="8" w:space="0" w:color="auto"/>
              <w:right w:val="single" w:sz="4" w:space="0" w:color="auto"/>
            </w:tcBorders>
            <w:shd w:val="clear" w:color="auto" w:fill="auto"/>
            <w:vAlign w:val="center"/>
          </w:tcPr>
          <w:p w14:paraId="732FFD27" w14:textId="77777777" w:rsidR="006632C4" w:rsidRPr="00B956D8" w:rsidRDefault="006632C4" w:rsidP="006632C4">
            <w:pPr>
              <w:pStyle w:val="IRPsanstext"/>
              <w:jc w:val="center"/>
              <w:rPr>
                <w:rFonts w:cs="Arial"/>
              </w:rPr>
            </w:pPr>
            <w:r>
              <w:rPr>
                <w:rFonts w:cs="Arial"/>
              </w:rPr>
              <w:t>12,478</w:t>
            </w:r>
          </w:p>
        </w:tc>
        <w:tc>
          <w:tcPr>
            <w:tcW w:w="1314" w:type="dxa"/>
            <w:tcBorders>
              <w:top w:val="nil"/>
              <w:left w:val="single" w:sz="4" w:space="0" w:color="auto"/>
              <w:bottom w:val="single" w:sz="8" w:space="0" w:color="auto"/>
              <w:right w:val="single" w:sz="4" w:space="0" w:color="auto"/>
            </w:tcBorders>
          </w:tcPr>
          <w:p w14:paraId="130FBEFA" w14:textId="77777777" w:rsidR="006632C4" w:rsidRPr="00B956D8" w:rsidRDefault="006632C4" w:rsidP="006632C4">
            <w:pPr>
              <w:pStyle w:val="IRPsanstext"/>
              <w:jc w:val="center"/>
              <w:rPr>
                <w:rFonts w:cs="Arial"/>
              </w:rPr>
            </w:pPr>
            <w:r>
              <w:rPr>
                <w:rFonts w:cs="Arial"/>
              </w:rPr>
              <w:t>201</w:t>
            </w:r>
          </w:p>
        </w:tc>
      </w:tr>
      <w:tr w:rsidR="006632C4" w:rsidRPr="00B956D8" w14:paraId="1C5E3852" w14:textId="77777777">
        <w:trPr>
          <w:trHeight w:val="205"/>
          <w:jc w:val="center"/>
        </w:trPr>
        <w:tc>
          <w:tcPr>
            <w:tcW w:w="5104" w:type="dxa"/>
            <w:tcBorders>
              <w:top w:val="nil"/>
              <w:left w:val="single" w:sz="4" w:space="0" w:color="auto"/>
              <w:bottom w:val="single" w:sz="8" w:space="0" w:color="auto"/>
              <w:right w:val="single" w:sz="4" w:space="0" w:color="auto"/>
            </w:tcBorders>
            <w:shd w:val="clear" w:color="auto" w:fill="auto"/>
            <w:vAlign w:val="center"/>
          </w:tcPr>
          <w:p w14:paraId="470D26D5" w14:textId="77777777" w:rsidR="006632C4" w:rsidRPr="00B956D8" w:rsidRDefault="006632C4" w:rsidP="00A06060">
            <w:pPr>
              <w:pStyle w:val="IRPsanstext"/>
              <w:rPr>
                <w:rFonts w:cs="Arial"/>
              </w:rPr>
            </w:pPr>
            <w:r>
              <w:rPr>
                <w:rFonts w:cs="Arial"/>
              </w:rPr>
              <w:t>200 MW Pumped Storage in 2023</w:t>
            </w:r>
          </w:p>
        </w:tc>
        <w:tc>
          <w:tcPr>
            <w:tcW w:w="1890" w:type="dxa"/>
            <w:tcBorders>
              <w:top w:val="nil"/>
              <w:left w:val="single" w:sz="4" w:space="0" w:color="auto"/>
              <w:bottom w:val="single" w:sz="8" w:space="0" w:color="auto"/>
              <w:right w:val="single" w:sz="4" w:space="0" w:color="auto"/>
            </w:tcBorders>
            <w:shd w:val="clear" w:color="auto" w:fill="auto"/>
            <w:vAlign w:val="center"/>
          </w:tcPr>
          <w:p w14:paraId="5E979DDB" w14:textId="77777777" w:rsidR="006632C4" w:rsidRPr="00B956D8" w:rsidRDefault="006632C4" w:rsidP="006632C4">
            <w:pPr>
              <w:pStyle w:val="IRPsanstext"/>
              <w:jc w:val="center"/>
              <w:rPr>
                <w:rFonts w:cs="Arial"/>
              </w:rPr>
            </w:pPr>
            <w:r>
              <w:rPr>
                <w:rFonts w:cs="Arial"/>
              </w:rPr>
              <w:t>12,915</w:t>
            </w:r>
          </w:p>
        </w:tc>
        <w:tc>
          <w:tcPr>
            <w:tcW w:w="1314" w:type="dxa"/>
            <w:tcBorders>
              <w:top w:val="nil"/>
              <w:left w:val="single" w:sz="4" w:space="0" w:color="auto"/>
              <w:bottom w:val="single" w:sz="8" w:space="0" w:color="auto"/>
              <w:right w:val="single" w:sz="4" w:space="0" w:color="auto"/>
            </w:tcBorders>
          </w:tcPr>
          <w:p w14:paraId="798FCAA6" w14:textId="77777777" w:rsidR="006632C4" w:rsidRPr="00B956D8" w:rsidRDefault="006632C4" w:rsidP="006632C4">
            <w:pPr>
              <w:pStyle w:val="IRPsanstext"/>
              <w:jc w:val="center"/>
              <w:rPr>
                <w:rFonts w:cs="Arial"/>
              </w:rPr>
            </w:pPr>
            <w:r>
              <w:rPr>
                <w:rFonts w:cs="Arial"/>
              </w:rPr>
              <w:t>638</w:t>
            </w:r>
          </w:p>
        </w:tc>
      </w:tr>
      <w:tr w:rsidR="006632C4" w:rsidRPr="00B956D8" w14:paraId="7524CED9" w14:textId="77777777">
        <w:trPr>
          <w:trHeight w:val="205"/>
          <w:jc w:val="center"/>
        </w:trPr>
        <w:tc>
          <w:tcPr>
            <w:tcW w:w="5104" w:type="dxa"/>
            <w:tcBorders>
              <w:top w:val="single" w:sz="8" w:space="0" w:color="auto"/>
              <w:left w:val="single" w:sz="4" w:space="0" w:color="auto"/>
              <w:bottom w:val="single" w:sz="4" w:space="0" w:color="auto"/>
              <w:right w:val="single" w:sz="4" w:space="0" w:color="auto"/>
            </w:tcBorders>
            <w:shd w:val="clear" w:color="auto" w:fill="auto"/>
            <w:vAlign w:val="center"/>
          </w:tcPr>
          <w:p w14:paraId="65A3588F" w14:textId="77777777" w:rsidR="006632C4" w:rsidRPr="00B956D8" w:rsidRDefault="006632C4" w:rsidP="00A06060">
            <w:pPr>
              <w:pStyle w:val="IRPsanstext"/>
              <w:rPr>
                <w:rFonts w:cs="Arial"/>
              </w:rPr>
            </w:pPr>
            <w:r>
              <w:rPr>
                <w:rFonts w:cs="Arial"/>
              </w:rPr>
              <w:t>80 MW Batteries in 2023</w:t>
            </w:r>
          </w:p>
        </w:tc>
        <w:tc>
          <w:tcPr>
            <w:tcW w:w="1890" w:type="dxa"/>
            <w:tcBorders>
              <w:top w:val="single" w:sz="8" w:space="0" w:color="auto"/>
              <w:left w:val="single" w:sz="4" w:space="0" w:color="auto"/>
              <w:bottom w:val="single" w:sz="4" w:space="0" w:color="auto"/>
              <w:right w:val="single" w:sz="4" w:space="0" w:color="auto"/>
            </w:tcBorders>
            <w:shd w:val="clear" w:color="auto" w:fill="auto"/>
            <w:vAlign w:val="center"/>
          </w:tcPr>
          <w:p w14:paraId="46895DAF" w14:textId="77777777" w:rsidR="006632C4" w:rsidRPr="00B956D8" w:rsidRDefault="006632C4" w:rsidP="006632C4">
            <w:pPr>
              <w:pStyle w:val="IRPsanstext"/>
              <w:jc w:val="center"/>
              <w:rPr>
                <w:rFonts w:cs="Arial"/>
              </w:rPr>
            </w:pPr>
            <w:r>
              <w:rPr>
                <w:rFonts w:cs="Arial"/>
              </w:rPr>
              <w:t>12,374</w:t>
            </w:r>
          </w:p>
        </w:tc>
        <w:tc>
          <w:tcPr>
            <w:tcW w:w="1314" w:type="dxa"/>
            <w:tcBorders>
              <w:top w:val="single" w:sz="8" w:space="0" w:color="auto"/>
              <w:left w:val="single" w:sz="4" w:space="0" w:color="auto"/>
              <w:bottom w:val="single" w:sz="4" w:space="0" w:color="auto"/>
              <w:right w:val="single" w:sz="4" w:space="0" w:color="auto"/>
            </w:tcBorders>
          </w:tcPr>
          <w:p w14:paraId="1EDBE675" w14:textId="77777777" w:rsidR="006632C4" w:rsidRPr="00B956D8" w:rsidRDefault="006632C4" w:rsidP="006632C4">
            <w:pPr>
              <w:pStyle w:val="IRPsanstext"/>
              <w:jc w:val="center"/>
              <w:rPr>
                <w:rFonts w:cs="Arial"/>
              </w:rPr>
            </w:pPr>
            <w:r>
              <w:rPr>
                <w:rFonts w:cs="Arial"/>
              </w:rPr>
              <w:t>97</w:t>
            </w:r>
          </w:p>
        </w:tc>
      </w:tr>
      <w:tr w:rsidR="006632C4" w:rsidRPr="00B956D8" w14:paraId="729E4A7D" w14:textId="77777777">
        <w:trPr>
          <w:trHeight w:val="205"/>
          <w:jc w:val="center"/>
        </w:trPr>
        <w:tc>
          <w:tcPr>
            <w:tcW w:w="5104" w:type="dxa"/>
            <w:tcBorders>
              <w:top w:val="single" w:sz="4" w:space="0" w:color="auto"/>
              <w:left w:val="single" w:sz="4" w:space="0" w:color="auto"/>
              <w:bottom w:val="single" w:sz="8" w:space="0" w:color="auto"/>
              <w:right w:val="single" w:sz="4" w:space="0" w:color="auto"/>
            </w:tcBorders>
            <w:shd w:val="clear" w:color="auto" w:fill="auto"/>
            <w:vAlign w:val="center"/>
          </w:tcPr>
          <w:p w14:paraId="20204B74" w14:textId="77777777" w:rsidR="006632C4" w:rsidRPr="00B956D8" w:rsidRDefault="006632C4" w:rsidP="00A06060">
            <w:pPr>
              <w:pStyle w:val="IRPsanstext"/>
              <w:rPr>
                <w:rFonts w:cs="Arial"/>
              </w:rPr>
            </w:pPr>
            <w:r>
              <w:rPr>
                <w:rFonts w:cs="Arial"/>
              </w:rPr>
              <w:t>80 MW Batteries in 2023 wi</w:t>
            </w:r>
            <w:r w:rsidR="003742A6">
              <w:rPr>
                <w:rFonts w:cs="Arial"/>
              </w:rPr>
              <w:t>th $150/kw-</w:t>
            </w:r>
            <w:proofErr w:type="spellStart"/>
            <w:r w:rsidR="003742A6">
              <w:rPr>
                <w:rFonts w:cs="Arial"/>
              </w:rPr>
              <w:t>yr</w:t>
            </w:r>
            <w:proofErr w:type="spellEnd"/>
            <w:r w:rsidR="003742A6">
              <w:rPr>
                <w:rFonts w:cs="Arial"/>
              </w:rPr>
              <w:t xml:space="preserve"> Flexibility Value</w:t>
            </w:r>
            <w:r w:rsidR="003742A6" w:rsidRPr="003742A6">
              <w:rPr>
                <w:rFonts w:cs="Arial"/>
                <w:vertAlign w:val="superscript"/>
              </w:rPr>
              <w:t>2</w:t>
            </w:r>
          </w:p>
        </w:tc>
        <w:tc>
          <w:tcPr>
            <w:tcW w:w="1890" w:type="dxa"/>
            <w:tcBorders>
              <w:top w:val="single" w:sz="4" w:space="0" w:color="auto"/>
              <w:left w:val="single" w:sz="4" w:space="0" w:color="auto"/>
              <w:bottom w:val="single" w:sz="8" w:space="0" w:color="auto"/>
              <w:right w:val="single" w:sz="4" w:space="0" w:color="auto"/>
            </w:tcBorders>
            <w:shd w:val="clear" w:color="auto" w:fill="auto"/>
            <w:vAlign w:val="center"/>
          </w:tcPr>
          <w:p w14:paraId="11FB54EB" w14:textId="77777777" w:rsidR="006632C4" w:rsidRPr="00B956D8" w:rsidRDefault="006632C4" w:rsidP="006632C4">
            <w:pPr>
              <w:pStyle w:val="IRPsanstext"/>
              <w:jc w:val="center"/>
              <w:rPr>
                <w:rFonts w:cs="Arial"/>
              </w:rPr>
            </w:pPr>
            <w:r>
              <w:rPr>
                <w:rFonts w:cs="Arial"/>
              </w:rPr>
              <w:t>12,277</w:t>
            </w:r>
          </w:p>
        </w:tc>
        <w:tc>
          <w:tcPr>
            <w:tcW w:w="1314" w:type="dxa"/>
            <w:tcBorders>
              <w:top w:val="single" w:sz="4" w:space="0" w:color="auto"/>
              <w:left w:val="single" w:sz="4" w:space="0" w:color="auto"/>
              <w:bottom w:val="single" w:sz="8" w:space="0" w:color="auto"/>
              <w:right w:val="single" w:sz="4" w:space="0" w:color="auto"/>
            </w:tcBorders>
          </w:tcPr>
          <w:p w14:paraId="71F5828D" w14:textId="77777777" w:rsidR="006632C4" w:rsidRPr="00B956D8" w:rsidRDefault="006632C4" w:rsidP="006632C4">
            <w:pPr>
              <w:pStyle w:val="IRPsanstext"/>
              <w:jc w:val="center"/>
              <w:rPr>
                <w:rFonts w:cs="Arial"/>
              </w:rPr>
            </w:pPr>
            <w:r>
              <w:rPr>
                <w:rFonts w:cs="Arial"/>
              </w:rPr>
              <w:t>-</w:t>
            </w:r>
          </w:p>
        </w:tc>
      </w:tr>
    </w:tbl>
    <w:p w14:paraId="3D9C9393" w14:textId="77777777" w:rsidR="00BD62F3" w:rsidRPr="00166809" w:rsidRDefault="00BD62F3" w:rsidP="00166809">
      <w:pPr>
        <w:pStyle w:val="IRPfooter"/>
        <w:spacing w:before="120"/>
        <w:rPr>
          <w:sz w:val="20"/>
          <w:szCs w:val="20"/>
        </w:rPr>
      </w:pPr>
      <w:r w:rsidRPr="00166809">
        <w:rPr>
          <w:sz w:val="20"/>
          <w:szCs w:val="20"/>
        </w:rPr>
        <w:t>NOTES</w:t>
      </w:r>
    </w:p>
    <w:p w14:paraId="3AD6331D" w14:textId="77777777" w:rsidR="003742A6" w:rsidRPr="00166809" w:rsidRDefault="00BD62F3" w:rsidP="00166809">
      <w:pPr>
        <w:pStyle w:val="IRPfooter"/>
        <w:rPr>
          <w:sz w:val="20"/>
          <w:szCs w:val="20"/>
        </w:rPr>
      </w:pPr>
      <w:r w:rsidRPr="00166809">
        <w:rPr>
          <w:sz w:val="20"/>
          <w:szCs w:val="20"/>
        </w:rPr>
        <w:t xml:space="preserve">1 </w:t>
      </w:r>
      <w:r w:rsidR="003742A6" w:rsidRPr="00166809">
        <w:rPr>
          <w:sz w:val="20"/>
          <w:szCs w:val="20"/>
        </w:rPr>
        <w:t>Includes 80 MW of batteries in 2035</w:t>
      </w:r>
    </w:p>
    <w:p w14:paraId="4673A8AA" w14:textId="77777777" w:rsidR="00AD0F38" w:rsidRPr="00166809" w:rsidRDefault="00BD62F3" w:rsidP="00166809">
      <w:pPr>
        <w:pStyle w:val="IRPfooter"/>
        <w:rPr>
          <w:sz w:val="20"/>
          <w:szCs w:val="20"/>
        </w:rPr>
      </w:pPr>
      <w:r w:rsidRPr="00166809">
        <w:rPr>
          <w:sz w:val="20"/>
          <w:szCs w:val="20"/>
        </w:rPr>
        <w:t>2</w:t>
      </w:r>
      <w:r w:rsidR="008727E6" w:rsidRPr="00166809">
        <w:rPr>
          <w:sz w:val="20"/>
          <w:szCs w:val="20"/>
        </w:rPr>
        <w:t xml:space="preserve"> </w:t>
      </w:r>
      <w:r w:rsidR="006632C4" w:rsidRPr="00166809">
        <w:rPr>
          <w:sz w:val="20"/>
          <w:szCs w:val="20"/>
        </w:rPr>
        <w:t>Represents the tipping point for the flexibility value to bring batteries in line with the base portfolio.</w:t>
      </w:r>
    </w:p>
    <w:p w14:paraId="5E1A6663" w14:textId="77777777" w:rsidR="00AD0F38" w:rsidRPr="00303A61" w:rsidRDefault="00AD0F38" w:rsidP="00303A61">
      <w:pPr>
        <w:pStyle w:val="IRPsanstext"/>
        <w:rPr>
          <w:rFonts w:cs="Arial"/>
        </w:rPr>
      </w:pPr>
      <w:r w:rsidRPr="00303A61">
        <w:rPr>
          <w:rFonts w:cs="Arial"/>
        </w:rPr>
        <w:tab/>
      </w:r>
    </w:p>
    <w:p w14:paraId="35D6BBA2" w14:textId="77777777" w:rsidR="00AD0F38" w:rsidRPr="00303A61" w:rsidRDefault="00AD0F38" w:rsidP="00303A61">
      <w:pPr>
        <w:pStyle w:val="IRPsanstext"/>
        <w:rPr>
          <w:rFonts w:cs="Arial"/>
        </w:rPr>
      </w:pPr>
    </w:p>
    <w:p w14:paraId="09E8FD43" w14:textId="77777777" w:rsidR="00AD0F38" w:rsidRPr="00303A61" w:rsidRDefault="00AD0F38" w:rsidP="00303A61">
      <w:pPr>
        <w:pStyle w:val="IRPsanstext"/>
        <w:rPr>
          <w:rFonts w:cs="Arial"/>
          <w:sz w:val="32"/>
          <w:szCs w:val="32"/>
        </w:rPr>
      </w:pPr>
      <w:r w:rsidRPr="00303A61">
        <w:rPr>
          <w:rFonts w:cs="Arial"/>
        </w:rPr>
        <w:br w:type="page"/>
      </w:r>
      <w:r w:rsidRPr="00303A61">
        <w:rPr>
          <w:rFonts w:cs="Arial"/>
          <w:sz w:val="32"/>
          <w:szCs w:val="32"/>
        </w:rPr>
        <w:t>G. Reciprocating Engines and Flexibility</w:t>
      </w:r>
    </w:p>
    <w:p w14:paraId="4A48AAC9" w14:textId="77777777" w:rsidR="00AD0F38" w:rsidRPr="00303A61" w:rsidRDefault="00AD0F38" w:rsidP="00303A61">
      <w:pPr>
        <w:pStyle w:val="IRPsanstext"/>
        <w:rPr>
          <w:rFonts w:cs="Arial"/>
        </w:rPr>
      </w:pPr>
    </w:p>
    <w:p w14:paraId="60CCCABE" w14:textId="77777777" w:rsidR="0067369A" w:rsidRPr="00195216" w:rsidRDefault="00AD0F38" w:rsidP="00195216">
      <w:pPr>
        <w:pStyle w:val="IRPsanstext"/>
        <w:rPr>
          <w:b/>
        </w:rPr>
      </w:pPr>
      <w:r w:rsidRPr="00195216">
        <w:rPr>
          <w:b/>
        </w:rPr>
        <w:t>How do reciprocating engines affect system flexibility?</w:t>
      </w:r>
    </w:p>
    <w:p w14:paraId="2B8AC02E" w14:textId="77777777" w:rsidR="00AD0F38" w:rsidRPr="00195216" w:rsidRDefault="00AD0F38" w:rsidP="00195216">
      <w:pPr>
        <w:pStyle w:val="IRPsanstext"/>
        <w:ind w:left="720"/>
        <w:rPr>
          <w:b/>
        </w:rPr>
      </w:pPr>
      <w:r w:rsidRPr="00195216">
        <w:rPr>
          <w:b/>
        </w:rPr>
        <w:t xml:space="preserve">Baseline: Reciprocating engines chosen for portfolio only if deterministic analysis selects them as lowest economic cost. </w:t>
      </w:r>
    </w:p>
    <w:p w14:paraId="04FB606F" w14:textId="77777777" w:rsidR="00AD0F38" w:rsidRPr="00195216" w:rsidRDefault="00AD0F38" w:rsidP="00195216">
      <w:pPr>
        <w:pStyle w:val="IRPsanstext"/>
        <w:ind w:left="720"/>
        <w:rPr>
          <w:b/>
        </w:rPr>
      </w:pPr>
      <w:r w:rsidRPr="00195216">
        <w:rPr>
          <w:b/>
        </w:rPr>
        <w:t xml:space="preserve">Sensitivity 1: Add </w:t>
      </w:r>
      <w:proofErr w:type="gramStart"/>
      <w:r w:rsidRPr="00195216">
        <w:rPr>
          <w:b/>
        </w:rPr>
        <w:t>75 MW reciprocating engine</w:t>
      </w:r>
      <w:proofErr w:type="gramEnd"/>
      <w:r w:rsidRPr="00195216">
        <w:rPr>
          <w:b/>
        </w:rPr>
        <w:t xml:space="preserve"> in 2023.</w:t>
      </w:r>
    </w:p>
    <w:p w14:paraId="3AAF2CE2" w14:textId="77777777" w:rsidR="00AD0F38" w:rsidRPr="00195216" w:rsidRDefault="00AD0F38" w:rsidP="00195216">
      <w:pPr>
        <w:pStyle w:val="IRPsanstext"/>
        <w:ind w:left="720"/>
        <w:rPr>
          <w:b/>
        </w:rPr>
      </w:pPr>
      <w:r w:rsidRPr="00195216">
        <w:rPr>
          <w:b/>
        </w:rPr>
        <w:t xml:space="preserve">Sensitivity 2: Analyze lower costs </w:t>
      </w:r>
      <w:proofErr w:type="gramStart"/>
      <w:r w:rsidRPr="00195216">
        <w:rPr>
          <w:b/>
        </w:rPr>
        <w:t>for additional 75 MW reciprocating engine</w:t>
      </w:r>
      <w:proofErr w:type="gramEnd"/>
      <w:r w:rsidRPr="00195216">
        <w:rPr>
          <w:b/>
        </w:rPr>
        <w:t xml:space="preserve"> in 2023</w:t>
      </w:r>
    </w:p>
    <w:p w14:paraId="6D59BA88" w14:textId="77777777" w:rsidR="00AD0F38" w:rsidRPr="00303A61" w:rsidDel="000877E2" w:rsidRDefault="00AD0F38" w:rsidP="00303A61">
      <w:pPr>
        <w:pStyle w:val="IRPsanstext"/>
        <w:rPr>
          <w:rFonts w:cs="Arial"/>
        </w:rPr>
      </w:pPr>
    </w:p>
    <w:p w14:paraId="2655EAD8" w14:textId="77777777" w:rsidR="00AD0F38" w:rsidRPr="00303A61" w:rsidRDefault="00AD0F38" w:rsidP="00303A61">
      <w:pPr>
        <w:pStyle w:val="IRPsanstext"/>
        <w:rPr>
          <w:rFonts w:cs="Arial"/>
        </w:rPr>
      </w:pPr>
      <w:r w:rsidRPr="00303A61">
        <w:rPr>
          <w:rFonts w:cs="Arial"/>
        </w:rPr>
        <w:t>Reciprocating engines could provide valuable operational flexibility benefits to the portfolio. Since they are able to start up relatively quickly</w:t>
      </w:r>
      <w:r w:rsidR="00D32FB9">
        <w:rPr>
          <w:rFonts w:cs="Arial"/>
        </w:rPr>
        <w:t xml:space="preserve"> and are able to quickly ramp up and down</w:t>
      </w:r>
      <w:r w:rsidRPr="00303A61">
        <w:rPr>
          <w:rFonts w:cs="Arial"/>
        </w:rPr>
        <w:t xml:space="preserve">, they can be used for load balancing purposes and other ancillary services. </w:t>
      </w:r>
    </w:p>
    <w:p w14:paraId="491F28A0" w14:textId="77777777" w:rsidR="00AD0F38" w:rsidRPr="00303A61" w:rsidRDefault="00AD0F38" w:rsidP="00303A61">
      <w:pPr>
        <w:pStyle w:val="IRPsanstext"/>
        <w:rPr>
          <w:rFonts w:cs="Arial"/>
        </w:rPr>
      </w:pPr>
    </w:p>
    <w:p w14:paraId="4B6658E4" w14:textId="77777777" w:rsidR="00AD0F38" w:rsidRPr="00303A61" w:rsidRDefault="00AD0F38" w:rsidP="00303A61">
      <w:pPr>
        <w:pStyle w:val="IRPsanstext"/>
        <w:rPr>
          <w:rFonts w:cs="Arial"/>
        </w:rPr>
      </w:pPr>
      <w:r w:rsidRPr="00303A61">
        <w:rPr>
          <w:rFonts w:cs="Arial"/>
        </w:rPr>
        <w:t xml:space="preserve">The 2013 IRP flexibility analysis was used as the basis for this sensitivity examination. The stochastic analysis developed over 50 simulations to model the 2013 IRP Base Scenario portfolio with an incremental reciprocating engine, a combined cycle plant and a frame </w:t>
      </w:r>
      <w:proofErr w:type="spellStart"/>
      <w:r w:rsidRPr="00303A61">
        <w:rPr>
          <w:rFonts w:cs="Arial"/>
        </w:rPr>
        <w:t>peaker</w:t>
      </w:r>
      <w:proofErr w:type="spellEnd"/>
      <w:r w:rsidRPr="00303A61">
        <w:rPr>
          <w:rFonts w:cs="Arial"/>
        </w:rPr>
        <w:t xml:space="preserve"> to calculate the expected annual savings in balancing costs as compared to the Base Scenario portfolio. Figure 6-</w:t>
      </w:r>
      <w:r w:rsidR="00855BD7">
        <w:rPr>
          <w:rFonts w:cs="Arial"/>
        </w:rPr>
        <w:t>41</w:t>
      </w:r>
      <w:r w:rsidRPr="00303A61">
        <w:rPr>
          <w:rFonts w:cs="Arial"/>
        </w:rPr>
        <w:t xml:space="preserve"> summarizes the results</w:t>
      </w:r>
      <w:proofErr w:type="gramStart"/>
      <w:r w:rsidRPr="00303A61">
        <w:rPr>
          <w:rFonts w:cs="Arial"/>
        </w:rPr>
        <w:t>..</w:t>
      </w:r>
      <w:proofErr w:type="gramEnd"/>
    </w:p>
    <w:p w14:paraId="306D09B5" w14:textId="77777777" w:rsidR="00AD0F38" w:rsidRPr="00303A61" w:rsidRDefault="00AD0F38" w:rsidP="00303A61">
      <w:pPr>
        <w:pStyle w:val="IRPsanstext"/>
        <w:rPr>
          <w:rFonts w:cs="Arial"/>
        </w:rPr>
      </w:pPr>
    </w:p>
    <w:p w14:paraId="621A274A" w14:textId="77777777" w:rsidR="00AD0F38" w:rsidRPr="00303A61" w:rsidRDefault="00303A61" w:rsidP="00303A61">
      <w:pPr>
        <w:pStyle w:val="IRPsanstext"/>
        <w:jc w:val="center"/>
        <w:rPr>
          <w:rFonts w:cs="Arial"/>
          <w:i/>
        </w:rPr>
      </w:pPr>
      <w:r w:rsidRPr="00303A61">
        <w:rPr>
          <w:rFonts w:cs="Arial"/>
          <w:i/>
          <w:noProof/>
          <w:lang w:eastAsia="en-US"/>
        </w:rPr>
        <w:drawing>
          <wp:anchor distT="0" distB="0" distL="114300" distR="114300" simplePos="0" relativeHeight="251647488" behindDoc="0" locked="0" layoutInCell="1" allowOverlap="1" wp14:anchorId="38835FBF" wp14:editId="22FCE2C1">
            <wp:simplePos x="0" y="0"/>
            <wp:positionH relativeFrom="column">
              <wp:posOffset>51435</wp:posOffset>
            </wp:positionH>
            <wp:positionV relativeFrom="paragraph">
              <wp:posOffset>251460</wp:posOffset>
            </wp:positionV>
            <wp:extent cx="5229225" cy="1514475"/>
            <wp:effectExtent l="25400" t="25400" r="3175" b="9525"/>
            <wp:wrapTopAndBottom/>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29225" cy="1514475"/>
                    </a:xfrm>
                    <a:prstGeom prst="rect">
                      <a:avLst/>
                    </a:prstGeom>
                    <a:noFill/>
                    <a:ln w="6350" cmpd="sng">
                      <a:solidFill>
                        <a:schemeClr val="tx1"/>
                      </a:solidFill>
                    </a:ln>
                  </pic:spPr>
                </pic:pic>
              </a:graphicData>
            </a:graphic>
          </wp:anchor>
        </w:drawing>
      </w:r>
      <w:r w:rsidR="00AD0F38" w:rsidRPr="00303A61">
        <w:rPr>
          <w:rFonts w:cs="Arial"/>
          <w:i/>
        </w:rPr>
        <w:t>Figure 6-</w:t>
      </w:r>
      <w:r w:rsidR="00855BD7">
        <w:rPr>
          <w:rFonts w:cs="Arial"/>
          <w:i/>
        </w:rPr>
        <w:t>41</w:t>
      </w:r>
      <w:r w:rsidR="00AD0F38" w:rsidRPr="00303A61">
        <w:rPr>
          <w:rFonts w:cs="Arial"/>
          <w:i/>
        </w:rPr>
        <w:t>: Summary Results from 2013 IRP Stochastic Flexibility Analysis, 50 Simulations</w:t>
      </w:r>
    </w:p>
    <w:p w14:paraId="2062271D" w14:textId="77777777" w:rsidR="00AD0F38" w:rsidRPr="00303A61" w:rsidRDefault="00AD0F38" w:rsidP="00303A61">
      <w:pPr>
        <w:pStyle w:val="IRPsanstext"/>
        <w:rPr>
          <w:rFonts w:cs="Arial"/>
        </w:rPr>
      </w:pPr>
    </w:p>
    <w:p w14:paraId="70834638" w14:textId="77777777" w:rsidR="00AD0F38" w:rsidRPr="00303A61" w:rsidRDefault="00AD0F38" w:rsidP="00303A61">
      <w:pPr>
        <w:pStyle w:val="IRPsanstext"/>
        <w:rPr>
          <w:rFonts w:cs="Arial"/>
        </w:rPr>
      </w:pPr>
      <w:r w:rsidRPr="00303A61">
        <w:rPr>
          <w:rFonts w:cs="Arial"/>
        </w:rPr>
        <w:t>For the 2015 IRP, the fixed operations and maintenance (O&amp;M) costs were adjusted for each type of generic resource based on the expected annual savings from the 2013 IRP analysis.  In addition, capital cost estimates for reciprocating engines were also updated based on alternative pricing estimates from a secondary source. Finally, the analysis included a smaller 75 MW reciprocating engine option as a resource alternative in the portfolio optimization, since the Base Scenario analysis included only a 220 MW option. These capital costs and fixed O&amp;M assumptions are shown in Figure 6-4</w:t>
      </w:r>
      <w:r w:rsidR="00855BD7">
        <w:rPr>
          <w:rFonts w:cs="Arial"/>
        </w:rPr>
        <w:t>2</w:t>
      </w:r>
      <w:r w:rsidRPr="00303A61">
        <w:rPr>
          <w:rFonts w:cs="Arial"/>
        </w:rPr>
        <w:t xml:space="preserve">. </w:t>
      </w:r>
      <w:r w:rsidRPr="00303A61">
        <w:rPr>
          <w:rFonts w:cs="Arial"/>
        </w:rPr>
        <w:br w:type="page"/>
      </w:r>
    </w:p>
    <w:p w14:paraId="7729C581" w14:textId="77777777" w:rsidR="00AD0F38" w:rsidRPr="00303A61" w:rsidRDefault="00303A61" w:rsidP="00303A61">
      <w:pPr>
        <w:pStyle w:val="IRPsanstext"/>
        <w:jc w:val="center"/>
        <w:rPr>
          <w:rFonts w:cs="Arial"/>
          <w:i/>
        </w:rPr>
      </w:pPr>
      <w:r w:rsidRPr="00303A61">
        <w:rPr>
          <w:rFonts w:cs="Arial"/>
          <w:noProof/>
          <w:lang w:eastAsia="en-US"/>
        </w:rPr>
        <w:drawing>
          <wp:anchor distT="0" distB="0" distL="114300" distR="114300" simplePos="0" relativeHeight="251642368" behindDoc="0" locked="0" layoutInCell="1" allowOverlap="1" wp14:anchorId="5A93BAB6" wp14:editId="706EC596">
            <wp:simplePos x="0" y="0"/>
            <wp:positionH relativeFrom="column">
              <wp:posOffset>0</wp:posOffset>
            </wp:positionH>
            <wp:positionV relativeFrom="paragraph">
              <wp:posOffset>297180</wp:posOffset>
            </wp:positionV>
            <wp:extent cx="5423535" cy="1812290"/>
            <wp:effectExtent l="0" t="0" r="12065" b="0"/>
            <wp:wrapTopAndBottom/>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23535" cy="1812290"/>
                    </a:xfrm>
                    <a:prstGeom prst="rect">
                      <a:avLst/>
                    </a:prstGeom>
                    <a:noFill/>
                    <a:ln>
                      <a:noFill/>
                    </a:ln>
                  </pic:spPr>
                </pic:pic>
              </a:graphicData>
            </a:graphic>
          </wp:anchor>
        </w:drawing>
      </w:r>
      <w:r w:rsidR="00AD0F38" w:rsidRPr="00303A61">
        <w:rPr>
          <w:rFonts w:cs="Arial"/>
          <w:i/>
        </w:rPr>
        <w:t>Figure 6-4</w:t>
      </w:r>
      <w:r w:rsidR="00855BD7">
        <w:rPr>
          <w:rFonts w:cs="Arial"/>
          <w:i/>
        </w:rPr>
        <w:t>2</w:t>
      </w:r>
      <w:r w:rsidR="00AD0F38" w:rsidRPr="00303A61">
        <w:rPr>
          <w:rFonts w:cs="Arial"/>
          <w:i/>
        </w:rPr>
        <w:t>: 2015 Flexibility Analysis, Capital Cost and O&amp;M Cost Assumptions</w:t>
      </w:r>
    </w:p>
    <w:p w14:paraId="188AED1D" w14:textId="77777777" w:rsidR="00AD0F38" w:rsidRPr="00303A61" w:rsidRDefault="00AD0F38" w:rsidP="00303A61">
      <w:pPr>
        <w:pStyle w:val="IRPsanstext"/>
        <w:rPr>
          <w:rFonts w:cs="Arial"/>
        </w:rPr>
      </w:pPr>
    </w:p>
    <w:p w14:paraId="24B71FC5" w14:textId="77777777" w:rsidR="00AD0F38" w:rsidRPr="00303A61" w:rsidRDefault="00AD0F38" w:rsidP="00303A61">
      <w:pPr>
        <w:pStyle w:val="IRPsanstext"/>
        <w:rPr>
          <w:rFonts w:cs="Arial"/>
        </w:rPr>
      </w:pPr>
      <w:r w:rsidRPr="00303A61">
        <w:rPr>
          <w:rFonts w:cs="Arial"/>
        </w:rPr>
        <w:t xml:space="preserve">This sensitivity analysis shows the difference in portfolio cost </w:t>
      </w:r>
      <w:proofErr w:type="gramStart"/>
      <w:r w:rsidRPr="00303A61">
        <w:rPr>
          <w:rFonts w:cs="Arial"/>
        </w:rPr>
        <w:t>between the Base Scenario</w:t>
      </w:r>
      <w:proofErr w:type="gramEnd"/>
      <w:r w:rsidRPr="00303A61">
        <w:rPr>
          <w:rFonts w:cs="Arial"/>
        </w:rPr>
        <w:t xml:space="preserve"> least-cost portfolio, which selected no reciprocating engines, and an alternative portfolio optimized around a reciprocating engine that was forced into the portfolio in 2023, the first year additional resources are needed. The analysis was broken down into 3 cases, based on the degree of flexibility benefit used in the evaluation:  </w:t>
      </w:r>
    </w:p>
    <w:p w14:paraId="204A7ED1" w14:textId="77777777" w:rsidR="00AD0F38" w:rsidRPr="00303A61" w:rsidRDefault="00AD0F38" w:rsidP="00303A61">
      <w:pPr>
        <w:pStyle w:val="IRPsanstext"/>
        <w:rPr>
          <w:rFonts w:cs="Arial"/>
        </w:rPr>
      </w:pPr>
    </w:p>
    <w:p w14:paraId="64EFDEE2" w14:textId="77777777" w:rsidR="00AD0F38" w:rsidRPr="00303A61" w:rsidRDefault="00AD0F38" w:rsidP="00F26524">
      <w:pPr>
        <w:pStyle w:val="IRPsanstext"/>
        <w:numPr>
          <w:ilvl w:val="0"/>
          <w:numId w:val="21"/>
        </w:numPr>
        <w:rPr>
          <w:rFonts w:cs="Arial"/>
        </w:rPr>
      </w:pPr>
      <w:proofErr w:type="gramStart"/>
      <w:r w:rsidRPr="00303A61">
        <w:rPr>
          <w:rFonts w:cs="Arial"/>
        </w:rPr>
        <w:t>no</w:t>
      </w:r>
      <w:proofErr w:type="gramEnd"/>
      <w:r w:rsidRPr="00303A61">
        <w:rPr>
          <w:rFonts w:cs="Arial"/>
        </w:rPr>
        <w:t xml:space="preserve"> flexibility benefit is included,  </w:t>
      </w:r>
    </w:p>
    <w:p w14:paraId="61465E77" w14:textId="77777777" w:rsidR="00AD0F38" w:rsidRPr="00303A61" w:rsidRDefault="00AD0F38" w:rsidP="00F26524">
      <w:pPr>
        <w:pStyle w:val="IRPsanstext"/>
        <w:numPr>
          <w:ilvl w:val="0"/>
          <w:numId w:val="21"/>
        </w:numPr>
        <w:rPr>
          <w:rFonts w:cs="Arial"/>
        </w:rPr>
      </w:pPr>
      <w:proofErr w:type="gramStart"/>
      <w:r w:rsidRPr="00303A61">
        <w:rPr>
          <w:rFonts w:cs="Arial"/>
        </w:rPr>
        <w:t>full</w:t>
      </w:r>
      <w:proofErr w:type="gramEnd"/>
      <w:r w:rsidRPr="00303A61">
        <w:rPr>
          <w:rFonts w:cs="Arial"/>
        </w:rPr>
        <w:t xml:space="preserve"> flexibility benefit for all technologies is included, and </w:t>
      </w:r>
    </w:p>
    <w:p w14:paraId="63A2D751" w14:textId="77777777" w:rsidR="00AD0F38" w:rsidRPr="00303A61" w:rsidRDefault="00AD0F38" w:rsidP="00F26524">
      <w:pPr>
        <w:pStyle w:val="IRPsanstext"/>
        <w:numPr>
          <w:ilvl w:val="0"/>
          <w:numId w:val="21"/>
        </w:numPr>
        <w:rPr>
          <w:rFonts w:cs="Arial"/>
        </w:rPr>
      </w:pPr>
      <w:proofErr w:type="gramStart"/>
      <w:r w:rsidRPr="00303A61">
        <w:rPr>
          <w:rFonts w:cs="Arial"/>
        </w:rPr>
        <w:t>a</w:t>
      </w:r>
      <w:proofErr w:type="gramEnd"/>
      <w:r w:rsidRPr="00303A61">
        <w:rPr>
          <w:rFonts w:cs="Arial"/>
        </w:rPr>
        <w:t xml:space="preserve"> 50 percent flexibility benefit is assigned to reciprocating engines, and full flexibility benefit is assigned to the other technologies.  </w:t>
      </w:r>
    </w:p>
    <w:p w14:paraId="792B2154" w14:textId="77777777" w:rsidR="00AD0F38" w:rsidRPr="00303A61" w:rsidRDefault="00AD0F38" w:rsidP="00303A61">
      <w:pPr>
        <w:pStyle w:val="IRPsanstext"/>
        <w:rPr>
          <w:rFonts w:cs="Arial"/>
        </w:rPr>
      </w:pPr>
    </w:p>
    <w:p w14:paraId="06AA8ABB" w14:textId="77777777" w:rsidR="00AD0F38" w:rsidRPr="00303A61" w:rsidRDefault="00AD0F38" w:rsidP="00303A61">
      <w:pPr>
        <w:pStyle w:val="IRPsanstext"/>
        <w:rPr>
          <w:rFonts w:cs="Arial"/>
        </w:rPr>
      </w:pPr>
      <w:r w:rsidRPr="00303A61">
        <w:rPr>
          <w:rFonts w:cs="Arial"/>
        </w:rPr>
        <w:t xml:space="preserve">Each analysis included 3 portfolio alternatives for comparison to the Base Scenario least-cost portfolio: </w:t>
      </w:r>
    </w:p>
    <w:p w14:paraId="5798DB1C" w14:textId="77777777" w:rsidR="00AD0F38" w:rsidRPr="00303A61" w:rsidRDefault="00AD0F38" w:rsidP="00303A61">
      <w:pPr>
        <w:pStyle w:val="IRPsanstext"/>
        <w:rPr>
          <w:rFonts w:cs="Arial"/>
        </w:rPr>
      </w:pPr>
    </w:p>
    <w:p w14:paraId="1E1A9D56" w14:textId="77777777" w:rsidR="00AD0F38" w:rsidRPr="00303A61" w:rsidRDefault="00AD0F38" w:rsidP="00F26524">
      <w:pPr>
        <w:pStyle w:val="IRPsanstext"/>
        <w:numPr>
          <w:ilvl w:val="0"/>
          <w:numId w:val="22"/>
        </w:numPr>
        <w:rPr>
          <w:rFonts w:cs="Arial"/>
        </w:rPr>
      </w:pPr>
      <w:proofErr w:type="gramStart"/>
      <w:r w:rsidRPr="00303A61">
        <w:rPr>
          <w:rFonts w:cs="Arial"/>
        </w:rPr>
        <w:t>a</w:t>
      </w:r>
      <w:proofErr w:type="gramEnd"/>
      <w:r w:rsidRPr="00303A61">
        <w:rPr>
          <w:rFonts w:cs="Arial"/>
        </w:rPr>
        <w:t xml:space="preserve"> portfolio in which the screening model was allowed to choose a 75 MW reciprocating engine option,</w:t>
      </w:r>
    </w:p>
    <w:p w14:paraId="7E12AFC0" w14:textId="77777777" w:rsidR="00AD0F38" w:rsidRPr="00303A61" w:rsidRDefault="00AD0F38" w:rsidP="00F26524">
      <w:pPr>
        <w:pStyle w:val="IRPsanstext"/>
        <w:numPr>
          <w:ilvl w:val="0"/>
          <w:numId w:val="22"/>
        </w:numPr>
        <w:rPr>
          <w:rFonts w:cs="Arial"/>
        </w:rPr>
      </w:pPr>
      <w:proofErr w:type="gramStart"/>
      <w:r w:rsidRPr="00303A61">
        <w:rPr>
          <w:rFonts w:cs="Arial"/>
        </w:rPr>
        <w:t>a</w:t>
      </w:r>
      <w:proofErr w:type="gramEnd"/>
      <w:r w:rsidRPr="00303A61">
        <w:rPr>
          <w:rFonts w:cs="Arial"/>
        </w:rPr>
        <w:t xml:space="preserve"> portfolio which optimized around a 75 MW reciprocating engine option built in 2023, and </w:t>
      </w:r>
    </w:p>
    <w:p w14:paraId="2DED4BD7" w14:textId="77777777" w:rsidR="00AD0F38" w:rsidRPr="00303A61" w:rsidRDefault="00AD0F38" w:rsidP="00F26524">
      <w:pPr>
        <w:pStyle w:val="IRPsanstext"/>
        <w:numPr>
          <w:ilvl w:val="0"/>
          <w:numId w:val="22"/>
        </w:numPr>
        <w:rPr>
          <w:rFonts w:cs="Arial"/>
        </w:rPr>
      </w:pPr>
      <w:proofErr w:type="gramStart"/>
      <w:r w:rsidRPr="00303A61">
        <w:rPr>
          <w:rFonts w:cs="Arial"/>
        </w:rPr>
        <w:t>a</w:t>
      </w:r>
      <w:proofErr w:type="gramEnd"/>
      <w:r w:rsidRPr="00303A61">
        <w:rPr>
          <w:rFonts w:cs="Arial"/>
        </w:rPr>
        <w:t xml:space="preserve"> portfolio which optimized around a 224 MW reciprocating engine option built in 2023. </w:t>
      </w:r>
    </w:p>
    <w:p w14:paraId="038350F3" w14:textId="77777777" w:rsidR="00AD0F38" w:rsidRPr="00303A61" w:rsidRDefault="00AD0F38" w:rsidP="00303A61">
      <w:pPr>
        <w:pStyle w:val="IRPsanstext"/>
        <w:rPr>
          <w:rFonts w:cs="Arial"/>
        </w:rPr>
      </w:pPr>
    </w:p>
    <w:p w14:paraId="5FC52596" w14:textId="77777777" w:rsidR="00AD0F38" w:rsidRPr="005B2826" w:rsidRDefault="005B2826" w:rsidP="00303A61">
      <w:pPr>
        <w:pStyle w:val="IRPsanstext"/>
      </w:pPr>
      <w:r w:rsidRPr="00303A61">
        <w:t xml:space="preserve">The results are shown </w:t>
      </w:r>
      <w:r>
        <w:t xml:space="preserve">in Figure 6-43 on the next page. </w:t>
      </w:r>
      <w:r w:rsidR="00166809">
        <w:br w:type="page"/>
      </w:r>
    </w:p>
    <w:p w14:paraId="293FC4E2" w14:textId="77777777" w:rsidR="00AD0F38" w:rsidRPr="00166809" w:rsidRDefault="00AD0F38" w:rsidP="00166809">
      <w:pPr>
        <w:pStyle w:val="IRPsanstext"/>
        <w:spacing w:after="120"/>
        <w:jc w:val="center"/>
        <w:rPr>
          <w:rFonts w:cs="Arial"/>
          <w:i/>
        </w:rPr>
      </w:pPr>
      <w:r w:rsidRPr="00303A61">
        <w:rPr>
          <w:rFonts w:cs="Arial"/>
          <w:i/>
        </w:rPr>
        <w:t>Figure 6-4</w:t>
      </w:r>
      <w:r w:rsidR="00855BD7">
        <w:rPr>
          <w:rFonts w:cs="Arial"/>
          <w:i/>
        </w:rPr>
        <w:t>3</w:t>
      </w:r>
      <w:r w:rsidRPr="00303A61">
        <w:rPr>
          <w:rFonts w:cs="Arial"/>
          <w:i/>
        </w:rPr>
        <w:t>: Portfolio Sensitivity Analysis, Reciprocating Engines ($</w:t>
      </w:r>
      <w:r w:rsidR="0084244F">
        <w:rPr>
          <w:rFonts w:cs="Arial"/>
          <w:i/>
        </w:rPr>
        <w:t>Millions</w:t>
      </w:r>
      <w:r w:rsidRPr="00303A61">
        <w:rPr>
          <w:rFonts w:cs="Arial"/>
          <w:i/>
        </w:rPr>
        <w:t>)</w:t>
      </w:r>
    </w:p>
    <w:tbl>
      <w:tblPr>
        <w:tblW w:w="973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5"/>
        <w:gridCol w:w="990"/>
        <w:gridCol w:w="1080"/>
        <w:gridCol w:w="900"/>
        <w:gridCol w:w="1170"/>
        <w:gridCol w:w="1080"/>
        <w:gridCol w:w="900"/>
        <w:gridCol w:w="1080"/>
        <w:gridCol w:w="1080"/>
      </w:tblGrid>
      <w:tr w:rsidR="00737BAA" w:rsidRPr="004E5E60" w14:paraId="64B07F41" w14:textId="77777777" w:rsidTr="00BA7904">
        <w:trPr>
          <w:trHeight w:val="593"/>
        </w:trPr>
        <w:tc>
          <w:tcPr>
            <w:tcW w:w="1455" w:type="dxa"/>
            <w:vMerge w:val="restart"/>
            <w:shd w:val="clear" w:color="000000" w:fill="31869B"/>
            <w:vAlign w:val="bottom"/>
          </w:tcPr>
          <w:p w14:paraId="0E70E054" w14:textId="77777777" w:rsidR="00737BAA" w:rsidRPr="00166809" w:rsidRDefault="00737BAA" w:rsidP="00737BAA">
            <w:pPr>
              <w:pStyle w:val="IRPsanstext"/>
              <w:spacing w:before="120" w:after="120" w:line="240" w:lineRule="auto"/>
              <w:rPr>
                <w:rFonts w:cs="Arial"/>
                <w:color w:val="FFFFFF"/>
                <w:sz w:val="18"/>
                <w:szCs w:val="18"/>
              </w:rPr>
            </w:pPr>
            <w:r w:rsidRPr="00166809">
              <w:rPr>
                <w:rFonts w:cs="Arial"/>
                <w:color w:val="FFFFFF"/>
                <w:sz w:val="18"/>
                <w:szCs w:val="18"/>
              </w:rPr>
              <w:t>NPV ($Millions)</w:t>
            </w:r>
          </w:p>
        </w:tc>
        <w:tc>
          <w:tcPr>
            <w:tcW w:w="2070" w:type="dxa"/>
            <w:gridSpan w:val="2"/>
            <w:shd w:val="clear" w:color="000000" w:fill="31869B"/>
            <w:vAlign w:val="center"/>
          </w:tcPr>
          <w:p w14:paraId="1B5AC245" w14:textId="77777777" w:rsidR="00737BAA" w:rsidRPr="00166809" w:rsidRDefault="00737BAA" w:rsidP="00A06060">
            <w:pPr>
              <w:pStyle w:val="IRPsanstext"/>
              <w:spacing w:before="120" w:after="120" w:line="240" w:lineRule="auto"/>
              <w:jc w:val="center"/>
              <w:rPr>
                <w:rFonts w:cs="Arial"/>
                <w:color w:val="FFFFFF"/>
                <w:sz w:val="18"/>
                <w:szCs w:val="18"/>
              </w:rPr>
            </w:pPr>
            <w:r w:rsidRPr="00166809">
              <w:rPr>
                <w:rFonts w:cs="Arial"/>
                <w:color w:val="FFFFFF"/>
                <w:sz w:val="18"/>
                <w:szCs w:val="18"/>
              </w:rPr>
              <w:t>No Flexibility Benefit</w:t>
            </w:r>
          </w:p>
        </w:tc>
        <w:tc>
          <w:tcPr>
            <w:tcW w:w="3150" w:type="dxa"/>
            <w:gridSpan w:val="3"/>
            <w:shd w:val="clear" w:color="000000" w:fill="31869B"/>
            <w:vAlign w:val="center"/>
          </w:tcPr>
          <w:p w14:paraId="03DB9D0C" w14:textId="77777777" w:rsidR="00737BAA" w:rsidRPr="00166809" w:rsidRDefault="00737BAA" w:rsidP="00A06060">
            <w:pPr>
              <w:pStyle w:val="IRPsanstext"/>
              <w:spacing w:before="120" w:after="120" w:line="240" w:lineRule="auto"/>
              <w:jc w:val="center"/>
              <w:rPr>
                <w:rFonts w:cs="Arial"/>
                <w:color w:val="FFFFFF"/>
                <w:sz w:val="18"/>
                <w:szCs w:val="18"/>
              </w:rPr>
            </w:pPr>
            <w:r w:rsidRPr="00166809">
              <w:rPr>
                <w:rFonts w:cs="Arial"/>
                <w:color w:val="FFFFFF"/>
                <w:sz w:val="18"/>
                <w:szCs w:val="18"/>
              </w:rPr>
              <w:t>With Flexibility Benefit</w:t>
            </w:r>
          </w:p>
        </w:tc>
        <w:tc>
          <w:tcPr>
            <w:tcW w:w="3060" w:type="dxa"/>
            <w:gridSpan w:val="3"/>
            <w:shd w:val="clear" w:color="000000" w:fill="31869B"/>
            <w:vAlign w:val="center"/>
          </w:tcPr>
          <w:p w14:paraId="1B248FE2" w14:textId="77777777" w:rsidR="00737BAA" w:rsidRPr="00166809" w:rsidRDefault="00737BAA" w:rsidP="00A06060">
            <w:pPr>
              <w:pStyle w:val="IRPsanstext"/>
              <w:spacing w:before="120" w:after="120" w:line="240" w:lineRule="auto"/>
              <w:jc w:val="center"/>
              <w:rPr>
                <w:rFonts w:cs="Arial"/>
                <w:color w:val="FFFFFF"/>
                <w:sz w:val="18"/>
                <w:szCs w:val="18"/>
              </w:rPr>
            </w:pPr>
            <w:r w:rsidRPr="00166809">
              <w:rPr>
                <w:rFonts w:cs="Arial"/>
                <w:color w:val="FFFFFF"/>
                <w:sz w:val="18"/>
                <w:szCs w:val="18"/>
              </w:rPr>
              <w:t xml:space="preserve">With Flexibility Benefits at 50% for </w:t>
            </w:r>
            <w:proofErr w:type="spellStart"/>
            <w:r w:rsidRPr="00166809">
              <w:rPr>
                <w:rFonts w:cs="Arial"/>
                <w:color w:val="FFFFFF"/>
                <w:sz w:val="18"/>
                <w:szCs w:val="18"/>
              </w:rPr>
              <w:t>Recip</w:t>
            </w:r>
            <w:proofErr w:type="spellEnd"/>
            <w:r w:rsidRPr="00166809">
              <w:rPr>
                <w:rFonts w:cs="Arial"/>
                <w:color w:val="FFFFFF"/>
                <w:sz w:val="18"/>
                <w:szCs w:val="18"/>
              </w:rPr>
              <w:t xml:space="preserve"> </w:t>
            </w:r>
            <w:proofErr w:type="spellStart"/>
            <w:r w:rsidRPr="00166809">
              <w:rPr>
                <w:rFonts w:cs="Arial"/>
                <w:color w:val="FFFFFF"/>
                <w:sz w:val="18"/>
                <w:szCs w:val="18"/>
              </w:rPr>
              <w:t>Peakers</w:t>
            </w:r>
            <w:proofErr w:type="spellEnd"/>
          </w:p>
        </w:tc>
      </w:tr>
      <w:tr w:rsidR="00737BAA" w:rsidRPr="004E5E60" w14:paraId="6EDC07D2" w14:textId="77777777" w:rsidTr="00BA7904">
        <w:trPr>
          <w:trHeight w:val="737"/>
        </w:trPr>
        <w:tc>
          <w:tcPr>
            <w:tcW w:w="1455" w:type="dxa"/>
            <w:vMerge/>
            <w:shd w:val="clear" w:color="000000" w:fill="31869B"/>
            <w:vAlign w:val="center"/>
          </w:tcPr>
          <w:p w14:paraId="620EDC9E" w14:textId="77777777" w:rsidR="00737BAA" w:rsidRPr="00166809" w:rsidRDefault="00737BAA" w:rsidP="00A06060">
            <w:pPr>
              <w:pStyle w:val="IRPsanstext"/>
              <w:spacing w:before="120" w:after="120" w:line="240" w:lineRule="auto"/>
              <w:rPr>
                <w:rFonts w:cs="Arial"/>
                <w:color w:val="FFFFFF"/>
                <w:sz w:val="18"/>
                <w:szCs w:val="18"/>
              </w:rPr>
            </w:pPr>
          </w:p>
        </w:tc>
        <w:tc>
          <w:tcPr>
            <w:tcW w:w="990" w:type="dxa"/>
            <w:shd w:val="clear" w:color="000000" w:fill="31869B"/>
            <w:vAlign w:val="bottom"/>
          </w:tcPr>
          <w:p w14:paraId="6F328AD6" w14:textId="77777777" w:rsidR="00737BAA" w:rsidRPr="00166809" w:rsidRDefault="00737BAA" w:rsidP="00737BAA">
            <w:pPr>
              <w:pStyle w:val="IRPsanstext"/>
              <w:spacing w:before="120" w:after="120" w:line="240" w:lineRule="auto"/>
              <w:jc w:val="center"/>
              <w:rPr>
                <w:rFonts w:cs="Arial"/>
                <w:color w:val="FFFFFF"/>
                <w:sz w:val="18"/>
                <w:szCs w:val="18"/>
              </w:rPr>
            </w:pPr>
            <w:r w:rsidRPr="00166809">
              <w:rPr>
                <w:rFonts w:cs="Arial"/>
                <w:color w:val="FFFFFF"/>
                <w:sz w:val="18"/>
                <w:szCs w:val="18"/>
              </w:rPr>
              <w:t>Portfolio Cost</w:t>
            </w:r>
          </w:p>
          <w:p w14:paraId="01053419" w14:textId="77777777" w:rsidR="00737BAA" w:rsidRPr="00166809" w:rsidRDefault="00737BAA" w:rsidP="00737BAA">
            <w:pPr>
              <w:pStyle w:val="IRPsanstext"/>
              <w:spacing w:before="120" w:after="120" w:line="240" w:lineRule="auto"/>
              <w:jc w:val="center"/>
              <w:rPr>
                <w:rFonts w:cs="Arial"/>
                <w:color w:val="FFFFFF"/>
                <w:sz w:val="18"/>
                <w:szCs w:val="18"/>
              </w:rPr>
            </w:pPr>
            <w:r w:rsidRPr="00166809">
              <w:rPr>
                <w:rFonts w:cs="Arial"/>
                <w:color w:val="FFFFFF"/>
                <w:sz w:val="18"/>
                <w:szCs w:val="18"/>
              </w:rPr>
              <w:t>(a)</w:t>
            </w:r>
          </w:p>
        </w:tc>
        <w:tc>
          <w:tcPr>
            <w:tcW w:w="1080" w:type="dxa"/>
            <w:shd w:val="clear" w:color="000000" w:fill="31869B"/>
            <w:vAlign w:val="bottom"/>
          </w:tcPr>
          <w:p w14:paraId="3FAC5C67" w14:textId="77777777" w:rsidR="00737BAA" w:rsidRPr="00166809" w:rsidRDefault="00737BAA" w:rsidP="00737BAA">
            <w:pPr>
              <w:pStyle w:val="IRPsanstext"/>
              <w:spacing w:before="120" w:after="120" w:line="240" w:lineRule="auto"/>
              <w:jc w:val="center"/>
              <w:rPr>
                <w:rFonts w:cs="Arial"/>
                <w:color w:val="FFFFFF"/>
                <w:sz w:val="18"/>
                <w:szCs w:val="18"/>
              </w:rPr>
            </w:pPr>
            <w:r w:rsidRPr="00166809">
              <w:rPr>
                <w:rFonts w:cs="Arial"/>
                <w:color w:val="FFFFFF"/>
                <w:sz w:val="18"/>
                <w:szCs w:val="18"/>
              </w:rPr>
              <w:t>Difference from Base</w:t>
            </w:r>
          </w:p>
          <w:p w14:paraId="5261B389" w14:textId="77777777" w:rsidR="00737BAA" w:rsidRPr="00166809" w:rsidRDefault="00737BAA" w:rsidP="00737BAA">
            <w:pPr>
              <w:pStyle w:val="IRPsanstext"/>
              <w:spacing w:before="120" w:after="120" w:line="240" w:lineRule="auto"/>
              <w:jc w:val="center"/>
              <w:rPr>
                <w:rFonts w:cs="Arial"/>
                <w:color w:val="FFFFFF"/>
                <w:sz w:val="18"/>
                <w:szCs w:val="18"/>
              </w:rPr>
            </w:pPr>
            <w:r w:rsidRPr="00166809">
              <w:rPr>
                <w:rFonts w:cs="Arial"/>
                <w:color w:val="FFFFFF"/>
                <w:sz w:val="18"/>
                <w:szCs w:val="18"/>
              </w:rPr>
              <w:t>(b)</w:t>
            </w:r>
          </w:p>
        </w:tc>
        <w:tc>
          <w:tcPr>
            <w:tcW w:w="900" w:type="dxa"/>
            <w:shd w:val="clear" w:color="000000" w:fill="31869B"/>
            <w:vAlign w:val="bottom"/>
          </w:tcPr>
          <w:p w14:paraId="09316517" w14:textId="77777777" w:rsidR="00737BAA" w:rsidRPr="00166809" w:rsidRDefault="00737BAA" w:rsidP="00737BAA">
            <w:pPr>
              <w:pStyle w:val="IRPsanstext"/>
              <w:spacing w:before="120" w:after="120" w:line="240" w:lineRule="auto"/>
              <w:jc w:val="center"/>
              <w:rPr>
                <w:rFonts w:cs="Arial"/>
                <w:color w:val="FFFFFF"/>
                <w:sz w:val="18"/>
                <w:szCs w:val="18"/>
              </w:rPr>
            </w:pPr>
            <w:r w:rsidRPr="00166809">
              <w:rPr>
                <w:rFonts w:cs="Arial"/>
                <w:color w:val="FFFFFF"/>
                <w:sz w:val="18"/>
                <w:szCs w:val="18"/>
              </w:rPr>
              <w:t>Portfolio Cost</w:t>
            </w:r>
          </w:p>
          <w:p w14:paraId="46FFE06C" w14:textId="77777777" w:rsidR="00737BAA" w:rsidRPr="00166809" w:rsidRDefault="00737BAA" w:rsidP="00737BAA">
            <w:pPr>
              <w:pStyle w:val="IRPsanstext"/>
              <w:spacing w:before="120" w:after="120" w:line="240" w:lineRule="auto"/>
              <w:jc w:val="center"/>
              <w:rPr>
                <w:rFonts w:cs="Arial"/>
                <w:color w:val="FFFFFF"/>
                <w:sz w:val="18"/>
                <w:szCs w:val="18"/>
              </w:rPr>
            </w:pPr>
            <w:r w:rsidRPr="00166809">
              <w:rPr>
                <w:rFonts w:cs="Arial"/>
                <w:color w:val="FFFFFF"/>
                <w:sz w:val="18"/>
                <w:szCs w:val="18"/>
              </w:rPr>
              <w:t>(c)</w:t>
            </w:r>
          </w:p>
        </w:tc>
        <w:tc>
          <w:tcPr>
            <w:tcW w:w="1170" w:type="dxa"/>
            <w:shd w:val="clear" w:color="000000" w:fill="31869B"/>
            <w:vAlign w:val="bottom"/>
          </w:tcPr>
          <w:p w14:paraId="61516A7F" w14:textId="77777777" w:rsidR="00737BAA" w:rsidRPr="00166809" w:rsidRDefault="00737BAA" w:rsidP="00737BAA">
            <w:pPr>
              <w:pStyle w:val="IRPsanstext"/>
              <w:spacing w:before="120" w:after="120" w:line="240" w:lineRule="auto"/>
              <w:jc w:val="center"/>
              <w:rPr>
                <w:rFonts w:cs="Arial"/>
                <w:color w:val="FFFFFF"/>
                <w:sz w:val="18"/>
                <w:szCs w:val="18"/>
              </w:rPr>
            </w:pPr>
            <w:r w:rsidRPr="00166809">
              <w:rPr>
                <w:rFonts w:cs="Arial"/>
                <w:color w:val="FFFFFF"/>
                <w:sz w:val="18"/>
                <w:szCs w:val="18"/>
              </w:rPr>
              <w:t>Difference from Base</w:t>
            </w:r>
          </w:p>
          <w:p w14:paraId="0B6F6D1F" w14:textId="77777777" w:rsidR="00737BAA" w:rsidRPr="00166809" w:rsidRDefault="00737BAA" w:rsidP="00737BAA">
            <w:pPr>
              <w:pStyle w:val="IRPsanstext"/>
              <w:spacing w:before="120" w:after="120" w:line="240" w:lineRule="auto"/>
              <w:jc w:val="center"/>
              <w:rPr>
                <w:rFonts w:cs="Arial"/>
                <w:color w:val="FFFFFF"/>
                <w:sz w:val="18"/>
                <w:szCs w:val="18"/>
              </w:rPr>
            </w:pPr>
            <w:r w:rsidRPr="00166809">
              <w:rPr>
                <w:rFonts w:cs="Arial"/>
                <w:color w:val="FFFFFF"/>
                <w:sz w:val="18"/>
                <w:szCs w:val="18"/>
              </w:rPr>
              <w:t>(d)</w:t>
            </w:r>
          </w:p>
        </w:tc>
        <w:tc>
          <w:tcPr>
            <w:tcW w:w="1080" w:type="dxa"/>
            <w:shd w:val="clear" w:color="000000" w:fill="31869B"/>
            <w:vAlign w:val="bottom"/>
          </w:tcPr>
          <w:p w14:paraId="4CB9EFB7" w14:textId="77777777" w:rsidR="00737BAA" w:rsidRPr="00166809" w:rsidRDefault="00737BAA" w:rsidP="00737BAA">
            <w:pPr>
              <w:pStyle w:val="IRPsanstext"/>
              <w:spacing w:before="120" w:after="120" w:line="240" w:lineRule="auto"/>
              <w:jc w:val="center"/>
              <w:rPr>
                <w:rFonts w:cs="Arial"/>
                <w:color w:val="FFFFFF"/>
                <w:sz w:val="18"/>
                <w:szCs w:val="18"/>
              </w:rPr>
            </w:pPr>
            <w:r w:rsidRPr="00166809">
              <w:rPr>
                <w:rFonts w:cs="Arial"/>
                <w:color w:val="FFFFFF"/>
                <w:sz w:val="18"/>
                <w:szCs w:val="18"/>
              </w:rPr>
              <w:t>Value of Flexibility to Portfolio</w:t>
            </w:r>
          </w:p>
          <w:p w14:paraId="142E14D4" w14:textId="77777777" w:rsidR="00737BAA" w:rsidRPr="00166809" w:rsidRDefault="00737BAA" w:rsidP="00737BAA">
            <w:pPr>
              <w:pStyle w:val="IRPsanstext"/>
              <w:spacing w:before="120" w:after="120" w:line="240" w:lineRule="auto"/>
              <w:jc w:val="center"/>
              <w:rPr>
                <w:rFonts w:cs="Arial"/>
                <w:color w:val="FFFFFF"/>
                <w:sz w:val="18"/>
                <w:szCs w:val="18"/>
              </w:rPr>
            </w:pPr>
            <w:r w:rsidRPr="00166809">
              <w:rPr>
                <w:rFonts w:cs="Arial"/>
                <w:color w:val="FFFFFF"/>
                <w:sz w:val="18"/>
                <w:szCs w:val="18"/>
              </w:rPr>
              <w:t>(e) = (</w:t>
            </w:r>
            <w:proofErr w:type="gramStart"/>
            <w:r w:rsidRPr="00166809">
              <w:rPr>
                <w:rFonts w:cs="Arial"/>
                <w:color w:val="FFFFFF"/>
                <w:sz w:val="18"/>
                <w:szCs w:val="18"/>
              </w:rPr>
              <w:t>a</w:t>
            </w:r>
            <w:proofErr w:type="gramEnd"/>
            <w:r w:rsidRPr="00166809">
              <w:rPr>
                <w:rFonts w:cs="Arial"/>
                <w:color w:val="FFFFFF"/>
                <w:sz w:val="18"/>
                <w:szCs w:val="18"/>
              </w:rPr>
              <w:t>)-(c)</w:t>
            </w:r>
          </w:p>
        </w:tc>
        <w:tc>
          <w:tcPr>
            <w:tcW w:w="900" w:type="dxa"/>
            <w:shd w:val="clear" w:color="000000" w:fill="31869B"/>
            <w:vAlign w:val="bottom"/>
          </w:tcPr>
          <w:p w14:paraId="46E1B838" w14:textId="77777777" w:rsidR="00737BAA" w:rsidRPr="00166809" w:rsidRDefault="00737BAA" w:rsidP="00737BAA">
            <w:pPr>
              <w:pStyle w:val="IRPsanstext"/>
              <w:spacing w:before="120" w:after="120" w:line="240" w:lineRule="auto"/>
              <w:jc w:val="center"/>
              <w:rPr>
                <w:rFonts w:cs="Arial"/>
                <w:color w:val="FFFFFF"/>
                <w:sz w:val="18"/>
                <w:szCs w:val="18"/>
              </w:rPr>
            </w:pPr>
            <w:r w:rsidRPr="00166809">
              <w:rPr>
                <w:rFonts w:cs="Arial"/>
                <w:color w:val="FFFFFF"/>
                <w:sz w:val="18"/>
                <w:szCs w:val="18"/>
              </w:rPr>
              <w:t>Portfolio Cost</w:t>
            </w:r>
          </w:p>
          <w:p w14:paraId="5C6526D1" w14:textId="77777777" w:rsidR="00737BAA" w:rsidRPr="00166809" w:rsidRDefault="00737BAA" w:rsidP="00737BAA">
            <w:pPr>
              <w:pStyle w:val="IRPsanstext"/>
              <w:spacing w:before="120" w:after="120" w:line="240" w:lineRule="auto"/>
              <w:jc w:val="center"/>
              <w:rPr>
                <w:rFonts w:cs="Arial"/>
                <w:color w:val="FFFFFF"/>
                <w:sz w:val="18"/>
                <w:szCs w:val="18"/>
              </w:rPr>
            </w:pPr>
            <w:r w:rsidRPr="00166809">
              <w:rPr>
                <w:rFonts w:cs="Arial"/>
                <w:color w:val="FFFFFF"/>
                <w:sz w:val="18"/>
                <w:szCs w:val="18"/>
              </w:rPr>
              <w:t>(f)</w:t>
            </w:r>
          </w:p>
        </w:tc>
        <w:tc>
          <w:tcPr>
            <w:tcW w:w="1080" w:type="dxa"/>
            <w:shd w:val="clear" w:color="000000" w:fill="31869B"/>
            <w:vAlign w:val="bottom"/>
          </w:tcPr>
          <w:p w14:paraId="2F8EFE09" w14:textId="77777777" w:rsidR="00737BAA" w:rsidRPr="00166809" w:rsidRDefault="00737BAA" w:rsidP="00737BAA">
            <w:pPr>
              <w:pStyle w:val="IRPsanstext"/>
              <w:spacing w:before="120" w:after="120" w:line="240" w:lineRule="auto"/>
              <w:jc w:val="center"/>
              <w:rPr>
                <w:rFonts w:cs="Arial"/>
                <w:color w:val="FFFFFF"/>
                <w:sz w:val="18"/>
                <w:szCs w:val="18"/>
              </w:rPr>
            </w:pPr>
            <w:r w:rsidRPr="00166809">
              <w:rPr>
                <w:rFonts w:cs="Arial"/>
                <w:color w:val="FFFFFF"/>
                <w:sz w:val="18"/>
                <w:szCs w:val="18"/>
              </w:rPr>
              <w:t>Difference from Base</w:t>
            </w:r>
          </w:p>
          <w:p w14:paraId="1BB47E82" w14:textId="77777777" w:rsidR="00737BAA" w:rsidRPr="00166809" w:rsidRDefault="00737BAA" w:rsidP="00737BAA">
            <w:pPr>
              <w:pStyle w:val="IRPsanstext"/>
              <w:spacing w:before="120" w:after="120" w:line="240" w:lineRule="auto"/>
              <w:jc w:val="center"/>
              <w:rPr>
                <w:rFonts w:cs="Arial"/>
                <w:color w:val="FFFFFF"/>
                <w:sz w:val="18"/>
                <w:szCs w:val="18"/>
              </w:rPr>
            </w:pPr>
            <w:r w:rsidRPr="00166809">
              <w:rPr>
                <w:rFonts w:cs="Arial"/>
                <w:color w:val="FFFFFF"/>
                <w:sz w:val="18"/>
                <w:szCs w:val="18"/>
              </w:rPr>
              <w:t>(g)</w:t>
            </w:r>
          </w:p>
        </w:tc>
        <w:tc>
          <w:tcPr>
            <w:tcW w:w="1080" w:type="dxa"/>
            <w:shd w:val="clear" w:color="000000" w:fill="31869B"/>
            <w:vAlign w:val="bottom"/>
          </w:tcPr>
          <w:p w14:paraId="7665EF87" w14:textId="77777777" w:rsidR="00737BAA" w:rsidRPr="00166809" w:rsidRDefault="00737BAA" w:rsidP="00737BAA">
            <w:pPr>
              <w:pStyle w:val="IRPsanstext"/>
              <w:spacing w:before="120" w:after="120" w:line="240" w:lineRule="auto"/>
              <w:jc w:val="center"/>
              <w:rPr>
                <w:rFonts w:cs="Arial"/>
                <w:color w:val="FFFFFF"/>
                <w:sz w:val="18"/>
                <w:szCs w:val="18"/>
              </w:rPr>
            </w:pPr>
            <w:r w:rsidRPr="00166809">
              <w:rPr>
                <w:rFonts w:cs="Arial"/>
                <w:color w:val="FFFFFF"/>
                <w:sz w:val="18"/>
                <w:szCs w:val="18"/>
              </w:rPr>
              <w:t>Value of Flexibility to Portfolio</w:t>
            </w:r>
          </w:p>
          <w:p w14:paraId="3FA317FC" w14:textId="77777777" w:rsidR="00737BAA" w:rsidRPr="00166809" w:rsidRDefault="00737BAA" w:rsidP="00737BAA">
            <w:pPr>
              <w:pStyle w:val="IRPsanstext"/>
              <w:spacing w:before="120" w:after="120" w:line="240" w:lineRule="auto"/>
              <w:jc w:val="center"/>
              <w:rPr>
                <w:rFonts w:cs="Arial"/>
                <w:color w:val="FFFFFF"/>
                <w:sz w:val="18"/>
                <w:szCs w:val="18"/>
              </w:rPr>
            </w:pPr>
            <w:r w:rsidRPr="00166809">
              <w:rPr>
                <w:rFonts w:cs="Arial"/>
                <w:color w:val="FFFFFF"/>
                <w:sz w:val="18"/>
                <w:szCs w:val="18"/>
              </w:rPr>
              <w:t>(h) = (</w:t>
            </w:r>
            <w:proofErr w:type="gramStart"/>
            <w:r w:rsidRPr="00166809">
              <w:rPr>
                <w:rFonts w:cs="Arial"/>
                <w:color w:val="FFFFFF"/>
                <w:sz w:val="18"/>
                <w:szCs w:val="18"/>
              </w:rPr>
              <w:t>a</w:t>
            </w:r>
            <w:proofErr w:type="gramEnd"/>
            <w:r w:rsidRPr="00166809">
              <w:rPr>
                <w:rFonts w:cs="Arial"/>
                <w:color w:val="FFFFFF"/>
                <w:sz w:val="18"/>
                <w:szCs w:val="18"/>
              </w:rPr>
              <w:t>)-(f)</w:t>
            </w:r>
          </w:p>
        </w:tc>
      </w:tr>
      <w:tr w:rsidR="00C903A0" w:rsidRPr="004E5E60" w14:paraId="6CBBC3B4" w14:textId="77777777" w:rsidTr="00BA7904">
        <w:trPr>
          <w:trHeight w:val="276"/>
        </w:trPr>
        <w:tc>
          <w:tcPr>
            <w:tcW w:w="1455" w:type="dxa"/>
            <w:shd w:val="clear" w:color="auto" w:fill="auto"/>
            <w:vAlign w:val="center"/>
          </w:tcPr>
          <w:p w14:paraId="0A24E500" w14:textId="77777777" w:rsidR="00737BAA" w:rsidRPr="00166809" w:rsidRDefault="00737BAA" w:rsidP="00737BAA">
            <w:pPr>
              <w:pStyle w:val="IRPsanstext"/>
              <w:spacing w:before="120" w:after="120" w:line="240" w:lineRule="auto"/>
              <w:rPr>
                <w:rFonts w:cs="Arial"/>
                <w:color w:val="000000"/>
                <w:sz w:val="18"/>
                <w:szCs w:val="18"/>
              </w:rPr>
            </w:pPr>
            <w:r w:rsidRPr="00166809">
              <w:rPr>
                <w:rFonts w:cs="Arial"/>
                <w:color w:val="000000"/>
                <w:sz w:val="18"/>
                <w:szCs w:val="18"/>
              </w:rPr>
              <w:t>Base Portfolio</w:t>
            </w:r>
          </w:p>
        </w:tc>
        <w:tc>
          <w:tcPr>
            <w:tcW w:w="990" w:type="dxa"/>
            <w:shd w:val="clear" w:color="auto" w:fill="auto"/>
            <w:vAlign w:val="bottom"/>
          </w:tcPr>
          <w:p w14:paraId="4471DF15" w14:textId="77777777" w:rsidR="00737BAA" w:rsidRPr="00166809" w:rsidRDefault="00737BAA" w:rsidP="0084244F">
            <w:pPr>
              <w:jc w:val="right"/>
              <w:rPr>
                <w:rFonts w:ascii="Arial" w:hAnsi="Arial" w:cs="Arial"/>
                <w:bCs/>
                <w:color w:val="000000"/>
                <w:sz w:val="18"/>
                <w:szCs w:val="18"/>
              </w:rPr>
            </w:pPr>
            <w:r w:rsidRPr="00166809">
              <w:rPr>
                <w:rFonts w:ascii="Arial" w:hAnsi="Arial" w:cs="Arial"/>
                <w:bCs/>
                <w:color w:val="000000"/>
                <w:sz w:val="18"/>
                <w:szCs w:val="18"/>
              </w:rPr>
              <w:t>12,</w:t>
            </w:r>
            <w:r w:rsidR="006632C4" w:rsidRPr="00166809">
              <w:rPr>
                <w:rFonts w:ascii="Arial" w:hAnsi="Arial" w:cs="Arial"/>
                <w:bCs/>
                <w:color w:val="000000"/>
                <w:sz w:val="18"/>
                <w:szCs w:val="18"/>
              </w:rPr>
              <w:t>277</w:t>
            </w:r>
            <w:r w:rsidRPr="00166809">
              <w:rPr>
                <w:rFonts w:ascii="Arial" w:hAnsi="Arial" w:cs="Arial"/>
                <w:bCs/>
                <w:color w:val="000000"/>
                <w:sz w:val="18"/>
                <w:szCs w:val="18"/>
              </w:rPr>
              <w:t xml:space="preserve"> </w:t>
            </w:r>
          </w:p>
        </w:tc>
        <w:tc>
          <w:tcPr>
            <w:tcW w:w="1080" w:type="dxa"/>
            <w:shd w:val="clear" w:color="auto" w:fill="auto"/>
            <w:vAlign w:val="bottom"/>
          </w:tcPr>
          <w:p w14:paraId="5F87F74D" w14:textId="77777777" w:rsidR="00737BAA" w:rsidRPr="00166809" w:rsidRDefault="00737BAA" w:rsidP="00A06060">
            <w:pPr>
              <w:rPr>
                <w:rFonts w:ascii="Arial" w:hAnsi="Arial" w:cs="Arial"/>
                <w:bCs/>
                <w:color w:val="000000"/>
                <w:sz w:val="18"/>
                <w:szCs w:val="18"/>
              </w:rPr>
            </w:pPr>
            <w:r w:rsidRPr="00166809">
              <w:rPr>
                <w:rFonts w:ascii="Arial" w:hAnsi="Arial" w:cs="Arial"/>
                <w:bCs/>
                <w:color w:val="000000"/>
                <w:sz w:val="18"/>
                <w:szCs w:val="18"/>
              </w:rPr>
              <w:t> </w:t>
            </w:r>
          </w:p>
        </w:tc>
        <w:tc>
          <w:tcPr>
            <w:tcW w:w="900" w:type="dxa"/>
            <w:shd w:val="clear" w:color="auto" w:fill="auto"/>
            <w:vAlign w:val="bottom"/>
          </w:tcPr>
          <w:p w14:paraId="7E273A88" w14:textId="77777777" w:rsidR="00737BAA" w:rsidRPr="00166809" w:rsidRDefault="00737BAA" w:rsidP="00A06060">
            <w:pPr>
              <w:jc w:val="right"/>
              <w:rPr>
                <w:rFonts w:ascii="Arial" w:hAnsi="Arial" w:cs="Arial"/>
                <w:bCs/>
                <w:color w:val="000000"/>
                <w:sz w:val="18"/>
                <w:szCs w:val="18"/>
              </w:rPr>
            </w:pPr>
            <w:r w:rsidRPr="00166809">
              <w:rPr>
                <w:rFonts w:ascii="Arial" w:hAnsi="Arial" w:cs="Arial"/>
                <w:bCs/>
                <w:color w:val="000000"/>
                <w:sz w:val="18"/>
                <w:szCs w:val="18"/>
              </w:rPr>
              <w:t xml:space="preserve">12,221 </w:t>
            </w:r>
          </w:p>
        </w:tc>
        <w:tc>
          <w:tcPr>
            <w:tcW w:w="1170" w:type="dxa"/>
            <w:shd w:val="clear" w:color="auto" w:fill="auto"/>
            <w:vAlign w:val="bottom"/>
          </w:tcPr>
          <w:p w14:paraId="41FD7362" w14:textId="77777777" w:rsidR="00737BAA" w:rsidRPr="00166809" w:rsidRDefault="00737BAA" w:rsidP="00A06060">
            <w:pPr>
              <w:rPr>
                <w:rFonts w:ascii="Arial" w:hAnsi="Arial" w:cs="Arial"/>
                <w:bCs/>
                <w:color w:val="000000"/>
                <w:sz w:val="18"/>
                <w:szCs w:val="18"/>
              </w:rPr>
            </w:pPr>
            <w:r w:rsidRPr="00166809">
              <w:rPr>
                <w:rFonts w:ascii="Arial" w:hAnsi="Arial" w:cs="Arial"/>
                <w:bCs/>
                <w:color w:val="000000"/>
                <w:sz w:val="18"/>
                <w:szCs w:val="18"/>
              </w:rPr>
              <w:t> </w:t>
            </w:r>
          </w:p>
        </w:tc>
        <w:tc>
          <w:tcPr>
            <w:tcW w:w="1080" w:type="dxa"/>
            <w:vAlign w:val="bottom"/>
          </w:tcPr>
          <w:p w14:paraId="334059BC" w14:textId="77777777" w:rsidR="00737BAA" w:rsidRPr="00166809" w:rsidRDefault="00737BAA" w:rsidP="00737BAA">
            <w:pPr>
              <w:jc w:val="right"/>
              <w:rPr>
                <w:rFonts w:ascii="Arial" w:hAnsi="Arial" w:cs="Arial"/>
                <w:bCs/>
                <w:color w:val="000000"/>
                <w:sz w:val="18"/>
                <w:szCs w:val="18"/>
              </w:rPr>
            </w:pPr>
            <w:r w:rsidRPr="00166809">
              <w:rPr>
                <w:rFonts w:ascii="Arial" w:hAnsi="Arial" w:cs="Arial"/>
                <w:bCs/>
                <w:color w:val="000000"/>
                <w:sz w:val="18"/>
                <w:szCs w:val="18"/>
              </w:rPr>
              <w:t>56</w:t>
            </w:r>
          </w:p>
        </w:tc>
        <w:tc>
          <w:tcPr>
            <w:tcW w:w="900" w:type="dxa"/>
            <w:shd w:val="clear" w:color="auto" w:fill="auto"/>
            <w:vAlign w:val="bottom"/>
          </w:tcPr>
          <w:p w14:paraId="46BF40B0" w14:textId="77777777" w:rsidR="00737BAA" w:rsidRPr="00166809" w:rsidRDefault="00737BAA" w:rsidP="00737BAA">
            <w:pPr>
              <w:jc w:val="right"/>
              <w:rPr>
                <w:rFonts w:ascii="Arial" w:hAnsi="Arial" w:cs="Arial"/>
                <w:bCs/>
                <w:color w:val="000000"/>
                <w:sz w:val="18"/>
                <w:szCs w:val="18"/>
              </w:rPr>
            </w:pPr>
            <w:r w:rsidRPr="00166809">
              <w:rPr>
                <w:rFonts w:ascii="Arial" w:hAnsi="Arial" w:cs="Arial"/>
                <w:bCs/>
                <w:color w:val="000000"/>
                <w:sz w:val="18"/>
                <w:szCs w:val="18"/>
              </w:rPr>
              <w:t>12,221</w:t>
            </w:r>
          </w:p>
        </w:tc>
        <w:tc>
          <w:tcPr>
            <w:tcW w:w="1080" w:type="dxa"/>
            <w:shd w:val="clear" w:color="auto" w:fill="auto"/>
            <w:vAlign w:val="bottom"/>
          </w:tcPr>
          <w:p w14:paraId="32216D0A" w14:textId="77777777" w:rsidR="00737BAA" w:rsidRPr="00166809" w:rsidRDefault="00737BAA" w:rsidP="00737BAA">
            <w:pPr>
              <w:jc w:val="right"/>
              <w:rPr>
                <w:rFonts w:ascii="Arial" w:hAnsi="Arial" w:cs="Arial"/>
                <w:bCs/>
                <w:color w:val="000000"/>
                <w:sz w:val="18"/>
                <w:szCs w:val="18"/>
              </w:rPr>
            </w:pPr>
          </w:p>
        </w:tc>
        <w:tc>
          <w:tcPr>
            <w:tcW w:w="1080" w:type="dxa"/>
            <w:vAlign w:val="bottom"/>
          </w:tcPr>
          <w:p w14:paraId="4760EEF3" w14:textId="77777777" w:rsidR="00737BAA" w:rsidRPr="00166809" w:rsidRDefault="00737BAA" w:rsidP="00737BAA">
            <w:pPr>
              <w:jc w:val="right"/>
              <w:rPr>
                <w:rFonts w:ascii="Arial" w:hAnsi="Arial" w:cs="Arial"/>
                <w:bCs/>
                <w:color w:val="000000"/>
                <w:sz w:val="18"/>
                <w:szCs w:val="18"/>
              </w:rPr>
            </w:pPr>
            <w:r w:rsidRPr="00166809">
              <w:rPr>
                <w:rFonts w:ascii="Arial" w:hAnsi="Arial" w:cs="Arial"/>
                <w:bCs/>
                <w:color w:val="000000"/>
                <w:sz w:val="18"/>
                <w:szCs w:val="18"/>
              </w:rPr>
              <w:t>56</w:t>
            </w:r>
          </w:p>
        </w:tc>
      </w:tr>
      <w:tr w:rsidR="00C903A0" w:rsidRPr="004E5E60" w14:paraId="30931486" w14:textId="77777777" w:rsidTr="00BA7904">
        <w:trPr>
          <w:trHeight w:val="276"/>
        </w:trPr>
        <w:tc>
          <w:tcPr>
            <w:tcW w:w="1455" w:type="dxa"/>
            <w:shd w:val="clear" w:color="auto" w:fill="auto"/>
            <w:vAlign w:val="center"/>
          </w:tcPr>
          <w:p w14:paraId="7A4FD203" w14:textId="77777777" w:rsidR="00737BAA" w:rsidRPr="00166809" w:rsidRDefault="00737BAA" w:rsidP="00A06060">
            <w:pPr>
              <w:pStyle w:val="IRPsanstext"/>
              <w:spacing w:before="120" w:after="120" w:line="240" w:lineRule="auto"/>
              <w:rPr>
                <w:rFonts w:cs="Arial"/>
                <w:color w:val="000000"/>
                <w:sz w:val="18"/>
                <w:szCs w:val="18"/>
              </w:rPr>
            </w:pPr>
            <w:proofErr w:type="spellStart"/>
            <w:r w:rsidRPr="00166809">
              <w:rPr>
                <w:rFonts w:cs="Arial"/>
                <w:color w:val="000000"/>
                <w:sz w:val="18"/>
                <w:szCs w:val="18"/>
              </w:rPr>
              <w:t>Recip</w:t>
            </w:r>
            <w:proofErr w:type="spellEnd"/>
            <w:r w:rsidRPr="00166809">
              <w:rPr>
                <w:rFonts w:cs="Arial"/>
                <w:color w:val="000000"/>
                <w:sz w:val="18"/>
                <w:szCs w:val="18"/>
              </w:rPr>
              <w:t xml:space="preserve"> </w:t>
            </w:r>
            <w:proofErr w:type="spellStart"/>
            <w:r w:rsidRPr="00166809">
              <w:rPr>
                <w:rFonts w:cs="Arial"/>
                <w:color w:val="000000"/>
                <w:sz w:val="18"/>
                <w:szCs w:val="18"/>
              </w:rPr>
              <w:t>Peaker</w:t>
            </w:r>
            <w:proofErr w:type="spellEnd"/>
            <w:r w:rsidRPr="00166809">
              <w:rPr>
                <w:rFonts w:cs="Arial"/>
                <w:color w:val="000000"/>
                <w:sz w:val="18"/>
                <w:szCs w:val="18"/>
              </w:rPr>
              <w:t xml:space="preserve"> 75 MW*</w:t>
            </w:r>
          </w:p>
        </w:tc>
        <w:tc>
          <w:tcPr>
            <w:tcW w:w="990" w:type="dxa"/>
            <w:shd w:val="clear" w:color="auto" w:fill="auto"/>
            <w:vAlign w:val="bottom"/>
          </w:tcPr>
          <w:p w14:paraId="6338C695" w14:textId="77777777" w:rsidR="00737BAA" w:rsidRPr="00166809" w:rsidRDefault="00737BAA" w:rsidP="0084244F">
            <w:pPr>
              <w:jc w:val="right"/>
              <w:rPr>
                <w:rFonts w:ascii="Arial" w:hAnsi="Arial" w:cs="Arial"/>
                <w:color w:val="000000"/>
                <w:sz w:val="18"/>
                <w:szCs w:val="18"/>
              </w:rPr>
            </w:pPr>
            <w:r w:rsidRPr="00166809">
              <w:rPr>
                <w:rFonts w:ascii="Arial" w:hAnsi="Arial" w:cs="Arial"/>
                <w:color w:val="000000"/>
                <w:sz w:val="18"/>
                <w:szCs w:val="18"/>
              </w:rPr>
              <w:t xml:space="preserve">12,263 </w:t>
            </w:r>
          </w:p>
        </w:tc>
        <w:tc>
          <w:tcPr>
            <w:tcW w:w="1080" w:type="dxa"/>
            <w:shd w:val="clear" w:color="auto" w:fill="auto"/>
            <w:vAlign w:val="bottom"/>
          </w:tcPr>
          <w:p w14:paraId="142727F6" w14:textId="77777777" w:rsidR="00737BAA" w:rsidRPr="00166809" w:rsidRDefault="00737BAA" w:rsidP="00A06060">
            <w:pPr>
              <w:jc w:val="right"/>
              <w:rPr>
                <w:rFonts w:ascii="Arial" w:hAnsi="Arial" w:cs="Arial"/>
                <w:color w:val="000000"/>
                <w:sz w:val="18"/>
                <w:szCs w:val="18"/>
              </w:rPr>
            </w:pPr>
            <w:r w:rsidRPr="00166809">
              <w:rPr>
                <w:rFonts w:ascii="Arial" w:hAnsi="Arial" w:cs="Arial"/>
                <w:color w:val="000000"/>
                <w:sz w:val="18"/>
                <w:szCs w:val="18"/>
              </w:rPr>
              <w:t xml:space="preserve">14 </w:t>
            </w:r>
          </w:p>
        </w:tc>
        <w:tc>
          <w:tcPr>
            <w:tcW w:w="900" w:type="dxa"/>
            <w:shd w:val="clear" w:color="auto" w:fill="auto"/>
            <w:vAlign w:val="bottom"/>
          </w:tcPr>
          <w:p w14:paraId="3D34B613" w14:textId="77777777" w:rsidR="00737BAA" w:rsidRPr="00166809" w:rsidRDefault="00737BAA" w:rsidP="00A06060">
            <w:pPr>
              <w:jc w:val="right"/>
              <w:rPr>
                <w:rFonts w:ascii="Arial" w:hAnsi="Arial" w:cs="Arial"/>
                <w:color w:val="000000"/>
                <w:sz w:val="18"/>
                <w:szCs w:val="18"/>
              </w:rPr>
            </w:pPr>
            <w:r w:rsidRPr="00166809">
              <w:rPr>
                <w:rFonts w:ascii="Arial" w:hAnsi="Arial" w:cs="Arial"/>
                <w:color w:val="000000"/>
                <w:sz w:val="18"/>
                <w:szCs w:val="18"/>
              </w:rPr>
              <w:t xml:space="preserve">12,202 </w:t>
            </w:r>
          </w:p>
        </w:tc>
        <w:tc>
          <w:tcPr>
            <w:tcW w:w="1170" w:type="dxa"/>
            <w:shd w:val="clear" w:color="auto" w:fill="auto"/>
            <w:vAlign w:val="bottom"/>
          </w:tcPr>
          <w:p w14:paraId="2A39C91A" w14:textId="77777777" w:rsidR="00737BAA" w:rsidRPr="00166809" w:rsidRDefault="00737BAA" w:rsidP="00A06060">
            <w:pPr>
              <w:jc w:val="right"/>
              <w:rPr>
                <w:rFonts w:ascii="Arial" w:hAnsi="Arial" w:cs="Arial"/>
                <w:color w:val="000000"/>
                <w:sz w:val="18"/>
                <w:szCs w:val="18"/>
              </w:rPr>
            </w:pPr>
            <w:r w:rsidRPr="00166809">
              <w:rPr>
                <w:rFonts w:ascii="Arial" w:hAnsi="Arial" w:cs="Arial"/>
                <w:color w:val="000000"/>
                <w:sz w:val="18"/>
                <w:szCs w:val="18"/>
              </w:rPr>
              <w:t xml:space="preserve">19 </w:t>
            </w:r>
          </w:p>
        </w:tc>
        <w:tc>
          <w:tcPr>
            <w:tcW w:w="1080" w:type="dxa"/>
            <w:vAlign w:val="bottom"/>
          </w:tcPr>
          <w:p w14:paraId="05E4A7E4" w14:textId="77777777" w:rsidR="00737BAA" w:rsidRPr="00166809" w:rsidRDefault="00737BAA" w:rsidP="00737BAA">
            <w:pPr>
              <w:jc w:val="right"/>
              <w:rPr>
                <w:rFonts w:ascii="Arial" w:hAnsi="Arial" w:cs="Arial"/>
                <w:color w:val="000000"/>
                <w:sz w:val="18"/>
                <w:szCs w:val="18"/>
              </w:rPr>
            </w:pPr>
            <w:r w:rsidRPr="00166809">
              <w:rPr>
                <w:rFonts w:ascii="Arial" w:hAnsi="Arial" w:cs="Arial"/>
                <w:color w:val="000000"/>
                <w:sz w:val="18"/>
                <w:szCs w:val="18"/>
              </w:rPr>
              <w:t>61</w:t>
            </w:r>
          </w:p>
        </w:tc>
        <w:tc>
          <w:tcPr>
            <w:tcW w:w="900" w:type="dxa"/>
            <w:shd w:val="clear" w:color="auto" w:fill="auto"/>
            <w:vAlign w:val="bottom"/>
          </w:tcPr>
          <w:p w14:paraId="30098735" w14:textId="77777777" w:rsidR="00737BAA" w:rsidRPr="00166809" w:rsidRDefault="00737BAA" w:rsidP="00737BAA">
            <w:pPr>
              <w:jc w:val="right"/>
              <w:rPr>
                <w:rFonts w:ascii="Arial" w:hAnsi="Arial" w:cs="Arial"/>
                <w:color w:val="000000"/>
                <w:sz w:val="18"/>
                <w:szCs w:val="18"/>
              </w:rPr>
            </w:pPr>
            <w:r w:rsidRPr="00166809">
              <w:rPr>
                <w:rFonts w:ascii="Arial" w:hAnsi="Arial" w:cs="Arial"/>
                <w:color w:val="000000"/>
                <w:sz w:val="18"/>
                <w:szCs w:val="18"/>
              </w:rPr>
              <w:t>12,208</w:t>
            </w:r>
          </w:p>
        </w:tc>
        <w:tc>
          <w:tcPr>
            <w:tcW w:w="1080" w:type="dxa"/>
            <w:shd w:val="clear" w:color="auto" w:fill="auto"/>
            <w:vAlign w:val="bottom"/>
          </w:tcPr>
          <w:p w14:paraId="7894CAA0" w14:textId="77777777" w:rsidR="00737BAA" w:rsidRPr="00166809" w:rsidRDefault="00737BAA" w:rsidP="00737BAA">
            <w:pPr>
              <w:jc w:val="right"/>
              <w:rPr>
                <w:rFonts w:ascii="Arial" w:hAnsi="Arial" w:cs="Arial"/>
                <w:color w:val="000000"/>
                <w:sz w:val="18"/>
                <w:szCs w:val="18"/>
              </w:rPr>
            </w:pPr>
            <w:r w:rsidRPr="00166809">
              <w:rPr>
                <w:rFonts w:ascii="Arial" w:hAnsi="Arial" w:cs="Arial"/>
                <w:color w:val="000000"/>
                <w:sz w:val="18"/>
                <w:szCs w:val="18"/>
              </w:rPr>
              <w:t>14</w:t>
            </w:r>
          </w:p>
        </w:tc>
        <w:tc>
          <w:tcPr>
            <w:tcW w:w="1080" w:type="dxa"/>
            <w:vAlign w:val="bottom"/>
          </w:tcPr>
          <w:p w14:paraId="7F2E5C2D" w14:textId="77777777" w:rsidR="00737BAA" w:rsidRPr="00166809" w:rsidRDefault="00737BAA" w:rsidP="00737BAA">
            <w:pPr>
              <w:jc w:val="right"/>
              <w:rPr>
                <w:rFonts w:ascii="Arial" w:hAnsi="Arial" w:cs="Arial"/>
                <w:color w:val="000000"/>
                <w:sz w:val="18"/>
                <w:szCs w:val="18"/>
              </w:rPr>
            </w:pPr>
            <w:r w:rsidRPr="00166809">
              <w:rPr>
                <w:rFonts w:ascii="Arial" w:hAnsi="Arial" w:cs="Arial"/>
                <w:color w:val="000000"/>
                <w:sz w:val="18"/>
                <w:szCs w:val="18"/>
              </w:rPr>
              <w:t>56</w:t>
            </w:r>
          </w:p>
        </w:tc>
      </w:tr>
      <w:tr w:rsidR="00C903A0" w:rsidRPr="004E5E60" w14:paraId="6184E6ED" w14:textId="77777777" w:rsidTr="00BA7904">
        <w:trPr>
          <w:trHeight w:val="276"/>
        </w:trPr>
        <w:tc>
          <w:tcPr>
            <w:tcW w:w="1455" w:type="dxa"/>
            <w:shd w:val="clear" w:color="auto" w:fill="auto"/>
            <w:vAlign w:val="center"/>
          </w:tcPr>
          <w:p w14:paraId="15871AFF" w14:textId="77777777" w:rsidR="00737BAA" w:rsidRPr="00166809" w:rsidRDefault="00737BAA" w:rsidP="00A06060">
            <w:pPr>
              <w:pStyle w:val="IRPsanstext"/>
              <w:spacing w:before="120" w:after="120" w:line="240" w:lineRule="auto"/>
              <w:rPr>
                <w:rFonts w:cs="Arial"/>
                <w:color w:val="000000"/>
                <w:sz w:val="18"/>
                <w:szCs w:val="18"/>
              </w:rPr>
            </w:pPr>
            <w:proofErr w:type="spellStart"/>
            <w:r w:rsidRPr="00166809">
              <w:rPr>
                <w:rFonts w:cs="Arial"/>
                <w:color w:val="000000"/>
                <w:sz w:val="18"/>
                <w:szCs w:val="18"/>
              </w:rPr>
              <w:t>Recip</w:t>
            </w:r>
            <w:proofErr w:type="spellEnd"/>
            <w:r w:rsidRPr="00166809">
              <w:rPr>
                <w:rFonts w:cs="Arial"/>
                <w:color w:val="000000"/>
                <w:sz w:val="18"/>
                <w:szCs w:val="18"/>
              </w:rPr>
              <w:t xml:space="preserve"> </w:t>
            </w:r>
            <w:proofErr w:type="spellStart"/>
            <w:r w:rsidRPr="00166809">
              <w:rPr>
                <w:rFonts w:cs="Arial"/>
                <w:color w:val="000000"/>
                <w:sz w:val="18"/>
                <w:szCs w:val="18"/>
              </w:rPr>
              <w:t>Peaker</w:t>
            </w:r>
            <w:proofErr w:type="spellEnd"/>
            <w:r w:rsidRPr="00166809">
              <w:rPr>
                <w:rFonts w:cs="Arial"/>
                <w:color w:val="000000"/>
                <w:sz w:val="18"/>
                <w:szCs w:val="18"/>
              </w:rPr>
              <w:t xml:space="preserve"> 75 MW in 2023</w:t>
            </w:r>
          </w:p>
        </w:tc>
        <w:tc>
          <w:tcPr>
            <w:tcW w:w="990" w:type="dxa"/>
            <w:shd w:val="clear" w:color="auto" w:fill="auto"/>
            <w:vAlign w:val="bottom"/>
          </w:tcPr>
          <w:p w14:paraId="7B235298" w14:textId="77777777" w:rsidR="00737BAA" w:rsidRPr="00166809" w:rsidRDefault="00737BAA" w:rsidP="0084244F">
            <w:pPr>
              <w:jc w:val="right"/>
              <w:rPr>
                <w:rFonts w:ascii="Arial" w:hAnsi="Arial" w:cs="Arial"/>
                <w:color w:val="000000"/>
                <w:sz w:val="18"/>
                <w:szCs w:val="18"/>
              </w:rPr>
            </w:pPr>
            <w:r w:rsidRPr="00166809">
              <w:rPr>
                <w:rFonts w:ascii="Arial" w:hAnsi="Arial" w:cs="Arial"/>
                <w:color w:val="000000"/>
                <w:sz w:val="18"/>
                <w:szCs w:val="18"/>
              </w:rPr>
              <w:t xml:space="preserve">12,282 </w:t>
            </w:r>
          </w:p>
        </w:tc>
        <w:tc>
          <w:tcPr>
            <w:tcW w:w="1080" w:type="dxa"/>
            <w:shd w:val="clear" w:color="auto" w:fill="auto"/>
            <w:vAlign w:val="bottom"/>
          </w:tcPr>
          <w:p w14:paraId="152486A2" w14:textId="77777777" w:rsidR="00737BAA" w:rsidRPr="00166809" w:rsidRDefault="00737BAA" w:rsidP="00A06060">
            <w:pPr>
              <w:jc w:val="right"/>
              <w:rPr>
                <w:rFonts w:ascii="Arial" w:hAnsi="Arial" w:cs="Arial"/>
                <w:color w:val="FF0000"/>
                <w:sz w:val="18"/>
                <w:szCs w:val="18"/>
              </w:rPr>
            </w:pPr>
            <w:r w:rsidRPr="00166809">
              <w:rPr>
                <w:rFonts w:ascii="Arial" w:hAnsi="Arial" w:cs="Arial"/>
                <w:color w:val="FF0000"/>
                <w:sz w:val="18"/>
                <w:szCs w:val="18"/>
              </w:rPr>
              <w:t xml:space="preserve">(5) </w:t>
            </w:r>
          </w:p>
        </w:tc>
        <w:tc>
          <w:tcPr>
            <w:tcW w:w="900" w:type="dxa"/>
            <w:shd w:val="clear" w:color="auto" w:fill="auto"/>
            <w:vAlign w:val="bottom"/>
          </w:tcPr>
          <w:p w14:paraId="354DC09B" w14:textId="77777777" w:rsidR="00737BAA" w:rsidRPr="00166809" w:rsidRDefault="00737BAA" w:rsidP="00A06060">
            <w:pPr>
              <w:jc w:val="right"/>
              <w:rPr>
                <w:rFonts w:ascii="Arial" w:hAnsi="Arial" w:cs="Arial"/>
                <w:color w:val="000000"/>
                <w:sz w:val="18"/>
                <w:szCs w:val="18"/>
              </w:rPr>
            </w:pPr>
            <w:r w:rsidRPr="00166809">
              <w:rPr>
                <w:rFonts w:ascii="Arial" w:hAnsi="Arial" w:cs="Arial"/>
                <w:color w:val="000000"/>
                <w:sz w:val="18"/>
                <w:szCs w:val="18"/>
              </w:rPr>
              <w:t xml:space="preserve">12,212 </w:t>
            </w:r>
          </w:p>
        </w:tc>
        <w:tc>
          <w:tcPr>
            <w:tcW w:w="1170" w:type="dxa"/>
            <w:shd w:val="clear" w:color="auto" w:fill="auto"/>
            <w:vAlign w:val="bottom"/>
          </w:tcPr>
          <w:p w14:paraId="02E2C64A" w14:textId="77777777" w:rsidR="00737BAA" w:rsidRPr="00166809" w:rsidRDefault="00737BAA" w:rsidP="00A06060">
            <w:pPr>
              <w:jc w:val="right"/>
              <w:rPr>
                <w:rFonts w:ascii="Arial" w:hAnsi="Arial" w:cs="Arial"/>
                <w:color w:val="000000"/>
                <w:sz w:val="18"/>
                <w:szCs w:val="18"/>
              </w:rPr>
            </w:pPr>
            <w:r w:rsidRPr="00166809">
              <w:rPr>
                <w:rFonts w:ascii="Arial" w:hAnsi="Arial" w:cs="Arial"/>
                <w:color w:val="000000"/>
                <w:sz w:val="18"/>
                <w:szCs w:val="18"/>
              </w:rPr>
              <w:t xml:space="preserve">10 </w:t>
            </w:r>
          </w:p>
        </w:tc>
        <w:tc>
          <w:tcPr>
            <w:tcW w:w="1080" w:type="dxa"/>
            <w:vAlign w:val="bottom"/>
          </w:tcPr>
          <w:p w14:paraId="50DDBF67" w14:textId="77777777" w:rsidR="00737BAA" w:rsidRPr="00166809" w:rsidRDefault="00737BAA" w:rsidP="00737BAA">
            <w:pPr>
              <w:jc w:val="right"/>
              <w:rPr>
                <w:rFonts w:ascii="Arial" w:hAnsi="Arial" w:cs="Arial"/>
                <w:color w:val="000000"/>
                <w:sz w:val="18"/>
                <w:szCs w:val="18"/>
              </w:rPr>
            </w:pPr>
            <w:r w:rsidRPr="00166809">
              <w:rPr>
                <w:rFonts w:ascii="Arial" w:hAnsi="Arial" w:cs="Arial"/>
                <w:color w:val="000000"/>
                <w:sz w:val="18"/>
                <w:szCs w:val="18"/>
              </w:rPr>
              <w:t>70</w:t>
            </w:r>
          </w:p>
        </w:tc>
        <w:tc>
          <w:tcPr>
            <w:tcW w:w="900" w:type="dxa"/>
            <w:shd w:val="clear" w:color="auto" w:fill="auto"/>
            <w:vAlign w:val="bottom"/>
          </w:tcPr>
          <w:p w14:paraId="6604A6F0" w14:textId="77777777" w:rsidR="00737BAA" w:rsidRPr="00166809" w:rsidRDefault="00737BAA" w:rsidP="00737BAA">
            <w:pPr>
              <w:jc w:val="right"/>
              <w:rPr>
                <w:rFonts w:ascii="Arial" w:hAnsi="Arial" w:cs="Arial"/>
                <w:color w:val="000000"/>
                <w:sz w:val="18"/>
                <w:szCs w:val="18"/>
              </w:rPr>
            </w:pPr>
            <w:r w:rsidRPr="00166809">
              <w:rPr>
                <w:rFonts w:ascii="Arial" w:hAnsi="Arial" w:cs="Arial"/>
                <w:color w:val="000000"/>
                <w:sz w:val="18"/>
                <w:szCs w:val="18"/>
              </w:rPr>
              <w:t>12,221</w:t>
            </w:r>
          </w:p>
        </w:tc>
        <w:tc>
          <w:tcPr>
            <w:tcW w:w="1080" w:type="dxa"/>
            <w:shd w:val="clear" w:color="auto" w:fill="auto"/>
            <w:vAlign w:val="bottom"/>
          </w:tcPr>
          <w:p w14:paraId="5B8531D5" w14:textId="77777777" w:rsidR="00737BAA" w:rsidRPr="00166809" w:rsidRDefault="00737BAA" w:rsidP="00737BAA">
            <w:pPr>
              <w:jc w:val="right"/>
              <w:rPr>
                <w:rFonts w:ascii="Arial" w:hAnsi="Arial" w:cs="Arial"/>
                <w:color w:val="000000"/>
                <w:sz w:val="18"/>
                <w:szCs w:val="18"/>
              </w:rPr>
            </w:pPr>
            <w:r w:rsidRPr="00166809">
              <w:rPr>
                <w:rFonts w:ascii="Arial" w:hAnsi="Arial" w:cs="Arial"/>
                <w:color w:val="000000"/>
                <w:sz w:val="18"/>
                <w:szCs w:val="18"/>
              </w:rPr>
              <w:t>1</w:t>
            </w:r>
          </w:p>
        </w:tc>
        <w:tc>
          <w:tcPr>
            <w:tcW w:w="1080" w:type="dxa"/>
            <w:vAlign w:val="bottom"/>
          </w:tcPr>
          <w:p w14:paraId="1FD5A0C2" w14:textId="77777777" w:rsidR="00737BAA" w:rsidRPr="00166809" w:rsidRDefault="00737BAA" w:rsidP="00737BAA">
            <w:pPr>
              <w:jc w:val="right"/>
              <w:rPr>
                <w:rFonts w:ascii="Arial" w:hAnsi="Arial" w:cs="Arial"/>
                <w:sz w:val="18"/>
                <w:szCs w:val="18"/>
              </w:rPr>
            </w:pPr>
            <w:r w:rsidRPr="00166809">
              <w:rPr>
                <w:rFonts w:ascii="Arial" w:hAnsi="Arial" w:cs="Arial"/>
                <w:sz w:val="18"/>
                <w:szCs w:val="18"/>
              </w:rPr>
              <w:t>61</w:t>
            </w:r>
          </w:p>
        </w:tc>
      </w:tr>
      <w:tr w:rsidR="00C903A0" w:rsidRPr="004E5E60" w14:paraId="6FFC7D25" w14:textId="77777777" w:rsidTr="00BA7904">
        <w:trPr>
          <w:trHeight w:val="276"/>
        </w:trPr>
        <w:tc>
          <w:tcPr>
            <w:tcW w:w="1455" w:type="dxa"/>
            <w:shd w:val="clear" w:color="auto" w:fill="auto"/>
            <w:vAlign w:val="center"/>
          </w:tcPr>
          <w:p w14:paraId="429BF1A2" w14:textId="77777777" w:rsidR="00737BAA" w:rsidRPr="00166809" w:rsidRDefault="00737BAA" w:rsidP="00A06060">
            <w:pPr>
              <w:pStyle w:val="IRPsanstext"/>
              <w:spacing w:before="120" w:after="120" w:line="240" w:lineRule="auto"/>
              <w:rPr>
                <w:rFonts w:cs="Arial"/>
                <w:color w:val="000000"/>
                <w:sz w:val="18"/>
                <w:szCs w:val="18"/>
              </w:rPr>
            </w:pPr>
            <w:proofErr w:type="spellStart"/>
            <w:r w:rsidRPr="00166809">
              <w:rPr>
                <w:rFonts w:cs="Arial"/>
                <w:color w:val="000000"/>
                <w:sz w:val="18"/>
                <w:szCs w:val="18"/>
              </w:rPr>
              <w:t>Recip</w:t>
            </w:r>
            <w:proofErr w:type="spellEnd"/>
            <w:r w:rsidRPr="00166809">
              <w:rPr>
                <w:rFonts w:cs="Arial"/>
                <w:color w:val="000000"/>
                <w:sz w:val="18"/>
                <w:szCs w:val="18"/>
              </w:rPr>
              <w:t xml:space="preserve"> </w:t>
            </w:r>
            <w:proofErr w:type="spellStart"/>
            <w:r w:rsidRPr="00166809">
              <w:rPr>
                <w:rFonts w:cs="Arial"/>
                <w:color w:val="000000"/>
                <w:sz w:val="18"/>
                <w:szCs w:val="18"/>
              </w:rPr>
              <w:t>Peaker</w:t>
            </w:r>
            <w:proofErr w:type="spellEnd"/>
            <w:r w:rsidRPr="00166809">
              <w:rPr>
                <w:rFonts w:cs="Arial"/>
                <w:color w:val="000000"/>
                <w:sz w:val="18"/>
                <w:szCs w:val="18"/>
              </w:rPr>
              <w:t xml:space="preserve"> 224 MW in 2023</w:t>
            </w:r>
          </w:p>
        </w:tc>
        <w:tc>
          <w:tcPr>
            <w:tcW w:w="990" w:type="dxa"/>
            <w:shd w:val="clear" w:color="auto" w:fill="auto"/>
            <w:vAlign w:val="bottom"/>
          </w:tcPr>
          <w:p w14:paraId="73919E07" w14:textId="77777777" w:rsidR="00737BAA" w:rsidRPr="00166809" w:rsidRDefault="00737BAA" w:rsidP="0084244F">
            <w:pPr>
              <w:jc w:val="right"/>
              <w:rPr>
                <w:rFonts w:ascii="Arial" w:hAnsi="Arial" w:cs="Arial"/>
                <w:color w:val="000000"/>
                <w:sz w:val="18"/>
                <w:szCs w:val="18"/>
              </w:rPr>
            </w:pPr>
            <w:r w:rsidRPr="00166809">
              <w:rPr>
                <w:rFonts w:ascii="Arial" w:hAnsi="Arial" w:cs="Arial"/>
                <w:color w:val="000000"/>
                <w:sz w:val="18"/>
                <w:szCs w:val="18"/>
              </w:rPr>
              <w:t xml:space="preserve">12,354 </w:t>
            </w:r>
          </w:p>
        </w:tc>
        <w:tc>
          <w:tcPr>
            <w:tcW w:w="1080" w:type="dxa"/>
            <w:shd w:val="clear" w:color="auto" w:fill="auto"/>
            <w:vAlign w:val="bottom"/>
          </w:tcPr>
          <w:p w14:paraId="34686C01" w14:textId="77777777" w:rsidR="00737BAA" w:rsidRPr="00166809" w:rsidRDefault="00737BAA" w:rsidP="00A06060">
            <w:pPr>
              <w:jc w:val="right"/>
              <w:rPr>
                <w:rFonts w:ascii="Arial" w:hAnsi="Arial" w:cs="Arial"/>
                <w:color w:val="FF0000"/>
                <w:sz w:val="18"/>
                <w:szCs w:val="18"/>
              </w:rPr>
            </w:pPr>
            <w:r w:rsidRPr="00166809">
              <w:rPr>
                <w:rFonts w:ascii="Arial" w:hAnsi="Arial" w:cs="Arial"/>
                <w:color w:val="FF0000"/>
                <w:sz w:val="18"/>
                <w:szCs w:val="18"/>
              </w:rPr>
              <w:t xml:space="preserve">(77) </w:t>
            </w:r>
          </w:p>
        </w:tc>
        <w:tc>
          <w:tcPr>
            <w:tcW w:w="900" w:type="dxa"/>
            <w:shd w:val="clear" w:color="auto" w:fill="auto"/>
            <w:vAlign w:val="bottom"/>
          </w:tcPr>
          <w:p w14:paraId="250426C6" w14:textId="77777777" w:rsidR="00737BAA" w:rsidRPr="00166809" w:rsidRDefault="00737BAA" w:rsidP="00A06060">
            <w:pPr>
              <w:jc w:val="right"/>
              <w:rPr>
                <w:rFonts w:ascii="Arial" w:hAnsi="Arial" w:cs="Arial"/>
                <w:color w:val="000000"/>
                <w:sz w:val="18"/>
                <w:szCs w:val="18"/>
              </w:rPr>
            </w:pPr>
            <w:r w:rsidRPr="00166809">
              <w:rPr>
                <w:rFonts w:ascii="Arial" w:hAnsi="Arial" w:cs="Arial"/>
                <w:color w:val="000000"/>
                <w:sz w:val="18"/>
                <w:szCs w:val="18"/>
              </w:rPr>
              <w:t xml:space="preserve">12,235 </w:t>
            </w:r>
          </w:p>
        </w:tc>
        <w:tc>
          <w:tcPr>
            <w:tcW w:w="1170" w:type="dxa"/>
            <w:shd w:val="clear" w:color="auto" w:fill="auto"/>
            <w:vAlign w:val="bottom"/>
          </w:tcPr>
          <w:p w14:paraId="2B504D8D" w14:textId="77777777" w:rsidR="00737BAA" w:rsidRPr="00166809" w:rsidRDefault="00737BAA" w:rsidP="00A06060">
            <w:pPr>
              <w:jc w:val="right"/>
              <w:rPr>
                <w:rFonts w:ascii="Arial" w:hAnsi="Arial" w:cs="Arial"/>
                <w:color w:val="000000"/>
                <w:sz w:val="18"/>
                <w:szCs w:val="18"/>
              </w:rPr>
            </w:pPr>
            <w:r w:rsidRPr="00166809">
              <w:rPr>
                <w:rFonts w:ascii="Arial" w:hAnsi="Arial" w:cs="Arial"/>
                <w:color w:val="FF0000"/>
                <w:sz w:val="18"/>
                <w:szCs w:val="18"/>
              </w:rPr>
              <w:t>(13)</w:t>
            </w:r>
          </w:p>
        </w:tc>
        <w:tc>
          <w:tcPr>
            <w:tcW w:w="1080" w:type="dxa"/>
            <w:vAlign w:val="bottom"/>
          </w:tcPr>
          <w:p w14:paraId="42BBE8F9" w14:textId="77777777" w:rsidR="00737BAA" w:rsidRPr="00166809" w:rsidRDefault="00737BAA" w:rsidP="00737BAA">
            <w:pPr>
              <w:jc w:val="right"/>
              <w:rPr>
                <w:rFonts w:ascii="Arial" w:hAnsi="Arial" w:cs="Arial"/>
                <w:color w:val="000000"/>
                <w:sz w:val="18"/>
                <w:szCs w:val="18"/>
              </w:rPr>
            </w:pPr>
            <w:r w:rsidRPr="00166809">
              <w:rPr>
                <w:rFonts w:ascii="Arial" w:hAnsi="Arial" w:cs="Arial"/>
                <w:color w:val="000000"/>
                <w:sz w:val="18"/>
                <w:szCs w:val="18"/>
              </w:rPr>
              <w:t>120</w:t>
            </w:r>
          </w:p>
        </w:tc>
        <w:tc>
          <w:tcPr>
            <w:tcW w:w="900" w:type="dxa"/>
            <w:shd w:val="clear" w:color="auto" w:fill="auto"/>
            <w:vAlign w:val="bottom"/>
          </w:tcPr>
          <w:p w14:paraId="3DE56EA0" w14:textId="77777777" w:rsidR="00737BAA" w:rsidRPr="00166809" w:rsidRDefault="00737BAA" w:rsidP="00737BAA">
            <w:pPr>
              <w:jc w:val="right"/>
              <w:rPr>
                <w:rFonts w:ascii="Arial" w:hAnsi="Arial" w:cs="Arial"/>
                <w:color w:val="000000"/>
                <w:sz w:val="18"/>
                <w:szCs w:val="18"/>
              </w:rPr>
            </w:pPr>
            <w:r w:rsidRPr="00166809">
              <w:rPr>
                <w:rFonts w:ascii="Arial" w:hAnsi="Arial" w:cs="Arial"/>
                <w:color w:val="000000"/>
                <w:sz w:val="18"/>
                <w:szCs w:val="18"/>
              </w:rPr>
              <w:t>12,260</w:t>
            </w:r>
          </w:p>
        </w:tc>
        <w:tc>
          <w:tcPr>
            <w:tcW w:w="1080" w:type="dxa"/>
            <w:shd w:val="clear" w:color="auto" w:fill="auto"/>
            <w:vAlign w:val="bottom"/>
          </w:tcPr>
          <w:p w14:paraId="25D1C59F" w14:textId="77777777" w:rsidR="00737BAA" w:rsidRPr="00166809" w:rsidRDefault="00737BAA" w:rsidP="00737BAA">
            <w:pPr>
              <w:jc w:val="right"/>
              <w:rPr>
                <w:rFonts w:ascii="Arial" w:hAnsi="Arial" w:cs="Arial"/>
                <w:color w:val="000000"/>
                <w:sz w:val="18"/>
                <w:szCs w:val="18"/>
              </w:rPr>
            </w:pPr>
            <w:r w:rsidRPr="00166809">
              <w:rPr>
                <w:rFonts w:ascii="Arial" w:hAnsi="Arial" w:cs="Arial"/>
                <w:color w:val="FF0000"/>
                <w:sz w:val="18"/>
                <w:szCs w:val="18"/>
              </w:rPr>
              <w:t>(40)</w:t>
            </w:r>
          </w:p>
        </w:tc>
        <w:tc>
          <w:tcPr>
            <w:tcW w:w="1080" w:type="dxa"/>
            <w:vAlign w:val="bottom"/>
          </w:tcPr>
          <w:p w14:paraId="7B9721E6" w14:textId="77777777" w:rsidR="00737BAA" w:rsidRPr="00166809" w:rsidRDefault="00737BAA" w:rsidP="00737BAA">
            <w:pPr>
              <w:jc w:val="right"/>
              <w:rPr>
                <w:rFonts w:ascii="Arial" w:hAnsi="Arial" w:cs="Arial"/>
                <w:sz w:val="18"/>
                <w:szCs w:val="18"/>
              </w:rPr>
            </w:pPr>
            <w:r w:rsidRPr="00166809">
              <w:rPr>
                <w:rFonts w:ascii="Arial" w:hAnsi="Arial" w:cs="Arial"/>
                <w:sz w:val="18"/>
                <w:szCs w:val="18"/>
              </w:rPr>
              <w:t>93</w:t>
            </w:r>
          </w:p>
        </w:tc>
      </w:tr>
    </w:tbl>
    <w:p w14:paraId="4459F9BD" w14:textId="77777777" w:rsidR="0084244F" w:rsidRPr="00166809" w:rsidRDefault="00AB7144" w:rsidP="00AB7144">
      <w:pPr>
        <w:pStyle w:val="IRPsanstext"/>
        <w:rPr>
          <w:rFonts w:ascii="Palatino" w:hAnsi="Palatino" w:cs="Arial"/>
          <w:i/>
        </w:rPr>
      </w:pPr>
      <w:r w:rsidRPr="00166809">
        <w:rPr>
          <w:rFonts w:ascii="Palatino" w:hAnsi="Palatino" w:cs="Arial"/>
          <w:i/>
        </w:rPr>
        <w:t>* Replaces battery in 2035 as cheaper alternative</w:t>
      </w:r>
    </w:p>
    <w:p w14:paraId="4ACEA6E5" w14:textId="77777777" w:rsidR="0084244F" w:rsidRDefault="0084244F" w:rsidP="00303A61">
      <w:pPr>
        <w:pStyle w:val="IRPsanstext"/>
        <w:rPr>
          <w:rFonts w:cs="Arial"/>
        </w:rPr>
      </w:pPr>
    </w:p>
    <w:p w14:paraId="74E573DC" w14:textId="77777777" w:rsidR="00AD0F38" w:rsidRPr="00303A61" w:rsidRDefault="00AD0F38" w:rsidP="00303A61">
      <w:pPr>
        <w:pStyle w:val="IRPsanstext"/>
        <w:rPr>
          <w:rFonts w:cs="Arial"/>
        </w:rPr>
      </w:pPr>
      <w:r w:rsidRPr="00303A61">
        <w:rPr>
          <w:rFonts w:cs="Arial"/>
        </w:rPr>
        <w:t xml:space="preserve">In all three cases, the analysis selects a 75 MW reciprocating engine build in 2035 rather than the battery selected in the Base Scenario optimal portfolio. The portfolio benefit ranges from $13.6 million to $19.5 million. </w:t>
      </w:r>
    </w:p>
    <w:p w14:paraId="219AA281" w14:textId="77777777" w:rsidR="00AD0F38" w:rsidRPr="00303A61" w:rsidRDefault="00AD0F38" w:rsidP="00303A61">
      <w:pPr>
        <w:pStyle w:val="IRPsanstext"/>
        <w:rPr>
          <w:rFonts w:cs="Arial"/>
        </w:rPr>
      </w:pPr>
    </w:p>
    <w:p w14:paraId="4458F1C6" w14:textId="77777777" w:rsidR="00AD0F38" w:rsidRPr="00303A61" w:rsidRDefault="00AD0F38" w:rsidP="00303A61">
      <w:pPr>
        <w:pStyle w:val="IRPsanstext"/>
        <w:rPr>
          <w:rFonts w:cs="Arial"/>
        </w:rPr>
      </w:pPr>
      <w:r w:rsidRPr="00303A61">
        <w:rPr>
          <w:rFonts w:cs="Arial"/>
        </w:rPr>
        <w:t xml:space="preserve">Forcing a 75 MW reciprocating engine into the 2023 portfolio build would result in a  $5.0 million portfolio cost in the no flexibility case as compared to the Base Scenario optimal portfolio, a $9.5 million benefit in the full flexibility case, and  $0.7 million benefit for the 50 percent flexibility case.  </w:t>
      </w:r>
    </w:p>
    <w:p w14:paraId="23401AA3" w14:textId="77777777" w:rsidR="00AD0F38" w:rsidRPr="00303A61" w:rsidRDefault="00AD0F38" w:rsidP="00303A61">
      <w:pPr>
        <w:pStyle w:val="IRPsanstext"/>
        <w:rPr>
          <w:rFonts w:cs="Arial"/>
        </w:rPr>
      </w:pPr>
    </w:p>
    <w:p w14:paraId="6D4AB3A8" w14:textId="77777777" w:rsidR="00AD0F38" w:rsidRPr="00303A61" w:rsidRDefault="00AD0F38" w:rsidP="00303A61">
      <w:pPr>
        <w:pStyle w:val="IRPsanstext"/>
        <w:rPr>
          <w:rFonts w:cs="Arial"/>
        </w:rPr>
      </w:pPr>
      <w:r w:rsidRPr="00303A61">
        <w:rPr>
          <w:rFonts w:cs="Arial"/>
        </w:rPr>
        <w:t xml:space="preserve">The benefit derived from the flexibility cases is really a comparison between a 75 MW reciprocating engine and a battery. The optimal portfolios in the flexibility cases indicate that building </w:t>
      </w:r>
      <w:proofErr w:type="gramStart"/>
      <w:r w:rsidRPr="00303A61">
        <w:rPr>
          <w:rFonts w:cs="Arial"/>
        </w:rPr>
        <w:t>the 75 MW reciprocating engine</w:t>
      </w:r>
      <w:proofErr w:type="gramEnd"/>
      <w:r w:rsidRPr="00303A61">
        <w:rPr>
          <w:rFonts w:cs="Arial"/>
        </w:rPr>
        <w:t xml:space="preserve"> in 2035 instead of 2023 provides a portfolio benefit of over $10 million.  The larger build for reciprocating engines (224 MW in 2023) results in a higher portfolio cost that ranges between $13.4 million and $77.4 million, depending on the flexibility case. </w:t>
      </w:r>
    </w:p>
    <w:p w14:paraId="65DB2911" w14:textId="77777777" w:rsidR="00AD0F38" w:rsidRPr="00303A61" w:rsidRDefault="00AD0F38" w:rsidP="00303A61">
      <w:pPr>
        <w:pStyle w:val="IRPsanstext"/>
        <w:rPr>
          <w:rFonts w:cs="Arial"/>
        </w:rPr>
      </w:pPr>
    </w:p>
    <w:p w14:paraId="23C366E4" w14:textId="77777777" w:rsidR="00AD0F38" w:rsidRPr="00303A61" w:rsidRDefault="00AD0F38" w:rsidP="00303A61">
      <w:pPr>
        <w:pStyle w:val="IRPsanstext"/>
        <w:rPr>
          <w:rFonts w:cs="Arial"/>
        </w:rPr>
      </w:pPr>
      <w:r w:rsidRPr="00303A61">
        <w:rPr>
          <w:rFonts w:cs="Arial"/>
        </w:rPr>
        <w:t xml:space="preserve">On a dollars per kW basis, reciprocating engines are more expensive than frame </w:t>
      </w:r>
      <w:proofErr w:type="spellStart"/>
      <w:r w:rsidRPr="00303A61">
        <w:rPr>
          <w:rFonts w:cs="Arial"/>
        </w:rPr>
        <w:t>peakers</w:t>
      </w:r>
      <w:proofErr w:type="spellEnd"/>
      <w:r w:rsidRPr="00303A61">
        <w:rPr>
          <w:rFonts w:cs="Arial"/>
        </w:rPr>
        <w:t xml:space="preserve">. The current results do not indicate a compelling need for reciprocating engines in the near term, but they have certain advantages that merit consideration. They can be installed in 18 MW increments that could provide a right-sizing approach, and they can provide added value through flexibility benefits. The flexibility of each type of technology needs to be further examined since the market is moving towards addressing the industry’s flexibility needs.  </w:t>
      </w:r>
    </w:p>
    <w:p w14:paraId="1A4EFA05" w14:textId="77777777" w:rsidR="00AD0F38" w:rsidRPr="00C129D8" w:rsidRDefault="00AD0F38" w:rsidP="00C129D8">
      <w:pPr>
        <w:pStyle w:val="IRPsanstext"/>
        <w:rPr>
          <w:rFonts w:cs="Arial"/>
          <w:sz w:val="32"/>
          <w:szCs w:val="32"/>
        </w:rPr>
      </w:pPr>
      <w:r w:rsidRPr="00303A61">
        <w:rPr>
          <w:rFonts w:cs="Arial"/>
        </w:rPr>
        <w:br w:type="page"/>
      </w:r>
      <w:r w:rsidRPr="00C129D8">
        <w:rPr>
          <w:rFonts w:cs="Arial"/>
          <w:sz w:val="32"/>
          <w:szCs w:val="32"/>
        </w:rPr>
        <w:t xml:space="preserve">H. Montana Wind </w:t>
      </w:r>
    </w:p>
    <w:p w14:paraId="62DA4657" w14:textId="77777777" w:rsidR="00C129D8" w:rsidRPr="00C129D8" w:rsidRDefault="00C129D8" w:rsidP="00C129D8">
      <w:pPr>
        <w:pStyle w:val="IRPsanstext"/>
        <w:rPr>
          <w:rFonts w:cs="Arial"/>
          <w:sz w:val="32"/>
          <w:szCs w:val="32"/>
        </w:rPr>
      </w:pPr>
    </w:p>
    <w:p w14:paraId="6AC95E1B" w14:textId="77777777" w:rsidR="00AD0F38" w:rsidRPr="00195216" w:rsidRDefault="00AD0F38" w:rsidP="00195216">
      <w:pPr>
        <w:pStyle w:val="IRPsanstext"/>
        <w:rPr>
          <w:b/>
        </w:rPr>
      </w:pPr>
      <w:r w:rsidRPr="00195216">
        <w:rPr>
          <w:b/>
        </w:rPr>
        <w:t xml:space="preserve">Update transmission cost for Montana wind to be more optimistic if Colstrip continues to operate. Will Montana wind be chosen in the lowest cost portfolio? </w:t>
      </w:r>
    </w:p>
    <w:p w14:paraId="4A2C1E3B" w14:textId="77777777" w:rsidR="00AD0F38" w:rsidRPr="00195216" w:rsidRDefault="00AD0F38" w:rsidP="00195216">
      <w:pPr>
        <w:pStyle w:val="IRPsanstext"/>
        <w:ind w:left="720"/>
        <w:rPr>
          <w:b/>
        </w:rPr>
      </w:pPr>
      <w:r w:rsidRPr="00195216">
        <w:rPr>
          <w:b/>
        </w:rPr>
        <w:t>Baseline: Assume PSE cost estimate for transmission upgrades to Montana</w:t>
      </w:r>
      <w:r w:rsidR="00195216">
        <w:rPr>
          <w:b/>
        </w:rPr>
        <w:t>.</w:t>
      </w:r>
    </w:p>
    <w:p w14:paraId="199090FB" w14:textId="77777777" w:rsidR="00AD0F38" w:rsidRPr="00195216" w:rsidRDefault="00AD0F38" w:rsidP="00195216">
      <w:pPr>
        <w:pStyle w:val="IRPsanstext"/>
        <w:ind w:left="720"/>
        <w:rPr>
          <w:b/>
        </w:rPr>
      </w:pPr>
      <w:r w:rsidRPr="00195216">
        <w:rPr>
          <w:b/>
        </w:rPr>
        <w:t xml:space="preserve">Sensitivity: Assume lower transmission cost estimate. </w:t>
      </w:r>
    </w:p>
    <w:p w14:paraId="5A16B4F7" w14:textId="77777777" w:rsidR="00AD0F38" w:rsidRPr="00C129D8" w:rsidRDefault="00AD0F38" w:rsidP="00C129D8">
      <w:pPr>
        <w:pStyle w:val="IRPsanstext"/>
        <w:rPr>
          <w:rFonts w:cs="Arial"/>
        </w:rPr>
      </w:pPr>
    </w:p>
    <w:p w14:paraId="34294205" w14:textId="77777777" w:rsidR="00AD0F38" w:rsidRPr="00C129D8" w:rsidRDefault="00AD0F38" w:rsidP="00C129D8">
      <w:pPr>
        <w:pStyle w:val="IRPsanstext"/>
        <w:rPr>
          <w:rFonts w:cs="Arial"/>
        </w:rPr>
      </w:pPr>
      <w:r w:rsidRPr="00C129D8">
        <w:rPr>
          <w:rFonts w:cs="Arial"/>
        </w:rPr>
        <w:t xml:space="preserve">Montana wind has the benefit of higher capacity factors than Washington wind (41 percent versus 31 percent), but it also has the added costs of transmission to move the power to PSE’s system. In addition, </w:t>
      </w:r>
      <w:r w:rsidR="00131291">
        <w:rPr>
          <w:rFonts w:cs="Arial"/>
        </w:rPr>
        <w:t>whether</w:t>
      </w:r>
      <w:r w:rsidR="00131291" w:rsidRPr="00C129D8">
        <w:rPr>
          <w:rFonts w:cs="Arial"/>
        </w:rPr>
        <w:t xml:space="preserve"> </w:t>
      </w:r>
      <w:r w:rsidRPr="00C129D8">
        <w:rPr>
          <w:rFonts w:cs="Arial"/>
        </w:rPr>
        <w:t>Montana wind qualifi</w:t>
      </w:r>
      <w:r w:rsidR="00131291">
        <w:rPr>
          <w:rFonts w:cs="Arial"/>
        </w:rPr>
        <w:t xml:space="preserve">es </w:t>
      </w:r>
      <w:r w:rsidRPr="00C129D8">
        <w:rPr>
          <w:rFonts w:cs="Arial"/>
        </w:rPr>
        <w:t xml:space="preserve">as a </w:t>
      </w:r>
      <w:r w:rsidR="00131291">
        <w:rPr>
          <w:rFonts w:cs="Arial"/>
        </w:rPr>
        <w:t>qualifying renewable resource</w:t>
      </w:r>
      <w:r w:rsidRPr="00C129D8">
        <w:rPr>
          <w:rFonts w:cs="Arial"/>
        </w:rPr>
        <w:t xml:space="preserve"> under RCW 19.285 depends on the location of the facility</w:t>
      </w:r>
      <w:r w:rsidR="00131291">
        <w:rPr>
          <w:rFonts w:cs="Arial"/>
        </w:rPr>
        <w:t>—most of the prime wind resources in Montana are outside the footprint defined in the law</w:t>
      </w:r>
      <w:r w:rsidRPr="00C129D8">
        <w:rPr>
          <w:rFonts w:cs="Arial"/>
        </w:rPr>
        <w:t xml:space="preserve">. Montana wind is viewed as a capacity resource that is compared to </w:t>
      </w:r>
      <w:proofErr w:type="spellStart"/>
      <w:r w:rsidRPr="00C129D8">
        <w:rPr>
          <w:rFonts w:cs="Arial"/>
        </w:rPr>
        <w:t>dispatchable</w:t>
      </w:r>
      <w:proofErr w:type="spellEnd"/>
      <w:r w:rsidRPr="00C129D8">
        <w:rPr>
          <w:rFonts w:cs="Arial"/>
        </w:rPr>
        <w:t xml:space="preserve"> resources used to meet peak capacity need in the analysis.</w:t>
      </w:r>
    </w:p>
    <w:p w14:paraId="2DD68EF0" w14:textId="77777777" w:rsidR="00AD0F38" w:rsidRPr="00C129D8" w:rsidRDefault="00AD0F38" w:rsidP="00C129D8">
      <w:pPr>
        <w:pStyle w:val="IRPsanstext"/>
        <w:rPr>
          <w:rFonts w:cs="Arial"/>
        </w:rPr>
      </w:pPr>
    </w:p>
    <w:p w14:paraId="1B364DDA" w14:textId="77777777" w:rsidR="0067369A" w:rsidRDefault="00AD0F38" w:rsidP="00C129D8">
      <w:pPr>
        <w:pStyle w:val="IRPsanstext"/>
        <w:rPr>
          <w:rFonts w:cs="Arial"/>
        </w:rPr>
      </w:pPr>
      <w:r w:rsidRPr="00C129D8">
        <w:rPr>
          <w:rFonts w:cs="Arial"/>
        </w:rPr>
        <w:t xml:space="preserve">Additional analysis was done to examine Montana wind more closely. We assumed that the Montana wind project is located at Judith Gap, and did the analysis assuming Colstrip continues to operate and assuming there is excess transmission capacity with retirement of Colstrip.  As shown below, this would require four transmission paths to deliver the power to PSE’s system: </w:t>
      </w:r>
    </w:p>
    <w:p w14:paraId="0D5574AC" w14:textId="77777777" w:rsidR="0067369A" w:rsidRDefault="0067369A" w:rsidP="00C129D8">
      <w:pPr>
        <w:pStyle w:val="IRPsanstext"/>
        <w:rPr>
          <w:rFonts w:cs="Arial"/>
        </w:rPr>
      </w:pPr>
    </w:p>
    <w:p w14:paraId="2269A11C" w14:textId="77777777" w:rsidR="0067369A" w:rsidRDefault="00AD0F38" w:rsidP="00F26524">
      <w:pPr>
        <w:pStyle w:val="IRPsanstext"/>
        <w:numPr>
          <w:ilvl w:val="1"/>
          <w:numId w:val="23"/>
        </w:numPr>
        <w:rPr>
          <w:rFonts w:cs="Arial"/>
        </w:rPr>
      </w:pPr>
      <w:r w:rsidRPr="00C129D8">
        <w:rPr>
          <w:rFonts w:cs="Arial"/>
        </w:rPr>
        <w:t>Wind fac</w:t>
      </w:r>
      <w:r w:rsidR="0067369A">
        <w:rPr>
          <w:rFonts w:cs="Arial"/>
        </w:rPr>
        <w:t>ility (Judith Gap) to Broadview</w:t>
      </w:r>
      <w:r w:rsidRPr="00C129D8">
        <w:rPr>
          <w:rFonts w:cs="Arial"/>
        </w:rPr>
        <w:t xml:space="preserve"> </w:t>
      </w:r>
    </w:p>
    <w:p w14:paraId="4956729B" w14:textId="77777777" w:rsidR="0067369A" w:rsidRDefault="0067369A" w:rsidP="00F26524">
      <w:pPr>
        <w:pStyle w:val="IRPsanstext"/>
        <w:numPr>
          <w:ilvl w:val="1"/>
          <w:numId w:val="23"/>
        </w:numPr>
        <w:rPr>
          <w:rFonts w:cs="Arial"/>
        </w:rPr>
      </w:pPr>
      <w:r>
        <w:rPr>
          <w:rFonts w:cs="Arial"/>
        </w:rPr>
        <w:t>Broadview to Townsend</w:t>
      </w:r>
    </w:p>
    <w:p w14:paraId="1477906F" w14:textId="77777777" w:rsidR="0067369A" w:rsidRDefault="0067369A" w:rsidP="00F26524">
      <w:pPr>
        <w:pStyle w:val="IRPsanstext"/>
        <w:numPr>
          <w:ilvl w:val="1"/>
          <w:numId w:val="23"/>
        </w:numPr>
        <w:rPr>
          <w:rFonts w:cs="Arial"/>
        </w:rPr>
      </w:pPr>
      <w:r>
        <w:rPr>
          <w:rFonts w:cs="Arial"/>
        </w:rPr>
        <w:t>Townsend to Garrison</w:t>
      </w:r>
    </w:p>
    <w:p w14:paraId="49ECA9EC" w14:textId="77777777" w:rsidR="0067369A" w:rsidRDefault="0067369A" w:rsidP="00F26524">
      <w:pPr>
        <w:pStyle w:val="IRPsanstext"/>
        <w:numPr>
          <w:ilvl w:val="1"/>
          <w:numId w:val="23"/>
        </w:numPr>
        <w:rPr>
          <w:rFonts w:cs="Arial"/>
        </w:rPr>
      </w:pPr>
      <w:r>
        <w:rPr>
          <w:rFonts w:cs="Arial"/>
        </w:rPr>
        <w:t>Garrison to PSE’s system</w:t>
      </w:r>
      <w:r w:rsidR="00AD0F38" w:rsidRPr="00C129D8">
        <w:rPr>
          <w:rFonts w:cs="Arial"/>
        </w:rPr>
        <w:t xml:space="preserve"> </w:t>
      </w:r>
    </w:p>
    <w:p w14:paraId="173F9409" w14:textId="77777777" w:rsidR="0067369A" w:rsidRDefault="0067369A" w:rsidP="00C129D8">
      <w:pPr>
        <w:pStyle w:val="IRPsanstext"/>
        <w:rPr>
          <w:rFonts w:cs="Arial"/>
        </w:rPr>
      </w:pPr>
    </w:p>
    <w:p w14:paraId="7D1ED3D0" w14:textId="77777777" w:rsidR="00AD0F38" w:rsidRPr="00C129D8" w:rsidRDefault="00AD0F38" w:rsidP="00C129D8">
      <w:pPr>
        <w:pStyle w:val="IRPsanstext"/>
        <w:rPr>
          <w:rFonts w:cs="Arial"/>
        </w:rPr>
      </w:pPr>
      <w:r w:rsidRPr="00C129D8">
        <w:rPr>
          <w:rFonts w:cs="Arial"/>
        </w:rPr>
        <w:t xml:space="preserve">Broadview to </w:t>
      </w:r>
      <w:proofErr w:type="gramStart"/>
      <w:r w:rsidRPr="00C129D8">
        <w:rPr>
          <w:rFonts w:cs="Arial"/>
        </w:rPr>
        <w:t>Garrison</w:t>
      </w:r>
      <w:proofErr w:type="gramEnd"/>
      <w:r w:rsidRPr="00C129D8">
        <w:rPr>
          <w:rFonts w:cs="Arial"/>
        </w:rPr>
        <w:t xml:space="preserve"> is fully committed for Colstrip operations, therefore there is no excess capacity to accommodate additional wind capacity unless the transmission lines are upgraded or some of Colstrip is retired. With additional transmission losses of 6.7</w:t>
      </w:r>
      <w:r w:rsidR="00855BD7">
        <w:rPr>
          <w:rFonts w:cs="Arial"/>
        </w:rPr>
        <w:t xml:space="preserve"> percent as shown in Figure 6-44</w:t>
      </w:r>
      <w:r w:rsidRPr="00C129D8">
        <w:rPr>
          <w:rFonts w:cs="Arial"/>
        </w:rPr>
        <w:t xml:space="preserve"> below, the 41 percent capacity factor at the source is effectively 38 percent when delivered to PSE’s system.  The capacity factor for Washington wind is 34 percent.  Montana wind also incurs the added annual cost of transmission for each of the transmission segments. See the transmission map in Figure 6-4</w:t>
      </w:r>
      <w:r w:rsidR="00AA05FF">
        <w:rPr>
          <w:rFonts w:cs="Arial"/>
        </w:rPr>
        <w:t>6</w:t>
      </w:r>
      <w:r w:rsidRPr="00C129D8">
        <w:rPr>
          <w:rFonts w:cs="Arial"/>
        </w:rPr>
        <w:t xml:space="preserve"> for the transmission path from Montana.</w:t>
      </w:r>
    </w:p>
    <w:p w14:paraId="22B0DBC2" w14:textId="77777777" w:rsidR="00AD0F38" w:rsidRPr="00C129D8" w:rsidRDefault="00AD0F38" w:rsidP="00C129D8">
      <w:pPr>
        <w:pStyle w:val="IRPsanstext"/>
        <w:rPr>
          <w:rFonts w:cs="Arial"/>
        </w:rPr>
      </w:pPr>
    </w:p>
    <w:p w14:paraId="75EB6B6E" w14:textId="77777777" w:rsidR="00AD0F38" w:rsidRPr="00C129D8" w:rsidRDefault="00AD0F38" w:rsidP="00C129D8">
      <w:pPr>
        <w:pStyle w:val="IRPsanstext"/>
        <w:rPr>
          <w:rFonts w:cs="Arial"/>
        </w:rPr>
      </w:pPr>
      <w:r w:rsidRPr="00C129D8">
        <w:rPr>
          <w:rFonts w:cs="Arial"/>
        </w:rPr>
        <w:br w:type="page"/>
      </w:r>
    </w:p>
    <w:p w14:paraId="63853F83" w14:textId="77777777" w:rsidR="00AD0F38" w:rsidRPr="00C129D8" w:rsidRDefault="00C129D8" w:rsidP="00C129D8">
      <w:pPr>
        <w:pStyle w:val="IRPsanstext"/>
        <w:jc w:val="center"/>
        <w:rPr>
          <w:rFonts w:cs="Arial"/>
          <w:i/>
        </w:rPr>
      </w:pPr>
      <w:r w:rsidRPr="00C129D8">
        <w:rPr>
          <w:rFonts w:cs="Arial"/>
          <w:i/>
          <w:noProof/>
          <w:lang w:eastAsia="en-US"/>
        </w:rPr>
        <w:drawing>
          <wp:anchor distT="0" distB="0" distL="114300" distR="114300" simplePos="0" relativeHeight="251648512" behindDoc="0" locked="0" layoutInCell="1" allowOverlap="1" wp14:anchorId="649EF3CA" wp14:editId="40FB8697">
            <wp:simplePos x="0" y="0"/>
            <wp:positionH relativeFrom="column">
              <wp:posOffset>-62865</wp:posOffset>
            </wp:positionH>
            <wp:positionV relativeFrom="paragraph">
              <wp:posOffset>292100</wp:posOffset>
            </wp:positionV>
            <wp:extent cx="5473700" cy="3086100"/>
            <wp:effectExtent l="0" t="0" r="12700" b="12700"/>
            <wp:wrapTopAndBottom/>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0">
                      <a:extLst>
                        <a:ext uri="{28A0092B-C50C-407E-A947-70E740481C1C}">
                          <a14:useLocalDpi xmlns:a14="http://schemas.microsoft.com/office/drawing/2010/main" val="0"/>
                        </a:ext>
                      </a:extLst>
                    </a:blip>
                    <a:srcRect t="15340" r="2445"/>
                    <a:stretch/>
                  </pic:blipFill>
                  <pic:spPr bwMode="auto">
                    <a:xfrm>
                      <a:off x="0" y="0"/>
                      <a:ext cx="5473700" cy="3086100"/>
                    </a:xfrm>
                    <a:prstGeom prst="rect">
                      <a:avLst/>
                    </a:prstGeom>
                    <a:noFill/>
                    <a:ln>
                      <a:noFill/>
                    </a:ln>
                    <a:extLst>
                      <a:ext uri="{53640926-AAD7-44d8-BBD7-CCE9431645EC}">
                        <a14:shadowObscured xmlns:a14="http://schemas.microsoft.com/office/drawing/2010/main"/>
                      </a:ext>
                    </a:extLst>
                  </pic:spPr>
                </pic:pic>
              </a:graphicData>
            </a:graphic>
          </wp:anchor>
        </w:drawing>
      </w:r>
      <w:r w:rsidR="00AD0F38" w:rsidRPr="00C129D8">
        <w:rPr>
          <w:rFonts w:cs="Arial"/>
          <w:i/>
        </w:rPr>
        <w:t>Figure 6-4</w:t>
      </w:r>
      <w:r w:rsidR="00855BD7">
        <w:rPr>
          <w:rFonts w:cs="Arial"/>
          <w:i/>
        </w:rPr>
        <w:t>4</w:t>
      </w:r>
      <w:r w:rsidR="00AD0F38" w:rsidRPr="00C129D8">
        <w:rPr>
          <w:rFonts w:cs="Arial"/>
          <w:i/>
        </w:rPr>
        <w:t>: Montana Wind Transmission Paths</w:t>
      </w:r>
    </w:p>
    <w:p w14:paraId="09E27BCE" w14:textId="77777777" w:rsidR="00AD0F38" w:rsidRPr="00C129D8" w:rsidRDefault="00AD0F38" w:rsidP="00C129D8">
      <w:pPr>
        <w:pStyle w:val="IRPsanstext"/>
        <w:rPr>
          <w:rFonts w:cs="Arial"/>
        </w:rPr>
      </w:pPr>
    </w:p>
    <w:p w14:paraId="50B440F0" w14:textId="77777777" w:rsidR="00AD0F38" w:rsidRDefault="00AD0F38" w:rsidP="00C129D8">
      <w:pPr>
        <w:pStyle w:val="IRPsanstext"/>
        <w:rPr>
          <w:rFonts w:cs="Arial"/>
        </w:rPr>
      </w:pPr>
      <w:r w:rsidRPr="00C129D8">
        <w:rPr>
          <w:rFonts w:cs="Arial"/>
        </w:rPr>
        <w:t>The sensitivity analyses and incremental transmission costs are as follows. The</w:t>
      </w:r>
      <w:r w:rsidR="004E5935">
        <w:rPr>
          <w:rFonts w:cs="Arial"/>
        </w:rPr>
        <w:t xml:space="preserve"> </w:t>
      </w:r>
      <w:r w:rsidRPr="00C129D8">
        <w:rPr>
          <w:rFonts w:cs="Arial"/>
        </w:rPr>
        <w:t>costs</w:t>
      </w:r>
      <w:r w:rsidR="00166453">
        <w:rPr>
          <w:rFonts w:cs="Arial"/>
        </w:rPr>
        <w:t xml:space="preserve"> in the following</w:t>
      </w:r>
      <w:r w:rsidR="00294A3F">
        <w:rPr>
          <w:rFonts w:cs="Arial"/>
        </w:rPr>
        <w:t xml:space="preserve"> scenarios</w:t>
      </w:r>
      <w:r w:rsidRPr="00C129D8">
        <w:rPr>
          <w:rFonts w:cs="Arial"/>
        </w:rPr>
        <w:t xml:space="preserve"> include three substations at the wind facility.</w:t>
      </w:r>
    </w:p>
    <w:p w14:paraId="2E2C0C62" w14:textId="77777777" w:rsidR="00C129D8" w:rsidRPr="00C129D8" w:rsidRDefault="00C129D8" w:rsidP="00C129D8">
      <w:pPr>
        <w:pStyle w:val="IRPsanstext"/>
        <w:rPr>
          <w:rFonts w:cs="Arial"/>
        </w:rPr>
      </w:pPr>
    </w:p>
    <w:p w14:paraId="6AE3D33B" w14:textId="77777777" w:rsidR="00AD0F38" w:rsidRPr="00C129D8" w:rsidRDefault="00AD0F38" w:rsidP="00F26524">
      <w:pPr>
        <w:pStyle w:val="IRPsanstext"/>
        <w:numPr>
          <w:ilvl w:val="0"/>
          <w:numId w:val="12"/>
        </w:numPr>
        <w:spacing w:line="360" w:lineRule="auto"/>
        <w:rPr>
          <w:rFonts w:cs="Arial"/>
        </w:rPr>
      </w:pPr>
      <w:r w:rsidRPr="00C129D8">
        <w:rPr>
          <w:rFonts w:cs="Arial"/>
        </w:rPr>
        <w:t xml:space="preserve">Colstrip Retired  </w:t>
      </w:r>
    </w:p>
    <w:p w14:paraId="412B7126" w14:textId="77777777" w:rsidR="00AD0F38" w:rsidRPr="00C129D8" w:rsidRDefault="00D32FB9" w:rsidP="00F26524">
      <w:pPr>
        <w:pStyle w:val="IRPsanstext"/>
        <w:numPr>
          <w:ilvl w:val="0"/>
          <w:numId w:val="28"/>
        </w:numPr>
        <w:spacing w:line="360" w:lineRule="auto"/>
        <w:rPr>
          <w:rFonts w:cs="Arial"/>
        </w:rPr>
      </w:pPr>
      <w:r>
        <w:rPr>
          <w:rFonts w:cs="Arial"/>
        </w:rPr>
        <w:t xml:space="preserve">Upgrade current </w:t>
      </w:r>
      <w:proofErr w:type="spellStart"/>
      <w:r>
        <w:rPr>
          <w:rFonts w:cs="Arial"/>
        </w:rPr>
        <w:t>NorthW</w:t>
      </w:r>
      <w:r w:rsidR="00AD0F38" w:rsidRPr="00C129D8">
        <w:rPr>
          <w:rFonts w:cs="Arial"/>
        </w:rPr>
        <w:t>estern</w:t>
      </w:r>
      <w:proofErr w:type="spellEnd"/>
      <w:r w:rsidR="00AD0F38" w:rsidRPr="00C129D8">
        <w:rPr>
          <w:rFonts w:cs="Arial"/>
        </w:rPr>
        <w:t xml:space="preserve"> line from wind facility to Broadview </w:t>
      </w:r>
    </w:p>
    <w:p w14:paraId="3AA09C3E" w14:textId="77777777" w:rsidR="00AD0F38" w:rsidRPr="00C129D8" w:rsidRDefault="00AD0F38" w:rsidP="00F26524">
      <w:pPr>
        <w:pStyle w:val="IRPsanstext"/>
        <w:numPr>
          <w:ilvl w:val="0"/>
          <w:numId w:val="28"/>
        </w:numPr>
        <w:spacing w:line="360" w:lineRule="auto"/>
        <w:rPr>
          <w:rFonts w:cs="Arial"/>
        </w:rPr>
      </w:pPr>
      <w:r w:rsidRPr="00C129D8">
        <w:rPr>
          <w:rFonts w:cs="Arial"/>
        </w:rPr>
        <w:t>$</w:t>
      </w:r>
      <w:r w:rsidR="004E5935">
        <w:rPr>
          <w:rFonts w:cs="Arial"/>
        </w:rPr>
        <w:t>32.4</w:t>
      </w:r>
      <w:r w:rsidRPr="00C129D8">
        <w:rPr>
          <w:rFonts w:cs="Arial"/>
        </w:rPr>
        <w:t xml:space="preserve"> million - $</w:t>
      </w:r>
      <w:r w:rsidR="004E5935">
        <w:rPr>
          <w:rFonts w:cs="Arial"/>
        </w:rPr>
        <w:t>122</w:t>
      </w:r>
      <w:r w:rsidRPr="00C129D8">
        <w:rPr>
          <w:rFonts w:cs="Arial"/>
        </w:rPr>
        <w:t xml:space="preserve"> per kW </w:t>
      </w:r>
    </w:p>
    <w:p w14:paraId="3E96BD68" w14:textId="77777777" w:rsidR="00AD0F38" w:rsidRPr="00C129D8" w:rsidRDefault="00AD0F38" w:rsidP="00F26524">
      <w:pPr>
        <w:pStyle w:val="IRPsanstext"/>
        <w:numPr>
          <w:ilvl w:val="0"/>
          <w:numId w:val="12"/>
        </w:numPr>
        <w:spacing w:line="360" w:lineRule="auto"/>
        <w:rPr>
          <w:rFonts w:cs="Arial"/>
        </w:rPr>
      </w:pPr>
      <w:r w:rsidRPr="00C129D8">
        <w:rPr>
          <w:rFonts w:cs="Arial"/>
        </w:rPr>
        <w:t xml:space="preserve">Colstrip Retired </w:t>
      </w:r>
    </w:p>
    <w:p w14:paraId="37ED122D" w14:textId="77777777" w:rsidR="00AD0F38" w:rsidRPr="00C129D8" w:rsidRDefault="00AD0F38" w:rsidP="00F26524">
      <w:pPr>
        <w:pStyle w:val="IRPsanstext"/>
        <w:numPr>
          <w:ilvl w:val="1"/>
          <w:numId w:val="24"/>
        </w:numPr>
        <w:spacing w:line="360" w:lineRule="auto"/>
        <w:rPr>
          <w:rFonts w:cs="Arial"/>
        </w:rPr>
      </w:pPr>
      <w:r w:rsidRPr="00C129D8">
        <w:rPr>
          <w:rFonts w:cs="Arial"/>
        </w:rPr>
        <w:t xml:space="preserve">Build new line from wind facility to Broadview </w:t>
      </w:r>
    </w:p>
    <w:p w14:paraId="1CDF288F" w14:textId="77777777" w:rsidR="00AD0F38" w:rsidRPr="00C129D8" w:rsidRDefault="00AD0F38" w:rsidP="00F26524">
      <w:pPr>
        <w:pStyle w:val="IRPsanstext"/>
        <w:numPr>
          <w:ilvl w:val="1"/>
          <w:numId w:val="25"/>
        </w:numPr>
        <w:spacing w:line="360" w:lineRule="auto"/>
        <w:rPr>
          <w:rFonts w:cs="Arial"/>
        </w:rPr>
      </w:pPr>
      <w:r w:rsidRPr="00C129D8">
        <w:rPr>
          <w:rFonts w:cs="Arial"/>
        </w:rPr>
        <w:t>$</w:t>
      </w:r>
      <w:r w:rsidR="004E5935">
        <w:rPr>
          <w:rFonts w:cs="Arial"/>
        </w:rPr>
        <w:t>94.2</w:t>
      </w:r>
      <w:r w:rsidRPr="00C129D8">
        <w:rPr>
          <w:rFonts w:cs="Arial"/>
        </w:rPr>
        <w:t xml:space="preserve"> million - $</w:t>
      </w:r>
      <w:r w:rsidR="004E5935">
        <w:rPr>
          <w:rFonts w:cs="Arial"/>
        </w:rPr>
        <w:t>355</w:t>
      </w:r>
      <w:r w:rsidRPr="00C129D8">
        <w:rPr>
          <w:rFonts w:cs="Arial"/>
        </w:rPr>
        <w:t xml:space="preserve"> per kW</w:t>
      </w:r>
    </w:p>
    <w:p w14:paraId="3823B21E" w14:textId="77777777" w:rsidR="00AD0F38" w:rsidRPr="00C129D8" w:rsidRDefault="00AD0F38" w:rsidP="00F26524">
      <w:pPr>
        <w:pStyle w:val="IRPsanstext"/>
        <w:numPr>
          <w:ilvl w:val="0"/>
          <w:numId w:val="12"/>
        </w:numPr>
        <w:spacing w:line="360" w:lineRule="auto"/>
        <w:rPr>
          <w:rFonts w:cs="Arial"/>
        </w:rPr>
      </w:pPr>
      <w:r w:rsidRPr="00C129D8">
        <w:rPr>
          <w:rFonts w:cs="Arial"/>
        </w:rPr>
        <w:t xml:space="preserve">With Colstrip Operations </w:t>
      </w:r>
    </w:p>
    <w:p w14:paraId="4C74FD44" w14:textId="77777777" w:rsidR="00AD0F38" w:rsidRPr="00C129D8" w:rsidRDefault="00D32FB9" w:rsidP="00F26524">
      <w:pPr>
        <w:pStyle w:val="IRPsanstext"/>
        <w:numPr>
          <w:ilvl w:val="1"/>
          <w:numId w:val="26"/>
        </w:numPr>
        <w:spacing w:line="360" w:lineRule="auto"/>
        <w:rPr>
          <w:rFonts w:cs="Arial"/>
        </w:rPr>
      </w:pPr>
      <w:r>
        <w:rPr>
          <w:rFonts w:cs="Arial"/>
        </w:rPr>
        <w:t xml:space="preserve">Upgrade current </w:t>
      </w:r>
      <w:proofErr w:type="spellStart"/>
      <w:r>
        <w:rPr>
          <w:rFonts w:cs="Arial"/>
        </w:rPr>
        <w:t>NorthW</w:t>
      </w:r>
      <w:r w:rsidR="00AD0F38" w:rsidRPr="00C129D8">
        <w:rPr>
          <w:rFonts w:cs="Arial"/>
        </w:rPr>
        <w:t>estern</w:t>
      </w:r>
      <w:proofErr w:type="spellEnd"/>
      <w:r w:rsidR="00AD0F38" w:rsidRPr="00C129D8">
        <w:rPr>
          <w:rFonts w:cs="Arial"/>
        </w:rPr>
        <w:t xml:space="preserve"> line from wind facility to Broadview </w:t>
      </w:r>
    </w:p>
    <w:p w14:paraId="3F2507C6" w14:textId="77777777" w:rsidR="00AD0F38" w:rsidRPr="00C129D8" w:rsidRDefault="00AD0F38" w:rsidP="00F26524">
      <w:pPr>
        <w:pStyle w:val="IRPsanstext"/>
        <w:numPr>
          <w:ilvl w:val="1"/>
          <w:numId w:val="26"/>
        </w:numPr>
        <w:spacing w:line="360" w:lineRule="auto"/>
        <w:rPr>
          <w:rFonts w:cs="Arial"/>
        </w:rPr>
      </w:pPr>
      <w:r w:rsidRPr="00C129D8">
        <w:rPr>
          <w:rFonts w:cs="Arial"/>
        </w:rPr>
        <w:t>Upgrade Colstrip line to Garrison</w:t>
      </w:r>
    </w:p>
    <w:p w14:paraId="0AA80A41" w14:textId="77777777" w:rsidR="00AD0F38" w:rsidRPr="00C129D8" w:rsidRDefault="004E5935" w:rsidP="00F26524">
      <w:pPr>
        <w:pStyle w:val="IRPsanstext"/>
        <w:numPr>
          <w:ilvl w:val="1"/>
          <w:numId w:val="26"/>
        </w:numPr>
        <w:spacing w:line="360" w:lineRule="auto"/>
        <w:rPr>
          <w:rFonts w:cs="Arial"/>
        </w:rPr>
      </w:pPr>
      <w:r>
        <w:rPr>
          <w:rFonts w:cs="Arial"/>
        </w:rPr>
        <w:t>$662 million - $2,489</w:t>
      </w:r>
      <w:r w:rsidR="00AD0F38" w:rsidRPr="00C129D8">
        <w:rPr>
          <w:rFonts w:cs="Arial"/>
        </w:rPr>
        <w:t xml:space="preserve"> per kW</w:t>
      </w:r>
    </w:p>
    <w:p w14:paraId="6B9E127D" w14:textId="77777777" w:rsidR="00AD0F38" w:rsidRPr="00C129D8" w:rsidRDefault="00AD0F38" w:rsidP="00F26524">
      <w:pPr>
        <w:pStyle w:val="IRPsanstext"/>
        <w:numPr>
          <w:ilvl w:val="0"/>
          <w:numId w:val="12"/>
        </w:numPr>
        <w:spacing w:line="360" w:lineRule="auto"/>
        <w:rPr>
          <w:rFonts w:cs="Arial"/>
        </w:rPr>
      </w:pPr>
      <w:r w:rsidRPr="00C129D8">
        <w:rPr>
          <w:rFonts w:cs="Arial"/>
        </w:rPr>
        <w:t xml:space="preserve">With Colstrip Operations </w:t>
      </w:r>
    </w:p>
    <w:p w14:paraId="2A382C10" w14:textId="77777777" w:rsidR="00AD0F38" w:rsidRPr="00C129D8" w:rsidRDefault="00AD0F38" w:rsidP="00F26524">
      <w:pPr>
        <w:pStyle w:val="IRPsanstext"/>
        <w:numPr>
          <w:ilvl w:val="1"/>
          <w:numId w:val="27"/>
        </w:numPr>
        <w:spacing w:line="360" w:lineRule="auto"/>
        <w:rPr>
          <w:rFonts w:cs="Arial"/>
        </w:rPr>
      </w:pPr>
      <w:r w:rsidRPr="00C129D8">
        <w:rPr>
          <w:rFonts w:cs="Arial"/>
        </w:rPr>
        <w:t xml:space="preserve">Builds new line from wind facility to Broadview </w:t>
      </w:r>
    </w:p>
    <w:p w14:paraId="47FF35F5" w14:textId="77777777" w:rsidR="00AD0F38" w:rsidRPr="00C129D8" w:rsidRDefault="00AD0F38" w:rsidP="00F26524">
      <w:pPr>
        <w:pStyle w:val="IRPsanstext"/>
        <w:numPr>
          <w:ilvl w:val="1"/>
          <w:numId w:val="27"/>
        </w:numPr>
        <w:spacing w:line="360" w:lineRule="auto"/>
        <w:rPr>
          <w:rFonts w:cs="Arial"/>
        </w:rPr>
      </w:pPr>
      <w:r w:rsidRPr="00C129D8">
        <w:rPr>
          <w:rFonts w:cs="Arial"/>
        </w:rPr>
        <w:t>Upgrade Colstrip line to Garrison</w:t>
      </w:r>
    </w:p>
    <w:p w14:paraId="24C5D12C" w14:textId="77777777" w:rsidR="00AD0F38" w:rsidRPr="00C129D8" w:rsidRDefault="004E5935" w:rsidP="00F26524">
      <w:pPr>
        <w:pStyle w:val="IRPsanstext"/>
        <w:numPr>
          <w:ilvl w:val="1"/>
          <w:numId w:val="27"/>
        </w:numPr>
        <w:spacing w:line="360" w:lineRule="auto"/>
        <w:rPr>
          <w:rFonts w:cs="Arial"/>
        </w:rPr>
      </w:pPr>
      <w:r>
        <w:rPr>
          <w:rFonts w:cs="Arial"/>
        </w:rPr>
        <w:t>$723 million - $2,728</w:t>
      </w:r>
      <w:r w:rsidR="00AD0F38" w:rsidRPr="00C129D8">
        <w:rPr>
          <w:rFonts w:cs="Arial"/>
        </w:rPr>
        <w:t xml:space="preserve"> per kW</w:t>
      </w:r>
    </w:p>
    <w:p w14:paraId="53F63E4E" w14:textId="77777777" w:rsidR="00AD0F38" w:rsidRPr="00C129D8" w:rsidRDefault="00AD0F38" w:rsidP="00C129D8">
      <w:pPr>
        <w:pStyle w:val="IRPsanstext"/>
        <w:rPr>
          <w:rFonts w:cs="Arial"/>
        </w:rPr>
      </w:pPr>
    </w:p>
    <w:p w14:paraId="28C10E74" w14:textId="77777777" w:rsidR="00C129D8" w:rsidRDefault="00C129D8">
      <w:pPr>
        <w:rPr>
          <w:rFonts w:ascii="Arial" w:hAnsi="Arial" w:cs="Arial"/>
          <w:sz w:val="20"/>
          <w:szCs w:val="20"/>
        </w:rPr>
      </w:pPr>
      <w:r>
        <w:rPr>
          <w:rFonts w:cs="Arial"/>
        </w:rPr>
        <w:br w:type="page"/>
      </w:r>
    </w:p>
    <w:p w14:paraId="115442FF" w14:textId="77777777" w:rsidR="00AD0F38" w:rsidRDefault="00AD0F38" w:rsidP="00C129D8">
      <w:pPr>
        <w:pStyle w:val="IRPsanstext"/>
        <w:rPr>
          <w:rFonts w:cs="Arial"/>
        </w:rPr>
      </w:pPr>
      <w:r w:rsidRPr="00C129D8">
        <w:rPr>
          <w:rFonts w:cs="Arial"/>
        </w:rPr>
        <w:t>Figure 6-4</w:t>
      </w:r>
      <w:r w:rsidR="00855BD7">
        <w:rPr>
          <w:rFonts w:cs="Arial"/>
        </w:rPr>
        <w:t>5</w:t>
      </w:r>
      <w:r w:rsidRPr="00C129D8">
        <w:rPr>
          <w:rFonts w:cs="Arial"/>
        </w:rPr>
        <w:t xml:space="preserve"> shows the impact of the </w:t>
      </w:r>
      <w:proofErr w:type="spellStart"/>
      <w:r w:rsidRPr="00C129D8">
        <w:rPr>
          <w:rFonts w:cs="Arial"/>
        </w:rPr>
        <w:t>levelized</w:t>
      </w:r>
      <w:proofErr w:type="spellEnd"/>
      <w:r w:rsidRPr="00C129D8">
        <w:rPr>
          <w:rFonts w:cs="Arial"/>
        </w:rPr>
        <w:t xml:space="preserve"> costs versus capacity factor of wind as compared to market price.  </w:t>
      </w:r>
    </w:p>
    <w:p w14:paraId="689AF5B8" w14:textId="77777777" w:rsidR="00C129D8" w:rsidRPr="00C129D8" w:rsidRDefault="00C129D8" w:rsidP="00C129D8">
      <w:pPr>
        <w:pStyle w:val="IRPsanstext"/>
        <w:rPr>
          <w:rFonts w:cs="Arial"/>
        </w:rPr>
      </w:pPr>
    </w:p>
    <w:p w14:paraId="1BD17FD1" w14:textId="77777777" w:rsidR="00AD0F38" w:rsidRPr="00C129D8" w:rsidRDefault="00AD0F38" w:rsidP="00C129D8">
      <w:pPr>
        <w:pStyle w:val="IRPsanstext"/>
        <w:jc w:val="center"/>
        <w:rPr>
          <w:rFonts w:cs="Arial"/>
          <w:i/>
        </w:rPr>
      </w:pPr>
      <w:r w:rsidRPr="00C129D8">
        <w:rPr>
          <w:rFonts w:cs="Arial"/>
          <w:i/>
        </w:rPr>
        <w:t>Figure 6-4</w:t>
      </w:r>
      <w:r w:rsidR="00855BD7">
        <w:rPr>
          <w:rFonts w:cs="Arial"/>
          <w:i/>
        </w:rPr>
        <w:t>5</w:t>
      </w:r>
      <w:r w:rsidRPr="00C129D8">
        <w:rPr>
          <w:rFonts w:cs="Arial"/>
          <w:i/>
        </w:rPr>
        <w:t xml:space="preserve">: </w:t>
      </w:r>
      <w:proofErr w:type="spellStart"/>
      <w:r w:rsidRPr="00C129D8">
        <w:rPr>
          <w:rFonts w:cs="Arial"/>
          <w:i/>
        </w:rPr>
        <w:t>Levelized</w:t>
      </w:r>
      <w:proofErr w:type="spellEnd"/>
      <w:r w:rsidRPr="00C129D8">
        <w:rPr>
          <w:rFonts w:cs="Arial"/>
          <w:i/>
        </w:rPr>
        <w:t xml:space="preserve"> Costs and Capacity Factors Compared,</w:t>
      </w:r>
    </w:p>
    <w:p w14:paraId="4F2144F3" w14:textId="77777777" w:rsidR="00AD0F38" w:rsidRPr="00C129D8" w:rsidRDefault="00C129D8" w:rsidP="00C129D8">
      <w:pPr>
        <w:pStyle w:val="IRPsanstext"/>
        <w:jc w:val="center"/>
        <w:rPr>
          <w:rFonts w:cs="Arial"/>
          <w:i/>
        </w:rPr>
      </w:pPr>
      <w:r w:rsidRPr="00C129D8">
        <w:rPr>
          <w:rFonts w:cs="Arial"/>
          <w:noProof/>
          <w:lang w:eastAsia="en-US"/>
        </w:rPr>
        <w:drawing>
          <wp:anchor distT="0" distB="0" distL="114300" distR="114300" simplePos="0" relativeHeight="251649536" behindDoc="0" locked="0" layoutInCell="1" allowOverlap="1" wp14:anchorId="0C673283" wp14:editId="6E099564">
            <wp:simplePos x="0" y="0"/>
            <wp:positionH relativeFrom="column">
              <wp:posOffset>-62865</wp:posOffset>
            </wp:positionH>
            <wp:positionV relativeFrom="paragraph">
              <wp:posOffset>305435</wp:posOffset>
            </wp:positionV>
            <wp:extent cx="5537835" cy="3679825"/>
            <wp:effectExtent l="0" t="0" r="0" b="3175"/>
            <wp:wrapTopAndBottom/>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37835" cy="3679825"/>
                    </a:xfrm>
                    <a:prstGeom prst="rect">
                      <a:avLst/>
                    </a:prstGeom>
                    <a:noFill/>
                    <a:ln>
                      <a:noFill/>
                    </a:ln>
                  </pic:spPr>
                </pic:pic>
              </a:graphicData>
            </a:graphic>
          </wp:anchor>
        </w:drawing>
      </w:r>
      <w:r w:rsidR="00AD0F38" w:rsidRPr="00C129D8">
        <w:rPr>
          <w:rFonts w:cs="Arial"/>
          <w:i/>
        </w:rPr>
        <w:t>Montana Wind, Washington Wind and Market Price</w:t>
      </w:r>
    </w:p>
    <w:p w14:paraId="4A5EF7D1" w14:textId="77777777" w:rsidR="00AD0F38" w:rsidRPr="00C129D8" w:rsidRDefault="00AD0F38" w:rsidP="00C129D8">
      <w:pPr>
        <w:pStyle w:val="IRPsanstext"/>
        <w:rPr>
          <w:rFonts w:cs="Arial"/>
        </w:rPr>
      </w:pPr>
    </w:p>
    <w:p w14:paraId="3855E917" w14:textId="77777777" w:rsidR="00AD0F38" w:rsidRDefault="00AD0F38" w:rsidP="00C129D8">
      <w:pPr>
        <w:pStyle w:val="IRPsanstext"/>
        <w:rPr>
          <w:rFonts w:cs="Arial"/>
        </w:rPr>
      </w:pPr>
      <w:r w:rsidRPr="00C129D8">
        <w:rPr>
          <w:rFonts w:cs="Arial"/>
        </w:rPr>
        <w:t>The results are as follows:</w:t>
      </w:r>
    </w:p>
    <w:p w14:paraId="52DBDADD" w14:textId="77777777" w:rsidR="00C129D8" w:rsidRPr="00C129D8" w:rsidRDefault="00C129D8" w:rsidP="00C129D8">
      <w:pPr>
        <w:pStyle w:val="IRPsanstext"/>
        <w:rPr>
          <w:rFonts w:cs="Arial"/>
        </w:rPr>
      </w:pPr>
    </w:p>
    <w:p w14:paraId="57684360" w14:textId="77777777" w:rsidR="00AD0F38" w:rsidRPr="00C129D8" w:rsidRDefault="00AD0F38" w:rsidP="00F26524">
      <w:pPr>
        <w:pStyle w:val="IRPsanstext"/>
        <w:numPr>
          <w:ilvl w:val="0"/>
          <w:numId w:val="13"/>
        </w:numPr>
        <w:rPr>
          <w:rFonts w:cs="Arial"/>
        </w:rPr>
      </w:pPr>
      <w:r w:rsidRPr="00C129D8">
        <w:rPr>
          <w:rFonts w:cs="Arial"/>
        </w:rPr>
        <w:t>Washington wind is comparable to market purchases at about a 65 percent capacity factor.</w:t>
      </w:r>
    </w:p>
    <w:p w14:paraId="55ED93B7" w14:textId="77777777" w:rsidR="00AD0F38" w:rsidRPr="00C129D8" w:rsidRDefault="00AD0F38" w:rsidP="00F26524">
      <w:pPr>
        <w:pStyle w:val="IRPsanstext"/>
        <w:numPr>
          <w:ilvl w:val="0"/>
          <w:numId w:val="13"/>
        </w:numPr>
        <w:rPr>
          <w:rFonts w:cs="Arial"/>
        </w:rPr>
      </w:pPr>
      <w:r w:rsidRPr="00C129D8">
        <w:rPr>
          <w:rFonts w:cs="Arial"/>
        </w:rPr>
        <w:t xml:space="preserve">Montana wind is $2 to $10 per </w:t>
      </w:r>
      <w:proofErr w:type="spellStart"/>
      <w:r w:rsidRPr="00C129D8">
        <w:rPr>
          <w:rFonts w:cs="Arial"/>
        </w:rPr>
        <w:t>MWh</w:t>
      </w:r>
      <w:proofErr w:type="spellEnd"/>
      <w:r w:rsidRPr="00C129D8">
        <w:rPr>
          <w:rFonts w:cs="Arial"/>
        </w:rPr>
        <w:t xml:space="preserve"> higher than Washington wind in the Colstrip Retired-Low Cost Scenario A. </w:t>
      </w:r>
    </w:p>
    <w:p w14:paraId="1648A528" w14:textId="77777777" w:rsidR="00AD0F38" w:rsidRPr="00C129D8" w:rsidRDefault="00AD0F38" w:rsidP="00F26524">
      <w:pPr>
        <w:pStyle w:val="IRPsanstext"/>
        <w:numPr>
          <w:ilvl w:val="0"/>
          <w:numId w:val="13"/>
        </w:numPr>
        <w:rPr>
          <w:rFonts w:cs="Arial"/>
        </w:rPr>
      </w:pPr>
      <w:r w:rsidRPr="00C129D8">
        <w:rPr>
          <w:rFonts w:cs="Arial"/>
        </w:rPr>
        <w:t xml:space="preserve">Montana wind is $80 to $88 per </w:t>
      </w:r>
      <w:proofErr w:type="spellStart"/>
      <w:r w:rsidRPr="00C129D8">
        <w:rPr>
          <w:rFonts w:cs="Arial"/>
        </w:rPr>
        <w:t>MWh</w:t>
      </w:r>
      <w:proofErr w:type="spellEnd"/>
      <w:r w:rsidRPr="00C129D8">
        <w:rPr>
          <w:rFonts w:cs="Arial"/>
        </w:rPr>
        <w:t xml:space="preserve"> higher than Washington wind in the Continued Colstrip-High Cost Scenario D.</w:t>
      </w:r>
    </w:p>
    <w:p w14:paraId="7BF4A28E" w14:textId="77777777" w:rsidR="00AD0F38" w:rsidRPr="00C129D8" w:rsidRDefault="00AD0F38" w:rsidP="00F26524">
      <w:pPr>
        <w:pStyle w:val="IRPsanstext"/>
        <w:numPr>
          <w:ilvl w:val="0"/>
          <w:numId w:val="13"/>
        </w:numPr>
        <w:rPr>
          <w:rFonts w:cs="Arial"/>
        </w:rPr>
      </w:pPr>
      <w:r w:rsidRPr="00C129D8">
        <w:rPr>
          <w:rFonts w:cs="Arial"/>
        </w:rPr>
        <w:t>Montana wind is not selected as a resource in the optimization model.</w:t>
      </w:r>
    </w:p>
    <w:p w14:paraId="730D162C" w14:textId="77777777" w:rsidR="00AD0F38" w:rsidRPr="00C129D8" w:rsidRDefault="00AD0F38" w:rsidP="00C129D8">
      <w:pPr>
        <w:pStyle w:val="IRPsanstext"/>
        <w:rPr>
          <w:rFonts w:cs="Arial"/>
        </w:rPr>
      </w:pPr>
    </w:p>
    <w:p w14:paraId="58188819" w14:textId="77777777" w:rsidR="00AD0F38" w:rsidRPr="00C129D8" w:rsidRDefault="00AD0F38" w:rsidP="00C129D8">
      <w:pPr>
        <w:pStyle w:val="IRPsanstext"/>
        <w:rPr>
          <w:rFonts w:cs="Arial"/>
          <w:caps/>
        </w:rPr>
      </w:pPr>
      <w:r w:rsidRPr="00C129D8">
        <w:rPr>
          <w:rFonts w:cs="Arial"/>
          <w:caps/>
        </w:rPr>
        <w:br w:type="page"/>
      </w:r>
    </w:p>
    <w:p w14:paraId="402A197F" w14:textId="77777777" w:rsidR="00AD0F38" w:rsidRPr="00C129D8" w:rsidRDefault="00AD0F38" w:rsidP="00C129D8">
      <w:pPr>
        <w:pStyle w:val="IRPsanstext"/>
        <w:rPr>
          <w:rFonts w:cs="Arial"/>
          <w:color w:val="3366FF"/>
        </w:rPr>
      </w:pPr>
      <w:r w:rsidRPr="00C129D8">
        <w:rPr>
          <w:rFonts w:cs="Arial"/>
          <w:b/>
          <w:color w:val="156570"/>
          <w:sz w:val="28"/>
          <w:szCs w:val="28"/>
        </w:rPr>
        <w:t>Wind Scenarios.</w:t>
      </w:r>
      <w:r w:rsidRPr="00C129D8">
        <w:rPr>
          <w:rFonts w:cs="Arial"/>
          <w:color w:val="3366FF"/>
        </w:rPr>
        <w:t xml:space="preserve"> </w:t>
      </w:r>
      <w:r w:rsidRPr="00C129D8">
        <w:rPr>
          <w:rFonts w:cs="Arial"/>
        </w:rPr>
        <w:t>PSE analyzed an additional Montana wind scenario that included lower cost estimates in response to requests by interested parties. The assumptions for that analysis are listed below, followed by the results of the analysis in Figure 6-4</w:t>
      </w:r>
      <w:r w:rsidR="00855BD7">
        <w:rPr>
          <w:rFonts w:cs="Arial"/>
        </w:rPr>
        <w:t>6</w:t>
      </w:r>
      <w:r w:rsidRPr="00C129D8">
        <w:rPr>
          <w:rFonts w:cs="Arial"/>
        </w:rPr>
        <w:t xml:space="preserve">. </w:t>
      </w:r>
    </w:p>
    <w:p w14:paraId="2A2104FD" w14:textId="77777777" w:rsidR="00AD0F38" w:rsidRPr="00C129D8" w:rsidRDefault="00AD0F38" w:rsidP="00C129D8">
      <w:pPr>
        <w:pStyle w:val="IRPsanstext"/>
        <w:rPr>
          <w:rFonts w:cs="Arial"/>
          <w:caps/>
        </w:rPr>
      </w:pPr>
    </w:p>
    <w:p w14:paraId="4FC92E4F" w14:textId="77777777" w:rsidR="00AD0F38" w:rsidRPr="00C129D8" w:rsidRDefault="00AD0F38" w:rsidP="00F26524">
      <w:pPr>
        <w:pStyle w:val="IRPsanstext"/>
        <w:numPr>
          <w:ilvl w:val="0"/>
          <w:numId w:val="29"/>
        </w:numPr>
        <w:rPr>
          <w:rFonts w:cs="Arial"/>
        </w:rPr>
      </w:pPr>
      <w:r w:rsidRPr="00C129D8">
        <w:rPr>
          <w:rFonts w:cs="Arial"/>
        </w:rPr>
        <w:t xml:space="preserve">Capital costs were reduced from $4,913 to $2,381 per kW, </w:t>
      </w:r>
    </w:p>
    <w:p w14:paraId="740262B7" w14:textId="77777777" w:rsidR="00AD0F38" w:rsidRPr="00C129D8" w:rsidRDefault="00AD0F38" w:rsidP="00F26524">
      <w:pPr>
        <w:pStyle w:val="IRPsanstext"/>
        <w:numPr>
          <w:ilvl w:val="0"/>
          <w:numId w:val="29"/>
        </w:numPr>
        <w:rPr>
          <w:rFonts w:cs="Arial"/>
        </w:rPr>
      </w:pPr>
      <w:r w:rsidRPr="00C129D8">
        <w:rPr>
          <w:rFonts w:cs="Arial"/>
        </w:rPr>
        <w:t xml:space="preserve">Montana transmission line losses were reduced from 6.7 percent to 5.4 percent, and </w:t>
      </w:r>
    </w:p>
    <w:p w14:paraId="1A91F467" w14:textId="77777777" w:rsidR="00AD0F38" w:rsidRPr="00C129D8" w:rsidRDefault="00AD0F38" w:rsidP="00F26524">
      <w:pPr>
        <w:pStyle w:val="IRPsanstext"/>
        <w:numPr>
          <w:ilvl w:val="0"/>
          <w:numId w:val="29"/>
        </w:numPr>
        <w:rPr>
          <w:rFonts w:cs="Arial"/>
        </w:rPr>
      </w:pPr>
      <w:r w:rsidRPr="00C129D8">
        <w:rPr>
          <w:rFonts w:cs="Arial"/>
        </w:rPr>
        <w:t xml:space="preserve">Transmission costs were reduced from $55.05 to $51.75 per kW per yr.  </w:t>
      </w:r>
    </w:p>
    <w:p w14:paraId="6C59D8E0" w14:textId="77777777" w:rsidR="00AD0F38" w:rsidRPr="00C129D8" w:rsidRDefault="00AD0F38" w:rsidP="00C129D8">
      <w:pPr>
        <w:pStyle w:val="IRPsanstext"/>
        <w:rPr>
          <w:rFonts w:cs="Arial"/>
        </w:rPr>
      </w:pPr>
    </w:p>
    <w:p w14:paraId="4DE1F1D3" w14:textId="77777777" w:rsidR="00AD0F38" w:rsidRPr="00C129D8" w:rsidRDefault="00C129D8" w:rsidP="00C129D8">
      <w:pPr>
        <w:pStyle w:val="IRPsanstext"/>
        <w:jc w:val="center"/>
        <w:rPr>
          <w:rFonts w:cs="Arial"/>
          <w:i/>
        </w:rPr>
      </w:pPr>
      <w:r w:rsidRPr="00C129D8">
        <w:rPr>
          <w:rFonts w:cs="Arial"/>
          <w:noProof/>
          <w:lang w:eastAsia="en-US"/>
        </w:rPr>
        <w:drawing>
          <wp:anchor distT="0" distB="0" distL="114300" distR="114300" simplePos="0" relativeHeight="251638272" behindDoc="0" locked="0" layoutInCell="1" allowOverlap="1" wp14:anchorId="00B51A50" wp14:editId="3EBF21A4">
            <wp:simplePos x="0" y="0"/>
            <wp:positionH relativeFrom="column">
              <wp:posOffset>51435</wp:posOffset>
            </wp:positionH>
            <wp:positionV relativeFrom="paragraph">
              <wp:posOffset>314960</wp:posOffset>
            </wp:positionV>
            <wp:extent cx="5257800" cy="4291330"/>
            <wp:effectExtent l="0" t="0" r="0" b="1270"/>
            <wp:wrapTopAndBottom/>
            <wp:docPr id="20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57800" cy="4291330"/>
                    </a:xfrm>
                    <a:prstGeom prst="rect">
                      <a:avLst/>
                    </a:prstGeom>
                    <a:noFill/>
                    <a:ln>
                      <a:noFill/>
                    </a:ln>
                    <a:effectLst/>
                    <a:extLst/>
                  </pic:spPr>
                </pic:pic>
              </a:graphicData>
            </a:graphic>
          </wp:anchor>
        </w:drawing>
      </w:r>
      <w:r w:rsidR="00AD0F38" w:rsidRPr="00C129D8">
        <w:rPr>
          <w:rFonts w:cs="Arial"/>
          <w:i/>
        </w:rPr>
        <w:t>Figure 6-4</w:t>
      </w:r>
      <w:r w:rsidR="00855BD7">
        <w:rPr>
          <w:rFonts w:cs="Arial"/>
          <w:i/>
        </w:rPr>
        <w:t>6</w:t>
      </w:r>
      <w:r w:rsidR="00AD0F38" w:rsidRPr="00C129D8">
        <w:rPr>
          <w:rFonts w:cs="Arial"/>
          <w:i/>
        </w:rPr>
        <w:t>: Reduced Cost Montana Wind Analysis</w:t>
      </w:r>
    </w:p>
    <w:p w14:paraId="70070D95" w14:textId="77777777" w:rsidR="00AD0F38" w:rsidRPr="00C129D8" w:rsidRDefault="00AD0F38" w:rsidP="00C129D8">
      <w:pPr>
        <w:pStyle w:val="IRPsanstext"/>
        <w:rPr>
          <w:rFonts w:cs="Arial"/>
        </w:rPr>
      </w:pPr>
      <w:r w:rsidRPr="00C129D8">
        <w:rPr>
          <w:rFonts w:cs="Arial"/>
        </w:rPr>
        <w:t xml:space="preserve">    </w:t>
      </w:r>
    </w:p>
    <w:p w14:paraId="59A0F67A" w14:textId="77777777" w:rsidR="00AD0F38" w:rsidRPr="00C129D8" w:rsidRDefault="00AD0F38" w:rsidP="00C129D8">
      <w:pPr>
        <w:pStyle w:val="IRPsanstext"/>
        <w:rPr>
          <w:rFonts w:cs="Arial"/>
        </w:rPr>
      </w:pPr>
      <w:r w:rsidRPr="00C129D8">
        <w:rPr>
          <w:rFonts w:cs="Arial"/>
        </w:rPr>
        <w:br w:type="page"/>
      </w:r>
    </w:p>
    <w:p w14:paraId="0F1C8F26" w14:textId="77777777" w:rsidR="00AD0F38" w:rsidRPr="00C129D8" w:rsidRDefault="00AD0F38" w:rsidP="00C129D8">
      <w:pPr>
        <w:pStyle w:val="IRPsanstext"/>
        <w:rPr>
          <w:rFonts w:cs="Arial"/>
        </w:rPr>
      </w:pPr>
      <w:r w:rsidRPr="00C129D8">
        <w:rPr>
          <w:rFonts w:cs="Arial"/>
        </w:rPr>
        <w:t xml:space="preserve">An important factor for comparing Montana wind to a </w:t>
      </w:r>
      <w:proofErr w:type="spellStart"/>
      <w:r w:rsidRPr="00C129D8">
        <w:rPr>
          <w:rFonts w:cs="Arial"/>
        </w:rPr>
        <w:t>dispatchable</w:t>
      </w:r>
      <w:proofErr w:type="spellEnd"/>
      <w:r w:rsidRPr="00C129D8">
        <w:rPr>
          <w:rFonts w:cs="Arial"/>
        </w:rPr>
        <w:t xml:space="preserve"> capacity resource is the capacity credit to meet peak loads.  That is, what is the ICE for Montana wind? Hourly data is necessary to develop capacity credits, and though information over a number of years exists for the annual capacity factor, the hourly data is limited. However, PSE was provided with hourly Montana wind data for a 2-year period. This data indicated a peak capacity credit for a site at Judith Gap of 55 percent with an annual capacity factor of only 41 percent. Comparatively, Washington wind, for which we have 9 years of hourly data, provides only an 8 percent peak capacity credit. The validity of the peak capacity credit for Montana wind needs to be verified over a longer time period</w:t>
      </w:r>
      <w:r w:rsidR="00131291">
        <w:rPr>
          <w:rFonts w:cs="Arial"/>
        </w:rPr>
        <w:t xml:space="preserve">.  Also, the capacity contribution of Montana wind was based on a 5% LOLP method for calculating the ICE—it was not updated to use 10.9 </w:t>
      </w:r>
      <w:proofErr w:type="spellStart"/>
      <w:r w:rsidR="00131291">
        <w:rPr>
          <w:rFonts w:cs="Arial"/>
        </w:rPr>
        <w:t>MWh</w:t>
      </w:r>
      <w:proofErr w:type="spellEnd"/>
      <w:r w:rsidR="00131291">
        <w:rPr>
          <w:rFonts w:cs="Arial"/>
        </w:rPr>
        <w:t xml:space="preserve"> EUE. We will shift to the EUE approach in future IRPs</w:t>
      </w:r>
      <w:r w:rsidRPr="00C129D8">
        <w:rPr>
          <w:rFonts w:cs="Arial"/>
        </w:rPr>
        <w:t xml:space="preserve">.  .  </w:t>
      </w:r>
    </w:p>
    <w:p w14:paraId="55AC5CB3" w14:textId="77777777" w:rsidR="00AD0F38" w:rsidRPr="00C129D8" w:rsidRDefault="00AD0F38" w:rsidP="00C129D8">
      <w:pPr>
        <w:pStyle w:val="IRPsanstext"/>
        <w:rPr>
          <w:rFonts w:cs="Arial"/>
        </w:rPr>
      </w:pPr>
    </w:p>
    <w:p w14:paraId="506D2C32" w14:textId="77777777" w:rsidR="00AD0F38" w:rsidRPr="00C129D8" w:rsidRDefault="00AD0F38" w:rsidP="00C129D8">
      <w:pPr>
        <w:pStyle w:val="IRPsanstext"/>
        <w:rPr>
          <w:rFonts w:cs="Arial"/>
        </w:rPr>
      </w:pPr>
      <w:r w:rsidRPr="00C129D8">
        <w:rPr>
          <w:rFonts w:cs="Arial"/>
        </w:rPr>
        <w:t>See Figure 6-</w:t>
      </w:r>
      <w:r w:rsidR="00855BD7">
        <w:rPr>
          <w:rFonts w:cs="Arial"/>
        </w:rPr>
        <w:t>47</w:t>
      </w:r>
      <w:r w:rsidRPr="00C129D8">
        <w:rPr>
          <w:rFonts w:cs="Arial"/>
        </w:rPr>
        <w:t xml:space="preserve"> for the Montana wind results assuming continued operations at Colstrip. The base case did not select Montana wind given the prohibitively high capital costs of $4,913 per kW. The analysis below assumes a 300 MW Montana Wind build in 2023 at the reduced capital cost of $2,381/kW; but this is still high relative to Washington wind at $1,968 per kW. The analysis assumes the Montana wind does not qualify for the renewable portfolio standard given its location in Montana near Judith Gap; therefore it is viewed only as a peak capacity resource. The peak capacity credit was varied from 55 percent to 40 percent for Montana wind to test how high the capacity credit would need to be for Montana wind to be cost effective. This resulted in an increase in portfolio costs ranging from $184 to $226 million. </w:t>
      </w:r>
    </w:p>
    <w:p w14:paraId="07456CF5" w14:textId="77777777" w:rsidR="00AD0F38" w:rsidRPr="00C129D8" w:rsidRDefault="00AD0F38" w:rsidP="00C129D8">
      <w:pPr>
        <w:pStyle w:val="IRPsanstext"/>
        <w:rPr>
          <w:rFonts w:cs="Arial"/>
        </w:rPr>
      </w:pPr>
    </w:p>
    <w:p w14:paraId="0D71B0F9" w14:textId="77777777" w:rsidR="00AD0F38" w:rsidRPr="00C129D8" w:rsidRDefault="00855BD7" w:rsidP="00030B29">
      <w:pPr>
        <w:pStyle w:val="IRPsanstext"/>
        <w:spacing w:after="120"/>
        <w:jc w:val="center"/>
        <w:rPr>
          <w:rFonts w:cs="Arial"/>
          <w:i/>
        </w:rPr>
      </w:pPr>
      <w:r>
        <w:rPr>
          <w:rFonts w:cs="Arial"/>
          <w:i/>
        </w:rPr>
        <w:t>Figure 6-47</w:t>
      </w:r>
      <w:r w:rsidR="00AD0F38" w:rsidRPr="00C129D8">
        <w:rPr>
          <w:rFonts w:cs="Arial"/>
          <w:i/>
        </w:rPr>
        <w:t xml:space="preserve">: 300 MW Montana Wind </w:t>
      </w:r>
      <w:r w:rsidR="00030B29">
        <w:rPr>
          <w:rFonts w:cs="Arial"/>
          <w:i/>
        </w:rPr>
        <w:t>a</w:t>
      </w:r>
      <w:r w:rsidR="00AD0F38" w:rsidRPr="00C129D8">
        <w:rPr>
          <w:rFonts w:cs="Arial"/>
          <w:i/>
        </w:rPr>
        <w:t>dded in 2023</w:t>
      </w:r>
      <w:r w:rsidR="008727E6">
        <w:rPr>
          <w:rFonts w:cs="Arial"/>
          <w:i/>
        </w:rPr>
        <w:t xml:space="preserve">, </w:t>
      </w:r>
      <w:r w:rsidR="00030B29">
        <w:rPr>
          <w:rFonts w:cs="Arial"/>
          <w:i/>
        </w:rPr>
        <w:t>t</w:t>
      </w:r>
      <w:r w:rsidR="008727E6">
        <w:rPr>
          <w:rFonts w:cs="Arial"/>
          <w:i/>
        </w:rPr>
        <w:t xml:space="preserve">ested at </w:t>
      </w:r>
      <w:r w:rsidR="00030B29">
        <w:rPr>
          <w:rFonts w:cs="Arial"/>
          <w:i/>
        </w:rPr>
        <w:t>f</w:t>
      </w:r>
      <w:r w:rsidR="008727E6">
        <w:rPr>
          <w:rFonts w:cs="Arial"/>
          <w:i/>
        </w:rPr>
        <w:t xml:space="preserve">our </w:t>
      </w:r>
      <w:r w:rsidR="00030B29">
        <w:rPr>
          <w:rFonts w:cs="Arial"/>
          <w:i/>
        </w:rPr>
        <w:t>d</w:t>
      </w:r>
      <w:r w:rsidR="008727E6">
        <w:rPr>
          <w:rFonts w:cs="Arial"/>
          <w:i/>
        </w:rPr>
        <w:t>ifferent Capacity C</w:t>
      </w:r>
      <w:r w:rsidR="00AD0F38" w:rsidRPr="00C129D8">
        <w:rPr>
          <w:rFonts w:cs="Arial"/>
          <w:i/>
        </w:rPr>
        <w:t>redits</w:t>
      </w:r>
    </w:p>
    <w:tbl>
      <w:tblPr>
        <w:tblW w:w="0" w:type="auto"/>
        <w:jc w:val="center"/>
        <w:tblInd w:w="-1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1530"/>
        <w:gridCol w:w="2136"/>
      </w:tblGrid>
      <w:tr w:rsidR="00AD0F38" w:rsidRPr="00C129D8" w14:paraId="08EE7DC7" w14:textId="77777777">
        <w:trPr>
          <w:jc w:val="center"/>
        </w:trPr>
        <w:tc>
          <w:tcPr>
            <w:tcW w:w="4939" w:type="dxa"/>
            <w:tcBorders>
              <w:bottom w:val="single" w:sz="4" w:space="0" w:color="auto"/>
            </w:tcBorders>
            <w:shd w:val="clear" w:color="auto" w:fill="006A71"/>
          </w:tcPr>
          <w:p w14:paraId="5D9EFC40" w14:textId="77777777" w:rsidR="00AD0F38" w:rsidRPr="00D979B2" w:rsidRDefault="00AD0F38" w:rsidP="00C129D8">
            <w:pPr>
              <w:pStyle w:val="IRPsanstext"/>
              <w:rPr>
                <w:rFonts w:cs="Arial"/>
                <w:b/>
                <w:bCs/>
                <w:color w:val="FFFFFF"/>
              </w:rPr>
            </w:pPr>
            <w:r w:rsidRPr="00D979B2">
              <w:rPr>
                <w:rFonts w:cs="Arial"/>
                <w:b/>
                <w:bCs/>
                <w:color w:val="FFFFFF"/>
              </w:rPr>
              <w:t>NPV (Millions $)</w:t>
            </w:r>
          </w:p>
        </w:tc>
        <w:tc>
          <w:tcPr>
            <w:tcW w:w="1530" w:type="dxa"/>
            <w:tcBorders>
              <w:bottom w:val="single" w:sz="4" w:space="0" w:color="auto"/>
            </w:tcBorders>
            <w:shd w:val="clear" w:color="auto" w:fill="006A71"/>
          </w:tcPr>
          <w:p w14:paraId="373FFB24" w14:textId="77777777" w:rsidR="00AD0F38" w:rsidRPr="00D979B2" w:rsidRDefault="00AD0F38" w:rsidP="00C129D8">
            <w:pPr>
              <w:pStyle w:val="IRPsanstext"/>
              <w:rPr>
                <w:rFonts w:cs="Arial"/>
                <w:b/>
                <w:bCs/>
                <w:color w:val="FFFFFF"/>
              </w:rPr>
            </w:pPr>
            <w:r w:rsidRPr="00D979B2">
              <w:rPr>
                <w:rFonts w:cs="Arial"/>
                <w:b/>
                <w:bCs/>
                <w:color w:val="FFFFFF"/>
              </w:rPr>
              <w:t>Portfolio Cost</w:t>
            </w:r>
          </w:p>
        </w:tc>
        <w:tc>
          <w:tcPr>
            <w:tcW w:w="2136" w:type="dxa"/>
            <w:tcBorders>
              <w:bottom w:val="single" w:sz="4" w:space="0" w:color="auto"/>
            </w:tcBorders>
            <w:shd w:val="clear" w:color="auto" w:fill="006A71"/>
          </w:tcPr>
          <w:p w14:paraId="2C927064" w14:textId="77777777" w:rsidR="00AD0F38" w:rsidRPr="00D979B2" w:rsidRDefault="00AD0F38" w:rsidP="00C129D8">
            <w:pPr>
              <w:pStyle w:val="IRPsanstext"/>
              <w:rPr>
                <w:rFonts w:cs="Arial"/>
                <w:b/>
                <w:bCs/>
                <w:color w:val="FFFFFF"/>
              </w:rPr>
            </w:pPr>
            <w:r w:rsidRPr="00D979B2">
              <w:rPr>
                <w:rFonts w:cs="Arial"/>
                <w:b/>
                <w:bCs/>
                <w:color w:val="FFFFFF"/>
              </w:rPr>
              <w:t>Difference from</w:t>
            </w:r>
            <w:r w:rsidR="00D979B2">
              <w:rPr>
                <w:rFonts w:cs="Arial"/>
                <w:b/>
                <w:bCs/>
                <w:color w:val="FFFFFF"/>
              </w:rPr>
              <w:t xml:space="preserve">  </w:t>
            </w:r>
            <w:r w:rsidRPr="00D979B2">
              <w:rPr>
                <w:rFonts w:cs="Arial"/>
                <w:b/>
                <w:bCs/>
                <w:color w:val="FFFFFF"/>
              </w:rPr>
              <w:t xml:space="preserve"> Base</w:t>
            </w:r>
            <w:r w:rsidR="00D979B2">
              <w:rPr>
                <w:rFonts w:cs="Arial"/>
                <w:b/>
                <w:bCs/>
                <w:color w:val="FFFFFF"/>
              </w:rPr>
              <w:t xml:space="preserve"> </w:t>
            </w:r>
            <w:r w:rsidRPr="00D979B2">
              <w:rPr>
                <w:rFonts w:cs="Arial"/>
                <w:b/>
                <w:bCs/>
                <w:color w:val="FFFFFF"/>
              </w:rPr>
              <w:t xml:space="preserve">Benefit/(Cost) </w:t>
            </w:r>
          </w:p>
        </w:tc>
      </w:tr>
      <w:tr w:rsidR="00AD0F38" w:rsidRPr="00C129D8" w14:paraId="5F8CEB79" w14:textId="77777777">
        <w:trPr>
          <w:trHeight w:hRule="exact" w:val="86"/>
          <w:jc w:val="center"/>
        </w:trPr>
        <w:tc>
          <w:tcPr>
            <w:tcW w:w="4939" w:type="dxa"/>
            <w:tcBorders>
              <w:bottom w:val="single" w:sz="4" w:space="0" w:color="auto"/>
              <w:right w:val="nil"/>
            </w:tcBorders>
            <w:shd w:val="clear" w:color="auto" w:fill="807F83"/>
          </w:tcPr>
          <w:p w14:paraId="405BFFC7" w14:textId="77777777" w:rsidR="00AD0F38" w:rsidRPr="00C129D8" w:rsidRDefault="00AD0F38" w:rsidP="00C129D8">
            <w:pPr>
              <w:pStyle w:val="IRPsanstext"/>
              <w:rPr>
                <w:rFonts w:cs="Arial"/>
                <w:bCs/>
              </w:rPr>
            </w:pPr>
          </w:p>
        </w:tc>
        <w:tc>
          <w:tcPr>
            <w:tcW w:w="1530" w:type="dxa"/>
            <w:tcBorders>
              <w:left w:val="nil"/>
              <w:right w:val="nil"/>
            </w:tcBorders>
            <w:shd w:val="clear" w:color="auto" w:fill="807F83"/>
          </w:tcPr>
          <w:p w14:paraId="24704FE2" w14:textId="77777777" w:rsidR="00AD0F38" w:rsidRPr="00C129D8" w:rsidRDefault="00AD0F38" w:rsidP="00C129D8">
            <w:pPr>
              <w:pStyle w:val="IRPsanstext"/>
              <w:rPr>
                <w:rFonts w:cs="Arial"/>
                <w:bCs/>
              </w:rPr>
            </w:pPr>
          </w:p>
        </w:tc>
        <w:tc>
          <w:tcPr>
            <w:tcW w:w="2136" w:type="dxa"/>
            <w:tcBorders>
              <w:left w:val="nil"/>
              <w:right w:val="nil"/>
            </w:tcBorders>
            <w:shd w:val="clear" w:color="auto" w:fill="807F83"/>
          </w:tcPr>
          <w:p w14:paraId="03B55BBC" w14:textId="77777777" w:rsidR="00AD0F38" w:rsidRPr="00C129D8" w:rsidRDefault="00AD0F38" w:rsidP="00C129D8">
            <w:pPr>
              <w:pStyle w:val="IRPsanstext"/>
              <w:rPr>
                <w:rFonts w:cs="Arial"/>
                <w:bCs/>
              </w:rPr>
            </w:pPr>
          </w:p>
        </w:tc>
      </w:tr>
      <w:tr w:rsidR="00AD0F38" w:rsidRPr="00C129D8" w14:paraId="7E8FE41B" w14:textId="77777777">
        <w:trPr>
          <w:jc w:val="center"/>
        </w:trPr>
        <w:tc>
          <w:tcPr>
            <w:tcW w:w="4939" w:type="dxa"/>
            <w:shd w:val="clear" w:color="auto" w:fill="D6CFCD"/>
          </w:tcPr>
          <w:p w14:paraId="3C32794B" w14:textId="77777777" w:rsidR="00AD0F38" w:rsidRPr="00B7222C" w:rsidRDefault="00AD0F38" w:rsidP="00C129D8">
            <w:pPr>
              <w:pStyle w:val="IRPsanstext"/>
              <w:rPr>
                <w:rFonts w:cs="Arial"/>
                <w:bCs/>
              </w:rPr>
            </w:pPr>
            <w:r w:rsidRPr="00B7222C">
              <w:rPr>
                <w:rFonts w:cs="Arial"/>
                <w:bCs/>
              </w:rPr>
              <w:t>Base Portfolio (no MT Wind)</w:t>
            </w:r>
          </w:p>
        </w:tc>
        <w:tc>
          <w:tcPr>
            <w:tcW w:w="1530" w:type="dxa"/>
          </w:tcPr>
          <w:p w14:paraId="77640124" w14:textId="77777777" w:rsidR="00AD0F38" w:rsidRPr="00C129D8" w:rsidRDefault="00AD0F38" w:rsidP="00D979B2">
            <w:pPr>
              <w:pStyle w:val="IRPsanstext"/>
              <w:jc w:val="center"/>
              <w:rPr>
                <w:rFonts w:cs="Arial"/>
                <w:bCs/>
              </w:rPr>
            </w:pPr>
            <w:r w:rsidRPr="00C129D8">
              <w:rPr>
                <w:rFonts w:cs="Arial"/>
                <w:bCs/>
              </w:rPr>
              <w:t>$12,277</w:t>
            </w:r>
          </w:p>
        </w:tc>
        <w:tc>
          <w:tcPr>
            <w:tcW w:w="2136" w:type="dxa"/>
          </w:tcPr>
          <w:p w14:paraId="528CCC8B" w14:textId="77777777" w:rsidR="00AD0F38" w:rsidRPr="00C129D8" w:rsidRDefault="00AD0F38" w:rsidP="00D979B2">
            <w:pPr>
              <w:pStyle w:val="IRPsanstext"/>
              <w:jc w:val="center"/>
              <w:rPr>
                <w:rFonts w:cs="Arial"/>
                <w:bCs/>
              </w:rPr>
            </w:pPr>
          </w:p>
        </w:tc>
      </w:tr>
      <w:tr w:rsidR="00AD0F38" w:rsidRPr="00C129D8" w14:paraId="1892337F" w14:textId="77777777">
        <w:trPr>
          <w:jc w:val="center"/>
        </w:trPr>
        <w:tc>
          <w:tcPr>
            <w:tcW w:w="4939" w:type="dxa"/>
            <w:shd w:val="clear" w:color="auto" w:fill="D6CFCD"/>
          </w:tcPr>
          <w:p w14:paraId="712EEA6C" w14:textId="77777777" w:rsidR="00AD0F38" w:rsidRPr="00B7222C" w:rsidRDefault="00AD0F38" w:rsidP="00C129D8">
            <w:pPr>
              <w:pStyle w:val="IRPsanstext"/>
              <w:rPr>
                <w:rFonts w:cs="Arial"/>
                <w:bCs/>
              </w:rPr>
            </w:pPr>
            <w:r w:rsidRPr="00B7222C">
              <w:rPr>
                <w:rFonts w:cs="Arial"/>
                <w:bCs/>
              </w:rPr>
              <w:t>Add 300 MW MT Wind with 55% capacity credit</w:t>
            </w:r>
          </w:p>
        </w:tc>
        <w:tc>
          <w:tcPr>
            <w:tcW w:w="1530" w:type="dxa"/>
          </w:tcPr>
          <w:p w14:paraId="2FE432F0" w14:textId="77777777" w:rsidR="00AD0F38" w:rsidRPr="00C129D8" w:rsidRDefault="00AD0F38" w:rsidP="00D979B2">
            <w:pPr>
              <w:pStyle w:val="IRPsanstext"/>
              <w:jc w:val="center"/>
              <w:rPr>
                <w:rFonts w:cs="Arial"/>
                <w:bCs/>
              </w:rPr>
            </w:pPr>
            <w:r w:rsidRPr="00C129D8">
              <w:rPr>
                <w:rFonts w:cs="Arial"/>
                <w:bCs/>
              </w:rPr>
              <w:t>$12,462</w:t>
            </w:r>
          </w:p>
        </w:tc>
        <w:tc>
          <w:tcPr>
            <w:tcW w:w="2136" w:type="dxa"/>
          </w:tcPr>
          <w:p w14:paraId="6082E4D9" w14:textId="77777777" w:rsidR="00AD0F38" w:rsidRPr="00C129D8" w:rsidRDefault="00AD0F38" w:rsidP="00D979B2">
            <w:pPr>
              <w:pStyle w:val="IRPsanstext"/>
              <w:jc w:val="center"/>
              <w:rPr>
                <w:rFonts w:cs="Arial"/>
                <w:bCs/>
              </w:rPr>
            </w:pPr>
            <w:r w:rsidRPr="00C129D8">
              <w:rPr>
                <w:rFonts w:cs="Arial"/>
                <w:bCs/>
              </w:rPr>
              <w:t>($184)</w:t>
            </w:r>
          </w:p>
        </w:tc>
      </w:tr>
      <w:tr w:rsidR="00AD0F38" w:rsidRPr="00C129D8" w14:paraId="167C2242" w14:textId="77777777">
        <w:trPr>
          <w:jc w:val="center"/>
        </w:trPr>
        <w:tc>
          <w:tcPr>
            <w:tcW w:w="4939" w:type="dxa"/>
            <w:shd w:val="clear" w:color="auto" w:fill="D6CFCD"/>
          </w:tcPr>
          <w:p w14:paraId="3BCE60BC" w14:textId="77777777" w:rsidR="00AD0F38" w:rsidRPr="00B7222C" w:rsidRDefault="00AD0F38" w:rsidP="00C129D8">
            <w:pPr>
              <w:pStyle w:val="IRPsanstext"/>
              <w:rPr>
                <w:rFonts w:cs="Arial"/>
                <w:bCs/>
              </w:rPr>
            </w:pPr>
            <w:r w:rsidRPr="00B7222C">
              <w:rPr>
                <w:rFonts w:cs="Arial"/>
                <w:bCs/>
              </w:rPr>
              <w:t>Add 300 MW MT Wind with 50% capacity credit</w:t>
            </w:r>
          </w:p>
        </w:tc>
        <w:tc>
          <w:tcPr>
            <w:tcW w:w="1530" w:type="dxa"/>
          </w:tcPr>
          <w:p w14:paraId="7761DEB7" w14:textId="77777777" w:rsidR="00AD0F38" w:rsidRPr="00C129D8" w:rsidRDefault="00AD0F38" w:rsidP="00D979B2">
            <w:pPr>
              <w:pStyle w:val="IRPsanstext"/>
              <w:jc w:val="center"/>
              <w:rPr>
                <w:rFonts w:cs="Arial"/>
                <w:bCs/>
              </w:rPr>
            </w:pPr>
            <w:r w:rsidRPr="00C129D8">
              <w:rPr>
                <w:rFonts w:cs="Arial"/>
                <w:bCs/>
              </w:rPr>
              <w:t>$12,474</w:t>
            </w:r>
          </w:p>
        </w:tc>
        <w:tc>
          <w:tcPr>
            <w:tcW w:w="2136" w:type="dxa"/>
          </w:tcPr>
          <w:p w14:paraId="00AA0B32" w14:textId="77777777" w:rsidR="00AD0F38" w:rsidRPr="00C129D8" w:rsidRDefault="00AD0F38" w:rsidP="00D979B2">
            <w:pPr>
              <w:pStyle w:val="IRPsanstext"/>
              <w:jc w:val="center"/>
              <w:rPr>
                <w:rFonts w:cs="Arial"/>
                <w:bCs/>
              </w:rPr>
            </w:pPr>
            <w:r w:rsidRPr="00C129D8">
              <w:rPr>
                <w:rFonts w:cs="Arial"/>
                <w:bCs/>
              </w:rPr>
              <w:t>($197)</w:t>
            </w:r>
          </w:p>
        </w:tc>
      </w:tr>
      <w:tr w:rsidR="00AD0F38" w:rsidRPr="00C129D8" w14:paraId="6060F7FE" w14:textId="77777777">
        <w:trPr>
          <w:jc w:val="center"/>
        </w:trPr>
        <w:tc>
          <w:tcPr>
            <w:tcW w:w="4939" w:type="dxa"/>
            <w:shd w:val="clear" w:color="auto" w:fill="D6CFCD"/>
          </w:tcPr>
          <w:p w14:paraId="333AEE15" w14:textId="77777777" w:rsidR="00AD0F38" w:rsidRPr="00B7222C" w:rsidRDefault="00AD0F38" w:rsidP="00C129D8">
            <w:pPr>
              <w:pStyle w:val="IRPsanstext"/>
              <w:rPr>
                <w:rFonts w:cs="Arial"/>
                <w:bCs/>
              </w:rPr>
            </w:pPr>
            <w:r w:rsidRPr="00B7222C">
              <w:rPr>
                <w:rFonts w:cs="Arial"/>
                <w:bCs/>
              </w:rPr>
              <w:t>Add 300 MW MT Wind with 45% capacity credit</w:t>
            </w:r>
          </w:p>
        </w:tc>
        <w:tc>
          <w:tcPr>
            <w:tcW w:w="1530" w:type="dxa"/>
          </w:tcPr>
          <w:p w14:paraId="76CC7221" w14:textId="77777777" w:rsidR="00AD0F38" w:rsidRPr="00C129D8" w:rsidRDefault="00AD0F38" w:rsidP="00D979B2">
            <w:pPr>
              <w:pStyle w:val="IRPsanstext"/>
              <w:jc w:val="center"/>
              <w:rPr>
                <w:rFonts w:cs="Arial"/>
                <w:bCs/>
              </w:rPr>
            </w:pPr>
            <w:r w:rsidRPr="00C129D8">
              <w:rPr>
                <w:rFonts w:cs="Arial"/>
                <w:bCs/>
              </w:rPr>
              <w:t>$12,483</w:t>
            </w:r>
          </w:p>
        </w:tc>
        <w:tc>
          <w:tcPr>
            <w:tcW w:w="2136" w:type="dxa"/>
          </w:tcPr>
          <w:p w14:paraId="1C436406" w14:textId="77777777" w:rsidR="00AD0F38" w:rsidRPr="00C129D8" w:rsidRDefault="00AD0F38" w:rsidP="00D979B2">
            <w:pPr>
              <w:pStyle w:val="IRPsanstext"/>
              <w:jc w:val="center"/>
              <w:rPr>
                <w:rFonts w:cs="Arial"/>
                <w:bCs/>
              </w:rPr>
            </w:pPr>
            <w:r w:rsidRPr="00C129D8">
              <w:rPr>
                <w:rFonts w:cs="Arial"/>
                <w:bCs/>
              </w:rPr>
              <w:t>($206)</w:t>
            </w:r>
          </w:p>
        </w:tc>
      </w:tr>
      <w:tr w:rsidR="00AD0F38" w:rsidRPr="00C129D8" w14:paraId="2AC91CC8" w14:textId="77777777">
        <w:trPr>
          <w:jc w:val="center"/>
        </w:trPr>
        <w:tc>
          <w:tcPr>
            <w:tcW w:w="4939" w:type="dxa"/>
            <w:shd w:val="clear" w:color="auto" w:fill="D6CFCD"/>
          </w:tcPr>
          <w:p w14:paraId="0316C5DC" w14:textId="77777777" w:rsidR="00AD0F38" w:rsidRPr="00B7222C" w:rsidRDefault="00AD0F38" w:rsidP="00C129D8">
            <w:pPr>
              <w:pStyle w:val="IRPsanstext"/>
              <w:rPr>
                <w:rFonts w:cs="Arial"/>
                <w:bCs/>
              </w:rPr>
            </w:pPr>
            <w:r w:rsidRPr="00B7222C">
              <w:rPr>
                <w:rFonts w:cs="Arial"/>
                <w:bCs/>
              </w:rPr>
              <w:t>Add 300 MW MT Wind with 40% capacity credit</w:t>
            </w:r>
          </w:p>
        </w:tc>
        <w:tc>
          <w:tcPr>
            <w:tcW w:w="1530" w:type="dxa"/>
          </w:tcPr>
          <w:p w14:paraId="1BB142B2" w14:textId="77777777" w:rsidR="00AD0F38" w:rsidRPr="00C129D8" w:rsidRDefault="00AD0F38" w:rsidP="00D979B2">
            <w:pPr>
              <w:pStyle w:val="IRPsanstext"/>
              <w:jc w:val="center"/>
              <w:rPr>
                <w:rFonts w:cs="Arial"/>
                <w:bCs/>
              </w:rPr>
            </w:pPr>
            <w:r w:rsidRPr="00C129D8">
              <w:rPr>
                <w:rFonts w:cs="Arial"/>
                <w:bCs/>
              </w:rPr>
              <w:t>$12,503</w:t>
            </w:r>
          </w:p>
        </w:tc>
        <w:tc>
          <w:tcPr>
            <w:tcW w:w="2136" w:type="dxa"/>
          </w:tcPr>
          <w:p w14:paraId="7A585BDD" w14:textId="77777777" w:rsidR="00AD0F38" w:rsidRPr="00C129D8" w:rsidRDefault="00AD0F38" w:rsidP="00D979B2">
            <w:pPr>
              <w:pStyle w:val="IRPsanstext"/>
              <w:jc w:val="center"/>
              <w:rPr>
                <w:rFonts w:cs="Arial"/>
                <w:bCs/>
              </w:rPr>
            </w:pPr>
            <w:r w:rsidRPr="00C129D8">
              <w:rPr>
                <w:rFonts w:cs="Arial"/>
                <w:bCs/>
              </w:rPr>
              <w:t>($226)</w:t>
            </w:r>
          </w:p>
        </w:tc>
      </w:tr>
    </w:tbl>
    <w:p w14:paraId="0061E2ED" w14:textId="77777777" w:rsidR="00AD0F38" w:rsidRPr="00C129D8" w:rsidRDefault="00AD0F38" w:rsidP="00C129D8">
      <w:pPr>
        <w:pStyle w:val="IRPsanstext"/>
        <w:rPr>
          <w:rFonts w:cs="Arial"/>
        </w:rPr>
      </w:pPr>
    </w:p>
    <w:p w14:paraId="464B4F67" w14:textId="77777777" w:rsidR="00C129D8" w:rsidRDefault="00C129D8">
      <w:pPr>
        <w:rPr>
          <w:rFonts w:ascii="Arial" w:hAnsi="Arial"/>
          <w:sz w:val="36"/>
        </w:rPr>
      </w:pPr>
      <w:r>
        <w:rPr>
          <w:rFonts w:ascii="Arial" w:hAnsi="Arial"/>
          <w:sz w:val="36"/>
        </w:rPr>
        <w:br w:type="page"/>
      </w:r>
    </w:p>
    <w:p w14:paraId="5231E9D3" w14:textId="77777777" w:rsidR="00AD0F38" w:rsidRPr="00C129D8" w:rsidRDefault="00AD0F38" w:rsidP="00C129D8">
      <w:pPr>
        <w:pStyle w:val="IRPsanstext"/>
        <w:rPr>
          <w:rFonts w:cs="Arial"/>
          <w:sz w:val="32"/>
          <w:szCs w:val="32"/>
        </w:rPr>
      </w:pPr>
      <w:r w:rsidRPr="00C129D8">
        <w:rPr>
          <w:rFonts w:cs="Arial"/>
          <w:sz w:val="32"/>
          <w:szCs w:val="32"/>
        </w:rPr>
        <w:t>I. Solar Penetration</w:t>
      </w:r>
    </w:p>
    <w:p w14:paraId="5FE42FD9" w14:textId="77777777" w:rsidR="00AD0F38" w:rsidRPr="00C129D8" w:rsidRDefault="00AD0F38" w:rsidP="00C129D8">
      <w:pPr>
        <w:pStyle w:val="IRPsanstext"/>
        <w:rPr>
          <w:rFonts w:cs="Arial"/>
          <w:sz w:val="32"/>
          <w:szCs w:val="32"/>
        </w:rPr>
      </w:pPr>
    </w:p>
    <w:p w14:paraId="500C7CC3" w14:textId="77777777" w:rsidR="00AD0F38" w:rsidRPr="00195216" w:rsidRDefault="00AD0F38" w:rsidP="00195216">
      <w:pPr>
        <w:pStyle w:val="IRPsanstext"/>
        <w:rPr>
          <w:b/>
        </w:rPr>
      </w:pPr>
      <w:r w:rsidRPr="00195216">
        <w:rPr>
          <w:b/>
        </w:rPr>
        <w:t>What if customers install significantly more rooftop solar than expected?</w:t>
      </w:r>
    </w:p>
    <w:p w14:paraId="0A1B1205" w14:textId="77777777" w:rsidR="00AD0F38" w:rsidRPr="00195216" w:rsidRDefault="00AD0F38" w:rsidP="00195216">
      <w:pPr>
        <w:pStyle w:val="IRPsanstext"/>
        <w:ind w:left="720"/>
        <w:rPr>
          <w:b/>
          <w:color w:val="3366FF"/>
        </w:rPr>
      </w:pPr>
      <w:r w:rsidRPr="00195216">
        <w:rPr>
          <w:b/>
        </w:rPr>
        <w:t>Baseline: Rooftop solar growth based on forecast of current growth trends</w:t>
      </w:r>
      <w:r w:rsidRPr="00195216">
        <w:rPr>
          <w:b/>
          <w:color w:val="3366FF"/>
        </w:rPr>
        <w:t>.</w:t>
      </w:r>
    </w:p>
    <w:p w14:paraId="4B8F00BD" w14:textId="77777777" w:rsidR="00AD0F38" w:rsidRPr="00195216" w:rsidRDefault="00AD0F38" w:rsidP="00195216">
      <w:pPr>
        <w:pStyle w:val="IRPsanstext"/>
        <w:ind w:left="720"/>
        <w:rPr>
          <w:b/>
        </w:rPr>
      </w:pPr>
      <w:r w:rsidRPr="00195216">
        <w:rPr>
          <w:b/>
        </w:rPr>
        <w:t>Sensitivity: Assume maximum capture of rooftop solar.</w:t>
      </w:r>
    </w:p>
    <w:p w14:paraId="481C31F8" w14:textId="77777777" w:rsidR="00AD0F38" w:rsidRPr="00C129D8" w:rsidRDefault="00AD0F38" w:rsidP="00C129D8">
      <w:pPr>
        <w:pStyle w:val="IRPsanstext"/>
        <w:rPr>
          <w:rFonts w:cs="Arial"/>
        </w:rPr>
      </w:pPr>
    </w:p>
    <w:p w14:paraId="7CB5D2BA" w14:textId="77777777" w:rsidR="00AD0F38" w:rsidRPr="00C129D8" w:rsidRDefault="00AD0F38" w:rsidP="00C129D8">
      <w:pPr>
        <w:pStyle w:val="IRPsanstext"/>
        <w:rPr>
          <w:rFonts w:cs="Arial"/>
        </w:rPr>
      </w:pPr>
      <w:r w:rsidRPr="00C129D8">
        <w:rPr>
          <w:rFonts w:cs="Arial"/>
        </w:rPr>
        <w:t>Distributed solar generation has never been selected in the portfolio analysis as a cost-effective resource for the PSE system, but federal tax credits and state production incentives have made it cost-effective for customers. Already, PSE has 2,800 net-metered customers who have installed rooftop solar panels totaling 17.4 megawatts of capacity and 17</w:t>
      </w:r>
      <w:proofErr w:type="gramStart"/>
      <w:r w:rsidRPr="00C129D8">
        <w:rPr>
          <w:rFonts w:cs="Arial"/>
        </w:rPr>
        <w:t>,360 megawatt</w:t>
      </w:r>
      <w:proofErr w:type="gramEnd"/>
      <w:r w:rsidRPr="00C129D8">
        <w:rPr>
          <w:rFonts w:cs="Arial"/>
        </w:rPr>
        <w:t xml:space="preserve"> hours of annual energy, and we expect many more customers will install solar panels in the future. </w:t>
      </w:r>
    </w:p>
    <w:p w14:paraId="66622F64" w14:textId="77777777" w:rsidR="00AD0F38" w:rsidRPr="00C129D8" w:rsidRDefault="00AD0F38" w:rsidP="00C129D8">
      <w:pPr>
        <w:pStyle w:val="IRPsanstext"/>
        <w:rPr>
          <w:rFonts w:cs="Arial"/>
          <w:highlight w:val="yellow"/>
        </w:rPr>
      </w:pPr>
    </w:p>
    <w:p w14:paraId="5FC0F90D" w14:textId="77777777" w:rsidR="00AD0F38" w:rsidRPr="00C129D8" w:rsidRDefault="00AD0F38" w:rsidP="00C129D8">
      <w:pPr>
        <w:pStyle w:val="IRPsanstext"/>
        <w:rPr>
          <w:rFonts w:eastAsia="Cambria" w:cs="Arial"/>
        </w:rPr>
      </w:pPr>
      <w:r w:rsidRPr="00C129D8">
        <w:rPr>
          <w:rFonts w:cs="Arial"/>
        </w:rPr>
        <w:t>For this IRP, the Cadmus Group prepared a system-wide study that</w:t>
      </w:r>
      <w:r w:rsidRPr="00C129D8">
        <w:rPr>
          <w:rFonts w:eastAsia="Cambria" w:cs="Arial"/>
        </w:rPr>
        <w:t xml:space="preserve"> explored the maximum potential for rooftop solar within the PSE system. It asked how much distributed solar might be added to the system in two scenarios: </w:t>
      </w:r>
    </w:p>
    <w:p w14:paraId="091F4CE1" w14:textId="77777777" w:rsidR="00AD0F38" w:rsidRPr="00C129D8" w:rsidRDefault="00AD0F38" w:rsidP="00C129D8">
      <w:pPr>
        <w:pStyle w:val="IRPsanstext"/>
        <w:rPr>
          <w:rFonts w:cs="Arial"/>
        </w:rPr>
      </w:pPr>
    </w:p>
    <w:p w14:paraId="10D50F76" w14:textId="77777777" w:rsidR="00AD0F38" w:rsidRPr="00C129D8" w:rsidRDefault="00AD0F38" w:rsidP="00F26524">
      <w:pPr>
        <w:pStyle w:val="IRPsanstext"/>
        <w:numPr>
          <w:ilvl w:val="0"/>
          <w:numId w:val="30"/>
        </w:numPr>
        <w:rPr>
          <w:rFonts w:cs="Arial"/>
        </w:rPr>
      </w:pPr>
      <w:proofErr w:type="gramStart"/>
      <w:r w:rsidRPr="00C129D8">
        <w:rPr>
          <w:rFonts w:eastAsia="Cambria" w:cs="Arial"/>
        </w:rPr>
        <w:t>if</w:t>
      </w:r>
      <w:proofErr w:type="gramEnd"/>
      <w:r w:rsidRPr="00C129D8">
        <w:rPr>
          <w:rFonts w:eastAsia="Cambria" w:cs="Arial"/>
        </w:rPr>
        <w:t xml:space="preserve"> federal and state incentives are renewed, and </w:t>
      </w:r>
    </w:p>
    <w:p w14:paraId="58BECC6D" w14:textId="77777777" w:rsidR="00AD0F38" w:rsidRPr="00C129D8" w:rsidRDefault="00AD0F38" w:rsidP="00F26524">
      <w:pPr>
        <w:pStyle w:val="IRPsanstext"/>
        <w:numPr>
          <w:ilvl w:val="0"/>
          <w:numId w:val="30"/>
        </w:numPr>
        <w:rPr>
          <w:rFonts w:eastAsia="Cambria" w:cs="Arial"/>
        </w:rPr>
      </w:pPr>
      <w:proofErr w:type="gramStart"/>
      <w:r w:rsidRPr="00C129D8">
        <w:rPr>
          <w:rFonts w:eastAsia="Cambria" w:cs="Arial"/>
        </w:rPr>
        <w:t>if</w:t>
      </w:r>
      <w:proofErr w:type="gramEnd"/>
      <w:r w:rsidRPr="00C129D8">
        <w:rPr>
          <w:rFonts w:eastAsia="Cambria" w:cs="Arial"/>
        </w:rPr>
        <w:t xml:space="preserve"> </w:t>
      </w:r>
      <w:r w:rsidRPr="00C129D8">
        <w:rPr>
          <w:rFonts w:cs="Arial"/>
        </w:rPr>
        <w:t>incentives</w:t>
      </w:r>
      <w:r w:rsidRPr="00C129D8">
        <w:rPr>
          <w:rFonts w:eastAsia="Cambria" w:cs="Arial"/>
        </w:rPr>
        <w:t xml:space="preserve"> are allowed to sunset. </w:t>
      </w:r>
    </w:p>
    <w:p w14:paraId="2AB55208" w14:textId="77777777" w:rsidR="00AD0F38" w:rsidRPr="00C129D8" w:rsidRDefault="00AD0F38" w:rsidP="00C129D8">
      <w:pPr>
        <w:pStyle w:val="IRPsanstext"/>
        <w:rPr>
          <w:rFonts w:eastAsia="Cambria" w:cs="Arial"/>
        </w:rPr>
      </w:pPr>
    </w:p>
    <w:p w14:paraId="0918CDFB" w14:textId="77777777" w:rsidR="00AD0F38" w:rsidRPr="00C129D8" w:rsidRDefault="00AD0F38" w:rsidP="00C129D8">
      <w:pPr>
        <w:pStyle w:val="IRPsanstext"/>
        <w:rPr>
          <w:rFonts w:eastAsia="Cambria" w:cs="Arial"/>
        </w:rPr>
      </w:pPr>
      <w:r w:rsidRPr="00C129D8">
        <w:rPr>
          <w:rFonts w:eastAsia="Cambria" w:cs="Arial"/>
        </w:rPr>
        <w:t xml:space="preserve">The Baseline assumption for portfolio modeling allowed the incentives to expire.  This resulted in an additional 3 MW nameplate capacity or 0.18 </w:t>
      </w:r>
      <w:proofErr w:type="spellStart"/>
      <w:r w:rsidRPr="00C129D8">
        <w:rPr>
          <w:rFonts w:eastAsia="Cambria" w:cs="Arial"/>
        </w:rPr>
        <w:t>aMW</w:t>
      </w:r>
      <w:proofErr w:type="spellEnd"/>
      <w:r w:rsidRPr="00C129D8">
        <w:rPr>
          <w:rFonts w:eastAsia="Cambria" w:cs="Arial"/>
        </w:rPr>
        <w:t xml:space="preserve"> by 2035 that was added to the portfolio as a no-cost resource that reduced demand.   </w:t>
      </w:r>
    </w:p>
    <w:p w14:paraId="17A2DE31" w14:textId="77777777" w:rsidR="00AD0F38" w:rsidRPr="00C129D8" w:rsidRDefault="00AD0F38" w:rsidP="00C129D8">
      <w:pPr>
        <w:pStyle w:val="IRPsanstext"/>
        <w:rPr>
          <w:rFonts w:eastAsia="Cambria" w:cs="Arial"/>
        </w:rPr>
      </w:pPr>
    </w:p>
    <w:p w14:paraId="5E32C6A1" w14:textId="77777777" w:rsidR="00AD0F38" w:rsidRPr="00C129D8" w:rsidRDefault="00AD0F38" w:rsidP="00C129D8">
      <w:pPr>
        <w:pStyle w:val="IRPsanstext"/>
        <w:rPr>
          <w:rFonts w:cs="Arial"/>
        </w:rPr>
      </w:pPr>
      <w:r w:rsidRPr="00C129D8">
        <w:rPr>
          <w:rFonts w:eastAsia="Cambria" w:cs="Arial"/>
        </w:rPr>
        <w:t xml:space="preserve">The sensitivity analysis assumed that all federal and state incentives were renewed; this resulted in a total of 309 MW nameplate </w:t>
      </w:r>
      <w:proofErr w:type="gramStart"/>
      <w:r w:rsidRPr="00C129D8">
        <w:rPr>
          <w:rFonts w:eastAsia="Cambria" w:cs="Arial"/>
        </w:rPr>
        <w:t>capacity</w:t>
      </w:r>
      <w:proofErr w:type="gramEnd"/>
      <w:r w:rsidRPr="00C129D8">
        <w:rPr>
          <w:rFonts w:eastAsia="Cambria" w:cs="Arial"/>
        </w:rPr>
        <w:t xml:space="preserve"> or 36.7 </w:t>
      </w:r>
      <w:proofErr w:type="spellStart"/>
      <w:r w:rsidRPr="00C129D8">
        <w:rPr>
          <w:rFonts w:eastAsia="Cambria" w:cs="Arial"/>
        </w:rPr>
        <w:t>aMW</w:t>
      </w:r>
      <w:proofErr w:type="spellEnd"/>
      <w:r w:rsidRPr="00C129D8">
        <w:rPr>
          <w:rFonts w:eastAsia="Cambria" w:cs="Arial"/>
        </w:rPr>
        <w:t xml:space="preserve"> of additional rooftop solar. The additional solar PV will reduce the total energy needed for the portfolio, but will not change the amount of capacity needed, since PSE’s system peak occurs during December before sunrise or after sunset, it does not contribute towards peak.  So the sensitivity with the additional 36.7 </w:t>
      </w:r>
      <w:proofErr w:type="spellStart"/>
      <w:r w:rsidRPr="00C129D8">
        <w:rPr>
          <w:rFonts w:eastAsia="Cambria" w:cs="Arial"/>
        </w:rPr>
        <w:t>aMW</w:t>
      </w:r>
      <w:proofErr w:type="spellEnd"/>
      <w:r w:rsidRPr="00C129D8">
        <w:rPr>
          <w:rFonts w:eastAsia="Cambria" w:cs="Arial"/>
        </w:rPr>
        <w:t xml:space="preserve"> of solar has a lower total expected portfolio NPV than the Base Scenario portfolio by $65.59 million due to the lower market purchases needed, but the portfolio builds are exactly the same. </w:t>
      </w:r>
    </w:p>
    <w:p w14:paraId="5CFAFD9B" w14:textId="77777777" w:rsidR="00AD0F38" w:rsidRPr="00C129D8" w:rsidRDefault="00AD0F38" w:rsidP="00C129D8">
      <w:pPr>
        <w:pStyle w:val="IRPsanstext"/>
        <w:rPr>
          <w:rFonts w:cs="Arial"/>
        </w:rPr>
      </w:pPr>
    </w:p>
    <w:p w14:paraId="23E00B76" w14:textId="77777777" w:rsidR="00AD0F38" w:rsidRPr="00384CCF" w:rsidRDefault="00AD0F38" w:rsidP="00C129D8">
      <w:pPr>
        <w:pStyle w:val="IRPsanstext"/>
        <w:rPr>
          <w:rFonts w:cs="Arial"/>
          <w:sz w:val="32"/>
          <w:szCs w:val="32"/>
        </w:rPr>
      </w:pPr>
      <w:r w:rsidRPr="00C129D8">
        <w:rPr>
          <w:rFonts w:cs="Arial"/>
        </w:rPr>
        <w:br w:type="page"/>
      </w:r>
      <w:r w:rsidRPr="00384CCF">
        <w:rPr>
          <w:rFonts w:cs="Arial"/>
          <w:sz w:val="32"/>
          <w:szCs w:val="32"/>
        </w:rPr>
        <w:t>J. Carbon Reduction</w:t>
      </w:r>
    </w:p>
    <w:p w14:paraId="652473C6" w14:textId="77777777" w:rsidR="00AD0F38" w:rsidRPr="00384CCF" w:rsidRDefault="00AD0F38" w:rsidP="00C129D8">
      <w:pPr>
        <w:pStyle w:val="IRPsanstext"/>
        <w:rPr>
          <w:rFonts w:cs="Arial"/>
          <w:sz w:val="32"/>
          <w:szCs w:val="32"/>
        </w:rPr>
      </w:pPr>
    </w:p>
    <w:p w14:paraId="427A5ED4" w14:textId="77777777" w:rsidR="00C0184B" w:rsidRPr="00195216" w:rsidRDefault="00AD0F38" w:rsidP="00195216">
      <w:pPr>
        <w:pStyle w:val="IRPsanstext"/>
        <w:rPr>
          <w:b/>
        </w:rPr>
      </w:pPr>
      <w:r w:rsidRPr="00195216">
        <w:rPr>
          <w:b/>
        </w:rPr>
        <w:t>How does increasing renewable resources and DSR beyond requirements affect carbon reduction and portfolio costs?</w:t>
      </w:r>
    </w:p>
    <w:p w14:paraId="6B94B412" w14:textId="77777777" w:rsidR="00AD0F38" w:rsidRPr="00195216" w:rsidRDefault="00AD0F38" w:rsidP="00195216">
      <w:pPr>
        <w:pStyle w:val="IRPsanstext"/>
        <w:ind w:left="720"/>
        <w:rPr>
          <w:b/>
        </w:rPr>
      </w:pPr>
      <w:r w:rsidRPr="00195216">
        <w:rPr>
          <w:b/>
        </w:rPr>
        <w:t xml:space="preserve">Baseline: Renewable resources and DSR per RCW 19.285 requirements. </w:t>
      </w:r>
    </w:p>
    <w:p w14:paraId="42CCF433" w14:textId="77777777" w:rsidR="00AD0F38" w:rsidRPr="00195216" w:rsidRDefault="00AD0F38" w:rsidP="00195216">
      <w:pPr>
        <w:pStyle w:val="IRPsanstext"/>
        <w:ind w:left="720"/>
        <w:rPr>
          <w:b/>
        </w:rPr>
      </w:pPr>
      <w:r w:rsidRPr="00195216">
        <w:rPr>
          <w:b/>
        </w:rPr>
        <w:t xml:space="preserve">Sensitivity 1: Add 300 MW of wind beyond renewable requirements. </w:t>
      </w:r>
    </w:p>
    <w:p w14:paraId="4BC12477" w14:textId="77777777" w:rsidR="00AD0F38" w:rsidRPr="00195216" w:rsidRDefault="00AD0F38" w:rsidP="00195216">
      <w:pPr>
        <w:pStyle w:val="IRPsanstext"/>
        <w:ind w:left="720"/>
        <w:rPr>
          <w:b/>
        </w:rPr>
      </w:pPr>
      <w:r w:rsidRPr="00195216">
        <w:rPr>
          <w:b/>
        </w:rPr>
        <w:t>Sensitivity 2: Add 300 MW of utility-scale solar beyond renewable requirements</w:t>
      </w:r>
    </w:p>
    <w:p w14:paraId="4BA0BE33" w14:textId="77777777" w:rsidR="00AD0F38" w:rsidRPr="00195216" w:rsidRDefault="00AD0F38" w:rsidP="00195216">
      <w:pPr>
        <w:pStyle w:val="IRPsanstext"/>
        <w:ind w:left="720"/>
        <w:rPr>
          <w:b/>
        </w:rPr>
      </w:pPr>
      <w:r w:rsidRPr="00195216">
        <w:rPr>
          <w:b/>
        </w:rPr>
        <w:t>Sensitivity 3: Increase DSR beyond requirements.</w:t>
      </w:r>
    </w:p>
    <w:p w14:paraId="70AD839D" w14:textId="77777777" w:rsidR="00AD0F38" w:rsidRPr="00C129D8" w:rsidRDefault="00AD0F38" w:rsidP="00C129D8">
      <w:pPr>
        <w:pStyle w:val="IRPsanstext"/>
        <w:rPr>
          <w:rFonts w:cs="Arial"/>
        </w:rPr>
      </w:pPr>
    </w:p>
    <w:p w14:paraId="4B9F1D1D" w14:textId="77777777" w:rsidR="00AD0F38" w:rsidRPr="00C129D8" w:rsidRDefault="00AD0F38" w:rsidP="00C129D8">
      <w:pPr>
        <w:pStyle w:val="IRPsanstext"/>
        <w:rPr>
          <w:rFonts w:cs="Arial"/>
          <w:color w:val="3366FF"/>
        </w:rPr>
      </w:pPr>
      <w:r w:rsidRPr="00384CCF">
        <w:rPr>
          <w:rFonts w:cs="Arial"/>
          <w:b/>
          <w:color w:val="156570"/>
          <w:sz w:val="28"/>
          <w:szCs w:val="28"/>
        </w:rPr>
        <w:t>Wind</w:t>
      </w:r>
      <w:r w:rsidRPr="00C129D8">
        <w:rPr>
          <w:rFonts w:cs="Arial"/>
          <w:color w:val="3366FF"/>
        </w:rPr>
        <w:t xml:space="preserve">. </w:t>
      </w:r>
      <w:r w:rsidRPr="00C129D8">
        <w:rPr>
          <w:rFonts w:cs="Arial"/>
        </w:rPr>
        <w:t xml:space="preserve">In this analysis, 300 MW of wind was added to the portfolio in 2021 and the changes in portfolio costs and emissions relative to the least-cost portfolio in the Base Scenario were used to calculate the incremental cost per ton over the 25-year period 2021-2045. The 25-year analysis period was chosen as it represents the depreciable life of the wind plant. </w:t>
      </w:r>
    </w:p>
    <w:p w14:paraId="322CBDC6" w14:textId="77777777" w:rsidR="00AD0F38" w:rsidRPr="00C129D8" w:rsidRDefault="00AD0F38" w:rsidP="00C129D8">
      <w:pPr>
        <w:pStyle w:val="IRPsanstext"/>
        <w:rPr>
          <w:rFonts w:cs="Arial"/>
        </w:rPr>
      </w:pPr>
    </w:p>
    <w:p w14:paraId="79791F68" w14:textId="77777777" w:rsidR="00AD0F38" w:rsidRPr="00C129D8" w:rsidRDefault="00AD0F38" w:rsidP="00C129D8">
      <w:pPr>
        <w:pStyle w:val="IRPsanstext"/>
        <w:rPr>
          <w:rFonts w:cs="Arial"/>
        </w:rPr>
      </w:pPr>
      <w:r w:rsidRPr="00C129D8">
        <w:rPr>
          <w:rFonts w:cs="Arial"/>
        </w:rPr>
        <w:t xml:space="preserve">For the first case, the wind was added without re-optimizing the portfolio in order to determine its impact as a stand-alone resource. In a second case, the portfolio model was re-optimized to determine the additional wind’s impact on the portfolio. In this case, demand-side resources were fixed at the levels selected in the optimal Base Scenario portfolio to isolate the impact on supply-side resources. The addition of wind resulted in one-year delays in the acquisition of two </w:t>
      </w:r>
      <w:proofErr w:type="spellStart"/>
      <w:r w:rsidRPr="00C129D8">
        <w:rPr>
          <w:rFonts w:cs="Arial"/>
        </w:rPr>
        <w:t>peakers</w:t>
      </w:r>
      <w:proofErr w:type="spellEnd"/>
      <w:r w:rsidRPr="00C129D8">
        <w:rPr>
          <w:rFonts w:cs="Arial"/>
        </w:rPr>
        <w:t xml:space="preserve"> during the 20-year planning horizon relative to the Base Scenario optimal portfolio. </w:t>
      </w:r>
    </w:p>
    <w:p w14:paraId="36B6C7C0" w14:textId="77777777" w:rsidR="00AD0F38" w:rsidRPr="00C129D8" w:rsidRDefault="00AD0F38" w:rsidP="00C129D8">
      <w:pPr>
        <w:pStyle w:val="IRPsanstext"/>
        <w:rPr>
          <w:rFonts w:cs="Arial"/>
        </w:rPr>
      </w:pPr>
    </w:p>
    <w:p w14:paraId="1D19EB0B" w14:textId="77777777" w:rsidR="00AD0F38" w:rsidRPr="00C129D8" w:rsidRDefault="00AD0F38" w:rsidP="00C129D8">
      <w:pPr>
        <w:pStyle w:val="IRPsanstext"/>
        <w:rPr>
          <w:rFonts w:cs="Arial"/>
        </w:rPr>
      </w:pPr>
      <w:r w:rsidRPr="00C129D8">
        <w:rPr>
          <w:rFonts w:cs="Arial"/>
        </w:rPr>
        <w:t xml:space="preserve">In addition to examining Montana wind, this IRP also includes an analysis of adding an additional 300 MW of wind in 2021, above and beyond the amount required by the RPS. When modeling wind for the RPS, we include the cost of replacing the plant at the end of its useful life as part of the end effects, but for examining the cost of this extra wind, we did not, so that the results would focus on only the impact of this wind on PSE portfolio costs. </w:t>
      </w:r>
    </w:p>
    <w:p w14:paraId="065AB3C1" w14:textId="77777777" w:rsidR="00AD0F38" w:rsidRPr="00C129D8" w:rsidRDefault="00AD0F38" w:rsidP="00C129D8">
      <w:pPr>
        <w:pStyle w:val="IRPsanstext"/>
        <w:rPr>
          <w:rFonts w:cs="Arial"/>
        </w:rPr>
      </w:pPr>
    </w:p>
    <w:p w14:paraId="60AEB3C6" w14:textId="77777777" w:rsidR="00AD0F38" w:rsidRPr="00EC5150" w:rsidRDefault="00EC5150" w:rsidP="00C129D8">
      <w:pPr>
        <w:pStyle w:val="IRPsanstext"/>
        <w:rPr>
          <w:rFonts w:cs="Arial"/>
          <w:color w:val="3366FF"/>
        </w:rPr>
      </w:pPr>
      <w:r>
        <w:rPr>
          <w:rFonts w:cs="Arial"/>
          <w:b/>
          <w:color w:val="156570"/>
          <w:sz w:val="28"/>
          <w:szCs w:val="28"/>
        </w:rPr>
        <w:br w:type="column"/>
      </w:r>
      <w:r w:rsidR="00AD0F38" w:rsidRPr="00384CCF">
        <w:rPr>
          <w:rFonts w:cs="Arial"/>
          <w:b/>
          <w:color w:val="156570"/>
          <w:sz w:val="28"/>
          <w:szCs w:val="28"/>
        </w:rPr>
        <w:t>Solar.</w:t>
      </w:r>
      <w:r w:rsidR="00AD0F38" w:rsidRPr="00C129D8">
        <w:rPr>
          <w:rFonts w:cs="Arial"/>
          <w:color w:val="3366FF"/>
        </w:rPr>
        <w:t xml:space="preserve"> </w:t>
      </w:r>
      <w:r w:rsidR="00AD0F38" w:rsidRPr="00C129D8">
        <w:rPr>
          <w:rFonts w:cs="Arial"/>
        </w:rPr>
        <w:t>For the solar analysis, 300 MW of utility-scale solar was added to the optimal Base Scenario portfolio in 2021. Because solar does not contribute to the peak capacity need, it was not necessary to re-optimize the portfolio model.</w:t>
      </w:r>
    </w:p>
    <w:p w14:paraId="2933A9C5" w14:textId="77777777" w:rsidR="00384CCF" w:rsidRDefault="00384CCF">
      <w:pPr>
        <w:rPr>
          <w:rFonts w:ascii="Arial" w:hAnsi="Arial" w:cs="Arial"/>
          <w:color w:val="3366FF"/>
          <w:sz w:val="20"/>
          <w:szCs w:val="20"/>
        </w:rPr>
      </w:pPr>
    </w:p>
    <w:p w14:paraId="3E04A131" w14:textId="77777777" w:rsidR="00AD0F38" w:rsidRPr="00C129D8" w:rsidRDefault="00AD0F38" w:rsidP="00C129D8">
      <w:pPr>
        <w:pStyle w:val="IRPsanstext"/>
        <w:rPr>
          <w:rFonts w:cs="Arial"/>
          <w:color w:val="3366FF"/>
        </w:rPr>
      </w:pPr>
      <w:r w:rsidRPr="00384CCF">
        <w:rPr>
          <w:rFonts w:cs="Arial"/>
          <w:b/>
          <w:color w:val="156570"/>
          <w:sz w:val="28"/>
          <w:szCs w:val="28"/>
        </w:rPr>
        <w:t>Wind and Solar Results.</w:t>
      </w:r>
      <w:r w:rsidRPr="00C129D8">
        <w:rPr>
          <w:rFonts w:cs="Arial"/>
          <w:color w:val="3366FF"/>
        </w:rPr>
        <w:t xml:space="preserve"> </w:t>
      </w:r>
      <w:r w:rsidRPr="00C129D8">
        <w:rPr>
          <w:rFonts w:cs="Arial"/>
        </w:rPr>
        <w:t>For the wind and solar analyses, the purpose was to estimate the changes in portfolio cost and emissions that resulted from these additions, and to estimate the incremental cost of reducing emissions on a dollar-per-ton basis. In this analysis, all the changes in portfolio cost are included in the unit cost of carbon abatement, whereas in reality, the addition of a resource brings other benefits as well. Total incremental carbon abatement and the incremental cost per ton that resulted are presented in Figure 6-</w:t>
      </w:r>
      <w:r w:rsidR="00855BD7">
        <w:rPr>
          <w:rFonts w:cs="Arial"/>
        </w:rPr>
        <w:t>48</w:t>
      </w:r>
      <w:r w:rsidRPr="00C129D8">
        <w:rPr>
          <w:rFonts w:cs="Arial"/>
        </w:rPr>
        <w:t xml:space="preserve">. </w:t>
      </w:r>
    </w:p>
    <w:p w14:paraId="52A8983C" w14:textId="77777777" w:rsidR="00AD0F38" w:rsidRPr="00C129D8" w:rsidRDefault="00AD0F38" w:rsidP="00C129D8">
      <w:pPr>
        <w:pStyle w:val="IRPsanstext"/>
        <w:rPr>
          <w:rFonts w:cs="Arial"/>
        </w:rPr>
      </w:pPr>
    </w:p>
    <w:p w14:paraId="28E521EC" w14:textId="77777777" w:rsidR="00AD0F38" w:rsidRPr="00384CCF" w:rsidRDefault="00AD0F38" w:rsidP="00384CCF">
      <w:pPr>
        <w:pStyle w:val="IRPsanstext"/>
        <w:jc w:val="center"/>
        <w:rPr>
          <w:rFonts w:cs="Arial"/>
          <w:i/>
        </w:rPr>
      </w:pPr>
      <w:r w:rsidRPr="00384CCF">
        <w:rPr>
          <w:rFonts w:cs="Arial"/>
          <w:i/>
        </w:rPr>
        <w:t>Figure 6-</w:t>
      </w:r>
      <w:r w:rsidR="00855BD7">
        <w:rPr>
          <w:rFonts w:cs="Arial"/>
          <w:i/>
        </w:rPr>
        <w:t>48</w:t>
      </w:r>
      <w:r w:rsidRPr="00384CCF">
        <w:rPr>
          <w:rFonts w:cs="Arial"/>
          <w:i/>
        </w:rPr>
        <w:t>: Additional 300 MW Wind or Solar,</w:t>
      </w:r>
    </w:p>
    <w:p w14:paraId="79531254" w14:textId="77777777" w:rsidR="00AD0F38" w:rsidRPr="00384CCF" w:rsidRDefault="00AD0F38" w:rsidP="00384CCF">
      <w:pPr>
        <w:pStyle w:val="IRPsanstext"/>
        <w:jc w:val="center"/>
        <w:rPr>
          <w:rFonts w:cs="Arial"/>
          <w:i/>
        </w:rPr>
      </w:pPr>
      <w:r w:rsidRPr="00384CCF">
        <w:rPr>
          <w:rFonts w:cs="Arial"/>
          <w:i/>
        </w:rPr>
        <w:t>Incremental Revenue Requirement and Total Carbon Abatement, 2021-2045</w:t>
      </w:r>
    </w:p>
    <w:p w14:paraId="02F3182E" w14:textId="77777777" w:rsidR="00AD0F38" w:rsidRPr="00C129D8" w:rsidRDefault="00384CCF" w:rsidP="00C129D8">
      <w:pPr>
        <w:pStyle w:val="IRPsanstext"/>
        <w:rPr>
          <w:rFonts w:cs="Arial"/>
        </w:rPr>
      </w:pPr>
      <w:r w:rsidRPr="00C129D8">
        <w:rPr>
          <w:rFonts w:cs="Arial"/>
          <w:noProof/>
          <w:lang w:eastAsia="en-US"/>
        </w:rPr>
        <w:drawing>
          <wp:anchor distT="0" distB="0" distL="114300" distR="114300" simplePos="0" relativeHeight="251637248" behindDoc="0" locked="0" layoutInCell="1" allowOverlap="1" wp14:anchorId="457A5B5C" wp14:editId="020FA201">
            <wp:simplePos x="0" y="0"/>
            <wp:positionH relativeFrom="column">
              <wp:posOffset>-62865</wp:posOffset>
            </wp:positionH>
            <wp:positionV relativeFrom="paragraph">
              <wp:posOffset>156210</wp:posOffset>
            </wp:positionV>
            <wp:extent cx="5495925" cy="3124200"/>
            <wp:effectExtent l="0" t="0" r="0" b="0"/>
            <wp:wrapTopAndBottom/>
            <wp:docPr id="4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3">
                      <a:extLst>
                        <a:ext uri="{28A0092B-C50C-407E-A947-70E740481C1C}">
                          <a14:useLocalDpi xmlns:a14="http://schemas.microsoft.com/office/drawing/2010/main" val="0"/>
                        </a:ext>
                      </a:extLst>
                    </a:blip>
                    <a:srcRect l="3701" t="2511" r="5518" b="3145"/>
                    <a:stretch/>
                  </pic:blipFill>
                  <pic:spPr bwMode="auto">
                    <a:xfrm>
                      <a:off x="0" y="0"/>
                      <a:ext cx="5495925" cy="3124200"/>
                    </a:xfrm>
                    <a:prstGeom prst="rect">
                      <a:avLst/>
                    </a:prstGeom>
                    <a:noFill/>
                    <a:ln>
                      <a:noFill/>
                    </a:ln>
                    <a:extLst>
                      <a:ext uri="{53640926-AAD7-44d8-BBD7-CCE9431645EC}">
                        <a14:shadowObscured xmlns:a14="http://schemas.microsoft.com/office/drawing/2010/main"/>
                      </a:ext>
                    </a:extLst>
                  </pic:spPr>
                </pic:pic>
              </a:graphicData>
            </a:graphic>
          </wp:anchor>
        </w:drawing>
      </w:r>
    </w:p>
    <w:p w14:paraId="42F35355" w14:textId="77777777" w:rsidR="00384CCF" w:rsidRDefault="00384CCF" w:rsidP="00C129D8">
      <w:pPr>
        <w:pStyle w:val="IRPsanstext"/>
        <w:rPr>
          <w:rFonts w:cs="Arial"/>
        </w:rPr>
      </w:pPr>
    </w:p>
    <w:p w14:paraId="0BD0CDAF" w14:textId="77777777" w:rsidR="00384CCF" w:rsidRDefault="00384CCF">
      <w:pPr>
        <w:rPr>
          <w:rFonts w:ascii="Arial" w:hAnsi="Arial" w:cs="Arial"/>
          <w:sz w:val="20"/>
          <w:szCs w:val="20"/>
        </w:rPr>
      </w:pPr>
      <w:r>
        <w:rPr>
          <w:rFonts w:cs="Arial"/>
        </w:rPr>
        <w:br w:type="page"/>
      </w:r>
    </w:p>
    <w:p w14:paraId="646F68F8" w14:textId="77777777" w:rsidR="00AD0F38" w:rsidRPr="00C129D8" w:rsidRDefault="00AD0F38" w:rsidP="00C129D8">
      <w:pPr>
        <w:pStyle w:val="IRPsanstext"/>
        <w:rPr>
          <w:rFonts w:cs="Arial"/>
        </w:rPr>
      </w:pPr>
      <w:r w:rsidRPr="00C129D8">
        <w:rPr>
          <w:rFonts w:cs="Arial"/>
        </w:rPr>
        <w:t>In all three analyses, adding a renewable resource increases portfolio cost and reduces emissions. The incremental cost of carbon abatement is estimated at $122 per ton when wind is added without re-optimizing the portfolio, $110 per ton when adding wind and re-optimizing, and $328 per ton when solar is added. These results are presented in Figure 6-</w:t>
      </w:r>
      <w:r w:rsidR="00855BD7">
        <w:rPr>
          <w:rFonts w:cs="Arial"/>
        </w:rPr>
        <w:t>49</w:t>
      </w:r>
      <w:r w:rsidRPr="00C129D8">
        <w:rPr>
          <w:rFonts w:cs="Arial"/>
        </w:rPr>
        <w:t>.</w:t>
      </w:r>
    </w:p>
    <w:p w14:paraId="211AED5A" w14:textId="77777777" w:rsidR="00384CCF" w:rsidRDefault="00384CCF" w:rsidP="00C129D8">
      <w:pPr>
        <w:pStyle w:val="IRPsanstext"/>
        <w:rPr>
          <w:rFonts w:cs="Arial"/>
        </w:rPr>
      </w:pPr>
    </w:p>
    <w:p w14:paraId="211067D2" w14:textId="77777777" w:rsidR="00AD0F38" w:rsidRPr="00384CCF" w:rsidRDefault="00AD0F38" w:rsidP="00384CCF">
      <w:pPr>
        <w:pStyle w:val="IRPsanstext"/>
        <w:jc w:val="center"/>
        <w:rPr>
          <w:rFonts w:cs="Arial"/>
          <w:i/>
        </w:rPr>
      </w:pPr>
      <w:r w:rsidRPr="00384CCF">
        <w:rPr>
          <w:rFonts w:cs="Arial"/>
          <w:i/>
        </w:rPr>
        <w:t>Figure 6-</w:t>
      </w:r>
      <w:r w:rsidR="00855BD7">
        <w:rPr>
          <w:rFonts w:cs="Arial"/>
          <w:i/>
        </w:rPr>
        <w:t>49</w:t>
      </w:r>
      <w:r w:rsidRPr="00384CCF">
        <w:rPr>
          <w:rFonts w:cs="Arial"/>
          <w:i/>
        </w:rPr>
        <w:t>: Additional 300 MW of Wind or Solar,</w:t>
      </w:r>
    </w:p>
    <w:p w14:paraId="0D6B99C4" w14:textId="77777777" w:rsidR="00AD0F38" w:rsidRPr="00384CCF" w:rsidRDefault="00AD0F38" w:rsidP="00384CCF">
      <w:pPr>
        <w:pStyle w:val="IRPsanstext"/>
        <w:spacing w:after="120"/>
        <w:jc w:val="center"/>
        <w:rPr>
          <w:rFonts w:cs="Arial"/>
          <w:i/>
        </w:rPr>
      </w:pPr>
      <w:r w:rsidRPr="00384CCF">
        <w:rPr>
          <w:rFonts w:cs="Arial"/>
          <w:i/>
        </w:rPr>
        <w:t>Incremental Cost per Ton of Carbon Abatement, 2021-2045</w:t>
      </w:r>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0"/>
        <w:gridCol w:w="1620"/>
        <w:gridCol w:w="1890"/>
        <w:gridCol w:w="1350"/>
      </w:tblGrid>
      <w:tr w:rsidR="00384CCF" w:rsidRPr="00C129D8" w14:paraId="4827569B" w14:textId="77777777">
        <w:trPr>
          <w:trHeight w:val="807"/>
        </w:trPr>
        <w:tc>
          <w:tcPr>
            <w:tcW w:w="3690" w:type="dxa"/>
            <w:shd w:val="clear" w:color="auto" w:fill="15666F"/>
            <w:vAlign w:val="center"/>
          </w:tcPr>
          <w:p w14:paraId="73F6A9B3" w14:textId="77777777" w:rsidR="00AD0F38" w:rsidRPr="00384CCF" w:rsidRDefault="00AD0F38" w:rsidP="00D979B2">
            <w:pPr>
              <w:pStyle w:val="IRPsanstext"/>
              <w:jc w:val="center"/>
              <w:rPr>
                <w:rFonts w:cs="Arial"/>
                <w:b/>
                <w:color w:val="FFFFFF" w:themeColor="background1"/>
              </w:rPr>
            </w:pPr>
            <w:r w:rsidRPr="00384CCF">
              <w:rPr>
                <w:rFonts w:cs="Arial"/>
                <w:b/>
                <w:color w:val="FFFFFF" w:themeColor="background1"/>
              </w:rPr>
              <w:t>(Thousands $)</w:t>
            </w:r>
          </w:p>
        </w:tc>
        <w:tc>
          <w:tcPr>
            <w:tcW w:w="1620" w:type="dxa"/>
            <w:shd w:val="clear" w:color="auto" w:fill="15666F"/>
            <w:vAlign w:val="center"/>
          </w:tcPr>
          <w:p w14:paraId="58D92C64" w14:textId="77777777" w:rsidR="00AD0F38" w:rsidRPr="00384CCF" w:rsidRDefault="00AD0F38" w:rsidP="00D979B2">
            <w:pPr>
              <w:pStyle w:val="IRPsanstext"/>
              <w:jc w:val="center"/>
              <w:rPr>
                <w:rFonts w:cs="Arial"/>
                <w:b/>
                <w:color w:val="FFFFFF" w:themeColor="background1"/>
              </w:rPr>
            </w:pPr>
            <w:r w:rsidRPr="00384CCF">
              <w:rPr>
                <w:rFonts w:cs="Arial"/>
                <w:b/>
                <w:color w:val="FFFFFF" w:themeColor="background1"/>
              </w:rPr>
              <w:t>Wind</w:t>
            </w:r>
          </w:p>
        </w:tc>
        <w:tc>
          <w:tcPr>
            <w:tcW w:w="1890" w:type="dxa"/>
            <w:shd w:val="clear" w:color="auto" w:fill="15666F"/>
            <w:vAlign w:val="center"/>
          </w:tcPr>
          <w:p w14:paraId="1E88D59E" w14:textId="77777777" w:rsidR="00AD0F38" w:rsidRPr="00384CCF" w:rsidRDefault="00AD0F38" w:rsidP="00D979B2">
            <w:pPr>
              <w:pStyle w:val="IRPsanstext"/>
              <w:jc w:val="center"/>
              <w:rPr>
                <w:rFonts w:cs="Arial"/>
                <w:b/>
                <w:color w:val="FFFFFF" w:themeColor="background1"/>
              </w:rPr>
            </w:pPr>
            <w:r w:rsidRPr="00384CCF">
              <w:rPr>
                <w:rFonts w:cs="Arial"/>
                <w:b/>
                <w:color w:val="FFFFFF" w:themeColor="background1"/>
              </w:rPr>
              <w:t>Wind Re-optimized</w:t>
            </w:r>
          </w:p>
        </w:tc>
        <w:tc>
          <w:tcPr>
            <w:tcW w:w="1350" w:type="dxa"/>
            <w:shd w:val="clear" w:color="auto" w:fill="15666F"/>
            <w:vAlign w:val="center"/>
          </w:tcPr>
          <w:p w14:paraId="0277C759" w14:textId="77777777" w:rsidR="00AD0F38" w:rsidRPr="00384CCF" w:rsidRDefault="00AD0F38" w:rsidP="00D979B2">
            <w:pPr>
              <w:pStyle w:val="IRPsanstext"/>
              <w:jc w:val="center"/>
              <w:rPr>
                <w:rFonts w:cs="Arial"/>
                <w:b/>
                <w:color w:val="FFFFFF" w:themeColor="background1"/>
              </w:rPr>
            </w:pPr>
            <w:r w:rsidRPr="00384CCF">
              <w:rPr>
                <w:rFonts w:cs="Arial"/>
                <w:b/>
                <w:color w:val="FFFFFF" w:themeColor="background1"/>
              </w:rPr>
              <w:t>Solar</w:t>
            </w:r>
          </w:p>
        </w:tc>
      </w:tr>
      <w:tr w:rsidR="00384CCF" w:rsidRPr="00C129D8" w14:paraId="7DD9F0A4" w14:textId="77777777">
        <w:trPr>
          <w:trHeight w:val="350"/>
        </w:trPr>
        <w:tc>
          <w:tcPr>
            <w:tcW w:w="3690" w:type="dxa"/>
            <w:vAlign w:val="center"/>
          </w:tcPr>
          <w:p w14:paraId="283257C5" w14:textId="77777777" w:rsidR="00AD0F38" w:rsidRPr="00C129D8" w:rsidRDefault="00AD0F38" w:rsidP="00D979B2">
            <w:pPr>
              <w:pStyle w:val="IRPsanstext"/>
              <w:rPr>
                <w:rFonts w:cs="Arial"/>
              </w:rPr>
            </w:pPr>
            <w:r w:rsidRPr="00C129D8">
              <w:rPr>
                <w:rFonts w:cs="Arial"/>
              </w:rPr>
              <w:t>Base Scenario NPV Expected Cost</w:t>
            </w:r>
          </w:p>
        </w:tc>
        <w:tc>
          <w:tcPr>
            <w:tcW w:w="1620" w:type="dxa"/>
            <w:vAlign w:val="center"/>
          </w:tcPr>
          <w:p w14:paraId="2E5DFAC8" w14:textId="77777777" w:rsidR="00AD0F38" w:rsidRPr="00C129D8" w:rsidRDefault="00AD0F38" w:rsidP="00D979B2">
            <w:pPr>
              <w:pStyle w:val="IRPsanstext"/>
              <w:jc w:val="right"/>
              <w:rPr>
                <w:rFonts w:cs="Arial"/>
              </w:rPr>
            </w:pPr>
            <w:r w:rsidRPr="00C129D8">
              <w:rPr>
                <w:rFonts w:cs="Arial"/>
              </w:rPr>
              <w:t>$12,008,998</w:t>
            </w:r>
          </w:p>
        </w:tc>
        <w:tc>
          <w:tcPr>
            <w:tcW w:w="1890" w:type="dxa"/>
            <w:vAlign w:val="center"/>
          </w:tcPr>
          <w:p w14:paraId="666A98CE" w14:textId="77777777" w:rsidR="00AD0F38" w:rsidRPr="00C129D8" w:rsidRDefault="00AD0F38" w:rsidP="00D979B2">
            <w:pPr>
              <w:pStyle w:val="IRPsanstext"/>
              <w:jc w:val="right"/>
              <w:rPr>
                <w:rFonts w:cs="Arial"/>
              </w:rPr>
            </w:pPr>
            <w:r w:rsidRPr="00C129D8">
              <w:rPr>
                <w:rFonts w:cs="Arial"/>
              </w:rPr>
              <w:t>$12,008,998</w:t>
            </w:r>
          </w:p>
        </w:tc>
        <w:tc>
          <w:tcPr>
            <w:tcW w:w="1350" w:type="dxa"/>
            <w:vAlign w:val="center"/>
          </w:tcPr>
          <w:p w14:paraId="227501FC" w14:textId="77777777" w:rsidR="00AD0F38" w:rsidRPr="00C129D8" w:rsidRDefault="00AD0F38" w:rsidP="00D979B2">
            <w:pPr>
              <w:pStyle w:val="IRPsanstext"/>
              <w:jc w:val="right"/>
              <w:rPr>
                <w:rFonts w:cs="Arial"/>
              </w:rPr>
            </w:pPr>
            <w:r w:rsidRPr="00C129D8">
              <w:rPr>
                <w:rFonts w:cs="Arial"/>
              </w:rPr>
              <w:t>$12,008,998</w:t>
            </w:r>
          </w:p>
        </w:tc>
      </w:tr>
      <w:tr w:rsidR="00384CCF" w:rsidRPr="00C129D8" w14:paraId="02657CE6" w14:textId="77777777">
        <w:trPr>
          <w:trHeight w:val="350"/>
        </w:trPr>
        <w:tc>
          <w:tcPr>
            <w:tcW w:w="3690" w:type="dxa"/>
            <w:vAlign w:val="center"/>
          </w:tcPr>
          <w:p w14:paraId="2CF1CA73" w14:textId="77777777" w:rsidR="00AD0F38" w:rsidRPr="00C129D8" w:rsidRDefault="00AD0F38" w:rsidP="00C129D8">
            <w:pPr>
              <w:pStyle w:val="IRPsanstext"/>
              <w:rPr>
                <w:rFonts w:cs="Arial"/>
              </w:rPr>
            </w:pPr>
            <w:r w:rsidRPr="00C129D8">
              <w:rPr>
                <w:rFonts w:cs="Arial"/>
              </w:rPr>
              <w:t xml:space="preserve">NPV Expected Cost </w:t>
            </w:r>
          </w:p>
        </w:tc>
        <w:tc>
          <w:tcPr>
            <w:tcW w:w="1620" w:type="dxa"/>
            <w:vAlign w:val="center"/>
          </w:tcPr>
          <w:p w14:paraId="52F075D1" w14:textId="77777777" w:rsidR="00AD0F38" w:rsidRPr="00C129D8" w:rsidRDefault="00AD0F38" w:rsidP="00D979B2">
            <w:pPr>
              <w:pStyle w:val="IRPsanstext"/>
              <w:jc w:val="right"/>
              <w:rPr>
                <w:rFonts w:cs="Arial"/>
              </w:rPr>
            </w:pPr>
            <w:r w:rsidRPr="00C129D8">
              <w:rPr>
                <w:rFonts w:cs="Arial"/>
              </w:rPr>
              <w:t>$12,431,986</w:t>
            </w:r>
          </w:p>
        </w:tc>
        <w:tc>
          <w:tcPr>
            <w:tcW w:w="1890" w:type="dxa"/>
            <w:vAlign w:val="center"/>
          </w:tcPr>
          <w:p w14:paraId="6DE4BD2C" w14:textId="77777777" w:rsidR="00AD0F38" w:rsidRPr="00C129D8" w:rsidRDefault="00AD0F38" w:rsidP="00D979B2">
            <w:pPr>
              <w:pStyle w:val="IRPsanstext"/>
              <w:jc w:val="right"/>
              <w:rPr>
                <w:rFonts w:cs="Arial"/>
              </w:rPr>
            </w:pPr>
            <w:r w:rsidRPr="00C129D8">
              <w:rPr>
                <w:rFonts w:cs="Arial"/>
              </w:rPr>
              <w:t>$12,391,240</w:t>
            </w:r>
          </w:p>
        </w:tc>
        <w:tc>
          <w:tcPr>
            <w:tcW w:w="1350" w:type="dxa"/>
            <w:vAlign w:val="center"/>
          </w:tcPr>
          <w:p w14:paraId="7B3A308D" w14:textId="77777777" w:rsidR="00AD0F38" w:rsidRPr="00C129D8" w:rsidRDefault="00AD0F38" w:rsidP="00D979B2">
            <w:pPr>
              <w:pStyle w:val="IRPsanstext"/>
              <w:jc w:val="right"/>
              <w:rPr>
                <w:rFonts w:cs="Arial"/>
              </w:rPr>
            </w:pPr>
            <w:r w:rsidRPr="00C129D8">
              <w:rPr>
                <w:rFonts w:cs="Arial"/>
              </w:rPr>
              <w:t>$12,653,231</w:t>
            </w:r>
          </w:p>
        </w:tc>
      </w:tr>
      <w:tr w:rsidR="00384CCF" w:rsidRPr="00C129D8" w14:paraId="6B19F92A" w14:textId="77777777">
        <w:trPr>
          <w:trHeight w:val="264"/>
        </w:trPr>
        <w:tc>
          <w:tcPr>
            <w:tcW w:w="3690" w:type="dxa"/>
            <w:vAlign w:val="center"/>
          </w:tcPr>
          <w:p w14:paraId="0A7537C9" w14:textId="77777777" w:rsidR="00AD0F38" w:rsidRPr="00C129D8" w:rsidRDefault="00AD0F38" w:rsidP="00C129D8">
            <w:pPr>
              <w:pStyle w:val="IRPsanstext"/>
              <w:rPr>
                <w:rFonts w:cs="Arial"/>
              </w:rPr>
            </w:pPr>
            <w:r w:rsidRPr="00C129D8">
              <w:rPr>
                <w:rFonts w:cs="Arial"/>
              </w:rPr>
              <w:t xml:space="preserve">NPV Incremental Cost </w:t>
            </w:r>
          </w:p>
        </w:tc>
        <w:tc>
          <w:tcPr>
            <w:tcW w:w="1620" w:type="dxa"/>
            <w:vAlign w:val="center"/>
          </w:tcPr>
          <w:p w14:paraId="4DE9BE49" w14:textId="77777777" w:rsidR="00AD0F38" w:rsidRPr="00C129D8" w:rsidRDefault="00AD0F38" w:rsidP="00D979B2">
            <w:pPr>
              <w:pStyle w:val="IRPsanstext"/>
              <w:jc w:val="right"/>
              <w:rPr>
                <w:rFonts w:cs="Arial"/>
              </w:rPr>
            </w:pPr>
            <w:r w:rsidRPr="00C129D8">
              <w:rPr>
                <w:rFonts w:cs="Arial"/>
              </w:rPr>
              <w:t>$422,989</w:t>
            </w:r>
          </w:p>
        </w:tc>
        <w:tc>
          <w:tcPr>
            <w:tcW w:w="1890" w:type="dxa"/>
            <w:vAlign w:val="center"/>
          </w:tcPr>
          <w:p w14:paraId="1B35E40F" w14:textId="77777777" w:rsidR="00AD0F38" w:rsidRPr="00C129D8" w:rsidRDefault="00AD0F38" w:rsidP="00D979B2">
            <w:pPr>
              <w:pStyle w:val="IRPsanstext"/>
              <w:jc w:val="right"/>
              <w:rPr>
                <w:rFonts w:cs="Arial"/>
              </w:rPr>
            </w:pPr>
            <w:r w:rsidRPr="00C129D8">
              <w:rPr>
                <w:rFonts w:cs="Arial"/>
              </w:rPr>
              <w:t>$382,242</w:t>
            </w:r>
          </w:p>
        </w:tc>
        <w:tc>
          <w:tcPr>
            <w:tcW w:w="1350" w:type="dxa"/>
            <w:vAlign w:val="center"/>
          </w:tcPr>
          <w:p w14:paraId="7D7ACD11" w14:textId="77777777" w:rsidR="00AD0F38" w:rsidRPr="00C129D8" w:rsidRDefault="00AD0F38" w:rsidP="00D979B2">
            <w:pPr>
              <w:pStyle w:val="IRPsanstext"/>
              <w:jc w:val="right"/>
              <w:rPr>
                <w:rFonts w:cs="Arial"/>
              </w:rPr>
            </w:pPr>
            <w:r w:rsidRPr="00C129D8">
              <w:rPr>
                <w:rFonts w:cs="Arial"/>
              </w:rPr>
              <w:t>$644,233</w:t>
            </w:r>
          </w:p>
        </w:tc>
      </w:tr>
      <w:tr w:rsidR="00384CCF" w:rsidRPr="00C129D8" w14:paraId="5383E242" w14:textId="77777777">
        <w:trPr>
          <w:trHeight w:val="264"/>
        </w:trPr>
        <w:tc>
          <w:tcPr>
            <w:tcW w:w="3690" w:type="dxa"/>
            <w:vAlign w:val="center"/>
          </w:tcPr>
          <w:p w14:paraId="5E78A0FD" w14:textId="77777777" w:rsidR="00AD0F38" w:rsidRPr="00C129D8" w:rsidRDefault="00AD0F38" w:rsidP="00C129D8">
            <w:pPr>
              <w:pStyle w:val="IRPsanstext"/>
              <w:rPr>
                <w:rFonts w:cs="Arial"/>
              </w:rPr>
            </w:pPr>
            <w:proofErr w:type="spellStart"/>
            <w:r w:rsidRPr="00C129D8">
              <w:rPr>
                <w:rFonts w:cs="Arial"/>
              </w:rPr>
              <w:t>Levelized</w:t>
            </w:r>
            <w:proofErr w:type="spellEnd"/>
            <w:r w:rsidRPr="00C129D8">
              <w:rPr>
                <w:rFonts w:cs="Arial"/>
              </w:rPr>
              <w:t xml:space="preserve"> Cost ($Thousands / Year)</w:t>
            </w:r>
          </w:p>
        </w:tc>
        <w:tc>
          <w:tcPr>
            <w:tcW w:w="1620" w:type="dxa"/>
            <w:vAlign w:val="center"/>
          </w:tcPr>
          <w:p w14:paraId="54C4F6EE" w14:textId="77777777" w:rsidR="00AD0F38" w:rsidRPr="00C129D8" w:rsidRDefault="00AD0F38" w:rsidP="00D979B2">
            <w:pPr>
              <w:pStyle w:val="IRPsanstext"/>
              <w:jc w:val="right"/>
              <w:rPr>
                <w:rFonts w:cs="Arial"/>
              </w:rPr>
            </w:pPr>
            <w:r w:rsidRPr="00C129D8">
              <w:rPr>
                <w:rFonts w:cs="Arial"/>
              </w:rPr>
              <w:t>$38,849</w:t>
            </w:r>
          </w:p>
        </w:tc>
        <w:tc>
          <w:tcPr>
            <w:tcW w:w="1890" w:type="dxa"/>
            <w:vAlign w:val="center"/>
          </w:tcPr>
          <w:p w14:paraId="2341ED51" w14:textId="77777777" w:rsidR="00AD0F38" w:rsidRPr="00C129D8" w:rsidRDefault="00AD0F38" w:rsidP="00D979B2">
            <w:pPr>
              <w:pStyle w:val="IRPsanstext"/>
              <w:jc w:val="right"/>
              <w:rPr>
                <w:rFonts w:cs="Arial"/>
              </w:rPr>
            </w:pPr>
            <w:r w:rsidRPr="00C129D8">
              <w:rPr>
                <w:rFonts w:cs="Arial"/>
              </w:rPr>
              <w:t>$35,107</w:t>
            </w:r>
          </w:p>
        </w:tc>
        <w:tc>
          <w:tcPr>
            <w:tcW w:w="1350" w:type="dxa"/>
            <w:vAlign w:val="center"/>
          </w:tcPr>
          <w:p w14:paraId="333A02A2" w14:textId="77777777" w:rsidR="00AD0F38" w:rsidRPr="00C129D8" w:rsidRDefault="00AD0F38" w:rsidP="00D979B2">
            <w:pPr>
              <w:pStyle w:val="IRPsanstext"/>
              <w:jc w:val="right"/>
              <w:rPr>
                <w:rFonts w:cs="Arial"/>
              </w:rPr>
            </w:pPr>
            <w:r w:rsidRPr="00C129D8">
              <w:rPr>
                <w:rFonts w:cs="Arial"/>
              </w:rPr>
              <w:t>$59,170</w:t>
            </w:r>
          </w:p>
        </w:tc>
      </w:tr>
      <w:tr w:rsidR="00384CCF" w:rsidRPr="00C129D8" w14:paraId="2E880322" w14:textId="77777777">
        <w:trPr>
          <w:trHeight w:val="413"/>
        </w:trPr>
        <w:tc>
          <w:tcPr>
            <w:tcW w:w="3690" w:type="dxa"/>
            <w:vAlign w:val="center"/>
          </w:tcPr>
          <w:p w14:paraId="058BDCEA" w14:textId="77777777" w:rsidR="00B7222C" w:rsidRDefault="00AD0F38" w:rsidP="00C129D8">
            <w:pPr>
              <w:pStyle w:val="IRPsanstext"/>
              <w:rPr>
                <w:rFonts w:cs="Arial"/>
              </w:rPr>
            </w:pPr>
            <w:r w:rsidRPr="00C129D8">
              <w:rPr>
                <w:rFonts w:cs="Arial"/>
              </w:rPr>
              <w:t xml:space="preserve">Avg. Incremental Emissions </w:t>
            </w:r>
          </w:p>
          <w:p w14:paraId="61A6B5CD" w14:textId="77777777" w:rsidR="00AD0F38" w:rsidRPr="00C129D8" w:rsidRDefault="00AD0F38" w:rsidP="00C129D8">
            <w:pPr>
              <w:pStyle w:val="IRPsanstext"/>
              <w:rPr>
                <w:rFonts w:cs="Arial"/>
              </w:rPr>
            </w:pPr>
            <w:r w:rsidRPr="00C129D8">
              <w:rPr>
                <w:rFonts w:cs="Arial"/>
              </w:rPr>
              <w:t>(Millions Tons/Year)</w:t>
            </w:r>
          </w:p>
        </w:tc>
        <w:tc>
          <w:tcPr>
            <w:tcW w:w="1620" w:type="dxa"/>
            <w:vAlign w:val="center"/>
          </w:tcPr>
          <w:p w14:paraId="53996D89" w14:textId="77777777" w:rsidR="00AD0F38" w:rsidRPr="00C129D8" w:rsidRDefault="004E52C1" w:rsidP="00D979B2">
            <w:pPr>
              <w:pStyle w:val="IRPsanstext"/>
              <w:jc w:val="right"/>
              <w:rPr>
                <w:rFonts w:cs="Arial"/>
              </w:rPr>
            </w:pPr>
            <w:r>
              <w:rPr>
                <w:rFonts w:cs="Arial"/>
              </w:rPr>
              <w:t>(</w:t>
            </w:r>
            <w:r w:rsidR="00AD0F38" w:rsidRPr="00C129D8">
              <w:rPr>
                <w:rFonts w:cs="Arial"/>
              </w:rPr>
              <w:t>0.32</w:t>
            </w:r>
            <w:r>
              <w:rPr>
                <w:rFonts w:cs="Arial"/>
              </w:rPr>
              <w:t>)</w:t>
            </w:r>
          </w:p>
        </w:tc>
        <w:tc>
          <w:tcPr>
            <w:tcW w:w="1890" w:type="dxa"/>
            <w:vAlign w:val="center"/>
          </w:tcPr>
          <w:p w14:paraId="400C0878" w14:textId="77777777" w:rsidR="00AD0F38" w:rsidRPr="00C129D8" w:rsidRDefault="004E52C1" w:rsidP="00D979B2">
            <w:pPr>
              <w:pStyle w:val="IRPsanstext"/>
              <w:jc w:val="right"/>
              <w:rPr>
                <w:rFonts w:cs="Arial"/>
              </w:rPr>
            </w:pPr>
            <w:r>
              <w:rPr>
                <w:rFonts w:cs="Arial"/>
              </w:rPr>
              <w:t>(</w:t>
            </w:r>
            <w:r w:rsidR="00AD0F38" w:rsidRPr="00C129D8">
              <w:rPr>
                <w:rFonts w:cs="Arial"/>
              </w:rPr>
              <w:t>0.32</w:t>
            </w:r>
            <w:r>
              <w:rPr>
                <w:rFonts w:cs="Arial"/>
              </w:rPr>
              <w:t>)</w:t>
            </w:r>
          </w:p>
        </w:tc>
        <w:tc>
          <w:tcPr>
            <w:tcW w:w="1350" w:type="dxa"/>
            <w:vAlign w:val="center"/>
          </w:tcPr>
          <w:p w14:paraId="28ADCC6C" w14:textId="77777777" w:rsidR="00AD0F38" w:rsidRPr="00C129D8" w:rsidRDefault="004E52C1" w:rsidP="00D979B2">
            <w:pPr>
              <w:pStyle w:val="IRPsanstext"/>
              <w:jc w:val="right"/>
              <w:rPr>
                <w:rFonts w:cs="Arial"/>
              </w:rPr>
            </w:pPr>
            <w:r>
              <w:rPr>
                <w:rFonts w:cs="Arial"/>
              </w:rPr>
              <w:t>(</w:t>
            </w:r>
            <w:r w:rsidR="00AD0F38" w:rsidRPr="00C129D8">
              <w:rPr>
                <w:rFonts w:cs="Arial"/>
              </w:rPr>
              <w:t>0.18</w:t>
            </w:r>
            <w:r>
              <w:rPr>
                <w:rFonts w:cs="Arial"/>
              </w:rPr>
              <w:t>)</w:t>
            </w:r>
          </w:p>
        </w:tc>
      </w:tr>
      <w:tr w:rsidR="00384CCF" w:rsidRPr="00C129D8" w14:paraId="5595D6FA" w14:textId="77777777">
        <w:trPr>
          <w:trHeight w:val="264"/>
        </w:trPr>
        <w:tc>
          <w:tcPr>
            <w:tcW w:w="3690" w:type="dxa"/>
            <w:vAlign w:val="center"/>
          </w:tcPr>
          <w:p w14:paraId="32ECF629" w14:textId="77777777" w:rsidR="00AD0F38" w:rsidRPr="00C129D8" w:rsidRDefault="00AD0F38" w:rsidP="00C129D8">
            <w:pPr>
              <w:pStyle w:val="IRPsanstext"/>
              <w:rPr>
                <w:rFonts w:cs="Arial"/>
              </w:rPr>
            </w:pPr>
            <w:r w:rsidRPr="00C129D8">
              <w:rPr>
                <w:rFonts w:cs="Arial"/>
              </w:rPr>
              <w:t>Incremental Cost ($ / Ton)</w:t>
            </w:r>
          </w:p>
        </w:tc>
        <w:tc>
          <w:tcPr>
            <w:tcW w:w="1620" w:type="dxa"/>
            <w:vAlign w:val="center"/>
          </w:tcPr>
          <w:p w14:paraId="47AC4F52" w14:textId="77777777" w:rsidR="00AD0F38" w:rsidRPr="00C129D8" w:rsidRDefault="00AD0F38" w:rsidP="00D979B2">
            <w:pPr>
              <w:pStyle w:val="IRPsanstext"/>
              <w:jc w:val="right"/>
              <w:rPr>
                <w:rFonts w:cs="Arial"/>
              </w:rPr>
            </w:pPr>
            <w:r w:rsidRPr="00C129D8">
              <w:rPr>
                <w:rFonts w:cs="Arial"/>
              </w:rPr>
              <w:t>$122</w:t>
            </w:r>
          </w:p>
        </w:tc>
        <w:tc>
          <w:tcPr>
            <w:tcW w:w="1890" w:type="dxa"/>
            <w:vAlign w:val="center"/>
          </w:tcPr>
          <w:p w14:paraId="386BE11E" w14:textId="77777777" w:rsidR="00AD0F38" w:rsidRPr="00C129D8" w:rsidRDefault="00AD0F38" w:rsidP="00D979B2">
            <w:pPr>
              <w:pStyle w:val="IRPsanstext"/>
              <w:jc w:val="right"/>
              <w:rPr>
                <w:rFonts w:cs="Arial"/>
              </w:rPr>
            </w:pPr>
            <w:r w:rsidRPr="00C129D8">
              <w:rPr>
                <w:rFonts w:cs="Arial"/>
              </w:rPr>
              <w:t>$110</w:t>
            </w:r>
          </w:p>
        </w:tc>
        <w:tc>
          <w:tcPr>
            <w:tcW w:w="1350" w:type="dxa"/>
            <w:vAlign w:val="center"/>
          </w:tcPr>
          <w:p w14:paraId="1DA81E0F" w14:textId="77777777" w:rsidR="00AD0F38" w:rsidRPr="00C129D8" w:rsidRDefault="00AD0F38" w:rsidP="00D979B2">
            <w:pPr>
              <w:pStyle w:val="IRPsanstext"/>
              <w:jc w:val="right"/>
              <w:rPr>
                <w:rFonts w:cs="Arial"/>
              </w:rPr>
            </w:pPr>
            <w:r w:rsidRPr="00C129D8">
              <w:rPr>
                <w:rFonts w:cs="Arial"/>
              </w:rPr>
              <w:t>$328</w:t>
            </w:r>
          </w:p>
        </w:tc>
      </w:tr>
    </w:tbl>
    <w:p w14:paraId="70651121" w14:textId="77777777" w:rsidR="00AD0F38" w:rsidRPr="00C129D8" w:rsidRDefault="00AD0F38" w:rsidP="00C129D8">
      <w:pPr>
        <w:pStyle w:val="IRPsanstext"/>
        <w:rPr>
          <w:rFonts w:cs="Arial"/>
          <w:caps/>
        </w:rPr>
      </w:pPr>
    </w:p>
    <w:p w14:paraId="704F16CC" w14:textId="77777777" w:rsidR="00AD0F38" w:rsidRPr="00C129D8" w:rsidRDefault="00AD0F38" w:rsidP="00384CCF">
      <w:pPr>
        <w:pStyle w:val="IRPsanstext"/>
        <w:rPr>
          <w:color w:val="3366FF"/>
        </w:rPr>
      </w:pPr>
      <w:r w:rsidRPr="00384CCF">
        <w:rPr>
          <w:b/>
          <w:color w:val="156570"/>
          <w:sz w:val="28"/>
          <w:szCs w:val="28"/>
        </w:rPr>
        <w:t>Demand-side Resources.</w:t>
      </w:r>
      <w:r w:rsidRPr="00C129D8">
        <w:rPr>
          <w:color w:val="3366FF"/>
        </w:rPr>
        <w:t xml:space="preserve"> </w:t>
      </w:r>
      <w:r w:rsidRPr="00C129D8">
        <w:t xml:space="preserve">Analysis of additional DSR bundles began with the optimal portfolio for the Base Scenario, which includes DSR </w:t>
      </w:r>
      <w:proofErr w:type="gramStart"/>
      <w:r w:rsidRPr="00C129D8">
        <w:t>bundles</w:t>
      </w:r>
      <w:proofErr w:type="gramEnd"/>
      <w:r w:rsidRPr="00C129D8">
        <w:t xml:space="preserve"> A through D; this was compared to the Base Scenario with no DSR. Then, bundle E was added to the optimal portfolio with DSR and the portfolio was re-optimized; these results were compared to the scenario with bundle D. Bundles F and G were also added incrementally and compared to the optimal portfolio with bundle D. </w:t>
      </w:r>
    </w:p>
    <w:p w14:paraId="252A7B09" w14:textId="77777777" w:rsidR="00AD0F38" w:rsidRPr="00C129D8" w:rsidRDefault="00AD0F38" w:rsidP="00384CCF">
      <w:pPr>
        <w:pStyle w:val="IRPsanstext"/>
      </w:pPr>
    </w:p>
    <w:p w14:paraId="69BEC389" w14:textId="77777777" w:rsidR="00A35E26" w:rsidRDefault="00AD0F38" w:rsidP="00384CCF">
      <w:pPr>
        <w:pStyle w:val="IRPsanstext"/>
      </w:pPr>
      <w:r w:rsidRPr="00C129D8">
        <w:t>When bundles A through D are added to the portfolio without DSR, there is a $1.3 billion reduction in portfolio cost and a 16 million ton reduction in emissions over the 20-year planning horizon (2016-2035). This results in an incremental benefit of $202 per ton. Including this amount of DSR reduces the number of thermal resources built because it reduces the peak capacity need. It also reduces the number of renewable resources built because it reduces the overall energy need that determines the RPS requirement. When additional DSR bundles are added, the incremental emissions abatement is relatively small and occurs at a cost. The addition of bundle E delays some supply-side resources by one year, but the cost savings from the delays do not offset the cost of the additional DSR and the incremental cost is $173 per ton. With the addition of bundle F, portfolio cost declines a marginal amount relative to portfolio with bundle E; this is the result of other changes in the model when the portfolio is re-optimized, including a change in demand-response bundles. Adding Bundle G results in additional delays of supply-side resources, but the reduced costs do not offset the increased cost of demand-side resources.</w:t>
      </w:r>
    </w:p>
    <w:p w14:paraId="5660529C" w14:textId="77777777" w:rsidR="00AD0F38" w:rsidRPr="00384CCF" w:rsidRDefault="00AD0F38" w:rsidP="00384CCF">
      <w:pPr>
        <w:pStyle w:val="IRPsanstext"/>
      </w:pPr>
    </w:p>
    <w:p w14:paraId="484DFD78" w14:textId="77777777" w:rsidR="00AD0F38" w:rsidRPr="00C129D8" w:rsidRDefault="00AD0F38" w:rsidP="00384CCF">
      <w:pPr>
        <w:pStyle w:val="IRPsanstext"/>
      </w:pPr>
      <w:r w:rsidRPr="00C129D8">
        <w:t>Incremental cost per ton for each DSR configuration relative to the Base Scenario, along with total incremental carbon abatement, is presented in Figure 6-</w:t>
      </w:r>
      <w:r w:rsidR="00855BD7">
        <w:t>50</w:t>
      </w:r>
      <w:r w:rsidRPr="00C129D8">
        <w:t xml:space="preserve">. </w:t>
      </w:r>
    </w:p>
    <w:p w14:paraId="7301B36A" w14:textId="77777777" w:rsidR="00AD0F38" w:rsidRPr="00C129D8" w:rsidRDefault="00AD0F38" w:rsidP="00C129D8">
      <w:pPr>
        <w:pStyle w:val="IRPsanstext"/>
        <w:rPr>
          <w:rFonts w:cs="Arial"/>
        </w:rPr>
      </w:pPr>
    </w:p>
    <w:p w14:paraId="234CED02" w14:textId="77777777" w:rsidR="00AD0F38" w:rsidRPr="00384CCF" w:rsidRDefault="00AD0F38" w:rsidP="00384CCF">
      <w:pPr>
        <w:pStyle w:val="IRPsanstext"/>
        <w:jc w:val="center"/>
        <w:rPr>
          <w:rFonts w:cs="Arial"/>
          <w:i/>
        </w:rPr>
      </w:pPr>
      <w:r w:rsidRPr="00384CCF">
        <w:rPr>
          <w:rFonts w:cs="Arial"/>
          <w:i/>
        </w:rPr>
        <w:t>Figure 6-</w:t>
      </w:r>
      <w:r w:rsidR="00855BD7">
        <w:rPr>
          <w:rFonts w:cs="Arial"/>
          <w:i/>
        </w:rPr>
        <w:t>50</w:t>
      </w:r>
      <w:r w:rsidRPr="00384CCF">
        <w:rPr>
          <w:rFonts w:cs="Arial"/>
          <w:i/>
        </w:rPr>
        <w:t>: Additional DSR, Incremental Revenue Requirement</w:t>
      </w:r>
    </w:p>
    <w:p w14:paraId="592D372C" w14:textId="77777777" w:rsidR="00AD0F38" w:rsidRPr="00384CCF" w:rsidRDefault="00F52DDC" w:rsidP="00384CCF">
      <w:pPr>
        <w:pStyle w:val="IRPsanstext"/>
        <w:jc w:val="center"/>
        <w:rPr>
          <w:rFonts w:cs="Arial"/>
          <w:i/>
        </w:rPr>
      </w:pPr>
      <w:r w:rsidRPr="00C129D8">
        <w:rPr>
          <w:rFonts w:cs="Arial"/>
          <w:noProof/>
          <w:lang w:eastAsia="en-US"/>
        </w:rPr>
        <w:drawing>
          <wp:anchor distT="0" distB="0" distL="114300" distR="114300" simplePos="0" relativeHeight="251651584" behindDoc="0" locked="0" layoutInCell="1" allowOverlap="1" wp14:anchorId="2CC6C214" wp14:editId="60103835">
            <wp:simplePos x="0" y="0"/>
            <wp:positionH relativeFrom="column">
              <wp:posOffset>51435</wp:posOffset>
            </wp:positionH>
            <wp:positionV relativeFrom="paragraph">
              <wp:posOffset>279400</wp:posOffset>
            </wp:positionV>
            <wp:extent cx="5372100" cy="3519805"/>
            <wp:effectExtent l="0" t="0" r="12700" b="10795"/>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72100" cy="3519805"/>
                    </a:xfrm>
                    <a:prstGeom prst="rect">
                      <a:avLst/>
                    </a:prstGeom>
                    <a:noFill/>
                  </pic:spPr>
                </pic:pic>
              </a:graphicData>
            </a:graphic>
          </wp:anchor>
        </w:drawing>
      </w:r>
      <w:proofErr w:type="gramStart"/>
      <w:r w:rsidR="00AD0F38" w:rsidRPr="00384CCF">
        <w:rPr>
          <w:rFonts w:cs="Arial"/>
          <w:i/>
        </w:rPr>
        <w:t>and</w:t>
      </w:r>
      <w:proofErr w:type="gramEnd"/>
      <w:r w:rsidR="00AD0F38" w:rsidRPr="00384CCF">
        <w:rPr>
          <w:rFonts w:cs="Arial"/>
          <w:i/>
        </w:rPr>
        <w:t xml:space="preserve"> Total Carbon Abatement by Bundle, 2016-2035</w:t>
      </w:r>
    </w:p>
    <w:p w14:paraId="36AA7DD5" w14:textId="77777777" w:rsidR="00AD0F38" w:rsidRPr="00C129D8" w:rsidRDefault="00AD0F38" w:rsidP="00C129D8">
      <w:pPr>
        <w:pStyle w:val="IRPsanstext"/>
        <w:rPr>
          <w:rFonts w:cs="Arial"/>
        </w:rPr>
      </w:pPr>
    </w:p>
    <w:p w14:paraId="45AA2EF8" w14:textId="77777777" w:rsidR="00AD0F38" w:rsidRPr="00C129D8" w:rsidRDefault="00AD0F38" w:rsidP="00C129D8">
      <w:pPr>
        <w:pStyle w:val="IRPsanstext"/>
        <w:rPr>
          <w:rFonts w:cs="Arial"/>
        </w:rPr>
      </w:pPr>
      <w:r w:rsidRPr="00C129D8">
        <w:rPr>
          <w:rFonts w:cs="Arial"/>
        </w:rPr>
        <w:t>Overall, supply-side resources are delayed but not eliminated in these sensitivity analyses.  Demand-response programs change with the addition of DSR bundles, and carbon emissions are achieved – but at an incremen</w:t>
      </w:r>
      <w:r w:rsidR="00F52DDC">
        <w:rPr>
          <w:rFonts w:cs="Arial"/>
        </w:rPr>
        <w:t xml:space="preserve">tal cost that is not economic. </w:t>
      </w:r>
      <w:r w:rsidRPr="00C129D8">
        <w:rPr>
          <w:rFonts w:cs="Arial"/>
        </w:rPr>
        <w:t xml:space="preserve">These results support the Base Scenario optimal portfolio finding in which bundle D was chosen as the most cost effective DSR bundle. </w:t>
      </w:r>
    </w:p>
    <w:p w14:paraId="2CD8AAB9" w14:textId="77777777" w:rsidR="00F52DDC" w:rsidRDefault="00F52DDC" w:rsidP="00C129D8">
      <w:pPr>
        <w:pStyle w:val="IRPsanstext"/>
        <w:rPr>
          <w:rFonts w:cs="Arial"/>
        </w:rPr>
      </w:pPr>
    </w:p>
    <w:p w14:paraId="0F1A51C1" w14:textId="77777777" w:rsidR="00F52DDC" w:rsidRDefault="00F52DDC">
      <w:pPr>
        <w:rPr>
          <w:rFonts w:ascii="Arial" w:hAnsi="Arial" w:cs="Arial"/>
          <w:sz w:val="20"/>
          <w:szCs w:val="20"/>
        </w:rPr>
      </w:pPr>
      <w:r>
        <w:rPr>
          <w:rFonts w:cs="Arial"/>
        </w:rPr>
        <w:br w:type="page"/>
      </w:r>
    </w:p>
    <w:p w14:paraId="7FBF04B8" w14:textId="77777777" w:rsidR="00AD0F38" w:rsidRPr="00F52DDC" w:rsidRDefault="00AD0F38" w:rsidP="00F52DDC">
      <w:pPr>
        <w:pStyle w:val="IRPsanstext"/>
        <w:spacing w:after="120"/>
        <w:jc w:val="center"/>
        <w:rPr>
          <w:rFonts w:cs="Arial"/>
          <w:i/>
        </w:rPr>
      </w:pPr>
      <w:r w:rsidRPr="00F52DDC">
        <w:rPr>
          <w:rFonts w:cs="Arial"/>
          <w:i/>
        </w:rPr>
        <w:t>Figure 6-</w:t>
      </w:r>
      <w:r w:rsidR="00855BD7">
        <w:rPr>
          <w:rFonts w:cs="Arial"/>
          <w:i/>
        </w:rPr>
        <w:t>51</w:t>
      </w:r>
      <w:r w:rsidRPr="00F52DDC">
        <w:rPr>
          <w:rFonts w:cs="Arial"/>
          <w:i/>
        </w:rPr>
        <w:t>: Incremental Cost per Ton of Carbon Abatement by DSR Bundle, 2016-2035</w:t>
      </w: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1530"/>
        <w:gridCol w:w="1350"/>
        <w:gridCol w:w="1350"/>
        <w:gridCol w:w="1350"/>
      </w:tblGrid>
      <w:tr w:rsidR="00F52DDC" w:rsidRPr="00C129D8" w14:paraId="4946FA24" w14:textId="77777777">
        <w:trPr>
          <w:trHeight w:val="540"/>
        </w:trPr>
        <w:tc>
          <w:tcPr>
            <w:tcW w:w="3078" w:type="dxa"/>
            <w:shd w:val="clear" w:color="auto" w:fill="15666F"/>
            <w:vAlign w:val="center"/>
          </w:tcPr>
          <w:p w14:paraId="5E24FC1B" w14:textId="77777777" w:rsidR="00AD0F38" w:rsidRPr="00B7222C" w:rsidRDefault="00AD0F38" w:rsidP="00C129D8">
            <w:pPr>
              <w:pStyle w:val="IRPsanstext"/>
              <w:rPr>
                <w:rFonts w:cs="Arial"/>
                <w:b/>
                <w:color w:val="FFFFFF" w:themeColor="background1"/>
              </w:rPr>
            </w:pPr>
            <w:r w:rsidRPr="00B7222C">
              <w:rPr>
                <w:rFonts w:cs="Arial"/>
                <w:b/>
                <w:color w:val="FFFFFF" w:themeColor="background1"/>
              </w:rPr>
              <w:t>Thousands $</w:t>
            </w:r>
          </w:p>
        </w:tc>
        <w:tc>
          <w:tcPr>
            <w:tcW w:w="1530" w:type="dxa"/>
            <w:shd w:val="clear" w:color="auto" w:fill="15666F"/>
            <w:vAlign w:val="center"/>
          </w:tcPr>
          <w:p w14:paraId="4BE87BFD" w14:textId="77777777" w:rsidR="00AD0F38" w:rsidRPr="00B7222C" w:rsidRDefault="00AD0F38" w:rsidP="00B7222C">
            <w:pPr>
              <w:pStyle w:val="IRPsanstext"/>
              <w:spacing w:line="240" w:lineRule="auto"/>
              <w:jc w:val="center"/>
              <w:rPr>
                <w:rFonts w:cs="Arial"/>
                <w:b/>
                <w:color w:val="FFFFFF" w:themeColor="background1"/>
              </w:rPr>
            </w:pPr>
            <w:r w:rsidRPr="00B7222C">
              <w:rPr>
                <w:rFonts w:cs="Arial"/>
                <w:b/>
                <w:color w:val="FFFFFF" w:themeColor="background1"/>
              </w:rPr>
              <w:t>Bundle D (Base)</w:t>
            </w:r>
          </w:p>
        </w:tc>
        <w:tc>
          <w:tcPr>
            <w:tcW w:w="1350" w:type="dxa"/>
            <w:shd w:val="clear" w:color="auto" w:fill="15666F"/>
            <w:vAlign w:val="center"/>
          </w:tcPr>
          <w:p w14:paraId="30E96D21" w14:textId="77777777" w:rsidR="00AD0F38" w:rsidRPr="00B7222C" w:rsidRDefault="00AD0F38" w:rsidP="00B7222C">
            <w:pPr>
              <w:pStyle w:val="IRPsanstext"/>
              <w:spacing w:line="240" w:lineRule="auto"/>
              <w:jc w:val="center"/>
              <w:rPr>
                <w:rFonts w:cs="Arial"/>
                <w:b/>
                <w:color w:val="FFFFFF" w:themeColor="background1"/>
              </w:rPr>
            </w:pPr>
            <w:r w:rsidRPr="00B7222C">
              <w:rPr>
                <w:rFonts w:cs="Arial"/>
                <w:b/>
                <w:color w:val="FFFFFF" w:themeColor="background1"/>
              </w:rPr>
              <w:t>Bundle E</w:t>
            </w:r>
          </w:p>
        </w:tc>
        <w:tc>
          <w:tcPr>
            <w:tcW w:w="1350" w:type="dxa"/>
            <w:shd w:val="clear" w:color="auto" w:fill="15666F"/>
            <w:vAlign w:val="center"/>
          </w:tcPr>
          <w:p w14:paraId="060C6B20" w14:textId="77777777" w:rsidR="00AD0F38" w:rsidRPr="00B7222C" w:rsidRDefault="00AD0F38" w:rsidP="00B7222C">
            <w:pPr>
              <w:pStyle w:val="IRPsanstext"/>
              <w:spacing w:line="240" w:lineRule="auto"/>
              <w:jc w:val="center"/>
              <w:rPr>
                <w:rFonts w:cs="Arial"/>
                <w:b/>
                <w:color w:val="FFFFFF" w:themeColor="background1"/>
              </w:rPr>
            </w:pPr>
            <w:r w:rsidRPr="00B7222C">
              <w:rPr>
                <w:rFonts w:cs="Arial"/>
                <w:b/>
                <w:color w:val="FFFFFF" w:themeColor="background1"/>
              </w:rPr>
              <w:t>Bundle F</w:t>
            </w:r>
          </w:p>
        </w:tc>
        <w:tc>
          <w:tcPr>
            <w:tcW w:w="1350" w:type="dxa"/>
            <w:shd w:val="clear" w:color="auto" w:fill="15666F"/>
            <w:vAlign w:val="center"/>
          </w:tcPr>
          <w:p w14:paraId="25765FD3" w14:textId="77777777" w:rsidR="00AD0F38" w:rsidRPr="00B7222C" w:rsidRDefault="00AD0F38" w:rsidP="00B7222C">
            <w:pPr>
              <w:pStyle w:val="IRPsanstext"/>
              <w:spacing w:line="240" w:lineRule="auto"/>
              <w:jc w:val="center"/>
              <w:rPr>
                <w:rFonts w:cs="Arial"/>
                <w:b/>
                <w:color w:val="FFFFFF" w:themeColor="background1"/>
              </w:rPr>
            </w:pPr>
            <w:r w:rsidRPr="00B7222C">
              <w:rPr>
                <w:rFonts w:cs="Arial"/>
                <w:b/>
                <w:color w:val="FFFFFF" w:themeColor="background1"/>
              </w:rPr>
              <w:t>Bundle G</w:t>
            </w:r>
          </w:p>
        </w:tc>
      </w:tr>
      <w:tr w:rsidR="00F52DDC" w:rsidRPr="00C129D8" w14:paraId="691874C5" w14:textId="77777777">
        <w:trPr>
          <w:trHeight w:val="647"/>
        </w:trPr>
        <w:tc>
          <w:tcPr>
            <w:tcW w:w="3078" w:type="dxa"/>
            <w:vAlign w:val="center"/>
          </w:tcPr>
          <w:p w14:paraId="42F724C6" w14:textId="77777777" w:rsidR="00AD0F38" w:rsidRPr="00B7222C" w:rsidRDefault="00AD0F38" w:rsidP="00C129D8">
            <w:pPr>
              <w:pStyle w:val="IRPsanstext"/>
              <w:rPr>
                <w:rFonts w:cs="Arial"/>
              </w:rPr>
            </w:pPr>
            <w:r w:rsidRPr="00B7222C">
              <w:rPr>
                <w:rFonts w:cs="Arial"/>
              </w:rPr>
              <w:t>Base w/o DSR NPV Expected Cost</w:t>
            </w:r>
          </w:p>
        </w:tc>
        <w:tc>
          <w:tcPr>
            <w:tcW w:w="1530" w:type="dxa"/>
            <w:vAlign w:val="center"/>
          </w:tcPr>
          <w:p w14:paraId="1E4A96C6" w14:textId="77777777" w:rsidR="00AD0F38" w:rsidRPr="00B7222C" w:rsidRDefault="00AD0F38" w:rsidP="00D979B2">
            <w:pPr>
              <w:pStyle w:val="IRPsanstext"/>
              <w:jc w:val="right"/>
              <w:rPr>
                <w:rFonts w:cs="Arial"/>
                <w:highlight w:val="cyan"/>
              </w:rPr>
            </w:pPr>
            <w:r w:rsidRPr="00B7222C">
              <w:rPr>
                <w:rFonts w:cs="Arial"/>
              </w:rPr>
              <w:t>$12,339,055</w:t>
            </w:r>
          </w:p>
        </w:tc>
        <w:tc>
          <w:tcPr>
            <w:tcW w:w="1350" w:type="dxa"/>
            <w:vAlign w:val="center"/>
          </w:tcPr>
          <w:p w14:paraId="2E86F16A" w14:textId="77777777" w:rsidR="00AD0F38" w:rsidRPr="00B7222C" w:rsidRDefault="00AD0F38" w:rsidP="00D979B2">
            <w:pPr>
              <w:pStyle w:val="IRPsanstext"/>
              <w:jc w:val="right"/>
              <w:rPr>
                <w:rFonts w:cs="Arial"/>
                <w:highlight w:val="cyan"/>
              </w:rPr>
            </w:pPr>
            <w:r w:rsidRPr="00B7222C">
              <w:rPr>
                <w:rFonts w:cs="Arial"/>
              </w:rPr>
              <w:t>$12,339,055</w:t>
            </w:r>
          </w:p>
        </w:tc>
        <w:tc>
          <w:tcPr>
            <w:tcW w:w="1350" w:type="dxa"/>
            <w:vAlign w:val="center"/>
          </w:tcPr>
          <w:p w14:paraId="09E82DED" w14:textId="77777777" w:rsidR="00AD0F38" w:rsidRPr="00B7222C" w:rsidRDefault="00AD0F38" w:rsidP="00D979B2">
            <w:pPr>
              <w:pStyle w:val="IRPsanstext"/>
              <w:jc w:val="right"/>
              <w:rPr>
                <w:rFonts w:cs="Arial"/>
                <w:highlight w:val="cyan"/>
              </w:rPr>
            </w:pPr>
            <w:r w:rsidRPr="00B7222C">
              <w:rPr>
                <w:rFonts w:cs="Arial"/>
              </w:rPr>
              <w:t>$12,339,055</w:t>
            </w:r>
          </w:p>
        </w:tc>
        <w:tc>
          <w:tcPr>
            <w:tcW w:w="1350" w:type="dxa"/>
            <w:vAlign w:val="center"/>
          </w:tcPr>
          <w:p w14:paraId="2B369C57" w14:textId="77777777" w:rsidR="00AD0F38" w:rsidRPr="00B7222C" w:rsidRDefault="00AD0F38" w:rsidP="00D979B2">
            <w:pPr>
              <w:pStyle w:val="IRPsanstext"/>
              <w:jc w:val="right"/>
              <w:rPr>
                <w:rFonts w:cs="Arial"/>
                <w:highlight w:val="cyan"/>
              </w:rPr>
            </w:pPr>
            <w:r w:rsidRPr="00B7222C">
              <w:rPr>
                <w:rFonts w:cs="Arial"/>
              </w:rPr>
              <w:t>$12,339,055</w:t>
            </w:r>
          </w:p>
        </w:tc>
      </w:tr>
      <w:tr w:rsidR="00F52DDC" w:rsidRPr="00C129D8" w14:paraId="1924738B" w14:textId="77777777">
        <w:trPr>
          <w:trHeight w:val="611"/>
        </w:trPr>
        <w:tc>
          <w:tcPr>
            <w:tcW w:w="3078" w:type="dxa"/>
            <w:vAlign w:val="center"/>
          </w:tcPr>
          <w:p w14:paraId="6A448820" w14:textId="77777777" w:rsidR="00AD0F38" w:rsidRPr="00B7222C" w:rsidRDefault="00AD0F38" w:rsidP="00C129D8">
            <w:pPr>
              <w:pStyle w:val="IRPsanstext"/>
              <w:rPr>
                <w:rFonts w:cs="Arial"/>
              </w:rPr>
            </w:pPr>
            <w:r w:rsidRPr="00B7222C">
              <w:rPr>
                <w:rFonts w:cs="Arial"/>
              </w:rPr>
              <w:t>NPV Expected Cost</w:t>
            </w:r>
          </w:p>
        </w:tc>
        <w:tc>
          <w:tcPr>
            <w:tcW w:w="1530" w:type="dxa"/>
            <w:vAlign w:val="center"/>
          </w:tcPr>
          <w:p w14:paraId="6227164E" w14:textId="77777777" w:rsidR="00AD0F38" w:rsidRPr="00B7222C" w:rsidRDefault="00AD0F38" w:rsidP="00D979B2">
            <w:pPr>
              <w:pStyle w:val="IRPsanstext"/>
              <w:jc w:val="right"/>
              <w:rPr>
                <w:rFonts w:cs="Arial"/>
              </w:rPr>
            </w:pPr>
            <w:r w:rsidRPr="00B7222C">
              <w:rPr>
                <w:rFonts w:cs="Arial"/>
              </w:rPr>
              <w:t>$11,019,322</w:t>
            </w:r>
          </w:p>
        </w:tc>
        <w:tc>
          <w:tcPr>
            <w:tcW w:w="1350" w:type="dxa"/>
            <w:vAlign w:val="center"/>
          </w:tcPr>
          <w:p w14:paraId="108F90A5" w14:textId="77777777" w:rsidR="00AD0F38" w:rsidRPr="00B7222C" w:rsidRDefault="00AD0F38" w:rsidP="00D979B2">
            <w:pPr>
              <w:pStyle w:val="IRPsanstext"/>
              <w:jc w:val="right"/>
              <w:rPr>
                <w:rFonts w:cs="Arial"/>
              </w:rPr>
            </w:pPr>
            <w:r w:rsidRPr="00B7222C">
              <w:rPr>
                <w:rFonts w:cs="Arial"/>
              </w:rPr>
              <w:t>$11,077,321</w:t>
            </w:r>
          </w:p>
        </w:tc>
        <w:tc>
          <w:tcPr>
            <w:tcW w:w="1350" w:type="dxa"/>
            <w:vAlign w:val="center"/>
          </w:tcPr>
          <w:p w14:paraId="6EACC967" w14:textId="77777777" w:rsidR="00AD0F38" w:rsidRPr="00B7222C" w:rsidRDefault="00AD0F38" w:rsidP="00D979B2">
            <w:pPr>
              <w:pStyle w:val="IRPsanstext"/>
              <w:jc w:val="right"/>
              <w:rPr>
                <w:rFonts w:cs="Arial"/>
              </w:rPr>
            </w:pPr>
            <w:r w:rsidRPr="00B7222C">
              <w:rPr>
                <w:rFonts w:cs="Arial"/>
              </w:rPr>
              <w:t>$11,075,068</w:t>
            </w:r>
          </w:p>
        </w:tc>
        <w:tc>
          <w:tcPr>
            <w:tcW w:w="1350" w:type="dxa"/>
            <w:vAlign w:val="center"/>
          </w:tcPr>
          <w:p w14:paraId="75B76ED9" w14:textId="77777777" w:rsidR="00AD0F38" w:rsidRPr="00B7222C" w:rsidRDefault="00AD0F38" w:rsidP="00D979B2">
            <w:pPr>
              <w:pStyle w:val="IRPsanstext"/>
              <w:jc w:val="right"/>
              <w:rPr>
                <w:rFonts w:cs="Arial"/>
              </w:rPr>
            </w:pPr>
            <w:r w:rsidRPr="00B7222C">
              <w:rPr>
                <w:rFonts w:cs="Arial"/>
              </w:rPr>
              <w:t>$11,155,377</w:t>
            </w:r>
          </w:p>
        </w:tc>
      </w:tr>
      <w:tr w:rsidR="00F52DDC" w:rsidRPr="00C129D8" w14:paraId="10528FAA" w14:textId="77777777">
        <w:trPr>
          <w:trHeight w:val="521"/>
        </w:trPr>
        <w:tc>
          <w:tcPr>
            <w:tcW w:w="3078" w:type="dxa"/>
            <w:vAlign w:val="center"/>
          </w:tcPr>
          <w:p w14:paraId="267166F3" w14:textId="77777777" w:rsidR="00AD0F38" w:rsidRPr="00B7222C" w:rsidRDefault="00B7222C" w:rsidP="00C129D8">
            <w:pPr>
              <w:pStyle w:val="IRPsanstext"/>
              <w:rPr>
                <w:rFonts w:cs="Arial"/>
              </w:rPr>
            </w:pPr>
            <w:r>
              <w:rPr>
                <w:rFonts w:cs="Arial"/>
              </w:rPr>
              <w:t>NPV Incremental Cost</w:t>
            </w:r>
            <w:r w:rsidR="00AD0F38" w:rsidRPr="00B7222C">
              <w:rPr>
                <w:rFonts w:cs="Arial"/>
              </w:rPr>
              <w:t xml:space="preserve"> (</w:t>
            </w:r>
            <w:proofErr w:type="gramStart"/>
            <w:r w:rsidR="00AD0F38" w:rsidRPr="00B7222C">
              <w:rPr>
                <w:rFonts w:cs="Arial"/>
              </w:rPr>
              <w:t>Benefit)</w:t>
            </w:r>
            <w:r w:rsidR="00AD0F38" w:rsidRPr="00B7222C">
              <w:rPr>
                <w:rFonts w:cs="Arial"/>
                <w:vertAlign w:val="superscript"/>
              </w:rPr>
              <w:t>1</w:t>
            </w:r>
            <w:proofErr w:type="gramEnd"/>
          </w:p>
        </w:tc>
        <w:tc>
          <w:tcPr>
            <w:tcW w:w="1530" w:type="dxa"/>
            <w:vAlign w:val="center"/>
          </w:tcPr>
          <w:p w14:paraId="67874EBE" w14:textId="77777777" w:rsidR="00AD0F38" w:rsidRPr="00B7222C" w:rsidRDefault="00AD0F38" w:rsidP="00D979B2">
            <w:pPr>
              <w:pStyle w:val="IRPsanstext"/>
              <w:jc w:val="right"/>
              <w:rPr>
                <w:rFonts w:cs="Arial"/>
              </w:rPr>
            </w:pPr>
            <w:r w:rsidRPr="00B7222C">
              <w:rPr>
                <w:rFonts w:cs="Arial"/>
              </w:rPr>
              <w:t>($1,319,733)</w:t>
            </w:r>
          </w:p>
        </w:tc>
        <w:tc>
          <w:tcPr>
            <w:tcW w:w="1350" w:type="dxa"/>
            <w:vAlign w:val="center"/>
          </w:tcPr>
          <w:p w14:paraId="4CE4C064" w14:textId="77777777" w:rsidR="00AD0F38" w:rsidRPr="00B7222C" w:rsidRDefault="00AD0F38" w:rsidP="00D979B2">
            <w:pPr>
              <w:pStyle w:val="IRPsanstext"/>
              <w:jc w:val="right"/>
              <w:rPr>
                <w:rFonts w:cs="Arial"/>
              </w:rPr>
            </w:pPr>
            <w:r w:rsidRPr="00B7222C">
              <w:rPr>
                <w:rFonts w:cs="Arial"/>
              </w:rPr>
              <w:t>$58,000</w:t>
            </w:r>
          </w:p>
        </w:tc>
        <w:tc>
          <w:tcPr>
            <w:tcW w:w="1350" w:type="dxa"/>
            <w:vAlign w:val="center"/>
          </w:tcPr>
          <w:p w14:paraId="7EB58F58" w14:textId="77777777" w:rsidR="00AD0F38" w:rsidRPr="00B7222C" w:rsidRDefault="00AD0F38" w:rsidP="00D979B2">
            <w:pPr>
              <w:pStyle w:val="IRPsanstext"/>
              <w:jc w:val="right"/>
              <w:rPr>
                <w:rFonts w:cs="Arial"/>
              </w:rPr>
            </w:pPr>
            <w:r w:rsidRPr="00B7222C">
              <w:rPr>
                <w:rFonts w:cs="Arial"/>
              </w:rPr>
              <w:t>$55,747</w:t>
            </w:r>
          </w:p>
        </w:tc>
        <w:tc>
          <w:tcPr>
            <w:tcW w:w="1350" w:type="dxa"/>
            <w:vAlign w:val="center"/>
          </w:tcPr>
          <w:p w14:paraId="16492D11" w14:textId="77777777" w:rsidR="00AD0F38" w:rsidRPr="00B7222C" w:rsidRDefault="00AD0F38" w:rsidP="00D979B2">
            <w:pPr>
              <w:pStyle w:val="IRPsanstext"/>
              <w:jc w:val="right"/>
              <w:rPr>
                <w:rFonts w:cs="Arial"/>
              </w:rPr>
            </w:pPr>
            <w:r w:rsidRPr="00B7222C">
              <w:rPr>
                <w:rFonts w:cs="Arial"/>
              </w:rPr>
              <w:t>$136,055</w:t>
            </w:r>
          </w:p>
        </w:tc>
      </w:tr>
      <w:tr w:rsidR="00F52DDC" w:rsidRPr="00C129D8" w14:paraId="10F48E06" w14:textId="77777777">
        <w:trPr>
          <w:trHeight w:val="521"/>
        </w:trPr>
        <w:tc>
          <w:tcPr>
            <w:tcW w:w="3078" w:type="dxa"/>
            <w:vAlign w:val="center"/>
          </w:tcPr>
          <w:p w14:paraId="4A5E1FDC" w14:textId="77777777" w:rsidR="00AD0F38" w:rsidRPr="00B7222C" w:rsidRDefault="00AD0F38" w:rsidP="00C129D8">
            <w:pPr>
              <w:pStyle w:val="IRPsanstext"/>
              <w:rPr>
                <w:rFonts w:cs="Arial"/>
              </w:rPr>
            </w:pPr>
            <w:r w:rsidRPr="00B7222C">
              <w:rPr>
                <w:rFonts w:cs="Arial"/>
              </w:rPr>
              <w:t xml:space="preserve">NPV Incremental Emissions (Millions of </w:t>
            </w:r>
            <w:proofErr w:type="gramStart"/>
            <w:r w:rsidRPr="00B7222C">
              <w:rPr>
                <w:rFonts w:cs="Arial"/>
              </w:rPr>
              <w:t>Tons)</w:t>
            </w:r>
            <w:r w:rsidRPr="00B7222C">
              <w:rPr>
                <w:rFonts w:cs="Arial"/>
                <w:vertAlign w:val="superscript"/>
              </w:rPr>
              <w:t>1</w:t>
            </w:r>
            <w:proofErr w:type="gramEnd"/>
          </w:p>
        </w:tc>
        <w:tc>
          <w:tcPr>
            <w:tcW w:w="1530" w:type="dxa"/>
            <w:vAlign w:val="center"/>
          </w:tcPr>
          <w:p w14:paraId="17F9101E" w14:textId="77777777" w:rsidR="00AD0F38" w:rsidRPr="00B7222C" w:rsidRDefault="00AD0F38" w:rsidP="00D979B2">
            <w:pPr>
              <w:pStyle w:val="IRPsanstext"/>
              <w:jc w:val="right"/>
              <w:rPr>
                <w:rFonts w:cs="Arial"/>
              </w:rPr>
            </w:pPr>
            <w:r w:rsidRPr="00B7222C">
              <w:rPr>
                <w:rFonts w:cs="Arial"/>
              </w:rPr>
              <w:t>-6.52</w:t>
            </w:r>
          </w:p>
        </w:tc>
        <w:tc>
          <w:tcPr>
            <w:tcW w:w="1350" w:type="dxa"/>
            <w:vAlign w:val="center"/>
          </w:tcPr>
          <w:p w14:paraId="48EC1688" w14:textId="77777777" w:rsidR="00AD0F38" w:rsidRPr="00B7222C" w:rsidRDefault="00AD0F38" w:rsidP="00D979B2">
            <w:pPr>
              <w:pStyle w:val="IRPsanstext"/>
              <w:jc w:val="right"/>
              <w:rPr>
                <w:rFonts w:cs="Arial"/>
              </w:rPr>
            </w:pPr>
            <w:r w:rsidRPr="00B7222C">
              <w:rPr>
                <w:rFonts w:cs="Arial"/>
              </w:rPr>
              <w:t>-0.34</w:t>
            </w:r>
          </w:p>
        </w:tc>
        <w:tc>
          <w:tcPr>
            <w:tcW w:w="1350" w:type="dxa"/>
            <w:vAlign w:val="center"/>
          </w:tcPr>
          <w:p w14:paraId="24292BC3" w14:textId="77777777" w:rsidR="00AD0F38" w:rsidRPr="00B7222C" w:rsidRDefault="00AD0F38" w:rsidP="00D979B2">
            <w:pPr>
              <w:pStyle w:val="IRPsanstext"/>
              <w:jc w:val="right"/>
              <w:rPr>
                <w:rFonts w:cs="Arial"/>
              </w:rPr>
            </w:pPr>
            <w:r w:rsidRPr="00B7222C">
              <w:rPr>
                <w:rFonts w:cs="Arial"/>
              </w:rPr>
              <w:t>-0.43</w:t>
            </w:r>
          </w:p>
        </w:tc>
        <w:tc>
          <w:tcPr>
            <w:tcW w:w="1350" w:type="dxa"/>
            <w:vAlign w:val="center"/>
          </w:tcPr>
          <w:p w14:paraId="5A808ED6" w14:textId="77777777" w:rsidR="00AD0F38" w:rsidRPr="00B7222C" w:rsidRDefault="00AD0F38" w:rsidP="00D979B2">
            <w:pPr>
              <w:pStyle w:val="IRPsanstext"/>
              <w:jc w:val="right"/>
              <w:rPr>
                <w:rFonts w:cs="Arial"/>
              </w:rPr>
            </w:pPr>
            <w:r w:rsidRPr="00B7222C">
              <w:rPr>
                <w:rFonts w:cs="Arial"/>
              </w:rPr>
              <w:t>-0.95</w:t>
            </w:r>
          </w:p>
        </w:tc>
      </w:tr>
      <w:tr w:rsidR="00F52DDC" w:rsidRPr="00C129D8" w14:paraId="05A5EAF1" w14:textId="77777777">
        <w:trPr>
          <w:trHeight w:val="494"/>
        </w:trPr>
        <w:tc>
          <w:tcPr>
            <w:tcW w:w="3078" w:type="dxa"/>
            <w:vAlign w:val="center"/>
          </w:tcPr>
          <w:p w14:paraId="10F92D56" w14:textId="77777777" w:rsidR="00B7222C" w:rsidRDefault="00AD0F38" w:rsidP="00C129D8">
            <w:pPr>
              <w:pStyle w:val="IRPsanstext"/>
              <w:rPr>
                <w:rFonts w:cs="Arial"/>
              </w:rPr>
            </w:pPr>
            <w:r w:rsidRPr="00B7222C">
              <w:rPr>
                <w:rFonts w:cs="Arial"/>
              </w:rPr>
              <w:t xml:space="preserve">Incremental Cost (Benefit) </w:t>
            </w:r>
          </w:p>
          <w:p w14:paraId="424CF5B6" w14:textId="77777777" w:rsidR="00AD0F38" w:rsidRPr="00B7222C" w:rsidRDefault="00AD0F38" w:rsidP="00C129D8">
            <w:pPr>
              <w:pStyle w:val="IRPsanstext"/>
              <w:rPr>
                <w:rFonts w:cs="Arial"/>
              </w:rPr>
            </w:pPr>
            <w:r w:rsidRPr="00B7222C">
              <w:rPr>
                <w:rFonts w:cs="Arial"/>
              </w:rPr>
              <w:t xml:space="preserve">($ / </w:t>
            </w:r>
            <w:proofErr w:type="gramStart"/>
            <w:r w:rsidRPr="00B7222C">
              <w:rPr>
                <w:rFonts w:cs="Arial"/>
              </w:rPr>
              <w:t>Ton)</w:t>
            </w:r>
            <w:r w:rsidRPr="00B7222C">
              <w:rPr>
                <w:rFonts w:cs="Arial"/>
                <w:vertAlign w:val="superscript"/>
              </w:rPr>
              <w:t>1</w:t>
            </w:r>
            <w:proofErr w:type="gramEnd"/>
          </w:p>
        </w:tc>
        <w:tc>
          <w:tcPr>
            <w:tcW w:w="1530" w:type="dxa"/>
            <w:vAlign w:val="center"/>
          </w:tcPr>
          <w:p w14:paraId="1D7B2D2C" w14:textId="77777777" w:rsidR="00AD0F38" w:rsidRPr="00B7222C" w:rsidRDefault="00AD0F38" w:rsidP="00D979B2">
            <w:pPr>
              <w:pStyle w:val="IRPsanstext"/>
              <w:jc w:val="right"/>
              <w:rPr>
                <w:rFonts w:cs="Arial"/>
              </w:rPr>
            </w:pPr>
            <w:r w:rsidRPr="00B7222C">
              <w:rPr>
                <w:rFonts w:cs="Arial"/>
              </w:rPr>
              <w:t>($202)</w:t>
            </w:r>
          </w:p>
        </w:tc>
        <w:tc>
          <w:tcPr>
            <w:tcW w:w="1350" w:type="dxa"/>
            <w:vAlign w:val="center"/>
          </w:tcPr>
          <w:p w14:paraId="1980B399" w14:textId="77777777" w:rsidR="00AD0F38" w:rsidRPr="00B7222C" w:rsidRDefault="00AD0F38" w:rsidP="00D979B2">
            <w:pPr>
              <w:pStyle w:val="IRPsanstext"/>
              <w:jc w:val="right"/>
              <w:rPr>
                <w:rFonts w:cs="Arial"/>
              </w:rPr>
            </w:pPr>
            <w:r w:rsidRPr="00B7222C">
              <w:rPr>
                <w:rFonts w:cs="Arial"/>
              </w:rPr>
              <w:t>$173</w:t>
            </w:r>
          </w:p>
        </w:tc>
        <w:tc>
          <w:tcPr>
            <w:tcW w:w="1350" w:type="dxa"/>
            <w:vAlign w:val="center"/>
          </w:tcPr>
          <w:p w14:paraId="7976BA69" w14:textId="77777777" w:rsidR="00AD0F38" w:rsidRPr="00B7222C" w:rsidRDefault="00AD0F38" w:rsidP="00D979B2">
            <w:pPr>
              <w:pStyle w:val="IRPsanstext"/>
              <w:jc w:val="right"/>
              <w:rPr>
                <w:rFonts w:cs="Arial"/>
              </w:rPr>
            </w:pPr>
            <w:r w:rsidRPr="00B7222C">
              <w:rPr>
                <w:rFonts w:cs="Arial"/>
              </w:rPr>
              <w:t>$128</w:t>
            </w:r>
          </w:p>
        </w:tc>
        <w:tc>
          <w:tcPr>
            <w:tcW w:w="1350" w:type="dxa"/>
            <w:vAlign w:val="center"/>
          </w:tcPr>
          <w:p w14:paraId="5ADA596F" w14:textId="77777777" w:rsidR="00AD0F38" w:rsidRPr="00B7222C" w:rsidRDefault="00AD0F38" w:rsidP="00D979B2">
            <w:pPr>
              <w:pStyle w:val="IRPsanstext"/>
              <w:jc w:val="right"/>
              <w:rPr>
                <w:rFonts w:cs="Arial"/>
              </w:rPr>
            </w:pPr>
            <w:r w:rsidRPr="00B7222C">
              <w:rPr>
                <w:rFonts w:cs="Arial"/>
              </w:rPr>
              <w:t>$144</w:t>
            </w:r>
          </w:p>
        </w:tc>
      </w:tr>
    </w:tbl>
    <w:p w14:paraId="4932DD71" w14:textId="77777777" w:rsidR="00D979B2" w:rsidRDefault="00D979B2" w:rsidP="00D979B2">
      <w:pPr>
        <w:pStyle w:val="IRPfooter"/>
        <w:rPr>
          <w:sz w:val="18"/>
        </w:rPr>
      </w:pPr>
    </w:p>
    <w:p w14:paraId="3F66133D" w14:textId="77777777" w:rsidR="00D979B2" w:rsidRPr="00D979B2" w:rsidRDefault="00D32FB9" w:rsidP="00D979B2">
      <w:pPr>
        <w:pStyle w:val="IRPfooter"/>
        <w:rPr>
          <w:sz w:val="18"/>
        </w:rPr>
      </w:pPr>
      <w:r>
        <w:rPr>
          <w:sz w:val="18"/>
        </w:rPr>
        <w:t xml:space="preserve">NOTE: </w:t>
      </w:r>
      <w:r w:rsidR="00D979B2" w:rsidRPr="00D979B2">
        <w:rPr>
          <w:sz w:val="18"/>
        </w:rPr>
        <w:t>Bundle D is relative to Base Scenario without DSR; others are relative to Base Scenario with bundle D</w:t>
      </w:r>
      <w:r w:rsidR="00D979B2">
        <w:rPr>
          <w:sz w:val="18"/>
        </w:rPr>
        <w:t>.</w:t>
      </w:r>
    </w:p>
    <w:p w14:paraId="49FCE72C" w14:textId="77777777" w:rsidR="00AD0F38" w:rsidRPr="00C129D8" w:rsidRDefault="00AD0F38" w:rsidP="00C129D8">
      <w:pPr>
        <w:pStyle w:val="IRPsanstext"/>
        <w:rPr>
          <w:rFonts w:cs="Arial"/>
        </w:rPr>
      </w:pPr>
    </w:p>
    <w:p w14:paraId="063D5EED" w14:textId="77777777" w:rsidR="00AD0F38" w:rsidRPr="00C129D8" w:rsidRDefault="00AD0F38" w:rsidP="00C129D8">
      <w:pPr>
        <w:pStyle w:val="IRPsanstext"/>
        <w:rPr>
          <w:rFonts w:cs="Arial"/>
        </w:rPr>
      </w:pPr>
      <w:r w:rsidRPr="00C129D8">
        <w:rPr>
          <w:rFonts w:cs="Arial"/>
        </w:rPr>
        <w:t>DSR and wind resources affect emission rates, but to a much smaller extent than Colstrip or the Coal Transition PPA. Figure 6-</w:t>
      </w:r>
      <w:r w:rsidR="00855BD7">
        <w:rPr>
          <w:rFonts w:cs="Arial"/>
        </w:rPr>
        <w:t>52</w:t>
      </w:r>
      <w:r w:rsidRPr="00C129D8">
        <w:rPr>
          <w:rFonts w:cs="Arial"/>
        </w:rPr>
        <w:t xml:space="preserve"> illustrates the effect that additional DSR has on portfolio emission rates for the Base Scenario. By 2035, the DSR in the Base Scenario least-cost deterministic portfolio, which includes Bundle D, reduces CO</w:t>
      </w:r>
      <w:r w:rsidRPr="00C129D8">
        <w:rPr>
          <w:rFonts w:cs="Arial"/>
          <w:vertAlign w:val="subscript"/>
        </w:rPr>
        <w:t>2</w:t>
      </w:r>
      <w:r w:rsidRPr="00C129D8">
        <w:rPr>
          <w:rFonts w:cs="Arial"/>
        </w:rPr>
        <w:t xml:space="preserve"> emissions by 1.25 million tons annually, but this does not get the portfolio to 1990 levels. </w:t>
      </w:r>
    </w:p>
    <w:p w14:paraId="7B6F58B3" w14:textId="77777777" w:rsidR="00AD0F38" w:rsidRPr="00C129D8" w:rsidRDefault="00AD0F38" w:rsidP="00C129D8">
      <w:pPr>
        <w:pStyle w:val="IRPsanstext"/>
        <w:rPr>
          <w:rFonts w:cs="Arial"/>
        </w:rPr>
      </w:pPr>
    </w:p>
    <w:p w14:paraId="79AACA7A" w14:textId="77777777" w:rsidR="00F52DDC" w:rsidRDefault="00F52DDC">
      <w:pPr>
        <w:rPr>
          <w:rFonts w:ascii="Arial" w:hAnsi="Arial" w:cs="Arial"/>
          <w:sz w:val="20"/>
          <w:szCs w:val="20"/>
        </w:rPr>
      </w:pPr>
      <w:r>
        <w:rPr>
          <w:rFonts w:cs="Arial"/>
        </w:rPr>
        <w:br w:type="page"/>
      </w:r>
    </w:p>
    <w:p w14:paraId="2826A97A" w14:textId="77777777" w:rsidR="00AD0F38" w:rsidRPr="00C129D8" w:rsidRDefault="00AD0F38" w:rsidP="00F52DDC">
      <w:pPr>
        <w:pStyle w:val="IRPsanstext"/>
        <w:jc w:val="center"/>
        <w:rPr>
          <w:rFonts w:cs="Arial"/>
        </w:rPr>
      </w:pPr>
      <w:r w:rsidRPr="00F52DDC">
        <w:rPr>
          <w:rFonts w:cs="Arial"/>
          <w:i/>
        </w:rPr>
        <w:t>Figure 6-5</w:t>
      </w:r>
      <w:r w:rsidR="00855BD7">
        <w:rPr>
          <w:rFonts w:cs="Arial"/>
          <w:i/>
        </w:rPr>
        <w:t>2</w:t>
      </w:r>
      <w:r w:rsidRPr="00F52DDC">
        <w:rPr>
          <w:rFonts w:cs="Arial"/>
          <w:i/>
        </w:rPr>
        <w:t>: Emissions by Portfolio (Base refers to the least-cost, deterministic portfolio in the Base Scenario which includes Bundle D)</w:t>
      </w:r>
      <w:r w:rsidR="00F52DDC" w:rsidRPr="00C129D8">
        <w:rPr>
          <w:rFonts w:cs="Arial"/>
          <w:noProof/>
        </w:rPr>
        <w:t xml:space="preserve"> </w:t>
      </w:r>
    </w:p>
    <w:p w14:paraId="6E406A3C" w14:textId="77777777" w:rsidR="00AD0F38" w:rsidRPr="00C129D8" w:rsidRDefault="00030B29" w:rsidP="00C129D8">
      <w:pPr>
        <w:pStyle w:val="IRPsanstext"/>
        <w:rPr>
          <w:rFonts w:cs="Arial"/>
        </w:rPr>
      </w:pPr>
      <w:r w:rsidRPr="00C61579">
        <w:rPr>
          <w:noProof/>
          <w:lang w:eastAsia="en-US"/>
        </w:rPr>
        <w:drawing>
          <wp:anchor distT="0" distB="0" distL="114300" distR="114300" simplePos="0" relativeHeight="251666944" behindDoc="0" locked="0" layoutInCell="1" allowOverlap="1" wp14:anchorId="694929E9" wp14:editId="36D9B59F">
            <wp:simplePos x="0" y="0"/>
            <wp:positionH relativeFrom="column">
              <wp:posOffset>51435</wp:posOffset>
            </wp:positionH>
            <wp:positionV relativeFrom="paragraph">
              <wp:posOffset>162560</wp:posOffset>
            </wp:positionV>
            <wp:extent cx="5486400" cy="3968750"/>
            <wp:effectExtent l="0" t="0" r="0" b="0"/>
            <wp:wrapTopAndBottom/>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86400" cy="3968750"/>
                    </a:xfrm>
                    <a:prstGeom prst="rect">
                      <a:avLst/>
                    </a:prstGeom>
                    <a:noFill/>
                    <a:ln>
                      <a:noFill/>
                    </a:ln>
                  </pic:spPr>
                </pic:pic>
              </a:graphicData>
            </a:graphic>
          </wp:anchor>
        </w:drawing>
      </w:r>
    </w:p>
    <w:p w14:paraId="3838737D" w14:textId="77777777" w:rsidR="00AD0F38" w:rsidRPr="00C129D8" w:rsidRDefault="00AD0F38" w:rsidP="00C129D8">
      <w:pPr>
        <w:pStyle w:val="IRPsanstext"/>
        <w:rPr>
          <w:rFonts w:cs="Arial"/>
        </w:rPr>
      </w:pPr>
    </w:p>
    <w:p w14:paraId="68B34744" w14:textId="77777777" w:rsidR="00AD0F38" w:rsidRPr="00C129D8" w:rsidRDefault="00AD0F38" w:rsidP="00C129D8">
      <w:pPr>
        <w:pStyle w:val="IRPsanstext"/>
        <w:rPr>
          <w:rFonts w:cs="Arial"/>
        </w:rPr>
      </w:pPr>
    </w:p>
    <w:p w14:paraId="40C1F922" w14:textId="77777777" w:rsidR="00AD0F38" w:rsidRPr="00C129D8" w:rsidRDefault="00AD0F38" w:rsidP="00C129D8">
      <w:pPr>
        <w:pStyle w:val="IRPsanstext"/>
        <w:rPr>
          <w:rFonts w:cs="Arial"/>
        </w:rPr>
      </w:pPr>
    </w:p>
    <w:p w14:paraId="6C7F69BC" w14:textId="77777777" w:rsidR="00AD0F38" w:rsidRPr="00C129D8" w:rsidRDefault="00AD0F38" w:rsidP="00C129D8">
      <w:pPr>
        <w:pStyle w:val="IRPsanstext"/>
        <w:rPr>
          <w:rFonts w:cs="Arial"/>
        </w:rPr>
      </w:pPr>
    </w:p>
    <w:p w14:paraId="6F085013" w14:textId="77777777" w:rsidR="00A32941" w:rsidRDefault="00AD0F38" w:rsidP="004E5E60">
      <w:pPr>
        <w:pStyle w:val="IRPsanstext"/>
        <w:rPr>
          <w:rFonts w:cs="Arial"/>
        </w:rPr>
      </w:pPr>
      <w:r w:rsidRPr="00C129D8">
        <w:rPr>
          <w:rFonts w:cs="Arial"/>
        </w:rPr>
        <w:br w:type="page"/>
      </w:r>
    </w:p>
    <w:p w14:paraId="2CF4CFA1" w14:textId="77777777" w:rsidR="008727E6" w:rsidRDefault="004E5E60" w:rsidP="00294A3F">
      <w:pPr>
        <w:pStyle w:val="IRPsanstext"/>
        <w:rPr>
          <w:rFonts w:cs="Arial"/>
          <w:b/>
          <w:color w:val="156570"/>
          <w:sz w:val="32"/>
          <w:szCs w:val="32"/>
        </w:rPr>
      </w:pPr>
      <w:r>
        <w:rPr>
          <w:rFonts w:cs="Arial"/>
          <w:b/>
          <w:color w:val="156570"/>
          <w:sz w:val="32"/>
          <w:szCs w:val="32"/>
        </w:rPr>
        <w:t xml:space="preserve">CANDIDATE RESOURCE </w:t>
      </w:r>
      <w:r w:rsidR="00A33D5B">
        <w:rPr>
          <w:rFonts w:cs="Arial"/>
          <w:b/>
          <w:color w:val="156570"/>
          <w:sz w:val="32"/>
          <w:szCs w:val="32"/>
        </w:rPr>
        <w:t xml:space="preserve">STRATEGY </w:t>
      </w:r>
      <w:r>
        <w:rPr>
          <w:rFonts w:cs="Arial"/>
          <w:b/>
          <w:color w:val="156570"/>
          <w:sz w:val="32"/>
          <w:szCs w:val="32"/>
        </w:rPr>
        <w:t>RESULTS</w:t>
      </w:r>
      <w:r w:rsidR="008727E6">
        <w:rPr>
          <w:rFonts w:cs="Arial"/>
          <w:b/>
          <w:color w:val="156570"/>
          <w:sz w:val="32"/>
          <w:szCs w:val="32"/>
        </w:rPr>
        <w:t xml:space="preserve"> </w:t>
      </w:r>
      <w:r w:rsidR="00367AB0">
        <w:rPr>
          <w:rFonts w:cs="Arial"/>
          <w:b/>
          <w:color w:val="156570"/>
          <w:sz w:val="32"/>
          <w:szCs w:val="32"/>
        </w:rPr>
        <w:t xml:space="preserve"> </w:t>
      </w:r>
    </w:p>
    <w:p w14:paraId="46CE2E87" w14:textId="77777777" w:rsidR="00367AB0" w:rsidRPr="008727E6" w:rsidRDefault="008727E6" w:rsidP="00294A3F">
      <w:pPr>
        <w:pStyle w:val="IRPsanstext"/>
        <w:rPr>
          <w:rFonts w:cs="Arial"/>
          <w:b/>
          <w:caps/>
          <w:color w:val="156570"/>
          <w:sz w:val="32"/>
          <w:szCs w:val="32"/>
        </w:rPr>
      </w:pPr>
      <w:r w:rsidRPr="008727E6">
        <w:rPr>
          <w:rFonts w:cs="Arial"/>
          <w:b/>
          <w:caps/>
          <w:color w:val="156570"/>
          <w:sz w:val="32"/>
          <w:szCs w:val="32"/>
        </w:rPr>
        <w:t>(</w:t>
      </w:r>
      <w:r w:rsidR="00367AB0" w:rsidRPr="008727E6">
        <w:rPr>
          <w:rFonts w:cs="Arial"/>
          <w:b/>
          <w:caps/>
          <w:color w:val="156570"/>
          <w:sz w:val="32"/>
          <w:szCs w:val="32"/>
        </w:rPr>
        <w:t>2015 Planning Standard</w:t>
      </w:r>
      <w:r w:rsidRPr="008727E6">
        <w:rPr>
          <w:rFonts w:cs="Arial"/>
          <w:b/>
          <w:caps/>
          <w:color w:val="156570"/>
          <w:sz w:val="32"/>
          <w:szCs w:val="32"/>
        </w:rPr>
        <w:t>)</w:t>
      </w:r>
    </w:p>
    <w:p w14:paraId="6EDBBF1E" w14:textId="77777777" w:rsidR="004E5E60" w:rsidRPr="004E5E60" w:rsidRDefault="004E5E60" w:rsidP="004E5E60">
      <w:pPr>
        <w:pStyle w:val="IRPsanstext"/>
        <w:rPr>
          <w:rFonts w:cs="Arial"/>
        </w:rPr>
      </w:pPr>
    </w:p>
    <w:p w14:paraId="7F3FC613" w14:textId="77777777" w:rsidR="00AD0F38" w:rsidRPr="004E5E60" w:rsidRDefault="00AD0F38" w:rsidP="004E5E60">
      <w:pPr>
        <w:pStyle w:val="IRPsanstext"/>
        <w:rPr>
          <w:rFonts w:cs="Arial"/>
        </w:rPr>
      </w:pPr>
      <w:r w:rsidRPr="004E5E60">
        <w:rPr>
          <w:rFonts w:cs="Arial"/>
        </w:rPr>
        <w:t xml:space="preserve">As part of the 2015 IRP, we developed candidate resource </w:t>
      </w:r>
      <w:r w:rsidR="00A33D5B">
        <w:rPr>
          <w:rFonts w:cs="Arial"/>
        </w:rPr>
        <w:t>strategies</w:t>
      </w:r>
      <w:r w:rsidR="00A33D5B" w:rsidRPr="004E5E60">
        <w:rPr>
          <w:rFonts w:cs="Arial"/>
        </w:rPr>
        <w:t xml:space="preserve"> </w:t>
      </w:r>
      <w:r w:rsidRPr="004E5E60">
        <w:rPr>
          <w:rFonts w:cs="Arial"/>
        </w:rPr>
        <w:t xml:space="preserve">to test </w:t>
      </w:r>
      <w:r w:rsidR="00A33D5B">
        <w:rPr>
          <w:rFonts w:cs="Arial"/>
        </w:rPr>
        <w:t>different configurations of gas-fired resources and wind.</w:t>
      </w:r>
      <w:r w:rsidRPr="004E5E60">
        <w:rPr>
          <w:rFonts w:cs="Arial"/>
        </w:rPr>
        <w:t xml:space="preserve"> </w:t>
      </w:r>
    </w:p>
    <w:p w14:paraId="4C9EC18F" w14:textId="77777777" w:rsidR="00AD0F38" w:rsidRPr="004E5E60" w:rsidRDefault="00AD0F38" w:rsidP="004E5E60">
      <w:pPr>
        <w:pStyle w:val="IRPsanstext"/>
        <w:rPr>
          <w:rFonts w:cs="Arial"/>
        </w:rPr>
      </w:pPr>
    </w:p>
    <w:p w14:paraId="01747221" w14:textId="77777777" w:rsidR="00AD0F38" w:rsidRPr="004E5E60" w:rsidRDefault="00AD0F38" w:rsidP="004E5E60">
      <w:pPr>
        <w:pStyle w:val="IRPsanstext"/>
        <w:rPr>
          <w:rFonts w:cs="Arial"/>
          <w:sz w:val="32"/>
          <w:szCs w:val="32"/>
        </w:rPr>
      </w:pPr>
      <w:r w:rsidRPr="004E5E60">
        <w:rPr>
          <w:rFonts w:cs="Arial"/>
          <w:sz w:val="32"/>
          <w:szCs w:val="32"/>
        </w:rPr>
        <w:t>Summary of Deterministic Analysis</w:t>
      </w:r>
    </w:p>
    <w:p w14:paraId="6B4B1408" w14:textId="77777777" w:rsidR="00AD0F38" w:rsidRPr="004E5E60" w:rsidRDefault="00AD0F38" w:rsidP="004E5E60">
      <w:pPr>
        <w:pStyle w:val="IRPsanstext"/>
        <w:rPr>
          <w:rFonts w:cs="Arial"/>
        </w:rPr>
      </w:pPr>
    </w:p>
    <w:p w14:paraId="3A4C7204" w14:textId="77777777" w:rsidR="00AD0F38" w:rsidRPr="004E5E60" w:rsidRDefault="00AD0F38" w:rsidP="004E5E60">
      <w:pPr>
        <w:pStyle w:val="IRPsanstext"/>
        <w:rPr>
          <w:rFonts w:cs="Arial"/>
        </w:rPr>
      </w:pPr>
      <w:r w:rsidRPr="004E5E60">
        <w:rPr>
          <w:rFonts w:cs="Arial"/>
        </w:rPr>
        <w:t>Figure</w:t>
      </w:r>
      <w:r w:rsidR="0064621A">
        <w:rPr>
          <w:rFonts w:cs="Arial"/>
        </w:rPr>
        <w:t xml:space="preserve"> 6-5</w:t>
      </w:r>
      <w:r w:rsidR="00855BD7">
        <w:rPr>
          <w:rFonts w:cs="Arial"/>
        </w:rPr>
        <w:t>3</w:t>
      </w:r>
      <w:r w:rsidRPr="004E5E60">
        <w:rPr>
          <w:rFonts w:cs="Arial"/>
        </w:rPr>
        <w:t xml:space="preserve"> below displays the megawatt additions for the deterministic analysis least-cost portfolios for all </w:t>
      </w:r>
      <w:r w:rsidR="00C343F5">
        <w:rPr>
          <w:rFonts w:cs="Arial"/>
        </w:rPr>
        <w:t>of the candidate strategies</w:t>
      </w:r>
      <w:r w:rsidRPr="004E5E60">
        <w:rPr>
          <w:rFonts w:cs="Arial"/>
        </w:rPr>
        <w:t xml:space="preserve"> in 2021, 2026 and 2035. See Appendix N, Electric Analysis, for more detailed information. </w:t>
      </w:r>
    </w:p>
    <w:p w14:paraId="21BED341" w14:textId="77777777" w:rsidR="00AD0F38" w:rsidRPr="004E5E60" w:rsidRDefault="00AD0F38" w:rsidP="004E5E60">
      <w:pPr>
        <w:pStyle w:val="IRPsanstext"/>
        <w:rPr>
          <w:rFonts w:cs="Arial"/>
        </w:rPr>
      </w:pPr>
    </w:p>
    <w:p w14:paraId="30BB2940" w14:textId="77777777" w:rsidR="00AD0F38" w:rsidRPr="004E5E60" w:rsidRDefault="00AD0F38" w:rsidP="004E5E60">
      <w:pPr>
        <w:pStyle w:val="IRPsanstext"/>
        <w:jc w:val="center"/>
        <w:rPr>
          <w:rFonts w:cs="Arial"/>
          <w:i/>
        </w:rPr>
      </w:pPr>
      <w:r w:rsidRPr="004E5E60">
        <w:rPr>
          <w:rFonts w:cs="Arial"/>
          <w:i/>
        </w:rPr>
        <w:t>Figure 6-5</w:t>
      </w:r>
      <w:r w:rsidR="00855BD7">
        <w:rPr>
          <w:rFonts w:cs="Arial"/>
          <w:i/>
        </w:rPr>
        <w:t>3</w:t>
      </w:r>
      <w:r w:rsidRPr="004E5E60">
        <w:rPr>
          <w:rFonts w:cs="Arial"/>
          <w:i/>
        </w:rPr>
        <w:t>: Resource Builds by Scenario, Cumulative Additions by Nameplate (MW)</w:t>
      </w:r>
    </w:p>
    <w:p w14:paraId="172A3E6A" w14:textId="77777777" w:rsidR="00AD0F38" w:rsidRPr="004E5E60" w:rsidRDefault="00922349" w:rsidP="004E5E60">
      <w:pPr>
        <w:pStyle w:val="IRPsanstext"/>
        <w:rPr>
          <w:rFonts w:cs="Arial"/>
        </w:rPr>
      </w:pPr>
      <w:r w:rsidRPr="00922349">
        <w:rPr>
          <w:noProof/>
          <w:lang w:eastAsia="en-US"/>
        </w:rPr>
        <w:drawing>
          <wp:anchor distT="0" distB="0" distL="114300" distR="114300" simplePos="0" relativeHeight="251656704" behindDoc="0" locked="0" layoutInCell="1" allowOverlap="1" wp14:anchorId="591976C4" wp14:editId="40EE2D85">
            <wp:simplePos x="0" y="0"/>
            <wp:positionH relativeFrom="column">
              <wp:posOffset>-53340</wp:posOffset>
            </wp:positionH>
            <wp:positionV relativeFrom="paragraph">
              <wp:posOffset>78740</wp:posOffset>
            </wp:positionV>
            <wp:extent cx="5486400" cy="3965575"/>
            <wp:effectExtent l="0" t="0" r="0" b="0"/>
            <wp:wrapTopAndBottom/>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86400" cy="3965575"/>
                    </a:xfrm>
                    <a:prstGeom prst="rect">
                      <a:avLst/>
                    </a:prstGeom>
                    <a:noFill/>
                    <a:ln>
                      <a:noFill/>
                    </a:ln>
                  </pic:spPr>
                </pic:pic>
              </a:graphicData>
            </a:graphic>
          </wp:anchor>
        </w:drawing>
      </w:r>
    </w:p>
    <w:p w14:paraId="4AA92AE5" w14:textId="77777777" w:rsidR="00AD0F38" w:rsidRPr="004E5E60" w:rsidRDefault="00AD0F38" w:rsidP="004E5E60">
      <w:pPr>
        <w:pStyle w:val="IRPsanstext"/>
        <w:rPr>
          <w:rFonts w:cs="Arial"/>
          <w:sz w:val="32"/>
          <w:szCs w:val="32"/>
        </w:rPr>
      </w:pPr>
      <w:r w:rsidRPr="004E5E60">
        <w:rPr>
          <w:rFonts w:cs="Arial"/>
        </w:rPr>
        <w:br w:type="page"/>
      </w:r>
      <w:r w:rsidRPr="004E5E60">
        <w:rPr>
          <w:rFonts w:cs="Arial"/>
          <w:sz w:val="32"/>
          <w:szCs w:val="32"/>
        </w:rPr>
        <w:t>Summary of Stochastic Analysis</w:t>
      </w:r>
    </w:p>
    <w:p w14:paraId="56DF6A7B" w14:textId="77777777" w:rsidR="00AD0F38" w:rsidRPr="004E5E60" w:rsidRDefault="00AD0F38" w:rsidP="004E5E60">
      <w:pPr>
        <w:pStyle w:val="IRPsanstext"/>
        <w:rPr>
          <w:rFonts w:cs="Arial"/>
        </w:rPr>
      </w:pPr>
    </w:p>
    <w:p w14:paraId="5404E1F9" w14:textId="77777777" w:rsidR="00AD0F38" w:rsidRPr="004E5E60" w:rsidRDefault="00AD0F38" w:rsidP="004E5E60">
      <w:pPr>
        <w:pStyle w:val="IRPsanstext"/>
        <w:rPr>
          <w:rFonts w:cs="Arial"/>
        </w:rPr>
      </w:pPr>
      <w:r w:rsidRPr="004E5E60">
        <w:rPr>
          <w:rFonts w:cs="Arial"/>
        </w:rPr>
        <w:t xml:space="preserve">All </w:t>
      </w:r>
      <w:proofErr w:type="gramStart"/>
      <w:r w:rsidRPr="004E5E60">
        <w:rPr>
          <w:rFonts w:cs="Arial"/>
        </w:rPr>
        <w:t>six candidate</w:t>
      </w:r>
      <w:proofErr w:type="gramEnd"/>
      <w:r w:rsidRPr="004E5E60">
        <w:rPr>
          <w:rFonts w:cs="Arial"/>
        </w:rPr>
        <w:t xml:space="preserve"> portfolio options were tested in the stoc</w:t>
      </w:r>
      <w:r w:rsidR="00855BD7">
        <w:rPr>
          <w:rFonts w:cs="Arial"/>
        </w:rPr>
        <w:t>hastic analysis.  In F</w:t>
      </w:r>
      <w:r w:rsidR="0064621A">
        <w:rPr>
          <w:rFonts w:cs="Arial"/>
        </w:rPr>
        <w:t>igure 6-5</w:t>
      </w:r>
      <w:r w:rsidR="00855BD7">
        <w:rPr>
          <w:rFonts w:cs="Arial"/>
        </w:rPr>
        <w:t>4</w:t>
      </w:r>
      <w:r w:rsidRPr="004E5E60">
        <w:rPr>
          <w:rFonts w:cs="Arial"/>
        </w:rPr>
        <w:t xml:space="preserve"> below, the all frame </w:t>
      </w:r>
      <w:proofErr w:type="spellStart"/>
      <w:r w:rsidRPr="004E5E60">
        <w:rPr>
          <w:rFonts w:cs="Arial"/>
        </w:rPr>
        <w:t>peaker</w:t>
      </w:r>
      <w:proofErr w:type="spellEnd"/>
      <w:r w:rsidRPr="004E5E60">
        <w:rPr>
          <w:rFonts w:cs="Arial"/>
        </w:rPr>
        <w:t xml:space="preserve"> is the lowest-cost portfolio in the </w:t>
      </w:r>
      <w:r w:rsidR="00A33D5B">
        <w:rPr>
          <w:rFonts w:cs="Arial"/>
        </w:rPr>
        <w:t>B</w:t>
      </w:r>
      <w:r w:rsidRPr="004E5E60">
        <w:rPr>
          <w:rFonts w:cs="Arial"/>
        </w:rPr>
        <w:t xml:space="preserve">ase </w:t>
      </w:r>
      <w:r w:rsidR="00A33D5B">
        <w:rPr>
          <w:rFonts w:cs="Arial"/>
        </w:rPr>
        <w:t>S</w:t>
      </w:r>
      <w:r w:rsidRPr="004E5E60">
        <w:rPr>
          <w:rFonts w:cs="Arial"/>
        </w:rPr>
        <w:t xml:space="preserve">cenario, but since the stochastic analysis takes into account many different futures we see that the mean of frame </w:t>
      </w:r>
      <w:proofErr w:type="spellStart"/>
      <w:r w:rsidRPr="004E5E60">
        <w:rPr>
          <w:rFonts w:cs="Arial"/>
        </w:rPr>
        <w:t>peaker</w:t>
      </w:r>
      <w:proofErr w:type="spellEnd"/>
      <w:r w:rsidRPr="004E5E60">
        <w:rPr>
          <w:rFonts w:cs="Arial"/>
        </w:rPr>
        <w:t xml:space="preserve"> portfolio is actually higher cost than the all CCCT and mix of CCCT and frame </w:t>
      </w:r>
      <w:proofErr w:type="spellStart"/>
      <w:r w:rsidRPr="004E5E60">
        <w:rPr>
          <w:rFonts w:cs="Arial"/>
        </w:rPr>
        <w:t>peaker</w:t>
      </w:r>
      <w:proofErr w:type="spellEnd"/>
      <w:r w:rsidRPr="004E5E60">
        <w:rPr>
          <w:rFonts w:cs="Arial"/>
        </w:rPr>
        <w:t xml:space="preserve"> portfolio.</w:t>
      </w:r>
    </w:p>
    <w:p w14:paraId="5A5DFFDF" w14:textId="77777777" w:rsidR="004E5E60" w:rsidRDefault="004E5E60" w:rsidP="004E5E60">
      <w:pPr>
        <w:pStyle w:val="IRPsanstext"/>
        <w:rPr>
          <w:rFonts w:cs="Arial"/>
        </w:rPr>
      </w:pPr>
    </w:p>
    <w:p w14:paraId="632DF5DC" w14:textId="77777777" w:rsidR="004E5E60" w:rsidRPr="004E5E60" w:rsidRDefault="00AD0F38" w:rsidP="004E5E60">
      <w:pPr>
        <w:pStyle w:val="IRPsanstext"/>
        <w:spacing w:after="120"/>
        <w:jc w:val="center"/>
        <w:rPr>
          <w:rFonts w:cs="Arial"/>
          <w:i/>
        </w:rPr>
      </w:pPr>
      <w:r w:rsidRPr="004E5E60">
        <w:rPr>
          <w:rFonts w:cs="Arial"/>
          <w:i/>
        </w:rPr>
        <w:t>Figure 6-5</w:t>
      </w:r>
      <w:r w:rsidR="00855BD7">
        <w:rPr>
          <w:rFonts w:cs="Arial"/>
          <w:i/>
        </w:rPr>
        <w:t>4</w:t>
      </w:r>
      <w:r w:rsidRPr="004E5E60">
        <w:rPr>
          <w:rFonts w:cs="Arial"/>
          <w:i/>
        </w:rPr>
        <w:t>: Results of Stochastic Analysis</w:t>
      </w:r>
    </w:p>
    <w:tbl>
      <w:tblPr>
        <w:tblW w:w="85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5"/>
        <w:gridCol w:w="1170"/>
        <w:gridCol w:w="1080"/>
        <w:gridCol w:w="900"/>
        <w:gridCol w:w="1080"/>
        <w:gridCol w:w="870"/>
        <w:gridCol w:w="1020"/>
      </w:tblGrid>
      <w:tr w:rsidR="00DC1A9D" w:rsidRPr="004E5E60" w14:paraId="562F60B8" w14:textId="77777777">
        <w:trPr>
          <w:trHeight w:val="737"/>
        </w:trPr>
        <w:tc>
          <w:tcPr>
            <w:tcW w:w="2445" w:type="dxa"/>
            <w:shd w:val="clear" w:color="000000" w:fill="31869B"/>
            <w:vAlign w:val="center"/>
          </w:tcPr>
          <w:p w14:paraId="753DEFAE" w14:textId="77777777" w:rsidR="00DC1A9D" w:rsidRPr="00E777D9" w:rsidRDefault="00DC1A9D" w:rsidP="00415B12">
            <w:pPr>
              <w:pStyle w:val="IRPsanstext"/>
              <w:spacing w:before="120" w:after="120" w:line="240" w:lineRule="auto"/>
              <w:rPr>
                <w:b/>
                <w:color w:val="FFFFFF"/>
                <w:sz w:val="16"/>
              </w:rPr>
            </w:pPr>
            <w:r w:rsidRPr="00E777D9">
              <w:rPr>
                <w:b/>
                <w:color w:val="FFFFFF"/>
                <w:sz w:val="16"/>
              </w:rPr>
              <w:t>NPV ($Millions)</w:t>
            </w:r>
          </w:p>
        </w:tc>
        <w:tc>
          <w:tcPr>
            <w:tcW w:w="1170" w:type="dxa"/>
            <w:shd w:val="clear" w:color="000000" w:fill="31869B"/>
            <w:vAlign w:val="center"/>
          </w:tcPr>
          <w:p w14:paraId="6420E297" w14:textId="77777777" w:rsidR="00DC1A9D" w:rsidRPr="00E777D9" w:rsidRDefault="00DC1A9D" w:rsidP="00415B12">
            <w:pPr>
              <w:pStyle w:val="IRPsanstext"/>
              <w:spacing w:before="120" w:after="120" w:line="240" w:lineRule="auto"/>
              <w:jc w:val="center"/>
              <w:rPr>
                <w:b/>
                <w:color w:val="FFFFFF"/>
                <w:sz w:val="16"/>
              </w:rPr>
            </w:pPr>
            <w:r w:rsidRPr="00E777D9">
              <w:rPr>
                <w:b/>
                <w:color w:val="FFFFFF"/>
                <w:sz w:val="16"/>
              </w:rPr>
              <w:t xml:space="preserve">Base </w:t>
            </w:r>
            <w:r w:rsidRPr="00C241A5">
              <w:rPr>
                <w:b/>
                <w:color w:val="FFFFFF"/>
                <w:spacing w:val="-4"/>
                <w:sz w:val="15"/>
              </w:rPr>
              <w:t>Deterministic</w:t>
            </w:r>
            <w:r w:rsidRPr="00C241A5">
              <w:rPr>
                <w:b/>
                <w:color w:val="FFFFFF"/>
                <w:sz w:val="15"/>
              </w:rPr>
              <w:t xml:space="preserve"> </w:t>
            </w:r>
            <w:r w:rsidRPr="00E777D9">
              <w:rPr>
                <w:b/>
                <w:color w:val="FFFFFF"/>
                <w:sz w:val="16"/>
              </w:rPr>
              <w:t>Portfolio Cost</w:t>
            </w:r>
          </w:p>
        </w:tc>
        <w:tc>
          <w:tcPr>
            <w:tcW w:w="1080" w:type="dxa"/>
            <w:shd w:val="clear" w:color="000000" w:fill="31869B"/>
            <w:vAlign w:val="center"/>
          </w:tcPr>
          <w:p w14:paraId="5CA1A8C6" w14:textId="77777777" w:rsidR="00DC1A9D" w:rsidRPr="00E777D9" w:rsidRDefault="00DC1A9D" w:rsidP="00415B12">
            <w:pPr>
              <w:pStyle w:val="IRPsanstext"/>
              <w:spacing w:before="120" w:after="120" w:line="240" w:lineRule="auto"/>
              <w:jc w:val="center"/>
              <w:rPr>
                <w:b/>
                <w:color w:val="FFFFFF"/>
                <w:sz w:val="16"/>
              </w:rPr>
            </w:pPr>
            <w:r w:rsidRPr="00E777D9">
              <w:rPr>
                <w:b/>
                <w:color w:val="FFFFFF"/>
                <w:sz w:val="16"/>
              </w:rPr>
              <w:t>Difference from Base</w:t>
            </w:r>
          </w:p>
        </w:tc>
        <w:tc>
          <w:tcPr>
            <w:tcW w:w="900" w:type="dxa"/>
            <w:shd w:val="clear" w:color="000000" w:fill="31869B"/>
            <w:vAlign w:val="center"/>
          </w:tcPr>
          <w:p w14:paraId="40D49FAD" w14:textId="77777777" w:rsidR="00DC1A9D" w:rsidRPr="00E777D9" w:rsidRDefault="00DC1A9D" w:rsidP="00415B12">
            <w:pPr>
              <w:pStyle w:val="IRPsanstext"/>
              <w:spacing w:before="120" w:after="120" w:line="240" w:lineRule="auto"/>
              <w:jc w:val="center"/>
              <w:rPr>
                <w:b/>
                <w:color w:val="FFFFFF"/>
                <w:sz w:val="16"/>
              </w:rPr>
            </w:pPr>
            <w:r w:rsidRPr="00E777D9">
              <w:rPr>
                <w:b/>
                <w:color w:val="FFFFFF"/>
                <w:sz w:val="16"/>
              </w:rPr>
              <w:t>Mean</w:t>
            </w:r>
          </w:p>
        </w:tc>
        <w:tc>
          <w:tcPr>
            <w:tcW w:w="1080" w:type="dxa"/>
            <w:shd w:val="clear" w:color="000000" w:fill="31869B"/>
            <w:vAlign w:val="center"/>
          </w:tcPr>
          <w:p w14:paraId="37FE9155" w14:textId="77777777" w:rsidR="00DC1A9D" w:rsidRPr="00E777D9" w:rsidRDefault="00DC1A9D" w:rsidP="00415B12">
            <w:pPr>
              <w:pStyle w:val="IRPsanstext"/>
              <w:spacing w:before="120" w:after="120" w:line="240" w:lineRule="auto"/>
              <w:jc w:val="center"/>
              <w:rPr>
                <w:b/>
                <w:color w:val="FFFFFF"/>
                <w:sz w:val="16"/>
              </w:rPr>
            </w:pPr>
            <w:r w:rsidRPr="00E777D9">
              <w:rPr>
                <w:b/>
                <w:color w:val="FFFFFF"/>
                <w:sz w:val="16"/>
              </w:rPr>
              <w:t>Difference from Base</w:t>
            </w:r>
          </w:p>
        </w:tc>
        <w:tc>
          <w:tcPr>
            <w:tcW w:w="870" w:type="dxa"/>
            <w:shd w:val="clear" w:color="000000" w:fill="31869B"/>
            <w:vAlign w:val="center"/>
          </w:tcPr>
          <w:p w14:paraId="3C1A296B" w14:textId="77777777" w:rsidR="00DC1A9D" w:rsidRPr="00E777D9" w:rsidRDefault="00DC1A9D" w:rsidP="00415B12">
            <w:pPr>
              <w:pStyle w:val="IRPsanstext"/>
              <w:spacing w:before="120" w:after="120" w:line="240" w:lineRule="auto"/>
              <w:jc w:val="center"/>
              <w:rPr>
                <w:b/>
                <w:color w:val="FFFFFF"/>
                <w:sz w:val="16"/>
              </w:rPr>
            </w:pPr>
            <w:r w:rsidRPr="00E777D9">
              <w:rPr>
                <w:b/>
                <w:color w:val="FFFFFF"/>
                <w:sz w:val="16"/>
              </w:rPr>
              <w:t>TVar90</w:t>
            </w:r>
          </w:p>
        </w:tc>
        <w:tc>
          <w:tcPr>
            <w:tcW w:w="1020" w:type="dxa"/>
            <w:shd w:val="clear" w:color="000000" w:fill="31869B"/>
            <w:vAlign w:val="center"/>
          </w:tcPr>
          <w:p w14:paraId="52B3C8E8" w14:textId="77777777" w:rsidR="00DC1A9D" w:rsidRPr="00E777D9" w:rsidRDefault="00DC1A9D" w:rsidP="00415B12">
            <w:pPr>
              <w:pStyle w:val="IRPsanstext"/>
              <w:spacing w:before="120" w:after="120" w:line="240" w:lineRule="auto"/>
              <w:jc w:val="center"/>
              <w:rPr>
                <w:b/>
                <w:color w:val="FFFFFF"/>
                <w:sz w:val="16"/>
              </w:rPr>
            </w:pPr>
            <w:r w:rsidRPr="00E777D9">
              <w:rPr>
                <w:b/>
                <w:color w:val="FFFFFF"/>
                <w:sz w:val="16"/>
              </w:rPr>
              <w:t>Difference from Base</w:t>
            </w:r>
          </w:p>
        </w:tc>
      </w:tr>
      <w:tr w:rsidR="00DC1A9D" w:rsidRPr="004E5E60" w14:paraId="5DD01A0A" w14:textId="77777777">
        <w:trPr>
          <w:trHeight w:val="276"/>
        </w:trPr>
        <w:tc>
          <w:tcPr>
            <w:tcW w:w="2445" w:type="dxa"/>
            <w:shd w:val="clear" w:color="auto" w:fill="auto"/>
            <w:vAlign w:val="center"/>
          </w:tcPr>
          <w:p w14:paraId="729E5705" w14:textId="77777777" w:rsidR="00DC1A9D" w:rsidRPr="001A7102" w:rsidRDefault="00DC1A9D" w:rsidP="00415B12">
            <w:pPr>
              <w:pStyle w:val="IRPsanstext"/>
              <w:spacing w:before="120" w:after="120" w:line="240" w:lineRule="auto"/>
              <w:rPr>
                <w:color w:val="000000"/>
                <w:sz w:val="16"/>
                <w:szCs w:val="16"/>
              </w:rPr>
            </w:pPr>
            <w:r w:rsidRPr="001A7102">
              <w:rPr>
                <w:color w:val="000000"/>
                <w:sz w:val="16"/>
                <w:szCs w:val="16"/>
              </w:rPr>
              <w:t xml:space="preserve">1 - All Frame </w:t>
            </w:r>
            <w:proofErr w:type="spellStart"/>
            <w:r w:rsidRPr="001A7102">
              <w:rPr>
                <w:color w:val="000000"/>
                <w:sz w:val="16"/>
                <w:szCs w:val="16"/>
              </w:rPr>
              <w:t>Peaker</w:t>
            </w:r>
            <w:proofErr w:type="spellEnd"/>
          </w:p>
        </w:tc>
        <w:tc>
          <w:tcPr>
            <w:tcW w:w="1170" w:type="dxa"/>
            <w:shd w:val="clear" w:color="auto" w:fill="auto"/>
            <w:vAlign w:val="center"/>
          </w:tcPr>
          <w:p w14:paraId="3F7D5566" w14:textId="77777777" w:rsidR="00DC1A9D" w:rsidRPr="00C241A5" w:rsidRDefault="00DC1A9D" w:rsidP="00415B12">
            <w:pPr>
              <w:jc w:val="right"/>
              <w:rPr>
                <w:rFonts w:ascii="Arial" w:hAnsi="Arial" w:cs="Arial"/>
                <w:bCs/>
                <w:color w:val="000000"/>
                <w:sz w:val="20"/>
                <w:szCs w:val="20"/>
              </w:rPr>
            </w:pPr>
            <w:r w:rsidRPr="00C241A5">
              <w:rPr>
                <w:rFonts w:ascii="Arial" w:hAnsi="Arial" w:cs="Arial"/>
                <w:bCs/>
                <w:color w:val="000000"/>
                <w:sz w:val="20"/>
                <w:szCs w:val="20"/>
              </w:rPr>
              <w:t xml:space="preserve">12,531 </w:t>
            </w:r>
          </w:p>
        </w:tc>
        <w:tc>
          <w:tcPr>
            <w:tcW w:w="1080" w:type="dxa"/>
            <w:shd w:val="clear" w:color="auto" w:fill="auto"/>
            <w:vAlign w:val="center"/>
          </w:tcPr>
          <w:p w14:paraId="46420A30" w14:textId="77777777" w:rsidR="00DC1A9D" w:rsidRPr="00C241A5" w:rsidRDefault="00DC1A9D" w:rsidP="00E777D9">
            <w:pPr>
              <w:jc w:val="center"/>
              <w:rPr>
                <w:rFonts w:ascii="Arial" w:hAnsi="Arial" w:cs="Arial"/>
                <w:bCs/>
                <w:color w:val="000000"/>
                <w:sz w:val="20"/>
                <w:szCs w:val="20"/>
              </w:rPr>
            </w:pPr>
          </w:p>
        </w:tc>
        <w:tc>
          <w:tcPr>
            <w:tcW w:w="900" w:type="dxa"/>
            <w:shd w:val="clear" w:color="auto" w:fill="auto"/>
            <w:vAlign w:val="center"/>
          </w:tcPr>
          <w:p w14:paraId="6E8DAEFF" w14:textId="77777777" w:rsidR="00DC1A9D" w:rsidRPr="00C241A5" w:rsidRDefault="00DC1A9D" w:rsidP="00415B12">
            <w:pPr>
              <w:jc w:val="right"/>
              <w:rPr>
                <w:rFonts w:ascii="Arial" w:hAnsi="Arial" w:cs="Arial"/>
                <w:bCs/>
                <w:color w:val="000000"/>
                <w:sz w:val="20"/>
                <w:szCs w:val="20"/>
              </w:rPr>
            </w:pPr>
            <w:r w:rsidRPr="00C241A5">
              <w:rPr>
                <w:rFonts w:ascii="Arial" w:hAnsi="Arial" w:cs="Arial"/>
                <w:bCs/>
                <w:color w:val="000000"/>
                <w:sz w:val="20"/>
                <w:szCs w:val="20"/>
              </w:rPr>
              <w:t xml:space="preserve">11,343 </w:t>
            </w:r>
          </w:p>
        </w:tc>
        <w:tc>
          <w:tcPr>
            <w:tcW w:w="1080" w:type="dxa"/>
            <w:shd w:val="clear" w:color="auto" w:fill="auto"/>
            <w:vAlign w:val="center"/>
          </w:tcPr>
          <w:p w14:paraId="4C7F6B7D" w14:textId="77777777" w:rsidR="00DC1A9D" w:rsidRPr="00C241A5" w:rsidRDefault="00DC1A9D" w:rsidP="00415B12">
            <w:pPr>
              <w:rPr>
                <w:rFonts w:ascii="Arial" w:hAnsi="Arial" w:cs="Arial"/>
                <w:bCs/>
                <w:color w:val="000000"/>
                <w:sz w:val="20"/>
                <w:szCs w:val="20"/>
              </w:rPr>
            </w:pPr>
            <w:r w:rsidRPr="00C241A5">
              <w:rPr>
                <w:rFonts w:ascii="Arial" w:hAnsi="Arial" w:cs="Arial"/>
                <w:bCs/>
                <w:color w:val="000000"/>
                <w:sz w:val="20"/>
                <w:szCs w:val="20"/>
              </w:rPr>
              <w:t> </w:t>
            </w:r>
          </w:p>
        </w:tc>
        <w:tc>
          <w:tcPr>
            <w:tcW w:w="870" w:type="dxa"/>
            <w:shd w:val="clear" w:color="auto" w:fill="auto"/>
            <w:vAlign w:val="center"/>
          </w:tcPr>
          <w:p w14:paraId="4F4B882E" w14:textId="77777777" w:rsidR="00DC1A9D" w:rsidRPr="00C241A5" w:rsidRDefault="00DC1A9D" w:rsidP="00415B12">
            <w:pPr>
              <w:jc w:val="right"/>
              <w:rPr>
                <w:rFonts w:ascii="Arial" w:hAnsi="Arial" w:cs="Arial"/>
                <w:bCs/>
                <w:color w:val="000000"/>
                <w:sz w:val="20"/>
                <w:szCs w:val="20"/>
              </w:rPr>
            </w:pPr>
            <w:r w:rsidRPr="00C241A5">
              <w:rPr>
                <w:rFonts w:ascii="Arial" w:hAnsi="Arial" w:cs="Arial"/>
                <w:bCs/>
                <w:color w:val="000000"/>
                <w:sz w:val="20"/>
                <w:szCs w:val="20"/>
              </w:rPr>
              <w:t xml:space="preserve">14,589 </w:t>
            </w:r>
          </w:p>
        </w:tc>
        <w:tc>
          <w:tcPr>
            <w:tcW w:w="1020" w:type="dxa"/>
            <w:shd w:val="clear" w:color="auto" w:fill="auto"/>
            <w:vAlign w:val="center"/>
          </w:tcPr>
          <w:p w14:paraId="1FB42A86" w14:textId="77777777" w:rsidR="00DC1A9D" w:rsidRPr="001A7102" w:rsidRDefault="00DC1A9D" w:rsidP="00E777D9">
            <w:pPr>
              <w:jc w:val="center"/>
              <w:rPr>
                <w:rFonts w:ascii="Arial" w:hAnsi="Arial" w:cs="Arial"/>
                <w:b/>
                <w:bCs/>
                <w:color w:val="000000"/>
                <w:sz w:val="20"/>
                <w:szCs w:val="20"/>
              </w:rPr>
            </w:pPr>
          </w:p>
        </w:tc>
      </w:tr>
      <w:tr w:rsidR="00DC1A9D" w:rsidRPr="004E5E60" w14:paraId="050259FB" w14:textId="77777777">
        <w:trPr>
          <w:trHeight w:val="276"/>
        </w:trPr>
        <w:tc>
          <w:tcPr>
            <w:tcW w:w="2445" w:type="dxa"/>
            <w:shd w:val="clear" w:color="auto" w:fill="auto"/>
            <w:vAlign w:val="center"/>
          </w:tcPr>
          <w:p w14:paraId="1383D6CA" w14:textId="77777777" w:rsidR="00DC1A9D" w:rsidRPr="001A7102" w:rsidRDefault="00DC1A9D" w:rsidP="00415B12">
            <w:pPr>
              <w:pStyle w:val="IRPsanstext"/>
              <w:spacing w:before="120" w:after="120" w:line="240" w:lineRule="auto"/>
              <w:rPr>
                <w:color w:val="000000"/>
                <w:sz w:val="16"/>
                <w:szCs w:val="16"/>
              </w:rPr>
            </w:pPr>
            <w:r w:rsidRPr="001A7102">
              <w:rPr>
                <w:color w:val="000000"/>
                <w:sz w:val="16"/>
                <w:szCs w:val="16"/>
              </w:rPr>
              <w:t xml:space="preserve">2 - Early </w:t>
            </w:r>
            <w:proofErr w:type="spellStart"/>
            <w:r w:rsidRPr="001A7102">
              <w:rPr>
                <w:color w:val="000000"/>
                <w:sz w:val="16"/>
                <w:szCs w:val="16"/>
              </w:rPr>
              <w:t>Recip</w:t>
            </w:r>
            <w:proofErr w:type="spellEnd"/>
            <w:r w:rsidRPr="001A7102">
              <w:rPr>
                <w:rFonts w:eastAsia="Times New Roman" w:cs="Arial"/>
                <w:color w:val="000000"/>
                <w:sz w:val="16"/>
                <w:szCs w:val="16"/>
              </w:rPr>
              <w:t xml:space="preserve"> </w:t>
            </w:r>
            <w:proofErr w:type="spellStart"/>
            <w:r w:rsidRPr="001A7102">
              <w:rPr>
                <w:rFonts w:eastAsia="Times New Roman" w:cs="Arial"/>
                <w:color w:val="000000"/>
                <w:sz w:val="16"/>
                <w:szCs w:val="16"/>
              </w:rPr>
              <w:t>Peaker</w:t>
            </w:r>
            <w:proofErr w:type="spellEnd"/>
          </w:p>
        </w:tc>
        <w:tc>
          <w:tcPr>
            <w:tcW w:w="1170" w:type="dxa"/>
            <w:shd w:val="clear" w:color="auto" w:fill="auto"/>
            <w:vAlign w:val="center"/>
          </w:tcPr>
          <w:p w14:paraId="43D3BF1A" w14:textId="77777777" w:rsidR="00DC1A9D" w:rsidRPr="001A7102" w:rsidRDefault="00DC1A9D" w:rsidP="00415B12">
            <w:pPr>
              <w:jc w:val="right"/>
              <w:rPr>
                <w:rFonts w:ascii="Arial" w:hAnsi="Arial" w:cs="Arial"/>
                <w:color w:val="000000"/>
                <w:sz w:val="20"/>
                <w:szCs w:val="20"/>
              </w:rPr>
            </w:pPr>
            <w:r w:rsidRPr="001A7102">
              <w:rPr>
                <w:rFonts w:ascii="Arial" w:hAnsi="Arial" w:cs="Arial"/>
                <w:color w:val="000000"/>
                <w:sz w:val="20"/>
                <w:szCs w:val="20"/>
              </w:rPr>
              <w:t xml:space="preserve">12,620 </w:t>
            </w:r>
          </w:p>
        </w:tc>
        <w:tc>
          <w:tcPr>
            <w:tcW w:w="1080" w:type="dxa"/>
            <w:shd w:val="clear" w:color="auto" w:fill="auto"/>
            <w:vAlign w:val="center"/>
          </w:tcPr>
          <w:p w14:paraId="2D57195F" w14:textId="77777777" w:rsidR="00DC1A9D" w:rsidRPr="001A7102" w:rsidRDefault="00DC1A9D" w:rsidP="00E777D9">
            <w:pPr>
              <w:jc w:val="center"/>
              <w:rPr>
                <w:rFonts w:ascii="Arial" w:hAnsi="Arial" w:cs="Arial"/>
                <w:color w:val="000000"/>
                <w:sz w:val="20"/>
                <w:szCs w:val="20"/>
              </w:rPr>
            </w:pPr>
            <w:r w:rsidRPr="001A7102">
              <w:rPr>
                <w:rFonts w:ascii="Arial" w:hAnsi="Arial" w:cs="Arial"/>
                <w:color w:val="000000"/>
                <w:sz w:val="20"/>
                <w:szCs w:val="20"/>
              </w:rPr>
              <w:t>89</w:t>
            </w:r>
          </w:p>
        </w:tc>
        <w:tc>
          <w:tcPr>
            <w:tcW w:w="900" w:type="dxa"/>
            <w:shd w:val="clear" w:color="auto" w:fill="auto"/>
            <w:vAlign w:val="center"/>
          </w:tcPr>
          <w:p w14:paraId="01750B96" w14:textId="77777777" w:rsidR="00DC1A9D" w:rsidRPr="001A7102" w:rsidRDefault="00DC1A9D" w:rsidP="00415B12">
            <w:pPr>
              <w:jc w:val="right"/>
              <w:rPr>
                <w:rFonts w:ascii="Arial" w:hAnsi="Arial" w:cs="Arial"/>
                <w:color w:val="000000"/>
                <w:sz w:val="20"/>
                <w:szCs w:val="20"/>
              </w:rPr>
            </w:pPr>
            <w:r w:rsidRPr="001A7102">
              <w:rPr>
                <w:rFonts w:ascii="Arial" w:hAnsi="Arial" w:cs="Arial"/>
                <w:color w:val="000000"/>
                <w:sz w:val="20"/>
                <w:szCs w:val="20"/>
              </w:rPr>
              <w:t xml:space="preserve">11,782 </w:t>
            </w:r>
          </w:p>
        </w:tc>
        <w:tc>
          <w:tcPr>
            <w:tcW w:w="1080" w:type="dxa"/>
            <w:shd w:val="clear" w:color="auto" w:fill="auto"/>
            <w:vAlign w:val="center"/>
          </w:tcPr>
          <w:p w14:paraId="024A2435" w14:textId="77777777" w:rsidR="00DC1A9D" w:rsidRPr="001A7102" w:rsidRDefault="00DC1A9D" w:rsidP="00E777D9">
            <w:pPr>
              <w:jc w:val="center"/>
              <w:rPr>
                <w:rFonts w:ascii="Arial" w:hAnsi="Arial" w:cs="Arial"/>
                <w:color w:val="000000"/>
                <w:sz w:val="20"/>
                <w:szCs w:val="20"/>
              </w:rPr>
            </w:pPr>
            <w:r w:rsidRPr="001A7102">
              <w:rPr>
                <w:rFonts w:ascii="Arial" w:hAnsi="Arial" w:cs="Arial"/>
                <w:color w:val="000000"/>
                <w:sz w:val="20"/>
                <w:szCs w:val="20"/>
              </w:rPr>
              <w:t>439</w:t>
            </w:r>
          </w:p>
        </w:tc>
        <w:tc>
          <w:tcPr>
            <w:tcW w:w="870" w:type="dxa"/>
            <w:shd w:val="clear" w:color="auto" w:fill="auto"/>
            <w:vAlign w:val="center"/>
          </w:tcPr>
          <w:p w14:paraId="715BA6E5" w14:textId="77777777" w:rsidR="00DC1A9D" w:rsidRPr="001A7102" w:rsidRDefault="00DC1A9D" w:rsidP="00415B12">
            <w:pPr>
              <w:jc w:val="right"/>
              <w:rPr>
                <w:rFonts w:ascii="Arial" w:hAnsi="Arial" w:cs="Arial"/>
                <w:color w:val="000000"/>
                <w:sz w:val="20"/>
                <w:szCs w:val="20"/>
              </w:rPr>
            </w:pPr>
            <w:r w:rsidRPr="001A7102">
              <w:rPr>
                <w:rFonts w:ascii="Arial" w:hAnsi="Arial" w:cs="Arial"/>
                <w:color w:val="000000"/>
                <w:sz w:val="20"/>
                <w:szCs w:val="20"/>
              </w:rPr>
              <w:t xml:space="preserve">15,014 </w:t>
            </w:r>
          </w:p>
        </w:tc>
        <w:tc>
          <w:tcPr>
            <w:tcW w:w="1020" w:type="dxa"/>
            <w:shd w:val="clear" w:color="auto" w:fill="auto"/>
            <w:vAlign w:val="center"/>
          </w:tcPr>
          <w:p w14:paraId="641E99E2" w14:textId="77777777" w:rsidR="00DC1A9D" w:rsidRPr="001A7102" w:rsidRDefault="00DC1A9D" w:rsidP="00E777D9">
            <w:pPr>
              <w:jc w:val="center"/>
              <w:rPr>
                <w:rFonts w:ascii="Arial" w:hAnsi="Arial" w:cs="Arial"/>
                <w:color w:val="000000"/>
                <w:sz w:val="20"/>
                <w:szCs w:val="20"/>
              </w:rPr>
            </w:pPr>
            <w:r w:rsidRPr="001A7102">
              <w:rPr>
                <w:rFonts w:ascii="Arial" w:hAnsi="Arial" w:cs="Arial"/>
                <w:color w:val="000000"/>
                <w:sz w:val="20"/>
                <w:szCs w:val="20"/>
              </w:rPr>
              <w:t>426</w:t>
            </w:r>
          </w:p>
        </w:tc>
      </w:tr>
      <w:tr w:rsidR="00DC1A9D" w:rsidRPr="004E5E60" w14:paraId="0355B0D1" w14:textId="77777777">
        <w:trPr>
          <w:trHeight w:val="276"/>
        </w:trPr>
        <w:tc>
          <w:tcPr>
            <w:tcW w:w="2445" w:type="dxa"/>
            <w:shd w:val="clear" w:color="auto" w:fill="auto"/>
            <w:vAlign w:val="center"/>
          </w:tcPr>
          <w:p w14:paraId="4642B4B8" w14:textId="77777777" w:rsidR="00DC1A9D" w:rsidRPr="001A7102" w:rsidRDefault="00DC1A9D" w:rsidP="00415B12">
            <w:pPr>
              <w:pStyle w:val="IRPsanstext"/>
              <w:spacing w:before="120" w:after="120" w:line="240" w:lineRule="auto"/>
              <w:rPr>
                <w:color w:val="000000"/>
                <w:sz w:val="16"/>
                <w:szCs w:val="16"/>
              </w:rPr>
            </w:pPr>
            <w:r w:rsidRPr="001A7102">
              <w:rPr>
                <w:color w:val="000000"/>
                <w:sz w:val="16"/>
                <w:szCs w:val="16"/>
              </w:rPr>
              <w:t>3 - Early CCCT/Thermal Mix</w:t>
            </w:r>
          </w:p>
        </w:tc>
        <w:tc>
          <w:tcPr>
            <w:tcW w:w="1170" w:type="dxa"/>
            <w:shd w:val="clear" w:color="auto" w:fill="auto"/>
            <w:vAlign w:val="center"/>
          </w:tcPr>
          <w:p w14:paraId="081BDC13" w14:textId="77777777" w:rsidR="00DC1A9D" w:rsidRPr="001A7102" w:rsidRDefault="00DC1A9D" w:rsidP="00415B12">
            <w:pPr>
              <w:jc w:val="right"/>
              <w:rPr>
                <w:rFonts w:ascii="Arial" w:hAnsi="Arial" w:cs="Arial"/>
                <w:color w:val="000000"/>
                <w:sz w:val="20"/>
                <w:szCs w:val="20"/>
              </w:rPr>
            </w:pPr>
            <w:r w:rsidRPr="001A7102">
              <w:rPr>
                <w:rFonts w:ascii="Arial" w:hAnsi="Arial" w:cs="Arial"/>
                <w:color w:val="000000"/>
                <w:sz w:val="20"/>
                <w:szCs w:val="20"/>
              </w:rPr>
              <w:t xml:space="preserve">12,729 </w:t>
            </w:r>
          </w:p>
        </w:tc>
        <w:tc>
          <w:tcPr>
            <w:tcW w:w="1080" w:type="dxa"/>
            <w:shd w:val="clear" w:color="auto" w:fill="auto"/>
            <w:vAlign w:val="center"/>
          </w:tcPr>
          <w:p w14:paraId="2FD68797" w14:textId="77777777" w:rsidR="00DC1A9D" w:rsidRPr="001A7102" w:rsidRDefault="00DC1A9D" w:rsidP="00E777D9">
            <w:pPr>
              <w:jc w:val="center"/>
              <w:rPr>
                <w:rFonts w:ascii="Arial" w:hAnsi="Arial" w:cs="Arial"/>
                <w:color w:val="000000"/>
                <w:sz w:val="20"/>
                <w:szCs w:val="20"/>
              </w:rPr>
            </w:pPr>
            <w:r w:rsidRPr="001A7102">
              <w:rPr>
                <w:rFonts w:ascii="Arial" w:hAnsi="Arial" w:cs="Arial"/>
                <w:color w:val="000000"/>
                <w:sz w:val="20"/>
                <w:szCs w:val="20"/>
              </w:rPr>
              <w:t>198</w:t>
            </w:r>
          </w:p>
        </w:tc>
        <w:tc>
          <w:tcPr>
            <w:tcW w:w="900" w:type="dxa"/>
            <w:shd w:val="clear" w:color="auto" w:fill="auto"/>
            <w:vAlign w:val="center"/>
          </w:tcPr>
          <w:p w14:paraId="541C78A8" w14:textId="77777777" w:rsidR="00DC1A9D" w:rsidRPr="001A7102" w:rsidRDefault="00DC1A9D" w:rsidP="00415B12">
            <w:pPr>
              <w:jc w:val="right"/>
              <w:rPr>
                <w:rFonts w:ascii="Arial" w:hAnsi="Arial" w:cs="Arial"/>
                <w:color w:val="000000"/>
                <w:sz w:val="20"/>
                <w:szCs w:val="20"/>
              </w:rPr>
            </w:pPr>
            <w:r w:rsidRPr="001A7102">
              <w:rPr>
                <w:rFonts w:ascii="Arial" w:hAnsi="Arial" w:cs="Arial"/>
                <w:color w:val="000000"/>
                <w:sz w:val="20"/>
                <w:szCs w:val="20"/>
              </w:rPr>
              <w:t xml:space="preserve">11,392 </w:t>
            </w:r>
          </w:p>
        </w:tc>
        <w:tc>
          <w:tcPr>
            <w:tcW w:w="1080" w:type="dxa"/>
            <w:shd w:val="clear" w:color="auto" w:fill="auto"/>
            <w:vAlign w:val="center"/>
          </w:tcPr>
          <w:p w14:paraId="634DA5D6" w14:textId="77777777" w:rsidR="00DC1A9D" w:rsidRPr="001A7102" w:rsidRDefault="00DC1A9D" w:rsidP="00E777D9">
            <w:pPr>
              <w:jc w:val="center"/>
              <w:rPr>
                <w:rFonts w:ascii="Arial" w:hAnsi="Arial" w:cs="Arial"/>
                <w:color w:val="000000"/>
                <w:sz w:val="20"/>
                <w:szCs w:val="20"/>
              </w:rPr>
            </w:pPr>
            <w:r w:rsidRPr="001A7102">
              <w:rPr>
                <w:rFonts w:ascii="Arial" w:hAnsi="Arial" w:cs="Arial"/>
                <w:color w:val="000000"/>
                <w:sz w:val="20"/>
                <w:szCs w:val="20"/>
              </w:rPr>
              <w:t>49</w:t>
            </w:r>
          </w:p>
        </w:tc>
        <w:tc>
          <w:tcPr>
            <w:tcW w:w="870" w:type="dxa"/>
            <w:shd w:val="clear" w:color="auto" w:fill="auto"/>
            <w:vAlign w:val="center"/>
          </w:tcPr>
          <w:p w14:paraId="34DFF6A8" w14:textId="77777777" w:rsidR="00DC1A9D" w:rsidRPr="001A7102" w:rsidRDefault="00DC1A9D" w:rsidP="00415B12">
            <w:pPr>
              <w:jc w:val="right"/>
              <w:rPr>
                <w:rFonts w:ascii="Arial" w:hAnsi="Arial" w:cs="Arial"/>
                <w:color w:val="000000"/>
                <w:sz w:val="20"/>
                <w:szCs w:val="20"/>
              </w:rPr>
            </w:pPr>
            <w:r w:rsidRPr="001A7102">
              <w:rPr>
                <w:rFonts w:ascii="Arial" w:hAnsi="Arial" w:cs="Arial"/>
                <w:color w:val="000000"/>
                <w:sz w:val="20"/>
                <w:szCs w:val="20"/>
              </w:rPr>
              <w:t xml:space="preserve">14,412 </w:t>
            </w:r>
          </w:p>
        </w:tc>
        <w:tc>
          <w:tcPr>
            <w:tcW w:w="1020" w:type="dxa"/>
            <w:shd w:val="clear" w:color="auto" w:fill="auto"/>
            <w:vAlign w:val="center"/>
          </w:tcPr>
          <w:p w14:paraId="0F0664CC" w14:textId="77777777" w:rsidR="00DC1A9D" w:rsidRPr="001A7102" w:rsidRDefault="00DC1A9D" w:rsidP="00E777D9">
            <w:pPr>
              <w:jc w:val="center"/>
              <w:rPr>
                <w:rFonts w:ascii="Arial" w:hAnsi="Arial" w:cs="Arial"/>
                <w:color w:val="000000"/>
                <w:sz w:val="20"/>
                <w:szCs w:val="20"/>
              </w:rPr>
            </w:pPr>
            <w:r w:rsidRPr="001A7102">
              <w:rPr>
                <w:rFonts w:ascii="Arial" w:hAnsi="Arial" w:cs="Arial"/>
                <w:color w:val="FF0000"/>
                <w:sz w:val="20"/>
                <w:szCs w:val="20"/>
              </w:rPr>
              <w:t>(177)</w:t>
            </w:r>
          </w:p>
        </w:tc>
      </w:tr>
      <w:tr w:rsidR="00DC1A9D" w:rsidRPr="004E5E60" w14:paraId="501E10F5" w14:textId="77777777">
        <w:trPr>
          <w:trHeight w:val="276"/>
        </w:trPr>
        <w:tc>
          <w:tcPr>
            <w:tcW w:w="2445" w:type="dxa"/>
            <w:shd w:val="clear" w:color="auto" w:fill="auto"/>
            <w:vAlign w:val="center"/>
          </w:tcPr>
          <w:p w14:paraId="096CF914" w14:textId="77777777" w:rsidR="00DC1A9D" w:rsidRPr="001A7102" w:rsidRDefault="00DC1A9D" w:rsidP="00415B12">
            <w:pPr>
              <w:pStyle w:val="IRPsanstext"/>
              <w:spacing w:before="120" w:after="120" w:line="240" w:lineRule="auto"/>
              <w:rPr>
                <w:color w:val="000000"/>
                <w:sz w:val="16"/>
                <w:szCs w:val="16"/>
              </w:rPr>
            </w:pPr>
            <w:r w:rsidRPr="001A7102">
              <w:rPr>
                <w:color w:val="000000"/>
                <w:sz w:val="16"/>
                <w:szCs w:val="16"/>
              </w:rPr>
              <w:t>4 - All CCCT</w:t>
            </w:r>
          </w:p>
        </w:tc>
        <w:tc>
          <w:tcPr>
            <w:tcW w:w="1170" w:type="dxa"/>
            <w:shd w:val="clear" w:color="auto" w:fill="auto"/>
            <w:vAlign w:val="center"/>
          </w:tcPr>
          <w:p w14:paraId="349C1BC1" w14:textId="77777777" w:rsidR="00DC1A9D" w:rsidRPr="001A7102" w:rsidRDefault="00DC1A9D" w:rsidP="00415B12">
            <w:pPr>
              <w:jc w:val="right"/>
              <w:rPr>
                <w:rFonts w:ascii="Arial" w:hAnsi="Arial" w:cs="Arial"/>
                <w:color w:val="000000"/>
                <w:sz w:val="20"/>
                <w:szCs w:val="20"/>
              </w:rPr>
            </w:pPr>
            <w:r w:rsidRPr="001A7102">
              <w:rPr>
                <w:rFonts w:ascii="Arial" w:hAnsi="Arial" w:cs="Arial"/>
                <w:color w:val="000000"/>
                <w:sz w:val="20"/>
                <w:szCs w:val="20"/>
              </w:rPr>
              <w:t xml:space="preserve">12,761 </w:t>
            </w:r>
          </w:p>
        </w:tc>
        <w:tc>
          <w:tcPr>
            <w:tcW w:w="1080" w:type="dxa"/>
            <w:shd w:val="clear" w:color="auto" w:fill="auto"/>
            <w:vAlign w:val="center"/>
          </w:tcPr>
          <w:p w14:paraId="63E18A63" w14:textId="77777777" w:rsidR="00DC1A9D" w:rsidRPr="001A7102" w:rsidRDefault="00DC1A9D" w:rsidP="00E777D9">
            <w:pPr>
              <w:jc w:val="center"/>
              <w:rPr>
                <w:rFonts w:ascii="Arial" w:hAnsi="Arial" w:cs="Arial"/>
                <w:color w:val="000000"/>
                <w:sz w:val="20"/>
                <w:szCs w:val="20"/>
              </w:rPr>
            </w:pPr>
            <w:r w:rsidRPr="001A7102">
              <w:rPr>
                <w:rFonts w:ascii="Arial" w:hAnsi="Arial" w:cs="Arial"/>
                <w:color w:val="000000"/>
                <w:sz w:val="20"/>
                <w:szCs w:val="20"/>
              </w:rPr>
              <w:t>230</w:t>
            </w:r>
          </w:p>
        </w:tc>
        <w:tc>
          <w:tcPr>
            <w:tcW w:w="900" w:type="dxa"/>
            <w:shd w:val="clear" w:color="auto" w:fill="auto"/>
            <w:vAlign w:val="center"/>
          </w:tcPr>
          <w:p w14:paraId="5E86D88C" w14:textId="77777777" w:rsidR="00DC1A9D" w:rsidRPr="001A7102" w:rsidRDefault="00DC1A9D" w:rsidP="00415B12">
            <w:pPr>
              <w:jc w:val="right"/>
              <w:rPr>
                <w:rFonts w:ascii="Arial" w:hAnsi="Arial" w:cs="Arial"/>
                <w:color w:val="000000"/>
                <w:sz w:val="20"/>
                <w:szCs w:val="20"/>
              </w:rPr>
            </w:pPr>
            <w:r w:rsidRPr="001A7102">
              <w:rPr>
                <w:rFonts w:ascii="Arial" w:hAnsi="Arial" w:cs="Arial"/>
                <w:color w:val="000000"/>
                <w:sz w:val="20"/>
                <w:szCs w:val="20"/>
              </w:rPr>
              <w:t xml:space="preserve">10,993 </w:t>
            </w:r>
          </w:p>
        </w:tc>
        <w:tc>
          <w:tcPr>
            <w:tcW w:w="1080" w:type="dxa"/>
            <w:shd w:val="clear" w:color="auto" w:fill="auto"/>
            <w:vAlign w:val="center"/>
          </w:tcPr>
          <w:p w14:paraId="762E51DE" w14:textId="77777777" w:rsidR="00DC1A9D" w:rsidRPr="001A7102" w:rsidRDefault="00DC1A9D" w:rsidP="00E777D9">
            <w:pPr>
              <w:jc w:val="center"/>
              <w:rPr>
                <w:rFonts w:ascii="Arial" w:hAnsi="Arial" w:cs="Arial"/>
                <w:color w:val="000000"/>
                <w:sz w:val="20"/>
                <w:szCs w:val="20"/>
              </w:rPr>
            </w:pPr>
            <w:r w:rsidRPr="001A7102">
              <w:rPr>
                <w:rFonts w:ascii="Arial" w:hAnsi="Arial" w:cs="Arial"/>
                <w:color w:val="FF0000"/>
                <w:sz w:val="20"/>
                <w:szCs w:val="20"/>
              </w:rPr>
              <w:t>(350)</w:t>
            </w:r>
          </w:p>
        </w:tc>
        <w:tc>
          <w:tcPr>
            <w:tcW w:w="870" w:type="dxa"/>
            <w:shd w:val="clear" w:color="auto" w:fill="auto"/>
            <w:vAlign w:val="center"/>
          </w:tcPr>
          <w:p w14:paraId="6A0797C6" w14:textId="77777777" w:rsidR="00DC1A9D" w:rsidRPr="001A7102" w:rsidRDefault="00DC1A9D" w:rsidP="00415B12">
            <w:pPr>
              <w:jc w:val="right"/>
              <w:rPr>
                <w:rFonts w:ascii="Arial" w:hAnsi="Arial" w:cs="Arial"/>
                <w:color w:val="000000"/>
                <w:sz w:val="20"/>
                <w:szCs w:val="20"/>
              </w:rPr>
            </w:pPr>
            <w:r w:rsidRPr="001A7102">
              <w:rPr>
                <w:rFonts w:ascii="Arial" w:hAnsi="Arial" w:cs="Arial"/>
                <w:color w:val="000000"/>
                <w:sz w:val="20"/>
                <w:szCs w:val="20"/>
              </w:rPr>
              <w:t xml:space="preserve">13,856 </w:t>
            </w:r>
          </w:p>
        </w:tc>
        <w:tc>
          <w:tcPr>
            <w:tcW w:w="1020" w:type="dxa"/>
            <w:shd w:val="clear" w:color="auto" w:fill="auto"/>
            <w:vAlign w:val="center"/>
          </w:tcPr>
          <w:p w14:paraId="405676F3" w14:textId="77777777" w:rsidR="00DC1A9D" w:rsidRPr="001A7102" w:rsidRDefault="00DC1A9D" w:rsidP="00E777D9">
            <w:pPr>
              <w:jc w:val="center"/>
              <w:rPr>
                <w:rFonts w:ascii="Arial" w:hAnsi="Arial" w:cs="Arial"/>
                <w:color w:val="000000"/>
                <w:sz w:val="20"/>
                <w:szCs w:val="20"/>
              </w:rPr>
            </w:pPr>
            <w:r w:rsidRPr="001A7102">
              <w:rPr>
                <w:rFonts w:ascii="Arial" w:hAnsi="Arial" w:cs="Arial"/>
                <w:color w:val="FF0000"/>
                <w:sz w:val="20"/>
                <w:szCs w:val="20"/>
              </w:rPr>
              <w:t>(733)</w:t>
            </w:r>
          </w:p>
        </w:tc>
      </w:tr>
      <w:tr w:rsidR="00DC1A9D" w:rsidRPr="004E5E60" w14:paraId="711BF997" w14:textId="77777777">
        <w:trPr>
          <w:trHeight w:val="276"/>
        </w:trPr>
        <w:tc>
          <w:tcPr>
            <w:tcW w:w="2445" w:type="dxa"/>
            <w:shd w:val="clear" w:color="auto" w:fill="auto"/>
            <w:vAlign w:val="center"/>
          </w:tcPr>
          <w:p w14:paraId="2C7D6830" w14:textId="77777777" w:rsidR="00DC1A9D" w:rsidRPr="001A7102" w:rsidRDefault="00DC1A9D" w:rsidP="00415B12">
            <w:pPr>
              <w:pStyle w:val="IRPsanstext"/>
              <w:spacing w:before="120" w:after="120" w:line="240" w:lineRule="auto"/>
              <w:rPr>
                <w:color w:val="000000"/>
                <w:sz w:val="16"/>
                <w:szCs w:val="16"/>
              </w:rPr>
            </w:pPr>
            <w:r w:rsidRPr="001A7102">
              <w:rPr>
                <w:color w:val="000000"/>
                <w:sz w:val="16"/>
                <w:szCs w:val="16"/>
              </w:rPr>
              <w:t xml:space="preserve">5 - Mix CCCT &amp; Frame </w:t>
            </w:r>
            <w:proofErr w:type="spellStart"/>
            <w:r w:rsidRPr="001A7102">
              <w:rPr>
                <w:color w:val="000000"/>
                <w:sz w:val="16"/>
                <w:szCs w:val="16"/>
              </w:rPr>
              <w:t>Peaker</w:t>
            </w:r>
            <w:proofErr w:type="spellEnd"/>
          </w:p>
        </w:tc>
        <w:tc>
          <w:tcPr>
            <w:tcW w:w="1170" w:type="dxa"/>
            <w:shd w:val="clear" w:color="auto" w:fill="auto"/>
            <w:vAlign w:val="center"/>
          </w:tcPr>
          <w:p w14:paraId="6212C377" w14:textId="77777777" w:rsidR="00DC1A9D" w:rsidRPr="001A7102" w:rsidRDefault="00DC1A9D" w:rsidP="00415B12">
            <w:pPr>
              <w:jc w:val="right"/>
              <w:rPr>
                <w:rFonts w:ascii="Arial" w:hAnsi="Arial" w:cs="Arial"/>
                <w:color w:val="000000"/>
                <w:sz w:val="20"/>
                <w:szCs w:val="20"/>
              </w:rPr>
            </w:pPr>
            <w:r w:rsidRPr="001A7102">
              <w:rPr>
                <w:rFonts w:ascii="Arial" w:hAnsi="Arial" w:cs="Arial"/>
                <w:color w:val="000000"/>
                <w:sz w:val="20"/>
                <w:szCs w:val="20"/>
              </w:rPr>
              <w:t xml:space="preserve">12,627 </w:t>
            </w:r>
          </w:p>
        </w:tc>
        <w:tc>
          <w:tcPr>
            <w:tcW w:w="1080" w:type="dxa"/>
            <w:shd w:val="clear" w:color="auto" w:fill="auto"/>
            <w:vAlign w:val="center"/>
          </w:tcPr>
          <w:p w14:paraId="04E197C2" w14:textId="77777777" w:rsidR="00DC1A9D" w:rsidRPr="001A7102" w:rsidRDefault="00DC1A9D" w:rsidP="00E777D9">
            <w:pPr>
              <w:jc w:val="center"/>
              <w:rPr>
                <w:rFonts w:ascii="Arial" w:hAnsi="Arial" w:cs="Arial"/>
                <w:color w:val="000000"/>
                <w:sz w:val="20"/>
                <w:szCs w:val="20"/>
              </w:rPr>
            </w:pPr>
            <w:r w:rsidRPr="001A7102">
              <w:rPr>
                <w:rFonts w:ascii="Arial" w:hAnsi="Arial" w:cs="Arial"/>
                <w:color w:val="000000"/>
                <w:sz w:val="20"/>
                <w:szCs w:val="20"/>
              </w:rPr>
              <w:t>96</w:t>
            </w:r>
          </w:p>
        </w:tc>
        <w:tc>
          <w:tcPr>
            <w:tcW w:w="900" w:type="dxa"/>
            <w:shd w:val="clear" w:color="auto" w:fill="auto"/>
            <w:vAlign w:val="center"/>
          </w:tcPr>
          <w:p w14:paraId="5D8793B0" w14:textId="77777777" w:rsidR="00DC1A9D" w:rsidRPr="001A7102" w:rsidRDefault="00DC1A9D" w:rsidP="00415B12">
            <w:pPr>
              <w:jc w:val="right"/>
              <w:rPr>
                <w:rFonts w:ascii="Arial" w:hAnsi="Arial" w:cs="Arial"/>
                <w:color w:val="000000"/>
                <w:sz w:val="20"/>
                <w:szCs w:val="20"/>
              </w:rPr>
            </w:pPr>
            <w:r w:rsidRPr="001A7102">
              <w:rPr>
                <w:rFonts w:ascii="Arial" w:hAnsi="Arial" w:cs="Arial"/>
                <w:color w:val="000000"/>
                <w:sz w:val="20"/>
                <w:szCs w:val="20"/>
              </w:rPr>
              <w:t xml:space="preserve">11,138 </w:t>
            </w:r>
          </w:p>
        </w:tc>
        <w:tc>
          <w:tcPr>
            <w:tcW w:w="1080" w:type="dxa"/>
            <w:shd w:val="clear" w:color="auto" w:fill="auto"/>
            <w:vAlign w:val="center"/>
          </w:tcPr>
          <w:p w14:paraId="3539B934" w14:textId="77777777" w:rsidR="00DC1A9D" w:rsidRPr="001A7102" w:rsidRDefault="00DC1A9D" w:rsidP="00E777D9">
            <w:pPr>
              <w:jc w:val="center"/>
              <w:rPr>
                <w:rFonts w:ascii="Arial" w:hAnsi="Arial" w:cs="Arial"/>
                <w:color w:val="000000"/>
                <w:sz w:val="20"/>
                <w:szCs w:val="20"/>
              </w:rPr>
            </w:pPr>
            <w:r w:rsidRPr="001A7102">
              <w:rPr>
                <w:rFonts w:ascii="Arial" w:hAnsi="Arial" w:cs="Arial"/>
                <w:color w:val="FF0000"/>
                <w:sz w:val="20"/>
                <w:szCs w:val="20"/>
              </w:rPr>
              <w:t>(205)</w:t>
            </w:r>
          </w:p>
        </w:tc>
        <w:tc>
          <w:tcPr>
            <w:tcW w:w="870" w:type="dxa"/>
            <w:shd w:val="clear" w:color="auto" w:fill="auto"/>
            <w:vAlign w:val="center"/>
          </w:tcPr>
          <w:p w14:paraId="0282D9CF" w14:textId="77777777" w:rsidR="00DC1A9D" w:rsidRPr="001A7102" w:rsidRDefault="00DC1A9D" w:rsidP="00415B12">
            <w:pPr>
              <w:jc w:val="right"/>
              <w:rPr>
                <w:rFonts w:ascii="Arial" w:hAnsi="Arial" w:cs="Arial"/>
                <w:color w:val="000000"/>
                <w:sz w:val="20"/>
                <w:szCs w:val="20"/>
              </w:rPr>
            </w:pPr>
            <w:r w:rsidRPr="001A7102">
              <w:rPr>
                <w:rFonts w:ascii="Arial" w:hAnsi="Arial" w:cs="Arial"/>
                <w:color w:val="000000"/>
                <w:sz w:val="20"/>
                <w:szCs w:val="20"/>
              </w:rPr>
              <w:t xml:space="preserve">14,147 </w:t>
            </w:r>
          </w:p>
        </w:tc>
        <w:tc>
          <w:tcPr>
            <w:tcW w:w="1020" w:type="dxa"/>
            <w:shd w:val="clear" w:color="auto" w:fill="auto"/>
            <w:vAlign w:val="center"/>
          </w:tcPr>
          <w:p w14:paraId="70EA8C79" w14:textId="77777777" w:rsidR="00DC1A9D" w:rsidRPr="001A7102" w:rsidRDefault="00DC1A9D" w:rsidP="00E777D9">
            <w:pPr>
              <w:jc w:val="center"/>
              <w:rPr>
                <w:rFonts w:ascii="Arial" w:hAnsi="Arial" w:cs="Arial"/>
                <w:color w:val="000000"/>
                <w:sz w:val="20"/>
                <w:szCs w:val="20"/>
              </w:rPr>
            </w:pPr>
            <w:r w:rsidRPr="001A7102">
              <w:rPr>
                <w:rFonts w:ascii="Arial" w:hAnsi="Arial" w:cs="Arial"/>
                <w:color w:val="FF0000"/>
                <w:sz w:val="20"/>
                <w:szCs w:val="20"/>
              </w:rPr>
              <w:t>(442)</w:t>
            </w:r>
          </w:p>
        </w:tc>
      </w:tr>
      <w:tr w:rsidR="00DC1A9D" w:rsidRPr="004E5E60" w14:paraId="7E273F02" w14:textId="77777777">
        <w:trPr>
          <w:trHeight w:val="276"/>
        </w:trPr>
        <w:tc>
          <w:tcPr>
            <w:tcW w:w="2445" w:type="dxa"/>
            <w:shd w:val="clear" w:color="auto" w:fill="auto"/>
            <w:vAlign w:val="center"/>
          </w:tcPr>
          <w:p w14:paraId="5942FB88" w14:textId="77777777" w:rsidR="00DC1A9D" w:rsidRPr="001A7102" w:rsidRDefault="00DC1A9D" w:rsidP="00415B12">
            <w:pPr>
              <w:pStyle w:val="IRPsanstext"/>
              <w:spacing w:before="120" w:after="120" w:line="240" w:lineRule="auto"/>
              <w:rPr>
                <w:color w:val="000000"/>
                <w:sz w:val="16"/>
                <w:szCs w:val="16"/>
              </w:rPr>
            </w:pPr>
            <w:r w:rsidRPr="001A7102">
              <w:rPr>
                <w:color w:val="000000"/>
                <w:sz w:val="16"/>
                <w:szCs w:val="16"/>
              </w:rPr>
              <w:t>6 - Add 300 MW Wind in 2021</w:t>
            </w:r>
          </w:p>
        </w:tc>
        <w:tc>
          <w:tcPr>
            <w:tcW w:w="1170" w:type="dxa"/>
            <w:shd w:val="clear" w:color="auto" w:fill="auto"/>
            <w:vAlign w:val="center"/>
          </w:tcPr>
          <w:p w14:paraId="79B87CF9" w14:textId="77777777" w:rsidR="00DC1A9D" w:rsidRPr="001A7102" w:rsidRDefault="00DC1A9D" w:rsidP="00415B12">
            <w:pPr>
              <w:jc w:val="right"/>
              <w:rPr>
                <w:rFonts w:ascii="Arial" w:hAnsi="Arial" w:cs="Arial"/>
                <w:color w:val="000000"/>
                <w:sz w:val="20"/>
                <w:szCs w:val="20"/>
              </w:rPr>
            </w:pPr>
            <w:r w:rsidRPr="001A7102">
              <w:rPr>
                <w:rFonts w:ascii="Arial" w:hAnsi="Arial" w:cs="Arial"/>
                <w:color w:val="000000"/>
                <w:sz w:val="20"/>
                <w:szCs w:val="20"/>
              </w:rPr>
              <w:t xml:space="preserve">12,798 </w:t>
            </w:r>
          </w:p>
        </w:tc>
        <w:tc>
          <w:tcPr>
            <w:tcW w:w="1080" w:type="dxa"/>
            <w:shd w:val="clear" w:color="auto" w:fill="auto"/>
            <w:vAlign w:val="center"/>
          </w:tcPr>
          <w:p w14:paraId="359F643A" w14:textId="77777777" w:rsidR="00DC1A9D" w:rsidRPr="001A7102" w:rsidRDefault="00DC1A9D" w:rsidP="00E777D9">
            <w:pPr>
              <w:jc w:val="center"/>
              <w:rPr>
                <w:rFonts w:ascii="Arial" w:hAnsi="Arial" w:cs="Arial"/>
                <w:color w:val="000000"/>
                <w:sz w:val="20"/>
                <w:szCs w:val="20"/>
              </w:rPr>
            </w:pPr>
            <w:r w:rsidRPr="001A7102">
              <w:rPr>
                <w:rFonts w:ascii="Arial" w:hAnsi="Arial" w:cs="Arial"/>
                <w:color w:val="000000"/>
                <w:sz w:val="20"/>
                <w:szCs w:val="20"/>
              </w:rPr>
              <w:t>267</w:t>
            </w:r>
          </w:p>
        </w:tc>
        <w:tc>
          <w:tcPr>
            <w:tcW w:w="900" w:type="dxa"/>
            <w:shd w:val="clear" w:color="auto" w:fill="auto"/>
            <w:vAlign w:val="center"/>
          </w:tcPr>
          <w:p w14:paraId="3ED4E401" w14:textId="77777777" w:rsidR="00DC1A9D" w:rsidRPr="001A7102" w:rsidRDefault="00DC1A9D" w:rsidP="00415B12">
            <w:pPr>
              <w:jc w:val="right"/>
              <w:rPr>
                <w:rFonts w:ascii="Arial" w:hAnsi="Arial" w:cs="Arial"/>
                <w:color w:val="000000"/>
                <w:sz w:val="20"/>
                <w:szCs w:val="20"/>
              </w:rPr>
            </w:pPr>
            <w:r w:rsidRPr="001A7102">
              <w:rPr>
                <w:rFonts w:ascii="Arial" w:hAnsi="Arial" w:cs="Arial"/>
                <w:color w:val="000000"/>
                <w:sz w:val="20"/>
                <w:szCs w:val="20"/>
              </w:rPr>
              <w:t xml:space="preserve">11,582 </w:t>
            </w:r>
          </w:p>
        </w:tc>
        <w:tc>
          <w:tcPr>
            <w:tcW w:w="1080" w:type="dxa"/>
            <w:shd w:val="clear" w:color="auto" w:fill="auto"/>
            <w:vAlign w:val="center"/>
          </w:tcPr>
          <w:p w14:paraId="083BD987" w14:textId="77777777" w:rsidR="00DC1A9D" w:rsidRPr="001A7102" w:rsidRDefault="00DC1A9D" w:rsidP="00E777D9">
            <w:pPr>
              <w:jc w:val="center"/>
              <w:rPr>
                <w:rFonts w:ascii="Arial" w:hAnsi="Arial" w:cs="Arial"/>
                <w:color w:val="000000"/>
                <w:sz w:val="20"/>
                <w:szCs w:val="20"/>
              </w:rPr>
            </w:pPr>
            <w:r w:rsidRPr="001A7102">
              <w:rPr>
                <w:rFonts w:ascii="Arial" w:hAnsi="Arial" w:cs="Arial"/>
                <w:color w:val="000000"/>
                <w:sz w:val="20"/>
                <w:szCs w:val="20"/>
              </w:rPr>
              <w:t>239</w:t>
            </w:r>
          </w:p>
        </w:tc>
        <w:tc>
          <w:tcPr>
            <w:tcW w:w="870" w:type="dxa"/>
            <w:shd w:val="clear" w:color="auto" w:fill="auto"/>
            <w:vAlign w:val="center"/>
          </w:tcPr>
          <w:p w14:paraId="7B14B761" w14:textId="77777777" w:rsidR="00DC1A9D" w:rsidRPr="001A7102" w:rsidRDefault="00DC1A9D" w:rsidP="00415B12">
            <w:pPr>
              <w:jc w:val="right"/>
              <w:rPr>
                <w:rFonts w:ascii="Arial" w:hAnsi="Arial" w:cs="Arial"/>
                <w:color w:val="000000"/>
                <w:sz w:val="20"/>
                <w:szCs w:val="20"/>
              </w:rPr>
            </w:pPr>
            <w:r w:rsidRPr="001A7102">
              <w:rPr>
                <w:rFonts w:ascii="Arial" w:hAnsi="Arial" w:cs="Arial"/>
                <w:color w:val="000000"/>
                <w:sz w:val="20"/>
                <w:szCs w:val="20"/>
              </w:rPr>
              <w:t xml:space="preserve">14,576 </w:t>
            </w:r>
          </w:p>
        </w:tc>
        <w:tc>
          <w:tcPr>
            <w:tcW w:w="1020" w:type="dxa"/>
            <w:shd w:val="clear" w:color="auto" w:fill="auto"/>
            <w:vAlign w:val="center"/>
          </w:tcPr>
          <w:p w14:paraId="64CBEBF0" w14:textId="77777777" w:rsidR="00DC1A9D" w:rsidRPr="001A7102" w:rsidRDefault="00DC1A9D" w:rsidP="00E777D9">
            <w:pPr>
              <w:jc w:val="center"/>
              <w:rPr>
                <w:rFonts w:ascii="Arial" w:hAnsi="Arial" w:cs="Arial"/>
                <w:color w:val="000000"/>
                <w:sz w:val="20"/>
                <w:szCs w:val="20"/>
              </w:rPr>
            </w:pPr>
            <w:r w:rsidRPr="001A7102">
              <w:rPr>
                <w:rFonts w:ascii="Arial" w:hAnsi="Arial" w:cs="Arial"/>
                <w:color w:val="FF0000"/>
                <w:sz w:val="20"/>
                <w:szCs w:val="20"/>
              </w:rPr>
              <w:t>(13)</w:t>
            </w:r>
          </w:p>
        </w:tc>
      </w:tr>
    </w:tbl>
    <w:p w14:paraId="42A9345A" w14:textId="77777777" w:rsidR="00AD0F38" w:rsidRPr="004E5E60" w:rsidRDefault="00AD0F38" w:rsidP="004E5E60">
      <w:pPr>
        <w:pStyle w:val="IRPsanstext"/>
        <w:rPr>
          <w:rFonts w:cs="Arial"/>
        </w:rPr>
      </w:pPr>
    </w:p>
    <w:p w14:paraId="704A27A6" w14:textId="77777777" w:rsidR="004E5E60" w:rsidRDefault="00D269BA" w:rsidP="00D269BA">
      <w:pPr>
        <w:spacing w:line="320" w:lineRule="exact"/>
        <w:rPr>
          <w:rFonts w:ascii="Arial" w:hAnsi="Arial" w:cs="Arial"/>
          <w:sz w:val="20"/>
          <w:szCs w:val="20"/>
        </w:rPr>
      </w:pPr>
      <w:r w:rsidRPr="00D269BA">
        <w:rPr>
          <w:rFonts w:ascii="Arial" w:hAnsi="Arial" w:cs="Arial"/>
          <w:sz w:val="20"/>
          <w:szCs w:val="20"/>
        </w:rPr>
        <w:t xml:space="preserve">In this IRP, the lowest cost thermal resource varied between the frame </w:t>
      </w:r>
      <w:proofErr w:type="spellStart"/>
      <w:r w:rsidRPr="00D269BA">
        <w:rPr>
          <w:rFonts w:ascii="Arial" w:hAnsi="Arial" w:cs="Arial"/>
          <w:sz w:val="20"/>
          <w:szCs w:val="20"/>
        </w:rPr>
        <w:t>peaker</w:t>
      </w:r>
      <w:proofErr w:type="spellEnd"/>
      <w:r w:rsidRPr="00D269BA">
        <w:rPr>
          <w:rFonts w:ascii="Arial" w:hAnsi="Arial" w:cs="Arial"/>
          <w:sz w:val="20"/>
          <w:szCs w:val="20"/>
        </w:rPr>
        <w:t xml:space="preserve"> and the CCCT depending on the scenario. But</w:t>
      </w:r>
      <w:r w:rsidR="00C343F5">
        <w:rPr>
          <w:rFonts w:ascii="Arial" w:hAnsi="Arial" w:cs="Arial"/>
          <w:sz w:val="20"/>
          <w:szCs w:val="20"/>
        </w:rPr>
        <w:t xml:space="preserve"> the stochastic analysis indicates that</w:t>
      </w:r>
      <w:r w:rsidRPr="00D269BA">
        <w:rPr>
          <w:rFonts w:ascii="Arial" w:hAnsi="Arial" w:cs="Arial"/>
          <w:sz w:val="20"/>
          <w:szCs w:val="20"/>
        </w:rPr>
        <w:t xml:space="preserve"> a combination of CCCT and frame </w:t>
      </w:r>
      <w:proofErr w:type="spellStart"/>
      <w:r w:rsidRPr="00D269BA">
        <w:rPr>
          <w:rFonts w:ascii="Arial" w:hAnsi="Arial" w:cs="Arial"/>
          <w:sz w:val="20"/>
          <w:szCs w:val="20"/>
        </w:rPr>
        <w:t>peakers</w:t>
      </w:r>
      <w:proofErr w:type="spellEnd"/>
      <w:r w:rsidRPr="00D269BA">
        <w:rPr>
          <w:rFonts w:ascii="Arial" w:hAnsi="Arial" w:cs="Arial"/>
          <w:sz w:val="20"/>
          <w:szCs w:val="20"/>
        </w:rPr>
        <w:t xml:space="preserve"> reduced the cost and risk of the portfolio.</w:t>
      </w:r>
      <w:r w:rsidR="004E5E60">
        <w:rPr>
          <w:rFonts w:cs="Arial"/>
        </w:rPr>
        <w:br w:type="page"/>
      </w:r>
    </w:p>
    <w:p w14:paraId="67E00C08" w14:textId="77777777" w:rsidR="00AD0F38" w:rsidRPr="004E5E60" w:rsidRDefault="0064621A" w:rsidP="004E5E60">
      <w:pPr>
        <w:pStyle w:val="IRPsanstext"/>
        <w:jc w:val="center"/>
        <w:rPr>
          <w:rFonts w:cs="Arial"/>
          <w:i/>
        </w:rPr>
      </w:pPr>
      <w:r w:rsidRPr="0064621A">
        <w:rPr>
          <w:noProof/>
          <w:lang w:eastAsia="en-US"/>
        </w:rPr>
        <w:drawing>
          <wp:anchor distT="0" distB="0" distL="114300" distR="114300" simplePos="0" relativeHeight="251657728" behindDoc="0" locked="0" layoutInCell="1" allowOverlap="1" wp14:anchorId="0C552BE0" wp14:editId="3A80DAB6">
            <wp:simplePos x="0" y="0"/>
            <wp:positionH relativeFrom="column">
              <wp:posOffset>3810</wp:posOffset>
            </wp:positionH>
            <wp:positionV relativeFrom="paragraph">
              <wp:posOffset>284480</wp:posOffset>
            </wp:positionV>
            <wp:extent cx="5486400" cy="3965575"/>
            <wp:effectExtent l="0" t="0" r="0" b="0"/>
            <wp:wrapTopAndBottom/>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86400" cy="3965575"/>
                    </a:xfrm>
                    <a:prstGeom prst="rect">
                      <a:avLst/>
                    </a:prstGeom>
                    <a:noFill/>
                    <a:ln>
                      <a:noFill/>
                    </a:ln>
                  </pic:spPr>
                </pic:pic>
              </a:graphicData>
            </a:graphic>
          </wp:anchor>
        </w:drawing>
      </w:r>
      <w:r w:rsidR="00AD0F38" w:rsidRPr="004E5E60">
        <w:rPr>
          <w:rFonts w:cs="Arial"/>
          <w:i/>
        </w:rPr>
        <w:t>Figure 6-5</w:t>
      </w:r>
      <w:r w:rsidR="00855BD7">
        <w:rPr>
          <w:rFonts w:cs="Arial"/>
          <w:i/>
        </w:rPr>
        <w:t>5</w:t>
      </w:r>
      <w:r w:rsidR="00AD0F38" w:rsidRPr="004E5E60">
        <w:rPr>
          <w:rFonts w:cs="Arial"/>
          <w:i/>
        </w:rPr>
        <w:t>: Range of Portfolio Costs across 1,000 Trials</w:t>
      </w:r>
    </w:p>
    <w:p w14:paraId="193A6B25" w14:textId="77777777" w:rsidR="00AD0F38" w:rsidRPr="004E5E60" w:rsidRDefault="00AD0F38" w:rsidP="004E5E60">
      <w:pPr>
        <w:pStyle w:val="IRPsanstext"/>
        <w:rPr>
          <w:rFonts w:cs="Arial"/>
        </w:rPr>
      </w:pPr>
    </w:p>
    <w:p w14:paraId="712D34EB" w14:textId="77777777" w:rsidR="00AD0F38" w:rsidRPr="004E5E60" w:rsidRDefault="00AD0F38" w:rsidP="004E5E60">
      <w:pPr>
        <w:pStyle w:val="IRPsanstext"/>
        <w:rPr>
          <w:rFonts w:cs="Arial"/>
        </w:rPr>
      </w:pPr>
    </w:p>
    <w:p w14:paraId="6E540A56" w14:textId="77777777" w:rsidR="004E5E60" w:rsidRDefault="004E5E60">
      <w:pPr>
        <w:rPr>
          <w:rFonts w:ascii="Arial" w:hAnsi="Arial" w:cs="Arial"/>
          <w:sz w:val="20"/>
          <w:szCs w:val="20"/>
        </w:rPr>
      </w:pPr>
      <w:r>
        <w:rPr>
          <w:rFonts w:cs="Arial"/>
        </w:rPr>
        <w:br w:type="page"/>
      </w:r>
    </w:p>
    <w:p w14:paraId="291D85E5" w14:textId="77777777" w:rsidR="00AD0F38" w:rsidRPr="004E5E60" w:rsidRDefault="004E5E60" w:rsidP="004E5E60">
      <w:pPr>
        <w:pStyle w:val="IRPsanstext"/>
        <w:rPr>
          <w:rFonts w:cs="Arial"/>
          <w:b/>
          <w:color w:val="156570"/>
          <w:sz w:val="32"/>
          <w:szCs w:val="32"/>
        </w:rPr>
      </w:pPr>
      <w:r>
        <w:rPr>
          <w:rFonts w:cs="Arial"/>
          <w:b/>
          <w:color w:val="156570"/>
          <w:sz w:val="32"/>
          <w:szCs w:val="32"/>
        </w:rPr>
        <w:t>GAS-FOR-POWER PORTFOLIO ANALYSIS</w:t>
      </w:r>
    </w:p>
    <w:p w14:paraId="6CA67762" w14:textId="77777777" w:rsidR="004E5E60" w:rsidRPr="004E5E60" w:rsidRDefault="004E5E60" w:rsidP="004E5E60">
      <w:pPr>
        <w:pStyle w:val="IRPsanstext"/>
        <w:rPr>
          <w:rFonts w:cs="Arial"/>
        </w:rPr>
      </w:pPr>
    </w:p>
    <w:p w14:paraId="493ED899" w14:textId="77777777" w:rsidR="000A6E07" w:rsidRDefault="000A6E07" w:rsidP="000A6E07">
      <w:pPr>
        <w:pStyle w:val="IRPsanstext"/>
      </w:pPr>
      <w:r>
        <w:t xml:space="preserve">Natural gas fuel for power generation is vital to the electric utility’s ability to meet customer peak demand reliably. In fact, every IRP since 2007 has identified natural gas-fired generation as the most cost-effective supply-side addition for PSE portfolios. This IRP is no different: All of the electric portfolios produced by the analysis include the addition of substantial amounts of gas-fired generation as part of the solution to meeting future electricity demand. </w:t>
      </w:r>
    </w:p>
    <w:p w14:paraId="0B0831F0" w14:textId="77777777" w:rsidR="000A6E07" w:rsidRDefault="000A6E07" w:rsidP="000A6E07">
      <w:pPr>
        <w:pStyle w:val="IRPsanstext"/>
      </w:pPr>
    </w:p>
    <w:p w14:paraId="54707B2F" w14:textId="77777777" w:rsidR="000A6E07" w:rsidRDefault="000A6E07" w:rsidP="000A6E07">
      <w:pPr>
        <w:pStyle w:val="IRPsanstext"/>
      </w:pPr>
      <w:r>
        <w:t xml:space="preserve">Determining the resources necessary to ensure that natural gas fuel is available when needed is not a straightforward exercise.  Although both CCCTs and </w:t>
      </w:r>
      <w:proofErr w:type="spellStart"/>
      <w:r>
        <w:t>peakers</w:t>
      </w:r>
      <w:proofErr w:type="spellEnd"/>
      <w:r>
        <w:t xml:space="preserve"> are needed to meet peak demand, they require different types of fuel resources. CCCTs are assumed to need 100 percent firm gas transportation since th</w:t>
      </w:r>
      <w:r w:rsidR="00794D2D">
        <w:t xml:space="preserve">eir higher efficiency means they </w:t>
      </w:r>
      <w:r>
        <w:t xml:space="preserve">are dispatched more frequently than </w:t>
      </w:r>
      <w:proofErr w:type="spellStart"/>
      <w:r>
        <w:t>peakers</w:t>
      </w:r>
      <w:proofErr w:type="spellEnd"/>
      <w:r>
        <w:t xml:space="preserve">. </w:t>
      </w:r>
      <w:proofErr w:type="spellStart"/>
      <w:r>
        <w:t>Peakers</w:t>
      </w:r>
      <w:proofErr w:type="spellEnd"/>
      <w:r>
        <w:t>, on the other hand,</w:t>
      </w:r>
      <w:r w:rsidRPr="00722C2F">
        <w:t xml:space="preserve"> </w:t>
      </w:r>
      <w:r>
        <w:t xml:space="preserve">generally </w:t>
      </w:r>
      <w:r w:rsidRPr="00722C2F">
        <w:t xml:space="preserve">operate </w:t>
      </w:r>
      <w:r>
        <w:t xml:space="preserve">with </w:t>
      </w:r>
      <w:r w:rsidRPr="00722C2F">
        <w:t>temporary</w:t>
      </w:r>
      <w:r>
        <w:t>, non-firm</w:t>
      </w:r>
      <w:r w:rsidRPr="00722C2F">
        <w:t xml:space="preserve"> pipeline capacity purchased from </w:t>
      </w:r>
      <w:r>
        <w:t xml:space="preserve">either </w:t>
      </w:r>
      <w:r w:rsidRPr="00722C2F">
        <w:t xml:space="preserve">the </w:t>
      </w:r>
      <w:r>
        <w:t xml:space="preserve">gas sales book, the pipeline, or through the </w:t>
      </w:r>
      <w:r w:rsidRPr="00722C2F">
        <w:t>capacity release ma</w:t>
      </w:r>
      <w:r>
        <w:t xml:space="preserve">rket, because they are expected to run fewer hours than CCCTs due to their higher, less efficient heat rates. </w:t>
      </w:r>
    </w:p>
    <w:p w14:paraId="7A32A059" w14:textId="77777777" w:rsidR="000A6E07" w:rsidRDefault="000A6E07" w:rsidP="000A6E07">
      <w:pPr>
        <w:pStyle w:val="IRPsanstext"/>
      </w:pPr>
    </w:p>
    <w:p w14:paraId="033E7437" w14:textId="77777777" w:rsidR="000A6E07" w:rsidRPr="00BB49EB" w:rsidRDefault="000A6E07" w:rsidP="000A6E07">
      <w:pPr>
        <w:pStyle w:val="IRPsanstext"/>
      </w:pPr>
      <w:r>
        <w:t xml:space="preserve">PSE’s owned </w:t>
      </w:r>
      <w:proofErr w:type="spellStart"/>
      <w:r>
        <w:t>peakers</w:t>
      </w:r>
      <w:proofErr w:type="spellEnd"/>
      <w:r>
        <w:t xml:space="preserve"> have dual-fuel capability; that is, they can use either natural gas or distillate fuel (oil) to generate power. Under existing emissions limitations, these plants are allowed to use both forms of fuel.  We also have the necessary permits for one additional dual-fuel </w:t>
      </w:r>
      <w:proofErr w:type="spellStart"/>
      <w:r>
        <w:t>peaker</w:t>
      </w:r>
      <w:proofErr w:type="spellEnd"/>
      <w:r>
        <w:t>.   Beyond the first additional peaking plant, we assumed the facility would require 50 percent firm gas pipeline transportation</w:t>
      </w:r>
      <w:r w:rsidR="0020207E">
        <w:t>.</w:t>
      </w:r>
      <w:r>
        <w:t xml:space="preserve"> Currently, the future of environmental constraints on CO</w:t>
      </w:r>
      <w:r w:rsidRPr="004B5052">
        <w:rPr>
          <w:vertAlign w:val="subscript"/>
        </w:rPr>
        <w:t>2</w:t>
      </w:r>
      <w:r>
        <w:t xml:space="preserve"> emissions is uncertain, so it was reasonable to assume new </w:t>
      </w:r>
      <w:proofErr w:type="spellStart"/>
      <w:r>
        <w:t>peakers</w:t>
      </w:r>
      <w:proofErr w:type="spellEnd"/>
      <w:r>
        <w:t xml:space="preserve"> may not receive the permits necessary to generate with oil in all the hours necessary for meeting peak demand.  Therefore, </w:t>
      </w:r>
      <w:proofErr w:type="spellStart"/>
      <w:r>
        <w:t>peakers</w:t>
      </w:r>
      <w:proofErr w:type="spellEnd"/>
      <w:r>
        <w:t xml:space="preserve"> beyond the first addition are assumed to be able to generate with distillate fuel oil for some – but not all – of the hours needed to meet peak; hence the addition of 50 percent firm pipeline capacity.  We will adjust this expectation according to conditions as they develop in the future. </w:t>
      </w:r>
    </w:p>
    <w:p w14:paraId="0DFD1B74" w14:textId="77777777" w:rsidR="000A6E07" w:rsidRDefault="000A6E07" w:rsidP="000A6E07">
      <w:pPr>
        <w:pStyle w:val="IRPsanstext"/>
      </w:pPr>
    </w:p>
    <w:p w14:paraId="4212F0D5" w14:textId="77777777" w:rsidR="00030B29" w:rsidRDefault="00030B29">
      <w:pPr>
        <w:rPr>
          <w:rFonts w:ascii="Arial" w:hAnsi="Arial" w:cs="Arial"/>
          <w:color w:val="000000"/>
          <w:sz w:val="32"/>
          <w:szCs w:val="32"/>
        </w:rPr>
      </w:pPr>
      <w:r>
        <w:br w:type="page"/>
      </w:r>
    </w:p>
    <w:p w14:paraId="6BADF4FE" w14:textId="77777777" w:rsidR="000A6E07" w:rsidRDefault="000A6E07" w:rsidP="000A6E07">
      <w:pPr>
        <w:pStyle w:val="IRPsecthead1serif"/>
      </w:pPr>
      <w:r>
        <w:t>Gas-for-power Resource Need</w:t>
      </w:r>
    </w:p>
    <w:p w14:paraId="0B9C9768" w14:textId="77777777" w:rsidR="000A6E07" w:rsidRDefault="000A6E07" w:rsidP="000A6E07">
      <w:pPr>
        <w:pStyle w:val="IRPsanstext"/>
      </w:pPr>
    </w:p>
    <w:p w14:paraId="11693040" w14:textId="77777777" w:rsidR="000A6E07" w:rsidRDefault="00855BD7" w:rsidP="000A6E07">
      <w:pPr>
        <w:pStyle w:val="IRPsanstext"/>
      </w:pPr>
      <w:r>
        <w:t>Figure 6-56</w:t>
      </w:r>
      <w:r w:rsidR="000A6E07">
        <w:t xml:space="preserve"> describes gas-for-power needs for the Base Scenario electric</w:t>
      </w:r>
      <w:r w:rsidR="0020207E">
        <w:t xml:space="preserve"> </w:t>
      </w:r>
      <w:r w:rsidR="000A6E07">
        <w:t>portfolio forecast. This portfolio added 2 new CCCTs,</w:t>
      </w:r>
      <w:r w:rsidR="00A06060">
        <w:t xml:space="preserve"> a 577 MW plant in 2026 and a 22</w:t>
      </w:r>
      <w:r w:rsidR="000A6E07">
        <w:t xml:space="preserve">8 MW plant in 2033; it also added </w:t>
      </w:r>
      <w:proofErr w:type="spellStart"/>
      <w:r w:rsidR="000A6E07">
        <w:t>peakers</w:t>
      </w:r>
      <w:proofErr w:type="spellEnd"/>
      <w:r w:rsidR="000A6E07">
        <w:t xml:space="preserve"> with oil backu</w:t>
      </w:r>
      <w:r w:rsidR="008727E6">
        <w:t xml:space="preserve">p in 2021, 2025 and 2030.  The </w:t>
      </w:r>
      <w:proofErr w:type="spellStart"/>
      <w:r w:rsidR="008727E6">
        <w:t>p</w:t>
      </w:r>
      <w:r w:rsidR="000A6E07">
        <w:t>eaker</w:t>
      </w:r>
      <w:proofErr w:type="spellEnd"/>
      <w:r w:rsidR="000A6E07">
        <w:t xml:space="preserve"> added in 2021 is already permitted with the capacity to meet peak winter demand with distillate fuel </w:t>
      </w:r>
      <w:proofErr w:type="gramStart"/>
      <w:r w:rsidR="000A6E07">
        <w:t>oil,</w:t>
      </w:r>
      <w:proofErr w:type="gramEnd"/>
      <w:r w:rsidR="000A6E07">
        <w:t xml:space="preserve"> so additional pipeline capacity isn’t needed until the winter of 2026 when the second </w:t>
      </w:r>
      <w:proofErr w:type="spellStart"/>
      <w:r w:rsidR="000A6E07">
        <w:t>peaker</w:t>
      </w:r>
      <w:proofErr w:type="spellEnd"/>
      <w:r w:rsidR="000A6E07">
        <w:t xml:space="preserve"> and first CCCT additions are made. The pipeline capacity requirements shown below include the gas-for-power need for both CCCTs.  The green line assumes the </w:t>
      </w:r>
      <w:proofErr w:type="spellStart"/>
      <w:r w:rsidR="000A6E07">
        <w:t>peakers</w:t>
      </w:r>
      <w:proofErr w:type="spellEnd"/>
      <w:r w:rsidR="000A6E07">
        <w:t xml:space="preserve"> added in 2025 and 2030 require 50 percent firm pipeline capacity; the purple line assumes the </w:t>
      </w:r>
      <w:proofErr w:type="spellStart"/>
      <w:r w:rsidR="000A6E07">
        <w:t>peakers</w:t>
      </w:r>
      <w:proofErr w:type="spellEnd"/>
      <w:r w:rsidR="000A6E07">
        <w:t xml:space="preserve"> require no additional firm pipeline capacity because they can use oil for backup fuel. These needs are shown in Figure 6-</w:t>
      </w:r>
      <w:r>
        <w:t>56</w:t>
      </w:r>
      <w:r w:rsidR="000A6E07">
        <w:t>.</w:t>
      </w:r>
    </w:p>
    <w:p w14:paraId="0B6CB4F6" w14:textId="77777777" w:rsidR="004E5935" w:rsidRDefault="0020207E" w:rsidP="00980573">
      <w:pPr>
        <w:pStyle w:val="IRPfiguresub0"/>
        <w:spacing w:before="100" w:after="100" w:line="320" w:lineRule="exact"/>
        <w:jc w:val="center"/>
      </w:pPr>
      <w:r>
        <w:rPr>
          <w:b w:val="0"/>
          <w:i/>
          <w:noProof/>
          <w:lang w:eastAsia="en-US"/>
        </w:rPr>
        <w:drawing>
          <wp:anchor distT="0" distB="0" distL="114300" distR="114300" simplePos="0" relativeHeight="251662848" behindDoc="0" locked="0" layoutInCell="1" allowOverlap="1" wp14:anchorId="7C5343A4" wp14:editId="2156EE61">
            <wp:simplePos x="0" y="0"/>
            <wp:positionH relativeFrom="column">
              <wp:posOffset>51435</wp:posOffset>
            </wp:positionH>
            <wp:positionV relativeFrom="paragraph">
              <wp:posOffset>734060</wp:posOffset>
            </wp:positionV>
            <wp:extent cx="5303520" cy="303911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03520" cy="3039110"/>
                    </a:xfrm>
                    <a:prstGeom prst="rect">
                      <a:avLst/>
                    </a:prstGeom>
                    <a:noFill/>
                  </pic:spPr>
                </pic:pic>
              </a:graphicData>
            </a:graphic>
          </wp:anchor>
        </w:drawing>
      </w:r>
      <w:r w:rsidR="004E5935" w:rsidRPr="00980573">
        <w:rPr>
          <w:b w:val="0"/>
          <w:i/>
        </w:rPr>
        <w:t>Figure 6-</w:t>
      </w:r>
      <w:r w:rsidR="00855BD7">
        <w:rPr>
          <w:b w:val="0"/>
          <w:i/>
        </w:rPr>
        <w:t>56</w:t>
      </w:r>
      <w:r w:rsidR="008727E6">
        <w:rPr>
          <w:b w:val="0"/>
          <w:i/>
        </w:rPr>
        <w:t>:</w:t>
      </w:r>
      <w:r w:rsidR="008727E6">
        <w:t xml:space="preserve"> </w:t>
      </w:r>
      <w:r w:rsidR="004E5935" w:rsidRPr="00980573">
        <w:rPr>
          <w:b w:val="0"/>
          <w:i/>
        </w:rPr>
        <w:t>Two Views of Gas-for-power Resource Need</w:t>
      </w:r>
      <w:r w:rsidR="004E5935" w:rsidRPr="00980573">
        <w:rPr>
          <w:b w:val="0"/>
          <w:i/>
        </w:rPr>
        <w:br/>
      </w:r>
      <w:r w:rsidR="008727E6">
        <w:rPr>
          <w:b w:val="0"/>
          <w:i/>
        </w:rPr>
        <w:t>(</w:t>
      </w:r>
      <w:r w:rsidR="004E5935" w:rsidRPr="00980573">
        <w:rPr>
          <w:b w:val="0"/>
          <w:i/>
        </w:rPr>
        <w:t>Existing gas-for-power gas transportation resources compared to peak day demand</w:t>
      </w:r>
      <w:r w:rsidR="008727E6">
        <w:rPr>
          <w:b w:val="0"/>
          <w:i/>
        </w:rPr>
        <w:t>)</w:t>
      </w:r>
      <w:r w:rsidR="004E5935" w:rsidRPr="00980573">
        <w:rPr>
          <w:b w:val="0"/>
          <w:i/>
        </w:rPr>
        <w:br/>
      </w:r>
    </w:p>
    <w:p w14:paraId="6466ED33" w14:textId="77777777" w:rsidR="00C0343B" w:rsidRPr="00980573" w:rsidRDefault="00980573" w:rsidP="00030B29">
      <w:pPr>
        <w:pStyle w:val="IRPfiguresub0"/>
        <w:spacing w:beforeAutospacing="0" w:after="120" w:afterAutospacing="0"/>
        <w:jc w:val="center"/>
        <w:rPr>
          <w:b w:val="0"/>
          <w:i/>
        </w:rPr>
      </w:pPr>
      <w:r>
        <w:rPr>
          <w:b w:val="0"/>
          <w:i/>
        </w:rPr>
        <w:t>Figure 6-</w:t>
      </w:r>
      <w:r w:rsidR="00855BD7">
        <w:rPr>
          <w:b w:val="0"/>
          <w:i/>
        </w:rPr>
        <w:t>57</w:t>
      </w:r>
      <w:r w:rsidR="008727E6">
        <w:rPr>
          <w:b w:val="0"/>
          <w:i/>
        </w:rPr>
        <w:t>:</w:t>
      </w:r>
      <w:r w:rsidRPr="00980573">
        <w:rPr>
          <w:b w:val="0"/>
          <w:i/>
        </w:rPr>
        <w:t xml:space="preserve"> </w:t>
      </w:r>
      <w:r w:rsidR="004E5935" w:rsidRPr="00980573">
        <w:rPr>
          <w:b w:val="0"/>
          <w:i/>
        </w:rPr>
        <w:t xml:space="preserve">Forecast Gas-for-power Pipeline </w:t>
      </w:r>
      <w:r w:rsidR="000A6E07">
        <w:rPr>
          <w:b w:val="0"/>
          <w:i/>
        </w:rPr>
        <w:t xml:space="preserve">Capacity </w:t>
      </w:r>
      <w:r w:rsidR="004E5935" w:rsidRPr="00980573">
        <w:rPr>
          <w:b w:val="0"/>
          <w:i/>
        </w:rPr>
        <w:t>Need</w:t>
      </w:r>
    </w:p>
    <w:tbl>
      <w:tblPr>
        <w:tblW w:w="83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5"/>
        <w:gridCol w:w="1170"/>
        <w:gridCol w:w="1170"/>
        <w:gridCol w:w="1170"/>
        <w:gridCol w:w="1170"/>
      </w:tblGrid>
      <w:tr w:rsidR="00C0343B" w:rsidRPr="002873A4" w14:paraId="6AC3E195" w14:textId="77777777">
        <w:trPr>
          <w:trHeight w:val="368"/>
        </w:trPr>
        <w:tc>
          <w:tcPr>
            <w:tcW w:w="3705" w:type="dxa"/>
            <w:shd w:val="clear" w:color="000000" w:fill="156570"/>
            <w:vAlign w:val="center"/>
          </w:tcPr>
          <w:p w14:paraId="5BA6A155" w14:textId="77777777" w:rsidR="00C0343B" w:rsidRPr="0067369A" w:rsidRDefault="00C0343B" w:rsidP="00A06060">
            <w:pPr>
              <w:pStyle w:val="IRPsanstext"/>
              <w:rPr>
                <w:rFonts w:eastAsia="Times New Roman" w:cs="Arial"/>
                <w:b/>
                <w:bCs/>
                <w:color w:val="FFFFFF"/>
              </w:rPr>
            </w:pPr>
            <w:r>
              <w:rPr>
                <w:rFonts w:eastAsia="Times New Roman" w:cs="Arial"/>
                <w:b/>
                <w:bCs/>
                <w:color w:val="FFFFFF"/>
              </w:rPr>
              <w:t>Forecast Pipeline Need (</w:t>
            </w:r>
            <w:proofErr w:type="spellStart"/>
            <w:r>
              <w:rPr>
                <w:rFonts w:eastAsia="Times New Roman" w:cs="Arial"/>
                <w:b/>
                <w:bCs/>
                <w:color w:val="FFFFFF"/>
              </w:rPr>
              <w:t>MDth</w:t>
            </w:r>
            <w:proofErr w:type="spellEnd"/>
            <w:r>
              <w:rPr>
                <w:rFonts w:eastAsia="Times New Roman" w:cs="Arial"/>
                <w:b/>
                <w:bCs/>
                <w:color w:val="FFFFFF"/>
              </w:rPr>
              <w:t>/day)</w:t>
            </w:r>
          </w:p>
        </w:tc>
        <w:tc>
          <w:tcPr>
            <w:tcW w:w="1170" w:type="dxa"/>
            <w:shd w:val="clear" w:color="000000" w:fill="156570"/>
            <w:vAlign w:val="center"/>
          </w:tcPr>
          <w:p w14:paraId="2288119F" w14:textId="77777777" w:rsidR="00C0343B" w:rsidRPr="0067369A" w:rsidRDefault="00C0343B" w:rsidP="00A06060">
            <w:pPr>
              <w:pStyle w:val="IRPsanstext"/>
              <w:jc w:val="right"/>
              <w:rPr>
                <w:rFonts w:eastAsia="Times New Roman" w:cs="Arial"/>
                <w:b/>
                <w:bCs/>
                <w:color w:val="FFFFFF"/>
              </w:rPr>
            </w:pPr>
            <w:r>
              <w:rPr>
                <w:rFonts w:eastAsia="Times New Roman" w:cs="Arial"/>
                <w:b/>
                <w:bCs/>
                <w:color w:val="FFFFFF"/>
              </w:rPr>
              <w:t>2018-19</w:t>
            </w:r>
          </w:p>
        </w:tc>
        <w:tc>
          <w:tcPr>
            <w:tcW w:w="1170" w:type="dxa"/>
            <w:shd w:val="clear" w:color="000000" w:fill="156570"/>
            <w:vAlign w:val="center"/>
          </w:tcPr>
          <w:p w14:paraId="5918CF23" w14:textId="77777777" w:rsidR="00C0343B" w:rsidRPr="0067369A" w:rsidRDefault="00C0343B" w:rsidP="00A06060">
            <w:pPr>
              <w:pStyle w:val="IRPsanstext"/>
              <w:jc w:val="right"/>
              <w:rPr>
                <w:rFonts w:eastAsia="Times New Roman" w:cs="Arial"/>
                <w:b/>
                <w:bCs/>
                <w:color w:val="FFFFFF"/>
              </w:rPr>
            </w:pPr>
            <w:r>
              <w:rPr>
                <w:rFonts w:eastAsia="Times New Roman" w:cs="Arial"/>
                <w:b/>
                <w:bCs/>
                <w:color w:val="FFFFFF"/>
              </w:rPr>
              <w:t>2026-27</w:t>
            </w:r>
          </w:p>
        </w:tc>
        <w:tc>
          <w:tcPr>
            <w:tcW w:w="1170" w:type="dxa"/>
            <w:shd w:val="clear" w:color="000000" w:fill="156570"/>
            <w:vAlign w:val="center"/>
          </w:tcPr>
          <w:p w14:paraId="27CF4B68" w14:textId="77777777" w:rsidR="00C0343B" w:rsidRPr="0067369A" w:rsidRDefault="00C0343B" w:rsidP="00A06060">
            <w:pPr>
              <w:pStyle w:val="IRPsanstext"/>
              <w:jc w:val="right"/>
              <w:rPr>
                <w:rFonts w:eastAsia="Times New Roman" w:cs="Arial"/>
                <w:b/>
                <w:bCs/>
                <w:color w:val="FFFFFF"/>
              </w:rPr>
            </w:pPr>
            <w:r>
              <w:rPr>
                <w:rFonts w:eastAsia="Times New Roman" w:cs="Arial"/>
                <w:b/>
                <w:bCs/>
                <w:color w:val="FFFFFF"/>
              </w:rPr>
              <w:t>2030-31</w:t>
            </w:r>
          </w:p>
        </w:tc>
        <w:tc>
          <w:tcPr>
            <w:tcW w:w="1170" w:type="dxa"/>
            <w:shd w:val="clear" w:color="000000" w:fill="156570"/>
            <w:vAlign w:val="center"/>
          </w:tcPr>
          <w:p w14:paraId="568C9884" w14:textId="77777777" w:rsidR="00C0343B" w:rsidRDefault="00C0343B" w:rsidP="00A06060">
            <w:pPr>
              <w:pStyle w:val="IRPsanstext"/>
              <w:jc w:val="right"/>
              <w:rPr>
                <w:rFonts w:eastAsia="Times New Roman" w:cs="Arial"/>
                <w:b/>
                <w:bCs/>
                <w:color w:val="FFFFFF"/>
              </w:rPr>
            </w:pPr>
            <w:r>
              <w:rPr>
                <w:rFonts w:eastAsia="Times New Roman" w:cs="Arial"/>
                <w:b/>
                <w:bCs/>
                <w:color w:val="FFFFFF"/>
              </w:rPr>
              <w:t>2033-34</w:t>
            </w:r>
          </w:p>
        </w:tc>
      </w:tr>
      <w:tr w:rsidR="00C0343B" w:rsidRPr="002873A4" w14:paraId="28199D6A" w14:textId="77777777">
        <w:trPr>
          <w:trHeight w:val="411"/>
        </w:trPr>
        <w:tc>
          <w:tcPr>
            <w:tcW w:w="3705" w:type="dxa"/>
            <w:shd w:val="clear" w:color="auto" w:fill="auto"/>
            <w:vAlign w:val="center"/>
          </w:tcPr>
          <w:p w14:paraId="77B204F7" w14:textId="77777777" w:rsidR="00C0343B" w:rsidRPr="002873A4" w:rsidRDefault="00C0343B" w:rsidP="00A06060">
            <w:pPr>
              <w:pStyle w:val="IRPsanstext"/>
              <w:rPr>
                <w:rFonts w:eastAsia="Times New Roman" w:cs="Arial"/>
                <w:bCs/>
                <w:color w:val="000000"/>
              </w:rPr>
            </w:pPr>
            <w:proofErr w:type="spellStart"/>
            <w:r>
              <w:rPr>
                <w:rFonts w:eastAsia="Times New Roman" w:cs="Arial"/>
                <w:bCs/>
                <w:color w:val="000000"/>
              </w:rPr>
              <w:t>Peaker</w:t>
            </w:r>
            <w:proofErr w:type="spellEnd"/>
            <w:r>
              <w:rPr>
                <w:rFonts w:eastAsia="Times New Roman" w:cs="Arial"/>
                <w:bCs/>
                <w:color w:val="000000"/>
              </w:rPr>
              <w:t xml:space="preserve"> 50% Pipeline</w:t>
            </w:r>
          </w:p>
        </w:tc>
        <w:tc>
          <w:tcPr>
            <w:tcW w:w="1170" w:type="dxa"/>
            <w:shd w:val="clear" w:color="auto" w:fill="auto"/>
            <w:vAlign w:val="center"/>
          </w:tcPr>
          <w:p w14:paraId="037570E5" w14:textId="77777777" w:rsidR="00C0343B" w:rsidRPr="002873A4" w:rsidRDefault="00C0343B" w:rsidP="00A06060">
            <w:pPr>
              <w:pStyle w:val="IRPsanstext"/>
              <w:jc w:val="right"/>
              <w:rPr>
                <w:rFonts w:eastAsia="Times New Roman" w:cs="Arial"/>
                <w:bCs/>
                <w:color w:val="000000"/>
              </w:rPr>
            </w:pPr>
            <w:r>
              <w:rPr>
                <w:rFonts w:eastAsia="Times New Roman" w:cs="Arial"/>
                <w:bCs/>
                <w:color w:val="000000"/>
              </w:rPr>
              <w:t>11</w:t>
            </w:r>
          </w:p>
        </w:tc>
        <w:tc>
          <w:tcPr>
            <w:tcW w:w="1170" w:type="dxa"/>
            <w:shd w:val="clear" w:color="auto" w:fill="auto"/>
            <w:vAlign w:val="center"/>
          </w:tcPr>
          <w:p w14:paraId="4B78A9BA" w14:textId="77777777" w:rsidR="00C0343B" w:rsidRPr="002873A4" w:rsidRDefault="00C0343B" w:rsidP="00A06060">
            <w:pPr>
              <w:pStyle w:val="IRPsanstext"/>
              <w:jc w:val="right"/>
              <w:rPr>
                <w:rFonts w:eastAsia="Times New Roman" w:cs="Arial"/>
                <w:bCs/>
                <w:color w:val="000000"/>
              </w:rPr>
            </w:pPr>
            <w:r>
              <w:rPr>
                <w:rFonts w:eastAsia="Times New Roman" w:cs="Arial"/>
                <w:bCs/>
                <w:color w:val="000000"/>
              </w:rPr>
              <w:t>106</w:t>
            </w:r>
          </w:p>
        </w:tc>
        <w:tc>
          <w:tcPr>
            <w:tcW w:w="1170" w:type="dxa"/>
            <w:shd w:val="clear" w:color="auto" w:fill="auto"/>
            <w:vAlign w:val="center"/>
          </w:tcPr>
          <w:p w14:paraId="6F1428AC" w14:textId="77777777" w:rsidR="00C0343B" w:rsidRPr="002873A4" w:rsidRDefault="00C0343B" w:rsidP="00A06060">
            <w:pPr>
              <w:pStyle w:val="IRPsanstext"/>
              <w:jc w:val="right"/>
              <w:rPr>
                <w:rFonts w:eastAsia="Times New Roman" w:cs="Arial"/>
                <w:bCs/>
                <w:color w:val="000000"/>
              </w:rPr>
            </w:pPr>
            <w:r>
              <w:rPr>
                <w:rFonts w:eastAsia="Times New Roman" w:cs="Arial"/>
                <w:bCs/>
                <w:color w:val="000000"/>
              </w:rPr>
              <w:t>130</w:t>
            </w:r>
          </w:p>
        </w:tc>
        <w:tc>
          <w:tcPr>
            <w:tcW w:w="1170" w:type="dxa"/>
            <w:vAlign w:val="center"/>
          </w:tcPr>
          <w:p w14:paraId="73694219" w14:textId="77777777" w:rsidR="00C0343B" w:rsidRPr="002873A4" w:rsidRDefault="00C0343B" w:rsidP="00A06060">
            <w:pPr>
              <w:pStyle w:val="IRPsanstext"/>
              <w:jc w:val="right"/>
              <w:rPr>
                <w:rFonts w:eastAsia="Times New Roman" w:cs="Arial"/>
                <w:bCs/>
                <w:color w:val="000000"/>
              </w:rPr>
            </w:pPr>
            <w:r>
              <w:rPr>
                <w:rFonts w:eastAsia="Times New Roman" w:cs="Arial"/>
                <w:bCs/>
                <w:color w:val="000000"/>
              </w:rPr>
              <w:t>167</w:t>
            </w:r>
          </w:p>
        </w:tc>
      </w:tr>
      <w:tr w:rsidR="00C0343B" w:rsidRPr="002873A4" w14:paraId="60ABD9F8" w14:textId="77777777">
        <w:trPr>
          <w:trHeight w:val="411"/>
        </w:trPr>
        <w:tc>
          <w:tcPr>
            <w:tcW w:w="3705" w:type="dxa"/>
            <w:shd w:val="clear" w:color="auto" w:fill="auto"/>
            <w:vAlign w:val="center"/>
          </w:tcPr>
          <w:p w14:paraId="79B8A75F" w14:textId="77777777" w:rsidR="00C0343B" w:rsidRPr="002873A4" w:rsidRDefault="00C0343B" w:rsidP="00A06060">
            <w:pPr>
              <w:pStyle w:val="IRPsanstext"/>
              <w:rPr>
                <w:rFonts w:eastAsia="Times New Roman" w:cs="Arial"/>
                <w:color w:val="000000"/>
              </w:rPr>
            </w:pPr>
            <w:proofErr w:type="spellStart"/>
            <w:r>
              <w:rPr>
                <w:rFonts w:eastAsia="Times New Roman" w:cs="Arial"/>
                <w:color w:val="000000"/>
              </w:rPr>
              <w:t>Peaker</w:t>
            </w:r>
            <w:proofErr w:type="spellEnd"/>
            <w:r>
              <w:rPr>
                <w:rFonts w:eastAsia="Times New Roman" w:cs="Arial"/>
                <w:color w:val="000000"/>
              </w:rPr>
              <w:t xml:space="preserve"> No Pipeline</w:t>
            </w:r>
          </w:p>
        </w:tc>
        <w:tc>
          <w:tcPr>
            <w:tcW w:w="1170" w:type="dxa"/>
            <w:shd w:val="clear" w:color="auto" w:fill="auto"/>
            <w:vAlign w:val="center"/>
          </w:tcPr>
          <w:p w14:paraId="3BF9ECBC" w14:textId="77777777" w:rsidR="00C0343B" w:rsidRPr="002873A4" w:rsidRDefault="00C0343B" w:rsidP="00A06060">
            <w:pPr>
              <w:pStyle w:val="IRPsanstext"/>
              <w:jc w:val="right"/>
              <w:rPr>
                <w:rFonts w:eastAsia="Times New Roman" w:cs="Arial"/>
                <w:color w:val="000000"/>
              </w:rPr>
            </w:pPr>
            <w:r>
              <w:rPr>
                <w:rFonts w:eastAsia="Times New Roman" w:cs="Arial"/>
                <w:color w:val="000000"/>
              </w:rPr>
              <w:t>-</w:t>
            </w:r>
          </w:p>
        </w:tc>
        <w:tc>
          <w:tcPr>
            <w:tcW w:w="1170" w:type="dxa"/>
            <w:shd w:val="clear" w:color="auto" w:fill="auto"/>
            <w:vAlign w:val="center"/>
          </w:tcPr>
          <w:p w14:paraId="7DFBC0A2" w14:textId="77777777" w:rsidR="00C0343B" w:rsidRPr="002873A4" w:rsidRDefault="00C0343B" w:rsidP="00A06060">
            <w:pPr>
              <w:pStyle w:val="IRPsanstext"/>
              <w:jc w:val="right"/>
              <w:rPr>
                <w:rFonts w:eastAsia="Times New Roman" w:cs="Arial"/>
                <w:color w:val="000000"/>
              </w:rPr>
            </w:pPr>
            <w:r>
              <w:rPr>
                <w:rFonts w:eastAsia="Times New Roman" w:cs="Arial"/>
                <w:color w:val="000000"/>
              </w:rPr>
              <w:t>91</w:t>
            </w:r>
          </w:p>
        </w:tc>
        <w:tc>
          <w:tcPr>
            <w:tcW w:w="1170" w:type="dxa"/>
            <w:shd w:val="clear" w:color="auto" w:fill="auto"/>
            <w:vAlign w:val="center"/>
          </w:tcPr>
          <w:p w14:paraId="3E1A0CF9" w14:textId="77777777" w:rsidR="00C0343B" w:rsidRPr="0067369A" w:rsidRDefault="00C0343B" w:rsidP="00A06060">
            <w:pPr>
              <w:pStyle w:val="IRPsanstext"/>
              <w:jc w:val="right"/>
              <w:rPr>
                <w:rFonts w:eastAsia="Times New Roman" w:cs="Arial"/>
              </w:rPr>
            </w:pPr>
            <w:r>
              <w:rPr>
                <w:rFonts w:eastAsia="Times New Roman" w:cs="Arial"/>
              </w:rPr>
              <w:t>91</w:t>
            </w:r>
          </w:p>
        </w:tc>
        <w:tc>
          <w:tcPr>
            <w:tcW w:w="1170" w:type="dxa"/>
            <w:vAlign w:val="center"/>
          </w:tcPr>
          <w:p w14:paraId="08708BB2" w14:textId="77777777" w:rsidR="00C0343B" w:rsidRPr="0067369A" w:rsidRDefault="00C0343B" w:rsidP="00A06060">
            <w:pPr>
              <w:pStyle w:val="IRPsanstext"/>
              <w:jc w:val="right"/>
              <w:rPr>
                <w:rFonts w:eastAsia="Times New Roman" w:cs="Arial"/>
              </w:rPr>
            </w:pPr>
            <w:r>
              <w:rPr>
                <w:rFonts w:eastAsia="Times New Roman" w:cs="Arial"/>
              </w:rPr>
              <w:t>129</w:t>
            </w:r>
          </w:p>
        </w:tc>
      </w:tr>
    </w:tbl>
    <w:p w14:paraId="3BD5E2AD" w14:textId="77777777" w:rsidR="004E5935" w:rsidRPr="00980573" w:rsidRDefault="004E5935" w:rsidP="00980573">
      <w:pPr>
        <w:pStyle w:val="IRPfiguresub0"/>
        <w:jc w:val="center"/>
        <w:rPr>
          <w:b w:val="0"/>
          <w:i/>
        </w:rPr>
      </w:pPr>
    </w:p>
    <w:p w14:paraId="1765C9B0" w14:textId="77777777" w:rsidR="004E5935" w:rsidRPr="008727E6" w:rsidRDefault="004E5935" w:rsidP="008727E6">
      <w:pPr>
        <w:pStyle w:val="IRPsecthead1serif"/>
        <w:rPr>
          <w:rFonts w:ascii="Palatino" w:hAnsi="Palatino"/>
          <w:sz w:val="40"/>
        </w:rPr>
      </w:pPr>
      <w:r>
        <w:br w:type="page"/>
      </w:r>
      <w:r w:rsidR="000A6E07">
        <w:t>Existing Supply-Side Resources</w:t>
      </w:r>
    </w:p>
    <w:p w14:paraId="36F71950" w14:textId="77777777" w:rsidR="004E5935" w:rsidRDefault="004E5935" w:rsidP="004E5935">
      <w:pPr>
        <w:pStyle w:val="irpsubsanstext16"/>
      </w:pPr>
      <w:r w:rsidRPr="008727E6">
        <w:rPr>
          <w:sz w:val="20"/>
        </w:rPr>
        <w:t>Pipeline</w:t>
      </w:r>
      <w:r w:rsidRPr="00A96E96">
        <w:t xml:space="preserve"> and storage capacity</w:t>
      </w:r>
      <w:r>
        <w:t xml:space="preserve"> </w:t>
      </w:r>
    </w:p>
    <w:p w14:paraId="4092EAA1" w14:textId="77777777" w:rsidR="004E5935" w:rsidRDefault="004E5935" w:rsidP="004E5935">
      <w:pPr>
        <w:pStyle w:val="IRPsanstext"/>
      </w:pPr>
      <w:r>
        <w:t>Figure 6-</w:t>
      </w:r>
      <w:r w:rsidR="00855BD7">
        <w:t>58</w:t>
      </w:r>
      <w:r>
        <w:t xml:space="preserve"> summarizes the firm pipeline transportation capacity for delivery of fuel to PSE’s gas-fired generation plants.</w:t>
      </w:r>
    </w:p>
    <w:p w14:paraId="5F3FF0C9" w14:textId="77777777" w:rsidR="004943C1" w:rsidRDefault="004943C1" w:rsidP="004E5935">
      <w:pPr>
        <w:pStyle w:val="IRPsanstext"/>
      </w:pPr>
    </w:p>
    <w:p w14:paraId="3305481B" w14:textId="77777777" w:rsidR="004E5935" w:rsidRDefault="004E5935" w:rsidP="000E4F6D">
      <w:pPr>
        <w:pStyle w:val="IRPfiguresub0"/>
        <w:spacing w:beforeAutospacing="0" w:after="120" w:afterAutospacing="0"/>
        <w:jc w:val="center"/>
        <w:rPr>
          <w:b w:val="0"/>
          <w:i/>
        </w:rPr>
      </w:pPr>
      <w:r w:rsidRPr="00980573">
        <w:rPr>
          <w:b w:val="0"/>
          <w:i/>
        </w:rPr>
        <w:t>Figure 6-</w:t>
      </w:r>
      <w:r w:rsidR="00855BD7">
        <w:rPr>
          <w:b w:val="0"/>
          <w:i/>
        </w:rPr>
        <w:t>58</w:t>
      </w:r>
      <w:r w:rsidR="008727E6">
        <w:rPr>
          <w:b w:val="0"/>
          <w:i/>
        </w:rPr>
        <w:t>:</w:t>
      </w:r>
      <w:r w:rsidR="00980573" w:rsidRPr="00980573">
        <w:rPr>
          <w:b w:val="0"/>
          <w:i/>
        </w:rPr>
        <w:t xml:space="preserve"> </w:t>
      </w:r>
      <w:r w:rsidR="008727E6">
        <w:rPr>
          <w:b w:val="0"/>
          <w:i/>
        </w:rPr>
        <w:t>Gas-for-p</w:t>
      </w:r>
      <w:r w:rsidRPr="00980573">
        <w:rPr>
          <w:b w:val="0"/>
          <w:i/>
        </w:rPr>
        <w:t>ower Generation Gas Pipeline Capacity (</w:t>
      </w:r>
      <w:proofErr w:type="spellStart"/>
      <w:r w:rsidRPr="00980573">
        <w:rPr>
          <w:b w:val="0"/>
          <w:i/>
        </w:rPr>
        <w:t>Dth</w:t>
      </w:r>
      <w:proofErr w:type="spellEnd"/>
      <w:r w:rsidRPr="00980573">
        <w:rPr>
          <w:b w:val="0"/>
          <w:i/>
        </w:rPr>
        <w:t>/day)</w:t>
      </w:r>
    </w:p>
    <w:p w14:paraId="6CABFBAA" w14:textId="77777777" w:rsidR="004943C1" w:rsidRDefault="004943C1" w:rsidP="000E4F6D">
      <w:pPr>
        <w:pStyle w:val="IRPfiguresub0"/>
        <w:spacing w:beforeAutospacing="0" w:after="120" w:afterAutospacing="0"/>
        <w:jc w:val="center"/>
        <w:rPr>
          <w:b w:val="0"/>
          <w:i/>
        </w:rPr>
      </w:pPr>
      <w:r>
        <w:rPr>
          <w:b w:val="0"/>
          <w:i/>
          <w:noProof/>
          <w:lang w:eastAsia="en-US"/>
        </w:rPr>
        <w:drawing>
          <wp:inline distT="0" distB="0" distL="0" distR="0" wp14:anchorId="1F03C633" wp14:editId="6ED74686">
            <wp:extent cx="5476240" cy="1838960"/>
            <wp:effectExtent l="0" t="0" r="0" b="0"/>
            <wp:docPr id="26" name="Picture 26" descr="Macintosh HD:Users:annrhodes:Desktop:chap6_58_pg9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rhodes:Desktop:chap6_58_pg96a.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76240" cy="1838960"/>
                    </a:xfrm>
                    <a:prstGeom prst="rect">
                      <a:avLst/>
                    </a:prstGeom>
                    <a:noFill/>
                    <a:ln>
                      <a:noFill/>
                    </a:ln>
                  </pic:spPr>
                </pic:pic>
              </a:graphicData>
            </a:graphic>
          </wp:inline>
        </w:drawing>
      </w:r>
    </w:p>
    <w:p w14:paraId="1CE28A04" w14:textId="77777777" w:rsidR="004943C1" w:rsidRDefault="004943C1" w:rsidP="004943C1">
      <w:pPr>
        <w:pStyle w:val="IRPfiguresub0"/>
        <w:spacing w:beforeAutospacing="0" w:afterAutospacing="0"/>
        <w:jc w:val="center"/>
        <w:rPr>
          <w:b w:val="0"/>
          <w:i/>
        </w:rPr>
      </w:pPr>
    </w:p>
    <w:p w14:paraId="39D58C9A" w14:textId="77777777" w:rsidR="00963B31" w:rsidRPr="004943C1" w:rsidRDefault="004943C1" w:rsidP="004943C1">
      <w:pPr>
        <w:pStyle w:val="IRPfiguresub0"/>
        <w:spacing w:beforeAutospacing="0" w:after="120" w:afterAutospacing="0"/>
        <w:jc w:val="center"/>
        <w:rPr>
          <w:b w:val="0"/>
          <w:i/>
        </w:rPr>
      </w:pPr>
      <w:r>
        <w:rPr>
          <w:b w:val="0"/>
          <w:i/>
          <w:noProof/>
          <w:lang w:eastAsia="en-US"/>
        </w:rPr>
        <w:drawing>
          <wp:inline distT="0" distB="0" distL="0" distR="0" wp14:anchorId="53B98521" wp14:editId="0F3525F9">
            <wp:extent cx="5476240" cy="3037840"/>
            <wp:effectExtent l="0" t="0" r="0" b="0"/>
            <wp:docPr id="31" name="Picture 31" descr="Macintosh HD:Users:annrhodes:Desktop:chap6_58_pg9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rhodes:Desktop:chap6_58_pg95b.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76240" cy="3037840"/>
                    </a:xfrm>
                    <a:prstGeom prst="rect">
                      <a:avLst/>
                    </a:prstGeom>
                    <a:noFill/>
                    <a:ln>
                      <a:noFill/>
                    </a:ln>
                  </pic:spPr>
                </pic:pic>
              </a:graphicData>
            </a:graphic>
          </wp:inline>
        </w:drawing>
      </w:r>
    </w:p>
    <w:p w14:paraId="507FBEEB" w14:textId="77777777" w:rsidR="004E5935" w:rsidRPr="008727E6" w:rsidRDefault="004943C1" w:rsidP="004E5935">
      <w:pPr>
        <w:rPr>
          <w:sz w:val="20"/>
        </w:rPr>
      </w:pPr>
      <w:r>
        <w:rPr>
          <w:sz w:val="20"/>
        </w:rPr>
        <w:br w:type="page"/>
      </w: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1350"/>
        <w:gridCol w:w="900"/>
        <w:gridCol w:w="1260"/>
        <w:gridCol w:w="1800"/>
        <w:gridCol w:w="1170"/>
        <w:gridCol w:w="1080"/>
      </w:tblGrid>
      <w:tr w:rsidR="004E5935" w:rsidRPr="008727E6" w14:paraId="6638668B" w14:textId="77777777">
        <w:trPr>
          <w:trHeight w:val="346"/>
        </w:trPr>
        <w:tc>
          <w:tcPr>
            <w:tcW w:w="8730" w:type="dxa"/>
            <w:gridSpan w:val="7"/>
            <w:tcBorders>
              <w:bottom w:val="single" w:sz="4" w:space="0" w:color="auto"/>
            </w:tcBorders>
            <w:shd w:val="clear" w:color="auto" w:fill="006A71"/>
            <w:vAlign w:val="center"/>
          </w:tcPr>
          <w:p w14:paraId="4FCC2871" w14:textId="77777777" w:rsidR="004E5935" w:rsidRPr="00030B29" w:rsidRDefault="004E5935" w:rsidP="0048686B">
            <w:pPr>
              <w:keepNext/>
              <w:keepLines/>
              <w:widowControl w:val="0"/>
              <w:tabs>
                <w:tab w:val="left" w:pos="144"/>
              </w:tabs>
              <w:rPr>
                <w:rFonts w:ascii="Arial" w:hAnsi="Arial" w:cs="Arial"/>
                <w:b/>
                <w:color w:val="FFFFFF"/>
                <w:sz w:val="20"/>
              </w:rPr>
            </w:pPr>
            <w:r w:rsidRPr="00030B29">
              <w:rPr>
                <w:rFonts w:ascii="Arial" w:hAnsi="Arial" w:cs="Arial"/>
                <w:b/>
                <w:color w:val="FFFFFF"/>
                <w:sz w:val="20"/>
              </w:rPr>
              <w:t>Storage Capacity</w:t>
            </w:r>
          </w:p>
        </w:tc>
      </w:tr>
      <w:tr w:rsidR="004E5935" w:rsidRPr="008727E6" w14:paraId="7E7D26A0" w14:textId="77777777">
        <w:trPr>
          <w:trHeight w:val="141"/>
        </w:trPr>
        <w:tc>
          <w:tcPr>
            <w:tcW w:w="1170" w:type="dxa"/>
            <w:shd w:val="clear" w:color="auto" w:fill="807F83"/>
            <w:vAlign w:val="center"/>
          </w:tcPr>
          <w:p w14:paraId="1CC2C721" w14:textId="77777777" w:rsidR="004E5935" w:rsidRPr="000E4F6D" w:rsidRDefault="004E5935" w:rsidP="0048686B">
            <w:pPr>
              <w:keepNext/>
              <w:keepLines/>
              <w:widowControl w:val="0"/>
              <w:tabs>
                <w:tab w:val="left" w:pos="144"/>
              </w:tabs>
              <w:jc w:val="center"/>
              <w:rPr>
                <w:rFonts w:ascii="Arial" w:hAnsi="Arial" w:cs="Arial"/>
                <w:color w:val="FFFFFF"/>
                <w:sz w:val="18"/>
                <w:szCs w:val="18"/>
              </w:rPr>
            </w:pPr>
            <w:r w:rsidRPr="000E4F6D">
              <w:rPr>
                <w:rFonts w:ascii="Arial" w:hAnsi="Arial" w:cs="Arial"/>
                <w:color w:val="FFFFFF"/>
                <w:sz w:val="18"/>
                <w:szCs w:val="18"/>
              </w:rPr>
              <w:t>Plant</w:t>
            </w:r>
          </w:p>
        </w:tc>
        <w:tc>
          <w:tcPr>
            <w:tcW w:w="1350" w:type="dxa"/>
            <w:shd w:val="clear" w:color="auto" w:fill="807F83"/>
            <w:vAlign w:val="center"/>
          </w:tcPr>
          <w:p w14:paraId="775DEE4A" w14:textId="77777777" w:rsidR="004E5935" w:rsidRPr="000E4F6D" w:rsidRDefault="004E5935" w:rsidP="0048686B">
            <w:pPr>
              <w:keepNext/>
              <w:keepLines/>
              <w:widowControl w:val="0"/>
              <w:tabs>
                <w:tab w:val="left" w:pos="144"/>
              </w:tabs>
              <w:jc w:val="center"/>
              <w:rPr>
                <w:rFonts w:ascii="Arial" w:hAnsi="Arial" w:cs="Arial"/>
                <w:color w:val="FFFFFF"/>
                <w:sz w:val="18"/>
                <w:szCs w:val="18"/>
              </w:rPr>
            </w:pPr>
            <w:r w:rsidRPr="000E4F6D">
              <w:rPr>
                <w:rFonts w:ascii="Arial" w:hAnsi="Arial" w:cs="Arial"/>
                <w:color w:val="FFFFFF"/>
                <w:sz w:val="18"/>
                <w:szCs w:val="18"/>
              </w:rPr>
              <w:t>Transporter</w:t>
            </w:r>
          </w:p>
        </w:tc>
        <w:tc>
          <w:tcPr>
            <w:tcW w:w="900" w:type="dxa"/>
            <w:shd w:val="clear" w:color="auto" w:fill="807F83"/>
            <w:vAlign w:val="center"/>
          </w:tcPr>
          <w:p w14:paraId="698B7AA7" w14:textId="77777777" w:rsidR="004E5935" w:rsidRPr="000E4F6D" w:rsidRDefault="004E5935" w:rsidP="0048686B">
            <w:pPr>
              <w:keepNext/>
              <w:keepLines/>
              <w:widowControl w:val="0"/>
              <w:tabs>
                <w:tab w:val="left" w:pos="144"/>
              </w:tabs>
              <w:jc w:val="center"/>
              <w:rPr>
                <w:rFonts w:ascii="Arial" w:hAnsi="Arial" w:cs="Arial"/>
                <w:color w:val="FFFFFF"/>
                <w:sz w:val="18"/>
                <w:szCs w:val="18"/>
              </w:rPr>
            </w:pPr>
            <w:r w:rsidRPr="000E4F6D">
              <w:rPr>
                <w:rFonts w:ascii="Arial" w:hAnsi="Arial" w:cs="Arial"/>
                <w:color w:val="FFFFFF"/>
                <w:sz w:val="18"/>
                <w:szCs w:val="18"/>
              </w:rPr>
              <w:t>Service</w:t>
            </w:r>
          </w:p>
        </w:tc>
        <w:tc>
          <w:tcPr>
            <w:tcW w:w="1260" w:type="dxa"/>
            <w:shd w:val="clear" w:color="auto" w:fill="807F83"/>
            <w:vAlign w:val="center"/>
          </w:tcPr>
          <w:p w14:paraId="26ED368E" w14:textId="77777777" w:rsidR="004E5935" w:rsidRPr="000E4F6D" w:rsidRDefault="004E5935" w:rsidP="0048686B">
            <w:pPr>
              <w:keepNext/>
              <w:keepLines/>
              <w:widowControl w:val="0"/>
              <w:tabs>
                <w:tab w:val="left" w:pos="144"/>
              </w:tabs>
              <w:jc w:val="center"/>
              <w:rPr>
                <w:rFonts w:ascii="Arial" w:hAnsi="Arial" w:cs="Arial"/>
                <w:color w:val="FFFFFF"/>
                <w:sz w:val="18"/>
                <w:szCs w:val="18"/>
              </w:rPr>
            </w:pPr>
            <w:r w:rsidRPr="000E4F6D">
              <w:rPr>
                <w:rFonts w:ascii="Arial" w:hAnsi="Arial" w:cs="Arial"/>
                <w:color w:val="FFFFFF"/>
                <w:sz w:val="18"/>
                <w:szCs w:val="18"/>
              </w:rPr>
              <w:t>Deliverability (</w:t>
            </w:r>
            <w:proofErr w:type="spellStart"/>
            <w:r w:rsidRPr="000E4F6D">
              <w:rPr>
                <w:rFonts w:ascii="Arial" w:hAnsi="Arial" w:cs="Arial"/>
                <w:color w:val="FFFFFF"/>
                <w:sz w:val="18"/>
                <w:szCs w:val="18"/>
              </w:rPr>
              <w:t>Dth</w:t>
            </w:r>
            <w:proofErr w:type="spellEnd"/>
            <w:r w:rsidRPr="000E4F6D">
              <w:rPr>
                <w:rFonts w:ascii="Arial" w:hAnsi="Arial" w:cs="Arial"/>
                <w:color w:val="FFFFFF"/>
                <w:sz w:val="18"/>
                <w:szCs w:val="18"/>
              </w:rPr>
              <w:t>/day)</w:t>
            </w:r>
          </w:p>
        </w:tc>
        <w:tc>
          <w:tcPr>
            <w:tcW w:w="1800" w:type="dxa"/>
            <w:shd w:val="clear" w:color="auto" w:fill="807F83"/>
            <w:vAlign w:val="center"/>
          </w:tcPr>
          <w:p w14:paraId="7552AFE9" w14:textId="77777777" w:rsidR="004E5935" w:rsidRPr="000E4F6D" w:rsidRDefault="004E5935" w:rsidP="0048686B">
            <w:pPr>
              <w:keepNext/>
              <w:keepLines/>
              <w:widowControl w:val="0"/>
              <w:tabs>
                <w:tab w:val="left" w:pos="144"/>
              </w:tabs>
              <w:jc w:val="center"/>
              <w:rPr>
                <w:rFonts w:ascii="Arial" w:hAnsi="Arial" w:cs="Arial"/>
                <w:color w:val="FFFFFF"/>
                <w:sz w:val="18"/>
                <w:szCs w:val="18"/>
              </w:rPr>
            </w:pPr>
            <w:r w:rsidRPr="000E4F6D">
              <w:rPr>
                <w:rFonts w:ascii="Arial" w:hAnsi="Arial" w:cs="Arial"/>
                <w:color w:val="FFFFFF"/>
                <w:sz w:val="18"/>
                <w:szCs w:val="18"/>
              </w:rPr>
              <w:t>Storage Capacity (</w:t>
            </w:r>
            <w:proofErr w:type="spellStart"/>
            <w:r w:rsidRPr="000E4F6D">
              <w:rPr>
                <w:rFonts w:ascii="Arial" w:hAnsi="Arial" w:cs="Arial"/>
                <w:color w:val="FFFFFF"/>
                <w:sz w:val="18"/>
                <w:szCs w:val="18"/>
              </w:rPr>
              <w:t>Dth</w:t>
            </w:r>
            <w:proofErr w:type="spellEnd"/>
            <w:r w:rsidRPr="000E4F6D">
              <w:rPr>
                <w:rFonts w:ascii="Arial" w:hAnsi="Arial" w:cs="Arial"/>
                <w:color w:val="FFFFFF"/>
                <w:sz w:val="18"/>
                <w:szCs w:val="18"/>
              </w:rPr>
              <w:t>)</w:t>
            </w:r>
          </w:p>
        </w:tc>
        <w:tc>
          <w:tcPr>
            <w:tcW w:w="1170" w:type="dxa"/>
            <w:shd w:val="clear" w:color="auto" w:fill="807F83"/>
            <w:vAlign w:val="center"/>
          </w:tcPr>
          <w:p w14:paraId="0033850B" w14:textId="77777777" w:rsidR="004E5935" w:rsidRPr="000E4F6D" w:rsidRDefault="004E5935" w:rsidP="0048686B">
            <w:pPr>
              <w:keepNext/>
              <w:keepLines/>
              <w:widowControl w:val="0"/>
              <w:tabs>
                <w:tab w:val="left" w:pos="144"/>
              </w:tabs>
              <w:jc w:val="center"/>
              <w:rPr>
                <w:rFonts w:ascii="Arial" w:hAnsi="Arial" w:cs="Arial"/>
                <w:color w:val="FFFFFF"/>
                <w:sz w:val="18"/>
                <w:szCs w:val="18"/>
              </w:rPr>
            </w:pPr>
            <w:r w:rsidRPr="000E4F6D">
              <w:rPr>
                <w:rFonts w:ascii="Arial" w:hAnsi="Arial" w:cs="Arial"/>
                <w:color w:val="FFFFFF"/>
                <w:sz w:val="18"/>
                <w:szCs w:val="18"/>
              </w:rPr>
              <w:t>Year of Expiration</w:t>
            </w:r>
          </w:p>
        </w:tc>
        <w:tc>
          <w:tcPr>
            <w:tcW w:w="1080" w:type="dxa"/>
            <w:shd w:val="clear" w:color="auto" w:fill="807F83"/>
            <w:vAlign w:val="center"/>
          </w:tcPr>
          <w:p w14:paraId="5383B32A" w14:textId="77777777" w:rsidR="004E5935" w:rsidRPr="000E4F6D" w:rsidRDefault="004E5935" w:rsidP="0048686B">
            <w:pPr>
              <w:keepNext/>
              <w:keepLines/>
              <w:widowControl w:val="0"/>
              <w:tabs>
                <w:tab w:val="left" w:pos="144"/>
              </w:tabs>
              <w:jc w:val="center"/>
              <w:rPr>
                <w:rFonts w:ascii="Arial" w:hAnsi="Arial" w:cs="Arial"/>
                <w:color w:val="FFFFFF"/>
                <w:sz w:val="18"/>
                <w:szCs w:val="18"/>
              </w:rPr>
            </w:pPr>
            <w:r w:rsidRPr="000E4F6D">
              <w:rPr>
                <w:rFonts w:ascii="Arial" w:hAnsi="Arial" w:cs="Arial"/>
                <w:color w:val="FFFFFF"/>
                <w:sz w:val="18"/>
                <w:szCs w:val="18"/>
              </w:rPr>
              <w:t>Renewal Right</w:t>
            </w:r>
          </w:p>
        </w:tc>
      </w:tr>
      <w:tr w:rsidR="004E5935" w:rsidRPr="008727E6" w14:paraId="4802824C" w14:textId="77777777">
        <w:trPr>
          <w:trHeight w:val="467"/>
        </w:trPr>
        <w:tc>
          <w:tcPr>
            <w:tcW w:w="1170" w:type="dxa"/>
            <w:shd w:val="clear" w:color="auto" w:fill="auto"/>
            <w:vAlign w:val="center"/>
          </w:tcPr>
          <w:p w14:paraId="223FC495" w14:textId="77777777" w:rsidR="004E5935" w:rsidRPr="000E4F6D" w:rsidRDefault="004E5935" w:rsidP="0048686B">
            <w:pPr>
              <w:keepLines/>
              <w:widowControl w:val="0"/>
              <w:tabs>
                <w:tab w:val="left" w:pos="144"/>
              </w:tabs>
              <w:jc w:val="center"/>
              <w:rPr>
                <w:rFonts w:ascii="Arial" w:hAnsi="Arial" w:cs="Arial"/>
                <w:sz w:val="18"/>
                <w:szCs w:val="18"/>
              </w:rPr>
            </w:pPr>
            <w:r w:rsidRPr="000E4F6D">
              <w:rPr>
                <w:rFonts w:ascii="Arial" w:hAnsi="Arial" w:cs="Arial"/>
                <w:sz w:val="18"/>
                <w:szCs w:val="18"/>
              </w:rPr>
              <w:t>Jackson Prairie</w:t>
            </w:r>
          </w:p>
        </w:tc>
        <w:tc>
          <w:tcPr>
            <w:tcW w:w="1350" w:type="dxa"/>
            <w:shd w:val="clear" w:color="auto" w:fill="auto"/>
            <w:vAlign w:val="center"/>
          </w:tcPr>
          <w:p w14:paraId="036556BC" w14:textId="77777777" w:rsidR="004E5935" w:rsidRPr="000E4F6D" w:rsidRDefault="004E5935" w:rsidP="0048686B">
            <w:pPr>
              <w:keepLines/>
              <w:widowControl w:val="0"/>
              <w:tabs>
                <w:tab w:val="left" w:pos="144"/>
              </w:tabs>
              <w:jc w:val="center"/>
              <w:rPr>
                <w:rFonts w:ascii="Arial" w:hAnsi="Arial" w:cs="Arial"/>
                <w:sz w:val="18"/>
                <w:szCs w:val="18"/>
              </w:rPr>
            </w:pPr>
            <w:r w:rsidRPr="000E4F6D">
              <w:rPr>
                <w:rFonts w:ascii="Arial" w:hAnsi="Arial" w:cs="Arial"/>
                <w:sz w:val="18"/>
                <w:szCs w:val="18"/>
              </w:rPr>
              <w:t>NWP</w:t>
            </w:r>
          </w:p>
        </w:tc>
        <w:tc>
          <w:tcPr>
            <w:tcW w:w="900" w:type="dxa"/>
            <w:shd w:val="clear" w:color="auto" w:fill="auto"/>
            <w:vAlign w:val="center"/>
          </w:tcPr>
          <w:p w14:paraId="61BD0C2A" w14:textId="77777777" w:rsidR="004E5935" w:rsidRPr="000E4F6D" w:rsidRDefault="004E5935" w:rsidP="0048686B">
            <w:pPr>
              <w:keepLines/>
              <w:widowControl w:val="0"/>
              <w:tabs>
                <w:tab w:val="left" w:pos="144"/>
              </w:tabs>
              <w:jc w:val="center"/>
              <w:rPr>
                <w:rFonts w:ascii="Arial" w:hAnsi="Arial" w:cs="Arial"/>
                <w:sz w:val="18"/>
                <w:szCs w:val="18"/>
              </w:rPr>
            </w:pPr>
            <w:r w:rsidRPr="000E4F6D">
              <w:rPr>
                <w:rFonts w:ascii="Arial" w:hAnsi="Arial" w:cs="Arial"/>
                <w:sz w:val="18"/>
                <w:szCs w:val="18"/>
              </w:rPr>
              <w:t>Firm</w:t>
            </w:r>
          </w:p>
        </w:tc>
        <w:tc>
          <w:tcPr>
            <w:tcW w:w="1260" w:type="dxa"/>
            <w:shd w:val="clear" w:color="auto" w:fill="auto"/>
            <w:vAlign w:val="center"/>
          </w:tcPr>
          <w:p w14:paraId="2C8884FF" w14:textId="77777777" w:rsidR="004E5935" w:rsidRPr="000E4F6D" w:rsidRDefault="004E5935" w:rsidP="0048686B">
            <w:pPr>
              <w:keepLines/>
              <w:widowControl w:val="0"/>
              <w:tabs>
                <w:tab w:val="left" w:pos="144"/>
              </w:tabs>
              <w:jc w:val="center"/>
              <w:rPr>
                <w:rFonts w:ascii="Arial" w:hAnsi="Arial" w:cs="Arial"/>
                <w:sz w:val="18"/>
                <w:szCs w:val="18"/>
              </w:rPr>
            </w:pPr>
            <w:r w:rsidRPr="000E4F6D">
              <w:rPr>
                <w:rFonts w:ascii="Arial" w:hAnsi="Arial" w:cs="Arial"/>
                <w:sz w:val="18"/>
                <w:szCs w:val="18"/>
              </w:rPr>
              <w:t>6,704</w:t>
            </w:r>
          </w:p>
        </w:tc>
        <w:tc>
          <w:tcPr>
            <w:tcW w:w="1800" w:type="dxa"/>
            <w:shd w:val="clear" w:color="auto" w:fill="auto"/>
            <w:vAlign w:val="center"/>
          </w:tcPr>
          <w:p w14:paraId="0C62E708" w14:textId="77777777" w:rsidR="004E5935" w:rsidRPr="000E4F6D" w:rsidRDefault="004E5935" w:rsidP="0048686B">
            <w:pPr>
              <w:keepLines/>
              <w:widowControl w:val="0"/>
              <w:tabs>
                <w:tab w:val="left" w:pos="144"/>
              </w:tabs>
              <w:jc w:val="center"/>
              <w:rPr>
                <w:rFonts w:ascii="Arial" w:hAnsi="Arial" w:cs="Arial"/>
                <w:sz w:val="18"/>
                <w:szCs w:val="18"/>
              </w:rPr>
            </w:pPr>
            <w:r w:rsidRPr="000E4F6D">
              <w:rPr>
                <w:rFonts w:ascii="Arial" w:hAnsi="Arial" w:cs="Arial"/>
                <w:sz w:val="18"/>
                <w:szCs w:val="18"/>
              </w:rPr>
              <w:t>140,622</w:t>
            </w:r>
          </w:p>
        </w:tc>
        <w:tc>
          <w:tcPr>
            <w:tcW w:w="1170" w:type="dxa"/>
            <w:shd w:val="clear" w:color="auto" w:fill="auto"/>
            <w:vAlign w:val="center"/>
          </w:tcPr>
          <w:p w14:paraId="4945E0D1" w14:textId="77777777" w:rsidR="004E5935" w:rsidRPr="000E4F6D" w:rsidRDefault="004E5935" w:rsidP="0048686B">
            <w:pPr>
              <w:keepLines/>
              <w:widowControl w:val="0"/>
              <w:tabs>
                <w:tab w:val="left" w:pos="144"/>
              </w:tabs>
              <w:jc w:val="center"/>
              <w:rPr>
                <w:rFonts w:ascii="Arial" w:hAnsi="Arial" w:cs="Arial"/>
                <w:sz w:val="18"/>
                <w:szCs w:val="18"/>
              </w:rPr>
            </w:pPr>
            <w:r w:rsidRPr="000E4F6D">
              <w:rPr>
                <w:rFonts w:ascii="Arial" w:hAnsi="Arial" w:cs="Arial"/>
                <w:sz w:val="18"/>
                <w:szCs w:val="18"/>
              </w:rPr>
              <w:t>2026</w:t>
            </w:r>
          </w:p>
        </w:tc>
        <w:tc>
          <w:tcPr>
            <w:tcW w:w="1080" w:type="dxa"/>
            <w:shd w:val="clear" w:color="auto" w:fill="auto"/>
            <w:vAlign w:val="center"/>
          </w:tcPr>
          <w:p w14:paraId="18CE93A3" w14:textId="77777777" w:rsidR="004E5935" w:rsidRPr="000E4F6D" w:rsidRDefault="004E5935" w:rsidP="0048686B">
            <w:pPr>
              <w:keepLines/>
              <w:widowControl w:val="0"/>
              <w:tabs>
                <w:tab w:val="left" w:pos="144"/>
              </w:tabs>
              <w:jc w:val="center"/>
              <w:rPr>
                <w:rFonts w:ascii="Arial" w:hAnsi="Arial" w:cs="Arial"/>
                <w:sz w:val="18"/>
                <w:szCs w:val="18"/>
              </w:rPr>
            </w:pPr>
            <w:r w:rsidRPr="000E4F6D">
              <w:rPr>
                <w:rFonts w:ascii="Arial" w:hAnsi="Arial" w:cs="Arial"/>
                <w:sz w:val="18"/>
                <w:szCs w:val="18"/>
              </w:rPr>
              <w:t>Yes</w:t>
            </w:r>
          </w:p>
        </w:tc>
      </w:tr>
      <w:tr w:rsidR="004E5935" w:rsidRPr="008727E6" w14:paraId="0D1A8B65" w14:textId="77777777">
        <w:trPr>
          <w:trHeight w:val="141"/>
        </w:trPr>
        <w:tc>
          <w:tcPr>
            <w:tcW w:w="1170" w:type="dxa"/>
            <w:shd w:val="clear" w:color="auto" w:fill="auto"/>
            <w:vAlign w:val="center"/>
          </w:tcPr>
          <w:p w14:paraId="234D6C49" w14:textId="77777777" w:rsidR="004E5935" w:rsidRPr="000E4F6D" w:rsidRDefault="004E5935" w:rsidP="0048686B">
            <w:pPr>
              <w:keepLines/>
              <w:widowControl w:val="0"/>
              <w:tabs>
                <w:tab w:val="left" w:pos="144"/>
              </w:tabs>
              <w:jc w:val="center"/>
              <w:rPr>
                <w:rFonts w:ascii="Arial" w:hAnsi="Arial" w:cs="Arial"/>
                <w:sz w:val="18"/>
                <w:szCs w:val="18"/>
              </w:rPr>
            </w:pPr>
            <w:r w:rsidRPr="000E4F6D">
              <w:rPr>
                <w:rFonts w:ascii="Arial" w:hAnsi="Arial" w:cs="Arial"/>
                <w:sz w:val="18"/>
                <w:szCs w:val="18"/>
              </w:rPr>
              <w:t>Jackson Prairie (5)</w:t>
            </w:r>
          </w:p>
        </w:tc>
        <w:tc>
          <w:tcPr>
            <w:tcW w:w="1350" w:type="dxa"/>
            <w:shd w:val="clear" w:color="auto" w:fill="auto"/>
            <w:vAlign w:val="center"/>
          </w:tcPr>
          <w:p w14:paraId="6C3FFBB7" w14:textId="77777777" w:rsidR="004E5935" w:rsidRPr="000E4F6D" w:rsidRDefault="004E5935" w:rsidP="0048686B">
            <w:pPr>
              <w:keepLines/>
              <w:widowControl w:val="0"/>
              <w:tabs>
                <w:tab w:val="left" w:pos="144"/>
              </w:tabs>
              <w:jc w:val="center"/>
              <w:rPr>
                <w:rFonts w:ascii="Arial" w:hAnsi="Arial" w:cs="Arial"/>
                <w:sz w:val="18"/>
                <w:szCs w:val="18"/>
              </w:rPr>
            </w:pPr>
            <w:r w:rsidRPr="000E4F6D">
              <w:rPr>
                <w:rFonts w:ascii="Arial" w:hAnsi="Arial" w:cs="Arial"/>
                <w:sz w:val="18"/>
                <w:szCs w:val="18"/>
              </w:rPr>
              <w:t>PSE</w:t>
            </w:r>
          </w:p>
        </w:tc>
        <w:tc>
          <w:tcPr>
            <w:tcW w:w="900" w:type="dxa"/>
            <w:shd w:val="clear" w:color="auto" w:fill="auto"/>
            <w:vAlign w:val="center"/>
          </w:tcPr>
          <w:p w14:paraId="6DA89B75" w14:textId="77777777" w:rsidR="004E5935" w:rsidRPr="000E4F6D" w:rsidRDefault="004E5935" w:rsidP="0048686B">
            <w:pPr>
              <w:keepLines/>
              <w:widowControl w:val="0"/>
              <w:tabs>
                <w:tab w:val="left" w:pos="144"/>
              </w:tabs>
              <w:jc w:val="center"/>
              <w:rPr>
                <w:rFonts w:ascii="Arial" w:hAnsi="Arial" w:cs="Arial"/>
                <w:sz w:val="18"/>
                <w:szCs w:val="18"/>
              </w:rPr>
            </w:pPr>
            <w:r w:rsidRPr="000E4F6D">
              <w:rPr>
                <w:rFonts w:ascii="Arial" w:hAnsi="Arial" w:cs="Arial"/>
                <w:sz w:val="18"/>
                <w:szCs w:val="18"/>
              </w:rPr>
              <w:t>Firm</w:t>
            </w:r>
          </w:p>
        </w:tc>
        <w:tc>
          <w:tcPr>
            <w:tcW w:w="1260" w:type="dxa"/>
            <w:shd w:val="clear" w:color="auto" w:fill="auto"/>
            <w:vAlign w:val="center"/>
          </w:tcPr>
          <w:p w14:paraId="7860BAA2" w14:textId="77777777" w:rsidR="004E5935" w:rsidRPr="000E4F6D" w:rsidRDefault="004E5935" w:rsidP="0048686B">
            <w:pPr>
              <w:keepLines/>
              <w:widowControl w:val="0"/>
              <w:tabs>
                <w:tab w:val="left" w:pos="144"/>
              </w:tabs>
              <w:jc w:val="center"/>
              <w:rPr>
                <w:rFonts w:ascii="Arial" w:hAnsi="Arial" w:cs="Arial"/>
                <w:sz w:val="18"/>
                <w:szCs w:val="18"/>
              </w:rPr>
            </w:pPr>
            <w:r w:rsidRPr="000E4F6D">
              <w:rPr>
                <w:rFonts w:ascii="Arial" w:hAnsi="Arial" w:cs="Arial"/>
                <w:sz w:val="18"/>
                <w:szCs w:val="18"/>
              </w:rPr>
              <w:t>50,000</w:t>
            </w:r>
          </w:p>
        </w:tc>
        <w:tc>
          <w:tcPr>
            <w:tcW w:w="1800" w:type="dxa"/>
            <w:shd w:val="clear" w:color="auto" w:fill="auto"/>
            <w:vAlign w:val="center"/>
          </w:tcPr>
          <w:p w14:paraId="31E4BEAE" w14:textId="77777777" w:rsidR="004E5935" w:rsidRPr="000E4F6D" w:rsidRDefault="004E5935" w:rsidP="0048686B">
            <w:pPr>
              <w:keepLines/>
              <w:widowControl w:val="0"/>
              <w:tabs>
                <w:tab w:val="left" w:pos="144"/>
              </w:tabs>
              <w:jc w:val="center"/>
              <w:rPr>
                <w:rFonts w:ascii="Arial" w:hAnsi="Arial" w:cs="Arial"/>
                <w:sz w:val="18"/>
                <w:szCs w:val="18"/>
              </w:rPr>
            </w:pPr>
            <w:r w:rsidRPr="000E4F6D">
              <w:rPr>
                <w:rFonts w:ascii="Arial" w:hAnsi="Arial" w:cs="Arial"/>
                <w:sz w:val="18"/>
                <w:szCs w:val="18"/>
              </w:rPr>
              <w:t>500,000</w:t>
            </w:r>
          </w:p>
        </w:tc>
        <w:tc>
          <w:tcPr>
            <w:tcW w:w="1170" w:type="dxa"/>
            <w:shd w:val="clear" w:color="auto" w:fill="auto"/>
            <w:vAlign w:val="center"/>
          </w:tcPr>
          <w:p w14:paraId="2F73ED5B" w14:textId="77777777" w:rsidR="004E5935" w:rsidRPr="000E4F6D" w:rsidRDefault="004E5935" w:rsidP="0048686B">
            <w:pPr>
              <w:keepLines/>
              <w:widowControl w:val="0"/>
              <w:tabs>
                <w:tab w:val="left" w:pos="144"/>
              </w:tabs>
              <w:jc w:val="center"/>
              <w:rPr>
                <w:rFonts w:ascii="Arial" w:hAnsi="Arial" w:cs="Arial"/>
                <w:sz w:val="18"/>
                <w:szCs w:val="18"/>
              </w:rPr>
            </w:pPr>
            <w:r w:rsidRPr="000E4F6D">
              <w:rPr>
                <w:rFonts w:ascii="Arial" w:hAnsi="Arial" w:cs="Arial"/>
                <w:sz w:val="18"/>
                <w:szCs w:val="18"/>
              </w:rPr>
              <w:t>2016</w:t>
            </w:r>
          </w:p>
        </w:tc>
        <w:tc>
          <w:tcPr>
            <w:tcW w:w="1080" w:type="dxa"/>
            <w:shd w:val="clear" w:color="auto" w:fill="auto"/>
            <w:vAlign w:val="center"/>
          </w:tcPr>
          <w:p w14:paraId="0D65953A" w14:textId="77777777" w:rsidR="004E5935" w:rsidRPr="000E4F6D" w:rsidRDefault="004E5935" w:rsidP="0048686B">
            <w:pPr>
              <w:keepLines/>
              <w:widowControl w:val="0"/>
              <w:tabs>
                <w:tab w:val="left" w:pos="144"/>
              </w:tabs>
              <w:jc w:val="center"/>
              <w:rPr>
                <w:rFonts w:ascii="Arial" w:hAnsi="Arial" w:cs="Arial"/>
                <w:sz w:val="18"/>
                <w:szCs w:val="18"/>
              </w:rPr>
            </w:pPr>
            <w:r w:rsidRPr="000E4F6D">
              <w:rPr>
                <w:rFonts w:ascii="Arial" w:hAnsi="Arial" w:cs="Arial"/>
                <w:sz w:val="18"/>
                <w:szCs w:val="18"/>
              </w:rPr>
              <w:t>No</w:t>
            </w:r>
          </w:p>
        </w:tc>
      </w:tr>
    </w:tbl>
    <w:p w14:paraId="4E625371" w14:textId="77777777" w:rsidR="008727E6" w:rsidRDefault="008727E6" w:rsidP="008727E6">
      <w:pPr>
        <w:rPr>
          <w:rFonts w:ascii="Arial Narrow" w:hAnsi="Arial Narrow"/>
          <w:caps/>
          <w:sz w:val="18"/>
          <w:szCs w:val="16"/>
        </w:rPr>
      </w:pPr>
    </w:p>
    <w:p w14:paraId="2D280745" w14:textId="77777777" w:rsidR="008727E6" w:rsidRPr="00030B29" w:rsidRDefault="00030B29" w:rsidP="00030B29">
      <w:pPr>
        <w:rPr>
          <w:rFonts w:ascii="Palatino" w:hAnsi="Palatino"/>
          <w:i/>
          <w:sz w:val="20"/>
          <w:szCs w:val="20"/>
        </w:rPr>
      </w:pPr>
      <w:r>
        <w:rPr>
          <w:rFonts w:ascii="Palatino" w:hAnsi="Palatino"/>
          <w:i/>
          <w:sz w:val="20"/>
          <w:szCs w:val="20"/>
        </w:rPr>
        <w:t>NOTES</w:t>
      </w:r>
    </w:p>
    <w:p w14:paraId="73ABA726" w14:textId="77777777" w:rsidR="004E5935" w:rsidRPr="00030B29" w:rsidRDefault="008727E6" w:rsidP="00030B29">
      <w:pPr>
        <w:rPr>
          <w:rFonts w:ascii="Palatino" w:hAnsi="Palatino"/>
          <w:i/>
          <w:sz w:val="20"/>
          <w:szCs w:val="20"/>
        </w:rPr>
      </w:pPr>
      <w:proofErr w:type="gramStart"/>
      <w:r w:rsidRPr="00030B29">
        <w:rPr>
          <w:rFonts w:ascii="Palatino" w:hAnsi="Palatino"/>
          <w:i/>
          <w:sz w:val="20"/>
          <w:szCs w:val="20"/>
        </w:rPr>
        <w:t xml:space="preserve">1 </w:t>
      </w:r>
      <w:r w:rsidR="004E5935" w:rsidRPr="00030B29">
        <w:rPr>
          <w:rFonts w:ascii="Palatino" w:hAnsi="Palatino"/>
          <w:i/>
          <w:sz w:val="20"/>
          <w:szCs w:val="20"/>
        </w:rPr>
        <w:t>50% of plant requirements.</w:t>
      </w:r>
      <w:proofErr w:type="gramEnd"/>
    </w:p>
    <w:p w14:paraId="1B3848C7" w14:textId="77777777" w:rsidR="004E5935" w:rsidRPr="00030B29" w:rsidRDefault="008727E6" w:rsidP="00030B29">
      <w:pPr>
        <w:rPr>
          <w:rFonts w:ascii="Palatino" w:hAnsi="Palatino"/>
          <w:i/>
          <w:sz w:val="20"/>
          <w:szCs w:val="20"/>
        </w:rPr>
      </w:pPr>
      <w:proofErr w:type="gramStart"/>
      <w:r w:rsidRPr="00030B29">
        <w:rPr>
          <w:rFonts w:ascii="Palatino" w:hAnsi="Palatino"/>
          <w:i/>
          <w:sz w:val="20"/>
          <w:szCs w:val="20"/>
        </w:rPr>
        <w:t xml:space="preserve">2 </w:t>
      </w:r>
      <w:r w:rsidR="004E5935" w:rsidRPr="00030B29">
        <w:rPr>
          <w:rFonts w:ascii="Palatino" w:hAnsi="Palatino"/>
          <w:i/>
          <w:sz w:val="20"/>
          <w:szCs w:val="20"/>
        </w:rPr>
        <w:t>Full plant requirements.</w:t>
      </w:r>
      <w:proofErr w:type="gramEnd"/>
    </w:p>
    <w:p w14:paraId="594CCA64" w14:textId="77777777" w:rsidR="004E5935" w:rsidRPr="00030B29" w:rsidRDefault="008727E6" w:rsidP="00030B29">
      <w:pPr>
        <w:rPr>
          <w:rFonts w:ascii="Palatino" w:hAnsi="Palatino"/>
          <w:i/>
          <w:sz w:val="20"/>
          <w:szCs w:val="20"/>
        </w:rPr>
      </w:pPr>
      <w:r w:rsidRPr="00030B29">
        <w:rPr>
          <w:rFonts w:ascii="Palatino" w:hAnsi="Palatino"/>
          <w:i/>
          <w:sz w:val="20"/>
          <w:szCs w:val="20"/>
        </w:rPr>
        <w:t xml:space="preserve">3 </w:t>
      </w:r>
      <w:r w:rsidR="004E5935" w:rsidRPr="00030B29">
        <w:rPr>
          <w:rFonts w:ascii="Palatino" w:hAnsi="Palatino"/>
          <w:i/>
          <w:sz w:val="20"/>
          <w:szCs w:val="20"/>
        </w:rPr>
        <w:t xml:space="preserve">Converted to approximate </w:t>
      </w:r>
      <w:proofErr w:type="spellStart"/>
      <w:r w:rsidR="004E5935" w:rsidRPr="00030B29">
        <w:rPr>
          <w:rFonts w:ascii="Palatino" w:hAnsi="Palatino"/>
          <w:i/>
          <w:sz w:val="20"/>
          <w:szCs w:val="20"/>
        </w:rPr>
        <w:t>Dth</w:t>
      </w:r>
      <w:proofErr w:type="spellEnd"/>
      <w:r w:rsidR="004E5935" w:rsidRPr="00030B29">
        <w:rPr>
          <w:rFonts w:ascii="Palatino" w:hAnsi="Palatino"/>
          <w:i/>
          <w:sz w:val="20"/>
          <w:szCs w:val="20"/>
        </w:rPr>
        <w:t>/day from contract stated in cubic meters/day.</w:t>
      </w:r>
    </w:p>
    <w:p w14:paraId="71FD3ED5" w14:textId="77777777" w:rsidR="004E5935" w:rsidRPr="00030B29" w:rsidRDefault="008727E6" w:rsidP="00030B29">
      <w:pPr>
        <w:rPr>
          <w:rFonts w:ascii="Palatino" w:hAnsi="Palatino"/>
          <w:i/>
          <w:sz w:val="20"/>
          <w:szCs w:val="20"/>
        </w:rPr>
      </w:pPr>
      <w:r w:rsidRPr="00030B29">
        <w:rPr>
          <w:rFonts w:ascii="Palatino" w:hAnsi="Palatino"/>
          <w:i/>
          <w:sz w:val="20"/>
          <w:szCs w:val="20"/>
        </w:rPr>
        <w:t xml:space="preserve">4 </w:t>
      </w:r>
      <w:r w:rsidR="004E5935" w:rsidRPr="00030B29">
        <w:rPr>
          <w:rFonts w:ascii="Palatino" w:hAnsi="Palatino"/>
          <w:i/>
          <w:sz w:val="20"/>
          <w:szCs w:val="20"/>
        </w:rPr>
        <w:t>Gas transported to points south of Everett under NWP flex rights, when conditions allow</w:t>
      </w:r>
      <w:proofErr w:type="gramStart"/>
      <w:r w:rsidR="004E5935" w:rsidRPr="00030B29">
        <w:rPr>
          <w:rFonts w:ascii="Palatino" w:hAnsi="Palatino"/>
          <w:i/>
          <w:sz w:val="20"/>
          <w:szCs w:val="20"/>
        </w:rPr>
        <w:t>..</w:t>
      </w:r>
      <w:proofErr w:type="gramEnd"/>
    </w:p>
    <w:p w14:paraId="1B606FC9" w14:textId="77777777" w:rsidR="004E5935" w:rsidRPr="00030B29" w:rsidRDefault="008727E6" w:rsidP="00030B29">
      <w:pPr>
        <w:rPr>
          <w:rFonts w:ascii="Palatino" w:hAnsi="Palatino"/>
          <w:i/>
          <w:sz w:val="20"/>
          <w:szCs w:val="20"/>
        </w:rPr>
      </w:pPr>
      <w:r w:rsidRPr="00030B29">
        <w:rPr>
          <w:rFonts w:ascii="Palatino" w:hAnsi="Palatino"/>
          <w:i/>
          <w:sz w:val="20"/>
          <w:szCs w:val="20"/>
        </w:rPr>
        <w:t xml:space="preserve">5 </w:t>
      </w:r>
      <w:r w:rsidR="004E5935" w:rsidRPr="00030B29">
        <w:rPr>
          <w:rFonts w:ascii="Palatino" w:hAnsi="Palatino"/>
          <w:i/>
          <w:sz w:val="20"/>
          <w:szCs w:val="20"/>
        </w:rPr>
        <w:t xml:space="preserve">Storage </w:t>
      </w:r>
      <w:proofErr w:type="gramStart"/>
      <w:r w:rsidR="004E5935" w:rsidRPr="00030B29">
        <w:rPr>
          <w:rFonts w:ascii="Palatino" w:hAnsi="Palatino"/>
          <w:i/>
          <w:sz w:val="20"/>
          <w:szCs w:val="20"/>
        </w:rPr>
        <w:t>capacity</w:t>
      </w:r>
      <w:proofErr w:type="gramEnd"/>
      <w:r w:rsidR="004E5935" w:rsidRPr="00030B29">
        <w:rPr>
          <w:rFonts w:ascii="Palatino" w:hAnsi="Palatino"/>
          <w:i/>
          <w:sz w:val="20"/>
          <w:szCs w:val="20"/>
        </w:rPr>
        <w:t xml:space="preserve"> made available (at market-based price) from PSE gas sales portfolio. Renewal may be possible, depending on gas sales portfolio needs. The gas sales portfolio may recall 15,000, 35,000 and 50,000 </w:t>
      </w:r>
      <w:proofErr w:type="spellStart"/>
      <w:r w:rsidR="004E5935" w:rsidRPr="00030B29">
        <w:rPr>
          <w:rFonts w:ascii="Palatino" w:hAnsi="Palatino"/>
          <w:i/>
          <w:sz w:val="20"/>
          <w:szCs w:val="20"/>
        </w:rPr>
        <w:t>Dth</w:t>
      </w:r>
      <w:proofErr w:type="spellEnd"/>
      <w:r w:rsidR="004E5935" w:rsidRPr="00030B29">
        <w:rPr>
          <w:rFonts w:ascii="Palatino" w:hAnsi="Palatino"/>
          <w:i/>
          <w:sz w:val="20"/>
          <w:szCs w:val="20"/>
        </w:rPr>
        <w:t xml:space="preserve"> per day of firm withdrawal rights for up to 4 days in each winter 2013/14, 2014/15 and 2015/16, respectively. </w:t>
      </w:r>
    </w:p>
    <w:p w14:paraId="5DAD35FA" w14:textId="77777777" w:rsidR="004E5935" w:rsidRPr="00030B29" w:rsidRDefault="008727E6" w:rsidP="00030B29">
      <w:pPr>
        <w:rPr>
          <w:rFonts w:ascii="Palatino" w:hAnsi="Palatino"/>
          <w:i/>
          <w:sz w:val="20"/>
          <w:szCs w:val="20"/>
        </w:rPr>
      </w:pPr>
      <w:r w:rsidRPr="00030B29">
        <w:rPr>
          <w:rFonts w:ascii="Palatino" w:hAnsi="Palatino"/>
          <w:i/>
          <w:sz w:val="20"/>
          <w:szCs w:val="20"/>
        </w:rPr>
        <w:t xml:space="preserve">6 </w:t>
      </w:r>
      <w:r w:rsidR="004E5935" w:rsidRPr="00030B29">
        <w:rPr>
          <w:rFonts w:ascii="Palatino" w:hAnsi="Palatino"/>
          <w:i/>
          <w:sz w:val="20"/>
          <w:szCs w:val="20"/>
        </w:rPr>
        <w:t xml:space="preserve">30,000 </w:t>
      </w:r>
      <w:proofErr w:type="spellStart"/>
      <w:r w:rsidR="004E5935" w:rsidRPr="00030B29">
        <w:rPr>
          <w:rFonts w:ascii="Palatino" w:hAnsi="Palatino"/>
          <w:i/>
          <w:sz w:val="20"/>
          <w:szCs w:val="20"/>
        </w:rPr>
        <w:t>Dth</w:t>
      </w:r>
      <w:proofErr w:type="spellEnd"/>
      <w:r w:rsidR="004E5935" w:rsidRPr="00030B29">
        <w:rPr>
          <w:rFonts w:ascii="Palatino" w:hAnsi="Palatino"/>
          <w:i/>
          <w:sz w:val="20"/>
          <w:szCs w:val="20"/>
        </w:rPr>
        <w:t>/day is year to year; 22,000 terminates in 2018, but can be renewed.</w:t>
      </w:r>
    </w:p>
    <w:p w14:paraId="58FCAE5B" w14:textId="77777777" w:rsidR="008727E6" w:rsidRPr="00030B29" w:rsidRDefault="008727E6" w:rsidP="00030B29">
      <w:pPr>
        <w:rPr>
          <w:rFonts w:ascii="Palatino" w:hAnsi="Palatino"/>
          <w:i/>
          <w:sz w:val="20"/>
          <w:szCs w:val="20"/>
        </w:rPr>
      </w:pPr>
      <w:r w:rsidRPr="00030B29">
        <w:rPr>
          <w:rFonts w:ascii="Palatino" w:hAnsi="Palatino"/>
          <w:i/>
          <w:sz w:val="20"/>
          <w:szCs w:val="20"/>
        </w:rPr>
        <w:t xml:space="preserve">7 </w:t>
      </w:r>
      <w:r w:rsidR="004E5935" w:rsidRPr="00030B29">
        <w:rPr>
          <w:rFonts w:ascii="Palatino" w:hAnsi="Palatino"/>
          <w:i/>
          <w:sz w:val="20"/>
          <w:szCs w:val="20"/>
        </w:rPr>
        <w:t>PSE does not have guaranteed renewal rights on this segmented capacity; however, the releasing shipper has indicated willingness to renew the agreement, subject to approval by the pipeline. Renewal may be possible.</w:t>
      </w:r>
    </w:p>
    <w:p w14:paraId="70B9C088" w14:textId="77777777" w:rsidR="004E5935" w:rsidRPr="008727E6" w:rsidRDefault="004E5935" w:rsidP="008727E6">
      <w:pPr>
        <w:ind w:right="1440"/>
        <w:rPr>
          <w:rFonts w:ascii="Arial Narrow" w:hAnsi="Arial Narrow"/>
          <w:sz w:val="18"/>
          <w:szCs w:val="16"/>
        </w:rPr>
      </w:pPr>
    </w:p>
    <w:p w14:paraId="211C1BB1" w14:textId="77777777" w:rsidR="004E5935" w:rsidRDefault="004E5935" w:rsidP="004E5935">
      <w:pPr>
        <w:pStyle w:val="IRPsanstext"/>
      </w:pPr>
      <w:r>
        <w:t xml:space="preserve">PSE has firm NWP pipeline capacity to serve </w:t>
      </w:r>
      <w:r w:rsidR="00794D2D">
        <w:t>its</w:t>
      </w:r>
      <w:r>
        <w:t xml:space="preserve"> CCCTs that require NWP service (</w:t>
      </w:r>
      <w:proofErr w:type="spellStart"/>
      <w:r>
        <w:t>Encogen</w:t>
      </w:r>
      <w:proofErr w:type="spellEnd"/>
      <w:r>
        <w:t xml:space="preserve">, Freddy 1, Goldendale, and Mint Farm); Sumas is directly connected to </w:t>
      </w:r>
      <w:proofErr w:type="spellStart"/>
      <w:r>
        <w:t>Westcoast</w:t>
      </w:r>
      <w:proofErr w:type="spellEnd"/>
      <w:r>
        <w:t>. Ferndale is connected to Sumas via firm capacity on Cascade Natural Gas.  All of our simple-cycle combustion turbine generation units (</w:t>
      </w:r>
      <w:proofErr w:type="spellStart"/>
      <w:r>
        <w:t>Whitehorn</w:t>
      </w:r>
      <w:proofErr w:type="spellEnd"/>
      <w:r>
        <w:t xml:space="preserve">, Fredonia, and Frederickson) have </w:t>
      </w:r>
      <w:r w:rsidR="00794D2D">
        <w:t xml:space="preserve">fuel oil </w:t>
      </w:r>
      <w:r>
        <w:t>back-up capability and thus do not require firm pipeline capacity on NWP.</w:t>
      </w:r>
    </w:p>
    <w:p w14:paraId="4E5F198F" w14:textId="77777777" w:rsidR="004E5935" w:rsidRDefault="004E5935" w:rsidP="004E5935">
      <w:pPr>
        <w:pStyle w:val="irpsubsanstext16"/>
      </w:pPr>
      <w:r w:rsidRPr="00A96E96">
        <w:t>Existing gas-for-power supplies</w:t>
      </w:r>
    </w:p>
    <w:p w14:paraId="31646EFF" w14:textId="77777777" w:rsidR="004E5935" w:rsidRPr="00843162" w:rsidRDefault="004E5935" w:rsidP="00843162">
      <w:pPr>
        <w:pStyle w:val="IRPsanstext"/>
      </w:pPr>
      <w:r>
        <w:t>Gas</w:t>
      </w:r>
      <w:r w:rsidRPr="00794A88">
        <w:t xml:space="preserve"> supply contracts tend to have a shorter duration than pipeline transportation contracts, with terms to ensure supplier performance. We meet </w:t>
      </w:r>
      <w:r>
        <w:t>forecast gas for power generation needs</w:t>
      </w:r>
      <w:r w:rsidRPr="00794A88">
        <w:t xml:space="preserve"> with a mix of long-term (more than two years) and short-term (two years or less) </w:t>
      </w:r>
      <w:r>
        <w:t xml:space="preserve">physical </w:t>
      </w:r>
      <w:r w:rsidRPr="00794A88">
        <w:t>gas supply contracts. Long</w:t>
      </w:r>
      <w:r>
        <w:t>er</w:t>
      </w:r>
      <w:r w:rsidRPr="00794A88">
        <w:t>-term contracts typically supply base</w:t>
      </w:r>
      <w:r>
        <w:t>-</w:t>
      </w:r>
      <w:r w:rsidRPr="00794A88">
        <w:t xml:space="preserve">load needs and are delivered at a constant daily rate over the contract period. </w:t>
      </w:r>
      <w:r>
        <w:t>W</w:t>
      </w:r>
      <w:r w:rsidRPr="00794A88">
        <w:t xml:space="preserve">e estimate average </w:t>
      </w:r>
      <w:r>
        <w:t xml:space="preserve">gas for power generation </w:t>
      </w:r>
      <w:r w:rsidRPr="00794A88">
        <w:t xml:space="preserve">requirements for upcoming months and enter into transactions to balance </w:t>
      </w:r>
      <w:r>
        <w:t xml:space="preserve">forecast </w:t>
      </w:r>
      <w:r w:rsidRPr="00794A88">
        <w:t xml:space="preserve">load. PSE balances daily </w:t>
      </w:r>
      <w:r>
        <w:t xml:space="preserve">and intra-day </w:t>
      </w:r>
      <w:r w:rsidRPr="00794A88">
        <w:t>positions using storage (from Jackson Prairie), day-ahead purchases, and off-system sales transactions. PSE will continue to monitor gas markets to identify trends and opportunities to fine-tune our contract</w:t>
      </w:r>
      <w:r>
        <w:t>ing strategies</w:t>
      </w:r>
      <w:r w:rsidRPr="00794A88">
        <w:t xml:space="preserve">. </w:t>
      </w:r>
    </w:p>
    <w:p w14:paraId="750303A0" w14:textId="77777777" w:rsidR="004E5935" w:rsidRDefault="004E5935" w:rsidP="004E5935">
      <w:pPr>
        <w:pStyle w:val="irpsubsanstext16"/>
      </w:pPr>
      <w:r w:rsidRPr="00A96E96">
        <w:t>Gas-fired generating plants</w:t>
      </w:r>
    </w:p>
    <w:p w14:paraId="0FAF0CE9" w14:textId="77777777" w:rsidR="00843162" w:rsidRDefault="004E5935" w:rsidP="00843162">
      <w:pPr>
        <w:pStyle w:val="IRPsanstext"/>
      </w:pPr>
      <w:r>
        <w:t xml:space="preserve">PSE’s existing gas-fired generating plants are </w:t>
      </w:r>
      <w:r w:rsidR="00794D2D">
        <w:t xml:space="preserve">generally </w:t>
      </w:r>
      <w:r>
        <w:t>located along the I-5 corridor in western Washington, as the map in Figure 6-</w:t>
      </w:r>
      <w:r w:rsidR="00855BD7">
        <w:t>59</w:t>
      </w:r>
      <w:r>
        <w:t xml:space="preserve"> shows. The exception is Goldendale, which is located near Goldendale, Washington. The peak gas requirement and the type of gas pipeline delivery are also listed. The capacity and operating assumptions for the plants are </w:t>
      </w:r>
      <w:r w:rsidR="00794D2D">
        <w:t>described in detail in Appendix D, Electric Resources and Alternatives.</w:t>
      </w:r>
    </w:p>
    <w:p w14:paraId="498EFCD1" w14:textId="77777777" w:rsidR="00794D2D" w:rsidRPr="00843162" w:rsidRDefault="00794D2D" w:rsidP="00843162">
      <w:pPr>
        <w:pStyle w:val="IRPsanstext"/>
      </w:pPr>
    </w:p>
    <w:p w14:paraId="0D85C448" w14:textId="77777777" w:rsidR="003355A7" w:rsidRDefault="003355A7">
      <w:pPr>
        <w:rPr>
          <w:rFonts w:ascii="Arial" w:hAnsi="Arial"/>
          <w:i/>
          <w:sz w:val="20"/>
          <w:szCs w:val="20"/>
        </w:rPr>
      </w:pPr>
      <w:r>
        <w:rPr>
          <w:i/>
        </w:rPr>
        <w:br w:type="page"/>
      </w:r>
    </w:p>
    <w:p w14:paraId="5FC7B647" w14:textId="77777777" w:rsidR="004E5935" w:rsidRPr="004943C1" w:rsidRDefault="00855BD7" w:rsidP="004943C1">
      <w:pPr>
        <w:pStyle w:val="IRPsanstext"/>
        <w:spacing w:after="120"/>
        <w:jc w:val="center"/>
        <w:rPr>
          <w:i/>
        </w:rPr>
      </w:pPr>
      <w:r>
        <w:rPr>
          <w:i/>
        </w:rPr>
        <w:t>Figure 6-59</w:t>
      </w:r>
      <w:r w:rsidR="00794D2D">
        <w:rPr>
          <w:i/>
        </w:rPr>
        <w:t>:</w:t>
      </w:r>
      <w:r w:rsidR="00843162">
        <w:rPr>
          <w:i/>
        </w:rPr>
        <w:t xml:space="preserve"> </w:t>
      </w:r>
      <w:r w:rsidR="004E5935" w:rsidRPr="00CB768C">
        <w:rPr>
          <w:i/>
        </w:rPr>
        <w:t>PSE’s Existing Gas-fired Generating Plants</w:t>
      </w:r>
    </w:p>
    <w:p w14:paraId="0BA89D82" w14:textId="77777777" w:rsidR="004E5935" w:rsidRDefault="003355A7" w:rsidP="004E5935">
      <w:pPr>
        <w:pStyle w:val="IRPtitle"/>
        <w:ind w:left="0" w:firstLine="0"/>
      </w:pPr>
      <w:r>
        <w:rPr>
          <w:noProof/>
          <w:lang w:eastAsia="en-US"/>
        </w:rPr>
        <w:drawing>
          <wp:inline distT="0" distB="0" distL="0" distR="0" wp14:anchorId="04FE72EA" wp14:editId="308B29FD">
            <wp:extent cx="5486400" cy="7398887"/>
            <wp:effectExtent l="0" t="0" r="0" b="0"/>
            <wp:docPr id="10" name="Picture 10" descr="C:\Users\ehossn\AppData\Local\Microsoft\Windows\Temporary Internet Files\Content.Outlook\CA1XPVAT\PSE All Gas Fired Generation for IRP 110215 DRAFT with 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hossn\AppData\Local\Microsoft\Windows\Temporary Internet Files\Content.Outlook\CA1XPVAT\PSE All Gas Fired Generation for IRP 110215 DRAFT with arrows.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86400" cy="7398887"/>
                    </a:xfrm>
                    <a:prstGeom prst="rect">
                      <a:avLst/>
                    </a:prstGeom>
                    <a:noFill/>
                    <a:ln>
                      <a:noFill/>
                    </a:ln>
                  </pic:spPr>
                </pic:pic>
              </a:graphicData>
            </a:graphic>
          </wp:inline>
        </w:drawing>
      </w:r>
    </w:p>
    <w:p w14:paraId="5EAF444A" w14:textId="77777777" w:rsidR="00794D2D" w:rsidRDefault="004E5935" w:rsidP="00794D2D">
      <w:pPr>
        <w:pStyle w:val="IRPsecthead1serif"/>
        <w:rPr>
          <w:i/>
        </w:rPr>
      </w:pPr>
      <w:r>
        <w:br w:type="page"/>
      </w:r>
      <w:r w:rsidR="00794D2D">
        <w:t>Gas-for-power Resource Alternatives</w:t>
      </w:r>
    </w:p>
    <w:p w14:paraId="04DBB057" w14:textId="77777777" w:rsidR="00794D2D" w:rsidRDefault="00794D2D" w:rsidP="00794D2D">
      <w:pPr>
        <w:pStyle w:val="IRPsecthead2sans"/>
        <w:rPr>
          <w:i/>
          <w:sz w:val="28"/>
          <w:szCs w:val="28"/>
        </w:rPr>
      </w:pPr>
    </w:p>
    <w:p w14:paraId="7B08AAD5" w14:textId="77777777" w:rsidR="00794D2D" w:rsidRDefault="00794D2D" w:rsidP="00794D2D">
      <w:pPr>
        <w:pStyle w:val="IRPsanstext"/>
      </w:pPr>
      <w:r>
        <w:t xml:space="preserve">The complete list of resource alternatives evaluated for the gas-for-power portfolio </w:t>
      </w:r>
      <w:r w:rsidR="00573527">
        <w:t xml:space="preserve">is </w:t>
      </w:r>
      <w:r>
        <w:t xml:space="preserve">detailed in Chapter 7, Gas Analysis. Most relevant to this analysis were the following.  </w:t>
      </w:r>
    </w:p>
    <w:p w14:paraId="168E942F" w14:textId="77777777" w:rsidR="00573527" w:rsidRDefault="00573527" w:rsidP="00794D2D">
      <w:pPr>
        <w:pStyle w:val="IRPsanstext"/>
      </w:pPr>
    </w:p>
    <w:p w14:paraId="76D78AA4" w14:textId="77777777" w:rsidR="00122D3B" w:rsidRPr="00891D84" w:rsidRDefault="00122D3B" w:rsidP="00F26524">
      <w:pPr>
        <w:pStyle w:val="IRPsanstext"/>
        <w:numPr>
          <w:ilvl w:val="0"/>
          <w:numId w:val="36"/>
        </w:numPr>
      </w:pPr>
      <w:r w:rsidRPr="008F500B">
        <w:rPr>
          <w:b/>
          <w:caps/>
        </w:rPr>
        <w:t>Cross Cascades to AECO or Malin hubs</w:t>
      </w:r>
      <w:r>
        <w:rPr>
          <w:u w:val="single"/>
        </w:rPr>
        <w:t>.</w:t>
      </w:r>
      <w:r>
        <w:t xml:space="preserve">  The prospective Cross Cascades pipeline bringing gas supply from Alberta (AECO hub) via existing or new upstream pipeline capacity on the </w:t>
      </w:r>
      <w:r w:rsidRPr="00891D84">
        <w:t>TC-AB</w:t>
      </w:r>
      <w:r>
        <w:t xml:space="preserve"> (NOVA)</w:t>
      </w:r>
      <w:r w:rsidRPr="00891D84">
        <w:t>, TC-BC</w:t>
      </w:r>
      <w:r>
        <w:t xml:space="preserve"> (Foothills)</w:t>
      </w:r>
      <w:r w:rsidRPr="00891D84">
        <w:t xml:space="preserve"> and TC-GTN pipelines to Stanfield</w:t>
      </w:r>
      <w:r>
        <w:t xml:space="preserve">; or from the Rockies hub on the Ruby pipeline to </w:t>
      </w:r>
      <w:proofErr w:type="spellStart"/>
      <w:r>
        <w:t>Malin</w:t>
      </w:r>
      <w:proofErr w:type="spellEnd"/>
      <w:r>
        <w:t xml:space="preserve"> (or directly from </w:t>
      </w:r>
      <w:proofErr w:type="spellStart"/>
      <w:r>
        <w:t>Malin</w:t>
      </w:r>
      <w:proofErr w:type="spellEnd"/>
      <w:r>
        <w:t>) and with backhaul on the TC-GTN pipeline to Stanfield</w:t>
      </w:r>
      <w:r w:rsidRPr="00891D84">
        <w:t xml:space="preserve">. Final delivery from Stanfield to PSE would be via the proposed </w:t>
      </w:r>
      <w:r>
        <w:t>Cross Cascades</w:t>
      </w:r>
      <w:r w:rsidRPr="00891D84">
        <w:t xml:space="preserve"> pipeline.</w:t>
      </w:r>
    </w:p>
    <w:p w14:paraId="45EE9EED" w14:textId="77777777" w:rsidR="00122D3B" w:rsidRDefault="00122D3B" w:rsidP="00F26524">
      <w:pPr>
        <w:pStyle w:val="IRPsanstext"/>
        <w:numPr>
          <w:ilvl w:val="0"/>
          <w:numId w:val="36"/>
        </w:numPr>
      </w:pPr>
      <w:r w:rsidRPr="008F500B">
        <w:rPr>
          <w:b/>
          <w:caps/>
        </w:rPr>
        <w:t>Mist Expansion</w:t>
      </w:r>
      <w:r>
        <w:t xml:space="preserve">. </w:t>
      </w:r>
      <w:r w:rsidRPr="008814B2">
        <w:t>This option</w:t>
      </w:r>
      <w:r w:rsidRPr="00891D84">
        <w:t xml:space="preserve"> provides for PSE to lease storage capacity from NW Natural after an expansion of the Mist storage facility. Delivery of gas would require expansion of pipeline capacity from Mist to PSE’s service territory</w:t>
      </w:r>
      <w:r>
        <w:t xml:space="preserve"> for Mist</w:t>
      </w:r>
      <w:r w:rsidRPr="00891D84">
        <w:t xml:space="preserve"> </w:t>
      </w:r>
      <w:r>
        <w:t xml:space="preserve">storage </w:t>
      </w:r>
      <w:r w:rsidRPr="00891D84">
        <w:t>redelivery service.</w:t>
      </w:r>
      <w:r>
        <w:t xml:space="preserve"> The expansion of pipeline capacity from Mist to PSE will be dependent on an expansion on NWP from Sumas to Portland. </w:t>
      </w:r>
    </w:p>
    <w:p w14:paraId="6E53D2EB" w14:textId="77777777" w:rsidR="00122D3B" w:rsidRPr="00533709" w:rsidRDefault="00122D3B" w:rsidP="00F26524">
      <w:pPr>
        <w:pStyle w:val="IRPsanstext"/>
        <w:numPr>
          <w:ilvl w:val="0"/>
          <w:numId w:val="36"/>
        </w:numPr>
        <w:rPr>
          <w:b/>
          <w:i/>
        </w:rPr>
      </w:pPr>
      <w:r w:rsidRPr="008F500B">
        <w:rPr>
          <w:b/>
          <w:caps/>
        </w:rPr>
        <w:t>NWP + Westcoast</w:t>
      </w:r>
      <w:r>
        <w:t xml:space="preserve">.  Expansion of NWP and </w:t>
      </w:r>
      <w:proofErr w:type="spellStart"/>
      <w:r>
        <w:t>Westcoast</w:t>
      </w:r>
      <w:proofErr w:type="spellEnd"/>
      <w:r>
        <w:t xml:space="preserve"> pipeline to Sumas and Station 2, located in northern BC.</w:t>
      </w:r>
    </w:p>
    <w:p w14:paraId="20CF85FF" w14:textId="77777777" w:rsidR="00794D2D" w:rsidRDefault="00794D2D" w:rsidP="00794D2D">
      <w:pPr>
        <w:pStyle w:val="IRPsanstext"/>
        <w:ind w:left="720"/>
        <w:rPr>
          <w:b/>
          <w:i/>
        </w:rPr>
      </w:pPr>
    </w:p>
    <w:p w14:paraId="54544E98" w14:textId="77777777" w:rsidR="004943C1" w:rsidRDefault="004943C1">
      <w:pPr>
        <w:rPr>
          <w:rFonts w:ascii="Arial" w:hAnsi="Arial" w:cs="Arial"/>
          <w:color w:val="000000"/>
          <w:sz w:val="32"/>
          <w:szCs w:val="32"/>
        </w:rPr>
      </w:pPr>
      <w:r>
        <w:br w:type="page"/>
      </w:r>
    </w:p>
    <w:p w14:paraId="4157F795" w14:textId="77777777" w:rsidR="00794D2D" w:rsidRDefault="00794D2D" w:rsidP="00794D2D">
      <w:pPr>
        <w:pStyle w:val="IRPsecthead1serif"/>
        <w:rPr>
          <w:i/>
        </w:rPr>
      </w:pPr>
      <w:r>
        <w:t>Gas-for-power A</w:t>
      </w:r>
      <w:r w:rsidRPr="00B0574F">
        <w:t xml:space="preserve">nalytic </w:t>
      </w:r>
      <w:r>
        <w:t>M</w:t>
      </w:r>
      <w:r w:rsidRPr="00B0574F">
        <w:t>ethodology</w:t>
      </w:r>
      <w:r>
        <w:t xml:space="preserve">  </w:t>
      </w:r>
    </w:p>
    <w:p w14:paraId="66C1EB37" w14:textId="77777777" w:rsidR="00794D2D" w:rsidRDefault="00794D2D" w:rsidP="00794D2D">
      <w:pPr>
        <w:pStyle w:val="IRPsecthead2sans"/>
        <w:rPr>
          <w:i/>
          <w:sz w:val="28"/>
          <w:szCs w:val="28"/>
        </w:rPr>
      </w:pPr>
    </w:p>
    <w:p w14:paraId="38697FE3" w14:textId="77777777" w:rsidR="00794D2D" w:rsidRPr="007151DD" w:rsidRDefault="00794D2D" w:rsidP="00794D2D">
      <w:pPr>
        <w:pStyle w:val="IRPsanstext"/>
      </w:pPr>
      <w:r w:rsidRPr="007151DD">
        <w:t xml:space="preserve">For this IRP, PSE developed a separate </w:t>
      </w:r>
      <w:r>
        <w:t>gas portfolio model (</w:t>
      </w:r>
      <w:r w:rsidRPr="007151DD">
        <w:t>SENDOUT</w:t>
      </w:r>
      <w:r>
        <w:t>)</w:t>
      </w:r>
      <w:r w:rsidRPr="007151DD">
        <w:t xml:space="preserve"> database to evaluate the resource needs of the gas</w:t>
      </w:r>
      <w:r>
        <w:t>-</w:t>
      </w:r>
      <w:r w:rsidRPr="007151DD">
        <w:t>for</w:t>
      </w:r>
      <w:r>
        <w:t>-</w:t>
      </w:r>
      <w:r w:rsidRPr="007151DD">
        <w:t xml:space="preserve">power portfolio. </w:t>
      </w:r>
      <w:r>
        <w:t>The model inputs include</w:t>
      </w:r>
      <w:r w:rsidRPr="007151DD">
        <w:t xml:space="preserve">: 1) the costs and capacities for the existing pipeline, storage and gas supply markets as well as for the </w:t>
      </w:r>
      <w:r w:rsidR="00573527">
        <w:t>alternative</w:t>
      </w:r>
      <w:r w:rsidR="00573527" w:rsidRPr="007151DD">
        <w:t xml:space="preserve"> </w:t>
      </w:r>
      <w:r w:rsidRPr="007151DD">
        <w:t xml:space="preserve">supply resources, and 2) forecasts of the loads of </w:t>
      </w:r>
      <w:r>
        <w:t>for</w:t>
      </w:r>
      <w:r w:rsidRPr="007151DD">
        <w:t xml:space="preserve"> existing and future gas-fired plants. The existing and </w:t>
      </w:r>
      <w:r w:rsidR="00573527">
        <w:t>alternative</w:t>
      </w:r>
      <w:r w:rsidRPr="007151DD">
        <w:t xml:space="preserve"> supply resources are described earlier in this chapter</w:t>
      </w:r>
      <w:r w:rsidR="00573527">
        <w:t xml:space="preserve"> and in Chapter 7</w:t>
      </w:r>
      <w:r w:rsidRPr="007151DD">
        <w:t xml:space="preserve">. The </w:t>
      </w:r>
      <w:r>
        <w:t>AURORA</w:t>
      </w:r>
      <w:r w:rsidRPr="007151DD">
        <w:t xml:space="preserve"> model develops forecasts of the gas required for the gas-fired plants when performing the analyses of the electric portfolio scenarios; </w:t>
      </w:r>
      <w:r w:rsidRPr="008F500B">
        <w:rPr>
          <w:caps/>
        </w:rPr>
        <w:t>Aurora</w:t>
      </w:r>
      <w:r w:rsidRPr="007151DD">
        <w:t xml:space="preserve"> also dispatches the resources and calculates the electric generation.</w:t>
      </w:r>
    </w:p>
    <w:p w14:paraId="425BF850" w14:textId="77777777" w:rsidR="00794D2D" w:rsidRPr="007151DD" w:rsidRDefault="00794D2D" w:rsidP="00794D2D">
      <w:pPr>
        <w:pStyle w:val="IRPsanstext"/>
      </w:pPr>
    </w:p>
    <w:p w14:paraId="5D51EE87" w14:textId="77777777" w:rsidR="00794D2D" w:rsidRPr="007151DD" w:rsidRDefault="00794D2D" w:rsidP="00794D2D">
      <w:pPr>
        <w:pStyle w:val="IRPsanstext"/>
      </w:pPr>
      <w:r w:rsidRPr="007151DD">
        <w:t>While the methodology for the gas</w:t>
      </w:r>
      <w:r>
        <w:t>-</w:t>
      </w:r>
      <w:r w:rsidRPr="007151DD">
        <w:t>for</w:t>
      </w:r>
      <w:r>
        <w:t>-</w:t>
      </w:r>
      <w:r w:rsidRPr="007151DD">
        <w:t>power portfolio is very similar</w:t>
      </w:r>
      <w:r>
        <w:t xml:space="preserve"> to the SENDOUT modeling methodology discussed in Chapter 7, Gas Analysis</w:t>
      </w:r>
      <w:r w:rsidRPr="007151DD">
        <w:t xml:space="preserve">, the approach to developing </w:t>
      </w:r>
      <w:r w:rsidR="00573527">
        <w:t>gas-for-power needs</w:t>
      </w:r>
      <w:r w:rsidRPr="007151DD">
        <w:t xml:space="preserve"> is different from gas sales loads. In general, gas-fired plants are economically dispatched based on the relationship of the </w:t>
      </w:r>
      <w:r>
        <w:t xml:space="preserve">power and gas prices in the market, which is known as the </w:t>
      </w:r>
      <w:r w:rsidRPr="007151DD">
        <w:t>market heat rate</w:t>
      </w:r>
      <w:r>
        <w:t>. The market heat rate is compared</w:t>
      </w:r>
      <w:r w:rsidRPr="007151DD">
        <w:t xml:space="preserve"> to the plant</w:t>
      </w:r>
      <w:r>
        <w:t>’s</w:t>
      </w:r>
      <w:r w:rsidRPr="007151DD">
        <w:t xml:space="preserve"> heat rate</w:t>
      </w:r>
      <w:r>
        <w:t xml:space="preserve"> </w:t>
      </w:r>
      <w:r w:rsidR="00573527">
        <w:t xml:space="preserve">(plus variable dispatch costs) </w:t>
      </w:r>
      <w:r>
        <w:t>to determine whether it is less expensive to generate power or to purchase it in the market (or sell it into the market when generation is not needed to serve load)</w:t>
      </w:r>
      <w:r w:rsidRPr="007151DD">
        <w:t>.</w:t>
      </w:r>
    </w:p>
    <w:p w14:paraId="2B38863D" w14:textId="77777777" w:rsidR="00794D2D" w:rsidRPr="007151DD" w:rsidRDefault="00794D2D" w:rsidP="00794D2D">
      <w:pPr>
        <w:pStyle w:val="IRPsanstext"/>
      </w:pPr>
    </w:p>
    <w:p w14:paraId="328299CB" w14:textId="77777777" w:rsidR="00794D2D" w:rsidRPr="007151DD" w:rsidRDefault="00794D2D" w:rsidP="00794D2D">
      <w:pPr>
        <w:pStyle w:val="IRPsanstext"/>
      </w:pPr>
      <w:r w:rsidRPr="007151DD">
        <w:t>Because electric and gas prices vary based on regional factors such as loads</w:t>
      </w:r>
      <w:r>
        <w:t xml:space="preserve">, generation outages, transmission constraints, wind and </w:t>
      </w:r>
      <w:r w:rsidRPr="007151DD">
        <w:t>hydro generation</w:t>
      </w:r>
      <w:r>
        <w:t xml:space="preserve"> and </w:t>
      </w:r>
      <w:r w:rsidRPr="007151DD">
        <w:t xml:space="preserve">demand for electricity from adjoining regions, the dispatch of gas-fired plants varies greatly depending on market and weather conditions. The </w:t>
      </w:r>
      <w:r w:rsidRPr="008F500B">
        <w:rPr>
          <w:caps/>
        </w:rPr>
        <w:t>Aurora</w:t>
      </w:r>
      <w:r w:rsidRPr="007151DD">
        <w:t xml:space="preserve"> model incorporates these conditions</w:t>
      </w:r>
      <w:r>
        <w:t xml:space="preserve"> within the Base Scenario. </w:t>
      </w:r>
      <w:r w:rsidRPr="007151DD">
        <w:t xml:space="preserve">The daily plant </w:t>
      </w:r>
      <w:r>
        <w:t>gas use</w:t>
      </w:r>
      <w:r w:rsidRPr="007151DD">
        <w:t xml:space="preserve"> from the </w:t>
      </w:r>
      <w:r w:rsidRPr="008F500B">
        <w:rPr>
          <w:caps/>
        </w:rPr>
        <w:t>Aurora</w:t>
      </w:r>
      <w:r w:rsidRPr="007151DD">
        <w:t xml:space="preserve"> </w:t>
      </w:r>
      <w:r>
        <w:t>model</w:t>
      </w:r>
      <w:r w:rsidRPr="007151DD">
        <w:t xml:space="preserve"> </w:t>
      </w:r>
      <w:r w:rsidR="00573527">
        <w:t xml:space="preserve">plus the gas-for-power need calculated during a winter peak event </w:t>
      </w:r>
      <w:r w:rsidRPr="007151DD">
        <w:t>w</w:t>
      </w:r>
      <w:r>
        <w:t>as</w:t>
      </w:r>
      <w:r w:rsidRPr="007151DD">
        <w:t xml:space="preserve"> </w:t>
      </w:r>
      <w:r>
        <w:t>input to the SENDOUT model to model</w:t>
      </w:r>
      <w:r w:rsidRPr="007151DD">
        <w:t xml:space="preserve"> the </w:t>
      </w:r>
      <w:r>
        <w:t xml:space="preserve">Base Scenario’s </w:t>
      </w:r>
      <w:r w:rsidRPr="007151DD">
        <w:t xml:space="preserve">20-year study period for each of the </w:t>
      </w:r>
      <w:r>
        <w:t>gas-fired generators</w:t>
      </w:r>
      <w:r w:rsidRPr="007151DD">
        <w:t xml:space="preserve">. The results </w:t>
      </w:r>
      <w:r>
        <w:t xml:space="preserve">are </w:t>
      </w:r>
      <w:r w:rsidRPr="007151DD">
        <w:t>shown in the next section.</w:t>
      </w:r>
      <w:r>
        <w:br/>
      </w:r>
    </w:p>
    <w:p w14:paraId="5752CD19" w14:textId="77777777" w:rsidR="004943C1" w:rsidRDefault="004943C1">
      <w:pPr>
        <w:rPr>
          <w:rFonts w:ascii="Arial" w:hAnsi="Arial" w:cs="Arial"/>
          <w:sz w:val="32"/>
          <w:szCs w:val="32"/>
        </w:rPr>
      </w:pPr>
      <w:r>
        <w:rPr>
          <w:rFonts w:cs="Arial"/>
          <w:sz w:val="32"/>
          <w:szCs w:val="32"/>
        </w:rPr>
        <w:br w:type="page"/>
      </w:r>
    </w:p>
    <w:p w14:paraId="1E931572" w14:textId="77777777" w:rsidR="00794D2D" w:rsidRPr="00980573" w:rsidRDefault="00794D2D" w:rsidP="00794D2D">
      <w:pPr>
        <w:pStyle w:val="IRPsanstext"/>
        <w:rPr>
          <w:rFonts w:cs="Arial"/>
          <w:sz w:val="32"/>
          <w:szCs w:val="32"/>
        </w:rPr>
      </w:pPr>
      <w:r w:rsidRPr="00980573">
        <w:rPr>
          <w:rFonts w:cs="Arial"/>
          <w:sz w:val="32"/>
          <w:szCs w:val="32"/>
        </w:rPr>
        <w:t>Gas-for-power Portfolio Analysis Results</w:t>
      </w:r>
    </w:p>
    <w:p w14:paraId="0BAA7655" w14:textId="77777777" w:rsidR="00794D2D" w:rsidRDefault="00794D2D" w:rsidP="00794D2D">
      <w:pPr>
        <w:pStyle w:val="IRPsanstext"/>
      </w:pPr>
    </w:p>
    <w:p w14:paraId="258A4C09" w14:textId="77777777" w:rsidR="00794D2D" w:rsidRDefault="00794D2D" w:rsidP="00794D2D">
      <w:pPr>
        <w:pStyle w:val="IRPsanstext"/>
      </w:pPr>
      <w:r>
        <w:t xml:space="preserve">The results discussed in this section are for the electric Base Scenario, which calls for the addition of two CCCTs and three additional gas-fired </w:t>
      </w:r>
      <w:proofErr w:type="spellStart"/>
      <w:r>
        <w:t>peakers</w:t>
      </w:r>
      <w:proofErr w:type="spellEnd"/>
      <w:r>
        <w:t xml:space="preserve"> over the next 20 years, located along the I-5 corridor.</w:t>
      </w:r>
    </w:p>
    <w:p w14:paraId="4593AEBD" w14:textId="77777777" w:rsidR="00794D2D" w:rsidRDefault="00794D2D" w:rsidP="00794D2D">
      <w:pPr>
        <w:pStyle w:val="IRPsanstext"/>
      </w:pPr>
    </w:p>
    <w:p w14:paraId="4DA36EB6" w14:textId="77777777" w:rsidR="00794D2D" w:rsidRDefault="00794D2D" w:rsidP="00794D2D">
      <w:pPr>
        <w:pStyle w:val="IRPsanstext"/>
      </w:pPr>
      <w:r w:rsidRPr="004943C1">
        <w:rPr>
          <w:b/>
          <w:color w:val="156570"/>
          <w:sz w:val="28"/>
        </w:rPr>
        <w:t>Key Findings.</w:t>
      </w:r>
      <w:r>
        <w:t xml:space="preserve"> The key findings provide guidance for development of PSE’s long-term gas-for-power resource strategy.</w:t>
      </w:r>
    </w:p>
    <w:p w14:paraId="11DB2518" w14:textId="77777777" w:rsidR="00794D2D" w:rsidRDefault="00794D2D" w:rsidP="00794D2D">
      <w:pPr>
        <w:pStyle w:val="IRPsanstext"/>
      </w:pPr>
    </w:p>
    <w:p w14:paraId="1F2ACF8E" w14:textId="77777777" w:rsidR="00122D3B" w:rsidRPr="00B16375" w:rsidRDefault="00122D3B" w:rsidP="00F26524">
      <w:pPr>
        <w:pStyle w:val="IRPsanstext"/>
        <w:numPr>
          <w:ilvl w:val="0"/>
          <w:numId w:val="35"/>
        </w:numPr>
        <w:rPr>
          <w:b/>
        </w:rPr>
      </w:pPr>
      <w:r>
        <w:rPr>
          <w:rFonts w:cs="Arial"/>
          <w:b/>
        </w:rPr>
        <w:t xml:space="preserve">Ten </w:t>
      </w:r>
      <w:proofErr w:type="spellStart"/>
      <w:r>
        <w:rPr>
          <w:rFonts w:cs="Arial"/>
          <w:b/>
        </w:rPr>
        <w:t>MDth</w:t>
      </w:r>
      <w:proofErr w:type="spellEnd"/>
      <w:r>
        <w:rPr>
          <w:rFonts w:cs="Arial"/>
          <w:b/>
        </w:rPr>
        <w:t xml:space="preserve"> per day of the proposed Cross Cascades pipeline providing access to the Stanfield natural gas hub is cost-effective beginning in 2022, filling the gap between existing pipeline capacity to Stanfield and Stanfield supply</w:t>
      </w:r>
      <w:r w:rsidRPr="00533709">
        <w:rPr>
          <w:rFonts w:cs="Arial"/>
          <w:b/>
        </w:rPr>
        <w:t>.</w:t>
      </w:r>
      <w:r>
        <w:rPr>
          <w:rFonts w:cs="Arial"/>
          <w:b/>
        </w:rPr>
        <w:t xml:space="preserve">  Procurement increases in 2026, to 61 </w:t>
      </w:r>
      <w:proofErr w:type="spellStart"/>
      <w:r>
        <w:rPr>
          <w:rFonts w:cs="Arial"/>
          <w:b/>
        </w:rPr>
        <w:t>MDth</w:t>
      </w:r>
      <w:proofErr w:type="spellEnd"/>
      <w:r>
        <w:rPr>
          <w:rFonts w:cs="Arial"/>
          <w:b/>
        </w:rPr>
        <w:t xml:space="preserve"> per day.</w:t>
      </w:r>
    </w:p>
    <w:p w14:paraId="48693927" w14:textId="77777777" w:rsidR="00122D3B" w:rsidRPr="00B16375" w:rsidRDefault="00122D3B" w:rsidP="00122D3B">
      <w:pPr>
        <w:pStyle w:val="IRPsanstext"/>
        <w:ind w:left="720"/>
        <w:rPr>
          <w:b/>
        </w:rPr>
      </w:pPr>
    </w:p>
    <w:p w14:paraId="07C25A59" w14:textId="77777777" w:rsidR="00122D3B" w:rsidRDefault="00122D3B" w:rsidP="00F26524">
      <w:pPr>
        <w:pStyle w:val="IRPsanstext"/>
        <w:numPr>
          <w:ilvl w:val="0"/>
          <w:numId w:val="35"/>
        </w:numPr>
        <w:rPr>
          <w:b/>
        </w:rPr>
      </w:pPr>
      <w:r>
        <w:rPr>
          <w:b/>
        </w:rPr>
        <w:t xml:space="preserve">41 </w:t>
      </w:r>
      <w:proofErr w:type="spellStart"/>
      <w:r>
        <w:rPr>
          <w:b/>
        </w:rPr>
        <w:t>MDth</w:t>
      </w:r>
      <w:proofErr w:type="spellEnd"/>
      <w:r>
        <w:rPr>
          <w:b/>
        </w:rPr>
        <w:t xml:space="preserve"> per day of t</w:t>
      </w:r>
      <w:r w:rsidRPr="00533709">
        <w:rPr>
          <w:b/>
        </w:rPr>
        <w:t>he Mist storage expansion alternative appears cost-effective for the gas-for-power portfolio</w:t>
      </w:r>
      <w:r>
        <w:rPr>
          <w:b/>
        </w:rPr>
        <w:t xml:space="preserve"> beginning in 2026</w:t>
      </w:r>
      <w:r w:rsidRPr="00533709">
        <w:rPr>
          <w:b/>
        </w:rPr>
        <w:t>.</w:t>
      </w:r>
    </w:p>
    <w:p w14:paraId="4610BF41" w14:textId="77777777" w:rsidR="00122D3B" w:rsidRDefault="00122D3B" w:rsidP="00122D3B">
      <w:pPr>
        <w:pStyle w:val="IRPsanstext"/>
        <w:ind w:left="720"/>
        <w:rPr>
          <w:b/>
        </w:rPr>
      </w:pPr>
    </w:p>
    <w:p w14:paraId="0B85FFED" w14:textId="77777777" w:rsidR="00122D3B" w:rsidRPr="00E14A40" w:rsidRDefault="00122D3B" w:rsidP="00F26524">
      <w:pPr>
        <w:pStyle w:val="IRPsanstext"/>
        <w:numPr>
          <w:ilvl w:val="0"/>
          <w:numId w:val="35"/>
        </w:numPr>
        <w:rPr>
          <w:b/>
        </w:rPr>
      </w:pPr>
      <w:r>
        <w:rPr>
          <w:rFonts w:cs="Arial"/>
          <w:b/>
        </w:rPr>
        <w:t xml:space="preserve">The proposed </w:t>
      </w:r>
      <w:proofErr w:type="spellStart"/>
      <w:r>
        <w:rPr>
          <w:rFonts w:cs="Arial"/>
          <w:b/>
        </w:rPr>
        <w:t>Westcoast</w:t>
      </w:r>
      <w:proofErr w:type="spellEnd"/>
      <w:r>
        <w:rPr>
          <w:rFonts w:cs="Arial"/>
          <w:b/>
        </w:rPr>
        <w:t xml:space="preserve"> to NWP pipeline expansion to access natural gas at the Station 2 hub in British Columbia is a low cost resource choice beginning in 2030.</w:t>
      </w:r>
    </w:p>
    <w:p w14:paraId="2EB7DC60" w14:textId="77777777" w:rsidR="00794D2D" w:rsidRPr="00533709" w:rsidRDefault="00794D2D" w:rsidP="00794D2D">
      <w:pPr>
        <w:pStyle w:val="IRPsanstext"/>
        <w:rPr>
          <w:b/>
        </w:rPr>
      </w:pPr>
    </w:p>
    <w:p w14:paraId="5E8E07F8" w14:textId="77777777" w:rsidR="00122D3B" w:rsidRDefault="00855BD7" w:rsidP="00122D3B">
      <w:pPr>
        <w:pStyle w:val="IRPsanstext"/>
      </w:pPr>
      <w:r>
        <w:t>Figure 6-60</w:t>
      </w:r>
      <w:r w:rsidR="00122D3B">
        <w:t xml:space="preserve"> shows the amount of these resources selected in the electric Base Scenario. The acquisition of the proposed Cross Cascades pipeline capacity, providing access to the Stanfield gas hub is clearly the least-cost resource. Over 80 percent of the Mist storage expansion is chosen as cost effective beginning in 2026. Finally, proposed </w:t>
      </w:r>
      <w:proofErr w:type="spellStart"/>
      <w:r w:rsidR="00122D3B">
        <w:t>Westcoast</w:t>
      </w:r>
      <w:proofErr w:type="spellEnd"/>
      <w:r w:rsidR="00122D3B">
        <w:t xml:space="preserve"> to Northwest pipeline expansion with access to the lower priced Station 2 hub in British </w:t>
      </w:r>
      <w:proofErr w:type="gramStart"/>
      <w:r w:rsidR="00122D3B">
        <w:t>Columbia,</w:t>
      </w:r>
      <w:proofErr w:type="gramEnd"/>
      <w:r w:rsidR="00122D3B">
        <w:t xml:space="preserve"> is a resource choice beginning in 2026.  </w:t>
      </w:r>
    </w:p>
    <w:p w14:paraId="09D49EAC" w14:textId="77777777" w:rsidR="00794D2D" w:rsidRDefault="00794D2D" w:rsidP="00794D2D">
      <w:pPr>
        <w:pStyle w:val="IRPsanstext"/>
        <w:rPr>
          <w:b/>
          <w:i/>
        </w:rPr>
      </w:pPr>
    </w:p>
    <w:p w14:paraId="3CD7DD57" w14:textId="77777777" w:rsidR="004943C1" w:rsidRDefault="004943C1">
      <w:pPr>
        <w:rPr>
          <w:rFonts w:ascii="Arial" w:hAnsi="Arial"/>
          <w:sz w:val="20"/>
          <w:szCs w:val="20"/>
        </w:rPr>
      </w:pPr>
      <w:r>
        <w:br w:type="page"/>
      </w:r>
    </w:p>
    <w:p w14:paraId="40531691" w14:textId="77777777" w:rsidR="00794D2D" w:rsidRDefault="00794D2D" w:rsidP="00794D2D">
      <w:pPr>
        <w:pStyle w:val="IRPsanstext"/>
      </w:pPr>
      <w:r>
        <w:t>As discussed earlie</w:t>
      </w:r>
      <w:r w:rsidR="00591EC7">
        <w:t>r and illustrated in Figure 6-58</w:t>
      </w:r>
      <w:r>
        <w:t xml:space="preserve">, the gas-fired plants added in the </w:t>
      </w:r>
      <w:r w:rsidR="005F1704">
        <w:t xml:space="preserve">electric </w:t>
      </w:r>
      <w:r>
        <w:t xml:space="preserve">Base Scenario are CCCTs, and two of the three additional </w:t>
      </w:r>
      <w:proofErr w:type="spellStart"/>
      <w:r>
        <w:t>peakers</w:t>
      </w:r>
      <w:proofErr w:type="spellEnd"/>
      <w:r>
        <w:t xml:space="preserve"> with oil backup require 50 percent firm pipeline capacity. </w:t>
      </w:r>
      <w:r w:rsidRPr="008530D0">
        <w:t>However</w:t>
      </w:r>
      <w:r>
        <w:t xml:space="preserve">, </w:t>
      </w:r>
      <w:r w:rsidRPr="008530D0">
        <w:t xml:space="preserve">additional gas pipeline capacity may be required to supply the volumes </w:t>
      </w:r>
      <w:r>
        <w:t>needed</w:t>
      </w:r>
      <w:r w:rsidRPr="008530D0">
        <w:t xml:space="preserve"> to </w:t>
      </w:r>
      <w:r>
        <w:t>support the combined gas sales and gas-for-power loads</w:t>
      </w:r>
      <w:r w:rsidRPr="008530D0">
        <w:t xml:space="preserve"> </w:t>
      </w:r>
      <w:r>
        <w:t>and</w:t>
      </w:r>
      <w:r w:rsidRPr="008530D0">
        <w:t xml:space="preserve"> maintain sufficient </w:t>
      </w:r>
      <w:r>
        <w:t xml:space="preserve">storage </w:t>
      </w:r>
      <w:r w:rsidRPr="008530D0">
        <w:t xml:space="preserve">to </w:t>
      </w:r>
      <w:r>
        <w:t>ensure reliable service</w:t>
      </w:r>
      <w:r w:rsidRPr="008530D0">
        <w:t>.</w:t>
      </w:r>
      <w:r>
        <w:t xml:space="preserve"> </w:t>
      </w:r>
    </w:p>
    <w:p w14:paraId="4E9588D9" w14:textId="77777777" w:rsidR="0076578E" w:rsidRPr="004640D8" w:rsidRDefault="00855BD7" w:rsidP="004640D8">
      <w:pPr>
        <w:pStyle w:val="IRPfiguresub0"/>
        <w:jc w:val="center"/>
        <w:rPr>
          <w:b w:val="0"/>
          <w:i/>
        </w:rPr>
      </w:pPr>
      <w:r>
        <w:rPr>
          <w:b w:val="0"/>
          <w:i/>
        </w:rPr>
        <w:t>Figure 6-60</w:t>
      </w:r>
      <w:r w:rsidR="00794D2D">
        <w:rPr>
          <w:b w:val="0"/>
          <w:i/>
        </w:rPr>
        <w:t>:</w:t>
      </w:r>
      <w:r w:rsidR="00794D2D" w:rsidRPr="009368BF">
        <w:rPr>
          <w:b w:val="0"/>
          <w:i/>
        </w:rPr>
        <w:t xml:space="preserve"> Resource Capacities Selected for the Base Gas</w:t>
      </w:r>
      <w:r>
        <w:rPr>
          <w:b w:val="0"/>
          <w:i/>
        </w:rPr>
        <w:t>-for-p</w:t>
      </w:r>
      <w:r w:rsidR="004640D8">
        <w:rPr>
          <w:b w:val="0"/>
          <w:i/>
        </w:rPr>
        <w:t>ower Portfolio (</w:t>
      </w:r>
      <w:proofErr w:type="spellStart"/>
      <w:r w:rsidR="004640D8">
        <w:rPr>
          <w:b w:val="0"/>
          <w:i/>
        </w:rPr>
        <w:t>MDth</w:t>
      </w:r>
      <w:proofErr w:type="spellEnd"/>
      <w:r w:rsidR="004640D8">
        <w:rPr>
          <w:b w:val="0"/>
          <w:i/>
        </w:rPr>
        <w:t>/day)</w:t>
      </w:r>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5"/>
        <w:gridCol w:w="1152"/>
        <w:gridCol w:w="1152"/>
        <w:gridCol w:w="1152"/>
        <w:gridCol w:w="1152"/>
        <w:gridCol w:w="1152"/>
      </w:tblGrid>
      <w:tr w:rsidR="00894DE6" w:rsidRPr="002873A4" w14:paraId="0AF84374" w14:textId="77777777">
        <w:trPr>
          <w:trHeight w:val="368"/>
        </w:trPr>
        <w:tc>
          <w:tcPr>
            <w:tcW w:w="2895" w:type="dxa"/>
            <w:shd w:val="clear" w:color="000000" w:fill="156570"/>
            <w:vAlign w:val="center"/>
          </w:tcPr>
          <w:p w14:paraId="59AFD44F" w14:textId="77777777" w:rsidR="00894DE6" w:rsidRPr="0067369A" w:rsidRDefault="00894DE6" w:rsidP="004640D8">
            <w:pPr>
              <w:pStyle w:val="IRPsanstext"/>
              <w:rPr>
                <w:rFonts w:eastAsia="Times New Roman" w:cs="Arial"/>
                <w:b/>
                <w:bCs/>
                <w:color w:val="FFFFFF"/>
              </w:rPr>
            </w:pPr>
            <w:r>
              <w:rPr>
                <w:rFonts w:eastAsia="Times New Roman" w:cs="Arial"/>
                <w:b/>
                <w:bCs/>
                <w:color w:val="FFFFFF"/>
              </w:rPr>
              <w:t xml:space="preserve">Base Scenario </w:t>
            </w:r>
            <w:proofErr w:type="spellStart"/>
            <w:r>
              <w:rPr>
                <w:rFonts w:eastAsia="Times New Roman" w:cs="Arial"/>
                <w:b/>
                <w:bCs/>
                <w:color w:val="FFFFFF"/>
              </w:rPr>
              <w:t>MDth</w:t>
            </w:r>
            <w:proofErr w:type="spellEnd"/>
            <w:r>
              <w:rPr>
                <w:rFonts w:eastAsia="Times New Roman" w:cs="Arial"/>
                <w:b/>
                <w:bCs/>
                <w:color w:val="FFFFFF"/>
              </w:rPr>
              <w:t>/day</w:t>
            </w:r>
          </w:p>
        </w:tc>
        <w:tc>
          <w:tcPr>
            <w:tcW w:w="1152" w:type="dxa"/>
            <w:shd w:val="clear" w:color="000000" w:fill="156570"/>
            <w:vAlign w:val="center"/>
          </w:tcPr>
          <w:p w14:paraId="4970AE9E" w14:textId="77777777" w:rsidR="00894DE6" w:rsidRPr="0067369A" w:rsidRDefault="00894DE6" w:rsidP="004640D8">
            <w:pPr>
              <w:pStyle w:val="IRPsanstext"/>
              <w:jc w:val="right"/>
              <w:rPr>
                <w:rFonts w:eastAsia="Times New Roman" w:cs="Arial"/>
                <w:b/>
                <w:bCs/>
                <w:color w:val="FFFFFF"/>
              </w:rPr>
            </w:pPr>
            <w:r>
              <w:rPr>
                <w:rFonts w:eastAsia="Times New Roman" w:cs="Arial"/>
                <w:b/>
                <w:bCs/>
                <w:color w:val="FFFFFF"/>
              </w:rPr>
              <w:t>2018-19</w:t>
            </w:r>
          </w:p>
        </w:tc>
        <w:tc>
          <w:tcPr>
            <w:tcW w:w="1152" w:type="dxa"/>
            <w:shd w:val="clear" w:color="000000" w:fill="156570"/>
            <w:vAlign w:val="center"/>
          </w:tcPr>
          <w:p w14:paraId="02E7CE07" w14:textId="77777777" w:rsidR="00894DE6" w:rsidRPr="0067369A" w:rsidRDefault="00894DE6" w:rsidP="004640D8">
            <w:pPr>
              <w:pStyle w:val="IRPsanstext"/>
              <w:jc w:val="right"/>
              <w:rPr>
                <w:rFonts w:eastAsia="Times New Roman" w:cs="Arial"/>
                <w:b/>
                <w:bCs/>
                <w:color w:val="FFFFFF"/>
              </w:rPr>
            </w:pPr>
            <w:r>
              <w:rPr>
                <w:rFonts w:eastAsia="Times New Roman" w:cs="Arial"/>
                <w:b/>
                <w:bCs/>
                <w:color w:val="FFFFFF"/>
              </w:rPr>
              <w:t>2022-23</w:t>
            </w:r>
          </w:p>
        </w:tc>
        <w:tc>
          <w:tcPr>
            <w:tcW w:w="1152" w:type="dxa"/>
            <w:shd w:val="clear" w:color="000000" w:fill="156570"/>
            <w:vAlign w:val="center"/>
          </w:tcPr>
          <w:p w14:paraId="11D781DE" w14:textId="77777777" w:rsidR="00894DE6" w:rsidRPr="0067369A" w:rsidRDefault="00894DE6" w:rsidP="004640D8">
            <w:pPr>
              <w:pStyle w:val="IRPsanstext"/>
              <w:jc w:val="right"/>
              <w:rPr>
                <w:rFonts w:eastAsia="Times New Roman" w:cs="Arial"/>
                <w:b/>
                <w:bCs/>
                <w:color w:val="FFFFFF"/>
              </w:rPr>
            </w:pPr>
            <w:r>
              <w:rPr>
                <w:rFonts w:eastAsia="Times New Roman" w:cs="Arial"/>
                <w:b/>
                <w:bCs/>
                <w:color w:val="FFFFFF"/>
              </w:rPr>
              <w:t>2026-27</w:t>
            </w:r>
          </w:p>
        </w:tc>
        <w:tc>
          <w:tcPr>
            <w:tcW w:w="1152" w:type="dxa"/>
            <w:shd w:val="clear" w:color="000000" w:fill="156570"/>
            <w:vAlign w:val="center"/>
          </w:tcPr>
          <w:p w14:paraId="139DD248" w14:textId="77777777" w:rsidR="00894DE6" w:rsidRPr="0067369A" w:rsidRDefault="00894DE6" w:rsidP="004640D8">
            <w:pPr>
              <w:pStyle w:val="IRPsanstext"/>
              <w:jc w:val="right"/>
              <w:rPr>
                <w:rFonts w:eastAsia="Times New Roman" w:cs="Arial"/>
                <w:b/>
                <w:bCs/>
                <w:color w:val="FFFFFF"/>
              </w:rPr>
            </w:pPr>
            <w:r>
              <w:rPr>
                <w:rFonts w:eastAsia="Times New Roman" w:cs="Arial"/>
                <w:b/>
                <w:bCs/>
                <w:color w:val="FFFFFF"/>
              </w:rPr>
              <w:t>2030-31</w:t>
            </w:r>
          </w:p>
        </w:tc>
        <w:tc>
          <w:tcPr>
            <w:tcW w:w="1152" w:type="dxa"/>
            <w:shd w:val="clear" w:color="000000" w:fill="156570"/>
            <w:vAlign w:val="center"/>
          </w:tcPr>
          <w:p w14:paraId="2898DA37" w14:textId="77777777" w:rsidR="00894DE6" w:rsidRDefault="00894DE6" w:rsidP="004640D8">
            <w:pPr>
              <w:pStyle w:val="IRPsanstext"/>
              <w:jc w:val="right"/>
              <w:rPr>
                <w:rFonts w:eastAsia="Times New Roman" w:cs="Arial"/>
                <w:b/>
                <w:bCs/>
                <w:color w:val="FFFFFF"/>
              </w:rPr>
            </w:pPr>
            <w:r>
              <w:rPr>
                <w:rFonts w:eastAsia="Times New Roman" w:cs="Arial"/>
                <w:b/>
                <w:bCs/>
                <w:color w:val="FFFFFF"/>
              </w:rPr>
              <w:t>2034-35</w:t>
            </w:r>
          </w:p>
        </w:tc>
      </w:tr>
      <w:tr w:rsidR="00122D3B" w:rsidRPr="002873A4" w14:paraId="7DE19F2A" w14:textId="77777777">
        <w:trPr>
          <w:trHeight w:val="411"/>
        </w:trPr>
        <w:tc>
          <w:tcPr>
            <w:tcW w:w="2895" w:type="dxa"/>
            <w:shd w:val="clear" w:color="auto" w:fill="auto"/>
            <w:vAlign w:val="center"/>
          </w:tcPr>
          <w:p w14:paraId="714079F3" w14:textId="77777777" w:rsidR="00122D3B" w:rsidRDefault="00122D3B" w:rsidP="00A06060">
            <w:pPr>
              <w:pStyle w:val="IRPsanstext"/>
              <w:rPr>
                <w:rFonts w:eastAsia="Times New Roman" w:cs="Arial"/>
                <w:bCs/>
                <w:color w:val="000000"/>
              </w:rPr>
            </w:pPr>
            <w:r>
              <w:rPr>
                <w:rFonts w:eastAsia="Times New Roman" w:cs="Arial"/>
                <w:color w:val="000000"/>
              </w:rPr>
              <w:t>Cross Cascades</w:t>
            </w:r>
          </w:p>
        </w:tc>
        <w:tc>
          <w:tcPr>
            <w:tcW w:w="1152" w:type="dxa"/>
            <w:shd w:val="clear" w:color="auto" w:fill="auto"/>
            <w:vAlign w:val="bottom"/>
          </w:tcPr>
          <w:p w14:paraId="5193640D" w14:textId="77777777" w:rsidR="00122D3B" w:rsidRDefault="00122D3B" w:rsidP="00122D3B">
            <w:pPr>
              <w:pStyle w:val="IRPsanstext"/>
              <w:jc w:val="right"/>
              <w:rPr>
                <w:rFonts w:eastAsia="Times New Roman" w:cs="Arial"/>
                <w:bCs/>
                <w:color w:val="000000"/>
              </w:rPr>
            </w:pPr>
            <w:r>
              <w:rPr>
                <w:rFonts w:eastAsia="Times New Roman" w:cs="Arial"/>
                <w:color w:val="000000"/>
              </w:rPr>
              <w:t>-</w:t>
            </w:r>
          </w:p>
        </w:tc>
        <w:tc>
          <w:tcPr>
            <w:tcW w:w="1152" w:type="dxa"/>
            <w:shd w:val="clear" w:color="auto" w:fill="auto"/>
            <w:vAlign w:val="bottom"/>
          </w:tcPr>
          <w:p w14:paraId="1E721B78" w14:textId="77777777" w:rsidR="00122D3B" w:rsidRPr="009765D2" w:rsidRDefault="00122D3B" w:rsidP="00122D3B">
            <w:pPr>
              <w:pStyle w:val="IRPsanstext"/>
              <w:jc w:val="right"/>
              <w:rPr>
                <w:rFonts w:eastAsia="Times New Roman" w:cs="Arial"/>
                <w:bCs/>
                <w:color w:val="000000"/>
              </w:rPr>
            </w:pPr>
            <w:r>
              <w:rPr>
                <w:rFonts w:eastAsia="Times New Roman" w:cs="Arial"/>
                <w:bCs/>
                <w:color w:val="000000"/>
              </w:rPr>
              <w:t>10</w:t>
            </w:r>
          </w:p>
        </w:tc>
        <w:tc>
          <w:tcPr>
            <w:tcW w:w="1152" w:type="dxa"/>
            <w:shd w:val="clear" w:color="auto" w:fill="auto"/>
            <w:vAlign w:val="bottom"/>
          </w:tcPr>
          <w:p w14:paraId="1A948EC8" w14:textId="77777777" w:rsidR="00122D3B" w:rsidRPr="009765D2" w:rsidRDefault="00122D3B" w:rsidP="00122D3B">
            <w:pPr>
              <w:pStyle w:val="IRPsanstext"/>
              <w:jc w:val="right"/>
              <w:rPr>
                <w:rFonts w:eastAsia="Times New Roman" w:cs="Arial"/>
                <w:bCs/>
                <w:color w:val="000000"/>
              </w:rPr>
            </w:pPr>
            <w:r>
              <w:rPr>
                <w:rFonts w:eastAsia="Times New Roman" w:cs="Arial"/>
                <w:bCs/>
                <w:color w:val="000000"/>
              </w:rPr>
              <w:t>64</w:t>
            </w:r>
          </w:p>
        </w:tc>
        <w:tc>
          <w:tcPr>
            <w:tcW w:w="1152" w:type="dxa"/>
            <w:shd w:val="clear" w:color="auto" w:fill="auto"/>
            <w:vAlign w:val="bottom"/>
          </w:tcPr>
          <w:p w14:paraId="50364D5F" w14:textId="77777777" w:rsidR="00122D3B" w:rsidDel="00B16375" w:rsidRDefault="00122D3B" w:rsidP="00122D3B">
            <w:pPr>
              <w:pStyle w:val="IRPsanstext"/>
              <w:jc w:val="right"/>
              <w:rPr>
                <w:rFonts w:eastAsia="Times New Roman" w:cs="Arial"/>
                <w:bCs/>
                <w:color w:val="000000"/>
              </w:rPr>
            </w:pPr>
            <w:r w:rsidRPr="00C31EE1">
              <w:rPr>
                <w:rFonts w:eastAsia="Times New Roman" w:cs="Arial"/>
                <w:bCs/>
                <w:color w:val="000000"/>
              </w:rPr>
              <w:t>64</w:t>
            </w:r>
          </w:p>
        </w:tc>
        <w:tc>
          <w:tcPr>
            <w:tcW w:w="1152" w:type="dxa"/>
            <w:vAlign w:val="bottom"/>
          </w:tcPr>
          <w:p w14:paraId="4E4310A0" w14:textId="77777777" w:rsidR="00122D3B" w:rsidDel="00B16375" w:rsidRDefault="00122D3B" w:rsidP="00122D3B">
            <w:pPr>
              <w:pStyle w:val="IRPsanstext"/>
              <w:jc w:val="right"/>
              <w:rPr>
                <w:rFonts w:eastAsia="Times New Roman" w:cs="Arial"/>
                <w:bCs/>
                <w:color w:val="000000"/>
              </w:rPr>
            </w:pPr>
            <w:r w:rsidRPr="00C31EE1">
              <w:rPr>
                <w:rFonts w:eastAsia="Times New Roman" w:cs="Arial"/>
                <w:bCs/>
                <w:color w:val="000000"/>
              </w:rPr>
              <w:t>64</w:t>
            </w:r>
          </w:p>
        </w:tc>
      </w:tr>
      <w:tr w:rsidR="00122D3B" w:rsidRPr="002873A4" w14:paraId="14B38E4C" w14:textId="77777777">
        <w:trPr>
          <w:trHeight w:val="411"/>
        </w:trPr>
        <w:tc>
          <w:tcPr>
            <w:tcW w:w="2895" w:type="dxa"/>
            <w:shd w:val="clear" w:color="auto" w:fill="auto"/>
            <w:vAlign w:val="center"/>
          </w:tcPr>
          <w:p w14:paraId="53A414AE" w14:textId="77777777" w:rsidR="00122D3B" w:rsidRPr="002873A4" w:rsidRDefault="00122D3B" w:rsidP="00A06060">
            <w:pPr>
              <w:pStyle w:val="IRPsanstext"/>
              <w:rPr>
                <w:rFonts w:eastAsia="Times New Roman" w:cs="Arial"/>
                <w:color w:val="000000"/>
              </w:rPr>
            </w:pPr>
            <w:r>
              <w:rPr>
                <w:rFonts w:eastAsia="Times New Roman" w:cs="Arial"/>
                <w:color w:val="000000"/>
              </w:rPr>
              <w:t>Mist Storage Expansion</w:t>
            </w:r>
          </w:p>
        </w:tc>
        <w:tc>
          <w:tcPr>
            <w:tcW w:w="1152" w:type="dxa"/>
            <w:shd w:val="clear" w:color="auto" w:fill="auto"/>
            <w:vAlign w:val="bottom"/>
          </w:tcPr>
          <w:p w14:paraId="58BA2BF4" w14:textId="77777777" w:rsidR="00122D3B" w:rsidRPr="002873A4" w:rsidRDefault="00122D3B" w:rsidP="00122D3B">
            <w:pPr>
              <w:pStyle w:val="IRPsanstext"/>
              <w:jc w:val="right"/>
              <w:rPr>
                <w:rFonts w:eastAsia="Times New Roman" w:cs="Arial"/>
                <w:color w:val="000000"/>
              </w:rPr>
            </w:pPr>
            <w:r>
              <w:rPr>
                <w:rFonts w:eastAsia="Times New Roman" w:cs="Arial"/>
                <w:color w:val="000000"/>
              </w:rPr>
              <w:t>-</w:t>
            </w:r>
          </w:p>
        </w:tc>
        <w:tc>
          <w:tcPr>
            <w:tcW w:w="1152" w:type="dxa"/>
            <w:shd w:val="clear" w:color="auto" w:fill="auto"/>
            <w:vAlign w:val="bottom"/>
          </w:tcPr>
          <w:p w14:paraId="79351A2F" w14:textId="77777777" w:rsidR="00122D3B" w:rsidRPr="002873A4" w:rsidRDefault="00122D3B" w:rsidP="00122D3B">
            <w:pPr>
              <w:pStyle w:val="IRPsanstext"/>
              <w:jc w:val="right"/>
              <w:rPr>
                <w:rFonts w:eastAsia="Times New Roman" w:cs="Arial"/>
                <w:color w:val="000000"/>
              </w:rPr>
            </w:pPr>
            <w:r w:rsidRPr="009765D2">
              <w:rPr>
                <w:rFonts w:eastAsia="Times New Roman" w:cs="Arial"/>
                <w:bCs/>
                <w:color w:val="000000"/>
              </w:rPr>
              <w:t>-</w:t>
            </w:r>
          </w:p>
        </w:tc>
        <w:tc>
          <w:tcPr>
            <w:tcW w:w="1152" w:type="dxa"/>
            <w:shd w:val="clear" w:color="auto" w:fill="auto"/>
            <w:vAlign w:val="bottom"/>
          </w:tcPr>
          <w:p w14:paraId="053A8885" w14:textId="77777777" w:rsidR="00122D3B" w:rsidRPr="002873A4" w:rsidRDefault="00122D3B" w:rsidP="00122D3B">
            <w:pPr>
              <w:pStyle w:val="IRPsanstext"/>
              <w:jc w:val="right"/>
              <w:rPr>
                <w:rFonts w:eastAsia="Times New Roman" w:cs="Arial"/>
                <w:color w:val="000000"/>
              </w:rPr>
            </w:pPr>
            <w:r>
              <w:rPr>
                <w:rFonts w:eastAsia="Times New Roman" w:cs="Arial"/>
              </w:rPr>
              <w:t>41</w:t>
            </w:r>
          </w:p>
        </w:tc>
        <w:tc>
          <w:tcPr>
            <w:tcW w:w="1152" w:type="dxa"/>
            <w:shd w:val="clear" w:color="auto" w:fill="auto"/>
            <w:vAlign w:val="bottom"/>
          </w:tcPr>
          <w:p w14:paraId="31940B24" w14:textId="77777777" w:rsidR="00122D3B" w:rsidRPr="0067369A" w:rsidRDefault="00122D3B" w:rsidP="00122D3B">
            <w:pPr>
              <w:pStyle w:val="IRPsanstext"/>
              <w:jc w:val="right"/>
              <w:rPr>
                <w:rFonts w:eastAsia="Times New Roman" w:cs="Arial"/>
              </w:rPr>
            </w:pPr>
            <w:r>
              <w:rPr>
                <w:rFonts w:eastAsia="Times New Roman" w:cs="Arial"/>
              </w:rPr>
              <w:t>41</w:t>
            </w:r>
          </w:p>
        </w:tc>
        <w:tc>
          <w:tcPr>
            <w:tcW w:w="1152" w:type="dxa"/>
            <w:vAlign w:val="bottom"/>
          </w:tcPr>
          <w:p w14:paraId="177C4018" w14:textId="77777777" w:rsidR="00122D3B" w:rsidRPr="0067369A" w:rsidRDefault="00122D3B" w:rsidP="00122D3B">
            <w:pPr>
              <w:pStyle w:val="IRPsanstext"/>
              <w:jc w:val="right"/>
              <w:rPr>
                <w:rFonts w:eastAsia="Times New Roman" w:cs="Arial"/>
              </w:rPr>
            </w:pPr>
            <w:r>
              <w:rPr>
                <w:rFonts w:eastAsia="Times New Roman" w:cs="Arial"/>
              </w:rPr>
              <w:t>41</w:t>
            </w:r>
          </w:p>
        </w:tc>
      </w:tr>
      <w:tr w:rsidR="00122D3B" w:rsidRPr="002873A4" w14:paraId="45A5055B" w14:textId="77777777">
        <w:trPr>
          <w:trHeight w:val="411"/>
        </w:trPr>
        <w:tc>
          <w:tcPr>
            <w:tcW w:w="2895" w:type="dxa"/>
            <w:shd w:val="clear" w:color="auto" w:fill="auto"/>
            <w:vAlign w:val="center"/>
          </w:tcPr>
          <w:p w14:paraId="4766A837" w14:textId="77777777" w:rsidR="00122D3B" w:rsidRPr="002873A4" w:rsidRDefault="00122D3B" w:rsidP="00A06060">
            <w:pPr>
              <w:pStyle w:val="IRPsanstext"/>
              <w:rPr>
                <w:rFonts w:eastAsia="Times New Roman" w:cs="Arial"/>
                <w:color w:val="000000"/>
              </w:rPr>
            </w:pPr>
            <w:r>
              <w:rPr>
                <w:rFonts w:eastAsia="Times New Roman" w:cs="Arial"/>
                <w:bCs/>
                <w:color w:val="000000"/>
              </w:rPr>
              <w:t>NPW/</w:t>
            </w:r>
            <w:proofErr w:type="spellStart"/>
            <w:r>
              <w:rPr>
                <w:rFonts w:eastAsia="Times New Roman" w:cs="Arial"/>
                <w:bCs/>
                <w:color w:val="000000"/>
              </w:rPr>
              <w:t>Westcoast</w:t>
            </w:r>
            <w:proofErr w:type="spellEnd"/>
            <w:r>
              <w:rPr>
                <w:rFonts w:eastAsia="Times New Roman" w:cs="Arial"/>
                <w:bCs/>
                <w:color w:val="000000"/>
              </w:rPr>
              <w:t xml:space="preserve"> Expansion</w:t>
            </w:r>
          </w:p>
        </w:tc>
        <w:tc>
          <w:tcPr>
            <w:tcW w:w="1152" w:type="dxa"/>
            <w:shd w:val="clear" w:color="auto" w:fill="auto"/>
            <w:vAlign w:val="bottom"/>
          </w:tcPr>
          <w:p w14:paraId="48501F12" w14:textId="77777777" w:rsidR="00122D3B" w:rsidRPr="002873A4" w:rsidRDefault="00122D3B" w:rsidP="00122D3B">
            <w:pPr>
              <w:pStyle w:val="IRPsanstext"/>
              <w:jc w:val="right"/>
              <w:rPr>
                <w:rFonts w:eastAsia="Times New Roman" w:cs="Arial"/>
                <w:color w:val="000000"/>
              </w:rPr>
            </w:pPr>
            <w:r>
              <w:rPr>
                <w:rFonts w:eastAsia="Times New Roman" w:cs="Arial"/>
                <w:bCs/>
                <w:color w:val="000000"/>
              </w:rPr>
              <w:t>-</w:t>
            </w:r>
          </w:p>
        </w:tc>
        <w:tc>
          <w:tcPr>
            <w:tcW w:w="1152" w:type="dxa"/>
            <w:shd w:val="clear" w:color="auto" w:fill="auto"/>
            <w:vAlign w:val="bottom"/>
          </w:tcPr>
          <w:p w14:paraId="44C4CE41" w14:textId="77777777" w:rsidR="00122D3B" w:rsidRPr="002873A4" w:rsidRDefault="00122D3B" w:rsidP="00122D3B">
            <w:pPr>
              <w:pStyle w:val="IRPsanstext"/>
              <w:jc w:val="right"/>
              <w:rPr>
                <w:rFonts w:eastAsia="Times New Roman" w:cs="Arial"/>
                <w:color w:val="000000"/>
              </w:rPr>
            </w:pPr>
            <w:r w:rsidRPr="009765D2">
              <w:rPr>
                <w:rFonts w:eastAsia="Times New Roman" w:cs="Arial"/>
                <w:bCs/>
                <w:color w:val="000000"/>
              </w:rPr>
              <w:t>-</w:t>
            </w:r>
          </w:p>
        </w:tc>
        <w:tc>
          <w:tcPr>
            <w:tcW w:w="1152" w:type="dxa"/>
            <w:shd w:val="clear" w:color="auto" w:fill="auto"/>
            <w:vAlign w:val="bottom"/>
          </w:tcPr>
          <w:p w14:paraId="4D296FD9" w14:textId="77777777" w:rsidR="00122D3B" w:rsidRPr="002873A4" w:rsidRDefault="00122D3B" w:rsidP="00122D3B">
            <w:pPr>
              <w:pStyle w:val="IRPsanstext"/>
              <w:jc w:val="right"/>
              <w:rPr>
                <w:rFonts w:eastAsia="Times New Roman" w:cs="Arial"/>
                <w:color w:val="000000"/>
              </w:rPr>
            </w:pPr>
            <w:r w:rsidRPr="009765D2">
              <w:rPr>
                <w:rFonts w:eastAsia="Times New Roman" w:cs="Arial"/>
                <w:bCs/>
                <w:color w:val="000000"/>
              </w:rPr>
              <w:t>-</w:t>
            </w:r>
          </w:p>
        </w:tc>
        <w:tc>
          <w:tcPr>
            <w:tcW w:w="1152" w:type="dxa"/>
            <w:shd w:val="clear" w:color="auto" w:fill="auto"/>
            <w:vAlign w:val="bottom"/>
          </w:tcPr>
          <w:p w14:paraId="49B4C8AC" w14:textId="77777777" w:rsidR="00122D3B" w:rsidRPr="0067369A" w:rsidRDefault="00122D3B" w:rsidP="00122D3B">
            <w:pPr>
              <w:pStyle w:val="IRPsanstext"/>
              <w:jc w:val="right"/>
              <w:rPr>
                <w:rFonts w:eastAsia="Times New Roman" w:cs="Arial"/>
              </w:rPr>
            </w:pPr>
            <w:r>
              <w:rPr>
                <w:rFonts w:eastAsia="Times New Roman" w:cs="Arial"/>
                <w:bCs/>
                <w:color w:val="000000"/>
              </w:rPr>
              <w:t>62</w:t>
            </w:r>
          </w:p>
        </w:tc>
        <w:tc>
          <w:tcPr>
            <w:tcW w:w="1152" w:type="dxa"/>
            <w:vAlign w:val="bottom"/>
          </w:tcPr>
          <w:p w14:paraId="37835D74" w14:textId="77777777" w:rsidR="00122D3B" w:rsidRPr="0067369A" w:rsidRDefault="00122D3B" w:rsidP="00122D3B">
            <w:pPr>
              <w:pStyle w:val="IRPsanstext"/>
              <w:jc w:val="right"/>
              <w:rPr>
                <w:rFonts w:eastAsia="Times New Roman" w:cs="Arial"/>
              </w:rPr>
            </w:pPr>
            <w:r>
              <w:rPr>
                <w:rFonts w:eastAsia="Times New Roman" w:cs="Arial"/>
                <w:bCs/>
                <w:color w:val="000000"/>
              </w:rPr>
              <w:t>62</w:t>
            </w:r>
          </w:p>
        </w:tc>
      </w:tr>
      <w:tr w:rsidR="00122D3B" w:rsidRPr="002873A4" w14:paraId="24D16B9D" w14:textId="77777777">
        <w:trPr>
          <w:trHeight w:val="411"/>
        </w:trPr>
        <w:tc>
          <w:tcPr>
            <w:tcW w:w="2895" w:type="dxa"/>
            <w:shd w:val="clear" w:color="auto" w:fill="D9D9D9" w:themeFill="background1" w:themeFillShade="D9"/>
            <w:vAlign w:val="center"/>
          </w:tcPr>
          <w:p w14:paraId="66CB4235" w14:textId="77777777" w:rsidR="00122D3B" w:rsidRPr="004640D8" w:rsidRDefault="00122D3B" w:rsidP="00A06060">
            <w:pPr>
              <w:pStyle w:val="IRPsanstext"/>
              <w:rPr>
                <w:rFonts w:eastAsia="Times New Roman" w:cs="Arial"/>
                <w:b/>
                <w:color w:val="000000"/>
              </w:rPr>
            </w:pPr>
            <w:r w:rsidRPr="004640D8">
              <w:rPr>
                <w:rFonts w:eastAsia="Times New Roman" w:cs="Arial"/>
                <w:b/>
                <w:color w:val="000000"/>
              </w:rPr>
              <w:t>Total</w:t>
            </w:r>
          </w:p>
        </w:tc>
        <w:tc>
          <w:tcPr>
            <w:tcW w:w="1152" w:type="dxa"/>
            <w:shd w:val="clear" w:color="auto" w:fill="D9D9D9" w:themeFill="background1" w:themeFillShade="D9"/>
            <w:vAlign w:val="bottom"/>
          </w:tcPr>
          <w:p w14:paraId="1EB7D667" w14:textId="77777777" w:rsidR="00122D3B" w:rsidRPr="004640D8" w:rsidRDefault="00122D3B" w:rsidP="00122D3B">
            <w:pPr>
              <w:pStyle w:val="IRPsanstext"/>
              <w:jc w:val="right"/>
              <w:rPr>
                <w:rFonts w:eastAsia="Times New Roman" w:cs="Arial"/>
                <w:b/>
                <w:color w:val="000000"/>
              </w:rPr>
            </w:pPr>
            <w:r>
              <w:rPr>
                <w:rFonts w:eastAsia="Times New Roman" w:cs="Arial"/>
                <w:b/>
                <w:color w:val="000000"/>
              </w:rPr>
              <w:t>-</w:t>
            </w:r>
          </w:p>
        </w:tc>
        <w:tc>
          <w:tcPr>
            <w:tcW w:w="1152" w:type="dxa"/>
            <w:shd w:val="clear" w:color="auto" w:fill="D9D9D9" w:themeFill="background1" w:themeFillShade="D9"/>
            <w:vAlign w:val="bottom"/>
          </w:tcPr>
          <w:p w14:paraId="0DA8FD85" w14:textId="77777777" w:rsidR="00122D3B" w:rsidRPr="004640D8" w:rsidRDefault="00122D3B" w:rsidP="00122D3B">
            <w:pPr>
              <w:pStyle w:val="IRPsanstext"/>
              <w:jc w:val="right"/>
              <w:rPr>
                <w:rFonts w:eastAsia="Times New Roman" w:cs="Arial"/>
                <w:b/>
                <w:color w:val="000000"/>
              </w:rPr>
            </w:pPr>
            <w:r>
              <w:rPr>
                <w:rFonts w:eastAsia="Times New Roman" w:cs="Arial"/>
                <w:b/>
                <w:color w:val="000000"/>
              </w:rPr>
              <w:t>46</w:t>
            </w:r>
          </w:p>
        </w:tc>
        <w:tc>
          <w:tcPr>
            <w:tcW w:w="1152" w:type="dxa"/>
            <w:shd w:val="clear" w:color="auto" w:fill="D9D9D9" w:themeFill="background1" w:themeFillShade="D9"/>
            <w:vAlign w:val="bottom"/>
          </w:tcPr>
          <w:p w14:paraId="27129176" w14:textId="77777777" w:rsidR="00122D3B" w:rsidRPr="004640D8" w:rsidRDefault="00122D3B" w:rsidP="00122D3B">
            <w:pPr>
              <w:pStyle w:val="IRPsanstext"/>
              <w:jc w:val="right"/>
              <w:rPr>
                <w:rFonts w:eastAsia="Times New Roman" w:cs="Arial"/>
                <w:b/>
                <w:color w:val="000000"/>
              </w:rPr>
            </w:pPr>
            <w:r>
              <w:rPr>
                <w:rFonts w:eastAsia="Times New Roman" w:cs="Arial"/>
                <w:b/>
                <w:color w:val="000000"/>
              </w:rPr>
              <w:t>105</w:t>
            </w:r>
          </w:p>
        </w:tc>
        <w:tc>
          <w:tcPr>
            <w:tcW w:w="1152" w:type="dxa"/>
            <w:shd w:val="clear" w:color="auto" w:fill="D9D9D9" w:themeFill="background1" w:themeFillShade="D9"/>
            <w:vAlign w:val="bottom"/>
          </w:tcPr>
          <w:p w14:paraId="0E6333E9" w14:textId="77777777" w:rsidR="00122D3B" w:rsidRPr="004640D8" w:rsidRDefault="00122D3B" w:rsidP="00122D3B">
            <w:pPr>
              <w:pStyle w:val="IRPsanstext"/>
              <w:jc w:val="right"/>
              <w:rPr>
                <w:rFonts w:eastAsia="Times New Roman" w:cs="Arial"/>
                <w:b/>
              </w:rPr>
            </w:pPr>
            <w:r>
              <w:rPr>
                <w:rFonts w:eastAsia="Times New Roman" w:cs="Arial"/>
                <w:b/>
              </w:rPr>
              <w:t>167</w:t>
            </w:r>
          </w:p>
        </w:tc>
        <w:tc>
          <w:tcPr>
            <w:tcW w:w="1152" w:type="dxa"/>
            <w:shd w:val="clear" w:color="auto" w:fill="D9D9D9" w:themeFill="background1" w:themeFillShade="D9"/>
            <w:vAlign w:val="bottom"/>
          </w:tcPr>
          <w:p w14:paraId="0ECB3588" w14:textId="77777777" w:rsidR="00122D3B" w:rsidRPr="004640D8" w:rsidRDefault="00122D3B" w:rsidP="00122D3B">
            <w:pPr>
              <w:pStyle w:val="IRPsanstext"/>
              <w:jc w:val="right"/>
              <w:rPr>
                <w:rFonts w:eastAsia="Times New Roman" w:cs="Arial"/>
                <w:b/>
              </w:rPr>
            </w:pPr>
            <w:r>
              <w:rPr>
                <w:rFonts w:eastAsia="Times New Roman" w:cs="Arial"/>
                <w:b/>
              </w:rPr>
              <w:t>167</w:t>
            </w:r>
          </w:p>
        </w:tc>
      </w:tr>
    </w:tbl>
    <w:p w14:paraId="111A2B46" w14:textId="77777777" w:rsidR="0076578E" w:rsidRDefault="0076578E" w:rsidP="004E5935">
      <w:pPr>
        <w:pStyle w:val="IRPsecthead2sans"/>
        <w:spacing w:line="360" w:lineRule="auto"/>
        <w:rPr>
          <w:b w:val="0"/>
          <w:i/>
          <w:sz w:val="20"/>
        </w:rPr>
      </w:pPr>
    </w:p>
    <w:p w14:paraId="33FAC99D" w14:textId="77777777" w:rsidR="00827F70" w:rsidRDefault="00827F70" w:rsidP="00827F70">
      <w:pPr>
        <w:pStyle w:val="IRPsanstext"/>
      </w:pPr>
      <w:r>
        <w:t xml:space="preserve">The electric Base Scenario portfolio adds a 577MW CCCT in 2026 and a 228 MW CCCT in 2033; they require approximately 95,100 and 37,600 </w:t>
      </w:r>
      <w:proofErr w:type="spellStart"/>
      <w:r>
        <w:t>Dth</w:t>
      </w:r>
      <w:proofErr w:type="spellEnd"/>
      <w:r>
        <w:t xml:space="preserve"> per day of natural gas per day, respectively, to run at capacity. Three </w:t>
      </w:r>
      <w:proofErr w:type="spellStart"/>
      <w:r>
        <w:t>peakers</w:t>
      </w:r>
      <w:proofErr w:type="spellEnd"/>
      <w:r>
        <w:t xml:space="preserve"> with a total capacity of 605 MW are added to the portfolio by 2030. As discussed, </w:t>
      </w:r>
      <w:proofErr w:type="gramStart"/>
      <w:r>
        <w:t xml:space="preserve">the first 277 MW </w:t>
      </w:r>
      <w:proofErr w:type="spellStart"/>
      <w:r>
        <w:t>peaker</w:t>
      </w:r>
      <w:proofErr w:type="spellEnd"/>
      <w:proofErr w:type="gramEnd"/>
      <w:r>
        <w:t xml:space="preserve"> is assumed to require no firm pipeline capacity. The second and third </w:t>
      </w:r>
      <w:proofErr w:type="spellStart"/>
      <w:r>
        <w:t>peakers</w:t>
      </w:r>
      <w:proofErr w:type="spellEnd"/>
      <w:r>
        <w:t xml:space="preserve"> add 124 MW in 2025 and 204 MW in 2030 with 50 percent firm pipeline capacity of approximately 14,500 and 23,900 </w:t>
      </w:r>
      <w:proofErr w:type="spellStart"/>
      <w:r>
        <w:t>Dth</w:t>
      </w:r>
      <w:proofErr w:type="spellEnd"/>
      <w:r>
        <w:t xml:space="preserve"> per day, respectively. While the total peak gas need of these CCCT and </w:t>
      </w:r>
      <w:proofErr w:type="spellStart"/>
      <w:r>
        <w:t>peaker</w:t>
      </w:r>
      <w:proofErr w:type="spellEnd"/>
      <w:r>
        <w:t xml:space="preserve"> plants is approximately 275 </w:t>
      </w:r>
      <w:proofErr w:type="spellStart"/>
      <w:r>
        <w:t>MDth</w:t>
      </w:r>
      <w:proofErr w:type="spellEnd"/>
      <w:r>
        <w:t xml:space="preserve"> per day </w:t>
      </w:r>
      <w:r w:rsidR="008727E6">
        <w:t>by 2035, after considering a 50 percent</w:t>
      </w:r>
      <w:r>
        <w:t xml:space="preserve"> pipeline need for the second and third </w:t>
      </w:r>
      <w:proofErr w:type="spellStart"/>
      <w:r>
        <w:t>peaker</w:t>
      </w:r>
      <w:proofErr w:type="spellEnd"/>
      <w:r>
        <w:t xml:space="preserve"> and current gas-for-power transportation contracts, the peak gas-for-power need is 167 </w:t>
      </w:r>
      <w:proofErr w:type="spellStart"/>
      <w:r>
        <w:t>MDth</w:t>
      </w:r>
      <w:proofErr w:type="spellEnd"/>
      <w:r>
        <w:t xml:space="preserve"> per day by 2033. </w:t>
      </w:r>
    </w:p>
    <w:p w14:paraId="371553D1" w14:textId="77777777" w:rsidR="00AD0F38" w:rsidRPr="004E5E60" w:rsidRDefault="00AD0F38" w:rsidP="004E5E60">
      <w:pPr>
        <w:pStyle w:val="IRPsanstext"/>
        <w:rPr>
          <w:rFonts w:cs="Arial"/>
        </w:rPr>
      </w:pPr>
    </w:p>
    <w:p w14:paraId="483D5337" w14:textId="77777777" w:rsidR="00AD0F38" w:rsidRPr="004E5E60" w:rsidRDefault="00AD0F38" w:rsidP="004E5E60">
      <w:pPr>
        <w:pStyle w:val="IRPsanstext"/>
        <w:rPr>
          <w:rFonts w:cs="Arial"/>
        </w:rPr>
      </w:pPr>
    </w:p>
    <w:p w14:paraId="73AE3A19" w14:textId="77777777" w:rsidR="00AD0F38" w:rsidRPr="004E5E60" w:rsidRDefault="00AD0F38" w:rsidP="004E5E60">
      <w:pPr>
        <w:pStyle w:val="IRPsanstext"/>
        <w:rPr>
          <w:rFonts w:cs="Arial"/>
        </w:rPr>
      </w:pPr>
    </w:p>
    <w:p w14:paraId="7DF7B81B" w14:textId="77777777" w:rsidR="002C25BB" w:rsidRPr="004E5E60" w:rsidRDefault="002C25BB" w:rsidP="004E5E60">
      <w:pPr>
        <w:pStyle w:val="IRPsanstext"/>
        <w:rPr>
          <w:rFonts w:cs="Arial"/>
        </w:rPr>
      </w:pPr>
    </w:p>
    <w:sectPr w:rsidR="002C25BB" w:rsidRPr="004E5E60" w:rsidSect="00CA3D66">
      <w:headerReference w:type="default" r:id="rId82"/>
      <w:footerReference w:type="default" r:id="rId83"/>
      <w:pgSz w:w="12240" w:h="15840"/>
      <w:pgMar w:top="1440" w:right="153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06BA31" w14:textId="77777777" w:rsidR="00BC242C" w:rsidRDefault="00BC242C" w:rsidP="00601E72">
      <w:r>
        <w:separator/>
      </w:r>
    </w:p>
  </w:endnote>
  <w:endnote w:type="continuationSeparator" w:id="0">
    <w:p w14:paraId="167DBAB3" w14:textId="77777777" w:rsidR="00BC242C" w:rsidRDefault="00BC242C" w:rsidP="00601E72">
      <w:r>
        <w:continuationSeparator/>
      </w:r>
    </w:p>
  </w:endnote>
  <w:endnote w:type="continuationNotice" w:id="1">
    <w:p w14:paraId="1B6DF03D" w14:textId="77777777" w:rsidR="00BC242C" w:rsidRDefault="00BC24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Calibri">
    <w:altName w:val="Arial"/>
    <w:panose1 w:val="020F050202020403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Garamond">
    <w:altName w:val="Athelas Bold Italic"/>
    <w:panose1 w:val="02020404030301010803"/>
    <w:charset w:val="00"/>
    <w:family w:val="auto"/>
    <w:pitch w:val="variable"/>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Palatino">
    <w:panose1 w:val="02000500000000000000"/>
    <w:charset w:val="00"/>
    <w:family w:val="auto"/>
    <w:pitch w:val="variable"/>
    <w:sig w:usb0="A00002FF" w:usb1="7800205A" w:usb2="14600000" w:usb3="00000000" w:csb0="00000193" w:csb1="00000000"/>
  </w:font>
  <w:font w:name="Cambria">
    <w:altName w:val="Times New Roman"/>
    <w:panose1 w:val="02040503050406030204"/>
    <w:charset w:val="00"/>
    <w:family w:val="roman"/>
    <w:notTrueType/>
    <w:pitch w:val="default"/>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AD402" w14:textId="77777777" w:rsidR="00BC242C" w:rsidRDefault="00BC242C" w:rsidP="00E651D4">
    <w:pPr>
      <w:pStyle w:val="Footer"/>
      <w:framePr w:wrap="around" w:vAnchor="text" w:hAnchor="margin" w:xAlign="center" w:y="1"/>
      <w:rPr>
        <w:rFonts w:ascii="Palatino" w:hAnsi="Palatino"/>
      </w:rPr>
    </w:pPr>
    <w:r>
      <w:rPr>
        <w:rStyle w:val="PageNumber"/>
        <w:rFonts w:ascii="Palatino" w:hAnsi="Palatino"/>
        <w:i/>
        <w:sz w:val="20"/>
        <w:szCs w:val="20"/>
      </w:rPr>
      <w:t>6</w:t>
    </w:r>
    <w:r w:rsidRPr="00A075A9">
      <w:rPr>
        <w:rStyle w:val="PageNumber"/>
        <w:rFonts w:ascii="Palatino" w:hAnsi="Palatino"/>
        <w:i/>
        <w:sz w:val="20"/>
        <w:szCs w:val="20"/>
      </w:rPr>
      <w:t xml:space="preserve"> - </w:t>
    </w:r>
    <w:r w:rsidR="007D64BB" w:rsidRPr="00A075A9">
      <w:rPr>
        <w:rStyle w:val="PageNumber"/>
        <w:rFonts w:ascii="Palatino" w:hAnsi="Palatino"/>
        <w:i/>
        <w:sz w:val="20"/>
        <w:szCs w:val="20"/>
      </w:rPr>
      <w:fldChar w:fldCharType="begin"/>
    </w:r>
    <w:r w:rsidRPr="00A075A9">
      <w:rPr>
        <w:rStyle w:val="PageNumber"/>
        <w:rFonts w:ascii="Palatino" w:hAnsi="Palatino"/>
        <w:i/>
        <w:sz w:val="20"/>
        <w:szCs w:val="20"/>
      </w:rPr>
      <w:instrText xml:space="preserve">PAGE  </w:instrText>
    </w:r>
    <w:r w:rsidR="007D64BB" w:rsidRPr="00A075A9">
      <w:rPr>
        <w:rStyle w:val="PageNumber"/>
        <w:rFonts w:ascii="Palatino" w:hAnsi="Palatino"/>
        <w:i/>
        <w:sz w:val="20"/>
        <w:szCs w:val="20"/>
      </w:rPr>
      <w:fldChar w:fldCharType="separate"/>
    </w:r>
    <w:r w:rsidR="00B2040D">
      <w:rPr>
        <w:rStyle w:val="PageNumber"/>
        <w:rFonts w:ascii="Palatino" w:hAnsi="Palatino"/>
        <w:i/>
        <w:noProof/>
        <w:sz w:val="20"/>
        <w:szCs w:val="20"/>
      </w:rPr>
      <w:t>37</w:t>
    </w:r>
    <w:r w:rsidR="007D64BB" w:rsidRPr="00A075A9">
      <w:rPr>
        <w:rStyle w:val="PageNumber"/>
        <w:rFonts w:ascii="Palatino" w:hAnsi="Palatino"/>
        <w:i/>
        <w:sz w:val="20"/>
        <w:szCs w:val="20"/>
      </w:rPr>
      <w:fldChar w:fldCharType="end"/>
    </w:r>
  </w:p>
  <w:p w14:paraId="7A643B59" w14:textId="77777777" w:rsidR="00BC242C" w:rsidRPr="0020632A" w:rsidRDefault="00BA7904" w:rsidP="0020632A">
    <w:pPr>
      <w:pStyle w:val="Footer"/>
      <w:jc w:val="center"/>
      <w:rPr>
        <w:rFonts w:ascii="Palatino" w:hAnsi="Palatino"/>
      </w:rPr>
    </w:pPr>
    <w:r>
      <w:rPr>
        <w:noProof/>
        <w:lang w:eastAsia="en-US"/>
      </w:rPr>
      <mc:AlternateContent>
        <mc:Choice Requires="wps">
          <w:drawing>
            <wp:anchor distT="0" distB="0" distL="114300" distR="114300" simplePos="0" relativeHeight="251661312" behindDoc="0" locked="0" layoutInCell="1" allowOverlap="1" wp14:anchorId="173B6677" wp14:editId="5CD68EEA">
              <wp:simplePos x="0" y="0"/>
              <wp:positionH relativeFrom="column">
                <wp:posOffset>3251835</wp:posOffset>
              </wp:positionH>
              <wp:positionV relativeFrom="paragraph">
                <wp:posOffset>-57785</wp:posOffset>
              </wp:positionV>
              <wp:extent cx="2286000" cy="228600"/>
              <wp:effectExtent l="0" t="0" r="0" b="0"/>
              <wp:wrapThrough wrapText="bothSides">
                <wp:wrapPolygon edited="0">
                  <wp:start x="240" y="0"/>
                  <wp:lineTo x="240" y="19200"/>
                  <wp:lineTo x="21120" y="19200"/>
                  <wp:lineTo x="21120" y="0"/>
                  <wp:lineTo x="240" y="0"/>
                </wp:wrapPolygon>
              </wp:wrapThrough>
              <wp:docPr id="2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FFD5C81" w14:textId="77777777" w:rsidR="00B7222C" w:rsidRPr="00DC7290" w:rsidRDefault="00B7222C" w:rsidP="00FF2CB2">
                          <w:pPr>
                            <w:jc w:val="right"/>
                            <w:rPr>
                              <w:sz w:val="20"/>
                              <w:szCs w:val="20"/>
                            </w:rPr>
                          </w:pPr>
                          <w:r w:rsidRPr="00DC7290">
                            <w:rPr>
                              <w:rFonts w:ascii="Palatino" w:eastAsiaTheme="minorEastAsia" w:hAnsi="Palatino" w:cs="Arial"/>
                              <w:i/>
                              <w:color w:val="156570"/>
                              <w:sz w:val="20"/>
                              <w:szCs w:val="20"/>
                            </w:rPr>
                            <w:t>2015 PSE IRP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35" type="#_x0000_t202" style="position:absolute;left:0;text-align:left;margin-left:256.05pt;margin-top:-4.5pt;width:18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" filled="f" stroked="f">
              <v:path arrowok="t"/>
              <v:textbox>
                <w:txbxContent>
                  <w:p w14:paraId="7FFD5C81" w14:textId="77777777" w:rsidR="00B7222C" w:rsidRPr="00DC7290" w:rsidRDefault="00B7222C" w:rsidP="00FF2CB2">
                    <w:pPr>
                      <w:jc w:val="right"/>
                      <w:rPr>
                        <w:sz w:val="20"/>
                        <w:szCs w:val="20"/>
                      </w:rPr>
                    </w:pPr>
                    <w:r w:rsidRPr="00DC7290">
                      <w:rPr>
                        <w:rFonts w:ascii="Palatino" w:eastAsiaTheme="minorEastAsia" w:hAnsi="Palatino" w:cs="Arial"/>
                        <w:i/>
                        <w:color w:val="156570"/>
                        <w:sz w:val="20"/>
                        <w:szCs w:val="20"/>
                      </w:rPr>
                      <w:t>2015 PSE IRP</w:t>
                    </w:r>
                  </w:p>
                </w:txbxContent>
              </v:textbox>
              <w10:wrap type="through"/>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D6A47A" w14:textId="77777777" w:rsidR="00BC242C" w:rsidRDefault="00BC242C" w:rsidP="00601E72">
      <w:r>
        <w:separator/>
      </w:r>
    </w:p>
  </w:footnote>
  <w:footnote w:type="continuationSeparator" w:id="0">
    <w:p w14:paraId="5F8737DB" w14:textId="77777777" w:rsidR="00BC242C" w:rsidRDefault="00BC242C" w:rsidP="00601E72">
      <w:r>
        <w:continuationSeparator/>
      </w:r>
    </w:p>
  </w:footnote>
  <w:footnote w:type="continuationNotice" w:id="1">
    <w:p w14:paraId="20A95F6B" w14:textId="77777777" w:rsidR="00BC242C" w:rsidRDefault="00BC242C"/>
  </w:footnote>
  <w:footnote w:id="2">
    <w:p w14:paraId="2E357CE1" w14:textId="77777777" w:rsidR="00BC242C" w:rsidRPr="00E651D4" w:rsidRDefault="00BC242C" w:rsidP="00E651D4">
      <w:pPr>
        <w:pStyle w:val="IRPfooter"/>
        <w:rPr>
          <w:sz w:val="18"/>
          <w:szCs w:val="18"/>
        </w:rPr>
      </w:pPr>
      <w:r w:rsidRPr="000A7BCC">
        <w:rPr>
          <w:rStyle w:val="FootnoteReference"/>
          <w:sz w:val="18"/>
          <w:szCs w:val="18"/>
          <w:vertAlign w:val="baseline"/>
        </w:rPr>
        <w:footnoteRef/>
      </w:r>
      <w:r w:rsidRPr="00E651D4">
        <w:rPr>
          <w:sz w:val="18"/>
          <w:szCs w:val="18"/>
        </w:rPr>
        <w:t xml:space="preserve"> / Refer to Appendix F for the regional resource adequacy studies produced by NPCC, BPC and PNUCC.</w:t>
      </w:r>
    </w:p>
  </w:footnote>
  <w:footnote w:id="3">
    <w:p w14:paraId="55047D5B" w14:textId="77777777" w:rsidR="00BC242C" w:rsidRPr="00FF2CB2" w:rsidRDefault="00BC242C" w:rsidP="00FF2CB2">
      <w:pPr>
        <w:pStyle w:val="IRPfooter"/>
        <w:rPr>
          <w:sz w:val="18"/>
          <w:szCs w:val="18"/>
        </w:rPr>
      </w:pPr>
      <w:r w:rsidRPr="00FF2CB2">
        <w:rPr>
          <w:rStyle w:val="FootnoteReference"/>
          <w:sz w:val="18"/>
          <w:szCs w:val="18"/>
          <w:vertAlign w:val="baseline"/>
        </w:rPr>
        <w:footnoteRef/>
      </w:r>
      <w:r w:rsidRPr="00FF2CB2">
        <w:rPr>
          <w:sz w:val="18"/>
          <w:szCs w:val="18"/>
        </w:rPr>
        <w:t xml:space="preserve"> </w:t>
      </w:r>
      <w:proofErr w:type="gramStart"/>
      <w:r w:rsidRPr="00FF2CB2">
        <w:rPr>
          <w:sz w:val="18"/>
          <w:szCs w:val="18"/>
        </w:rPr>
        <w:t>/ From Figure 2-1.</w:t>
      </w:r>
      <w:proofErr w:type="gramEnd"/>
      <w:r w:rsidRPr="00FF2CB2">
        <w:rPr>
          <w:sz w:val="18"/>
          <w:szCs w:val="18"/>
        </w:rPr>
        <w:t xml:space="preserve"> This is calculated by comparing the Expected VOLL in line 2 (2013 Planning Standard Including Market Risk) with the Expected VOLL in line 3 (2015 Optimal Planning Standard):   </w:t>
      </w:r>
      <w:r w:rsidRPr="00FF2CB2">
        <w:rPr>
          <w:rFonts w:cs="Arial"/>
          <w:sz w:val="18"/>
          <w:szCs w:val="18"/>
        </w:rPr>
        <w:t>$169 million -</w:t>
      </w:r>
      <w:r w:rsidR="00553691">
        <w:rPr>
          <w:rFonts w:cs="Arial"/>
          <w:sz w:val="18"/>
          <w:szCs w:val="18"/>
        </w:rPr>
        <w:t xml:space="preserve"> </w:t>
      </w:r>
      <w:r w:rsidRPr="00FF2CB2">
        <w:rPr>
          <w:rFonts w:cs="Arial"/>
          <w:sz w:val="18"/>
          <w:szCs w:val="18"/>
        </w:rPr>
        <w:t>$39 million</w:t>
      </w:r>
      <w:r w:rsidR="00553691">
        <w:rPr>
          <w:rFonts w:cs="Arial"/>
          <w:sz w:val="18"/>
          <w:szCs w:val="18"/>
        </w:rPr>
        <w:t xml:space="preserve"> </w:t>
      </w:r>
      <w:r w:rsidRPr="00FF2CB2">
        <w:rPr>
          <w:rFonts w:cs="Arial"/>
          <w:sz w:val="18"/>
          <w:szCs w:val="18"/>
        </w:rPr>
        <w:t>=</w:t>
      </w:r>
      <w:r w:rsidR="00553691">
        <w:rPr>
          <w:rFonts w:cs="Arial"/>
          <w:sz w:val="18"/>
          <w:szCs w:val="18"/>
        </w:rPr>
        <w:t xml:space="preserve"> </w:t>
      </w:r>
      <w:r w:rsidRPr="00FF2CB2">
        <w:rPr>
          <w:rFonts w:cs="Arial"/>
          <w:sz w:val="18"/>
          <w:szCs w:val="18"/>
        </w:rPr>
        <w:t>$130.</w:t>
      </w:r>
    </w:p>
  </w:footnote>
  <w:footnote w:id="4">
    <w:p w14:paraId="284A000D" w14:textId="77777777" w:rsidR="00BC242C" w:rsidRPr="00FF2CB2" w:rsidRDefault="00BC242C" w:rsidP="00FF2CB2">
      <w:pPr>
        <w:pStyle w:val="IRPfooter"/>
        <w:rPr>
          <w:sz w:val="18"/>
          <w:szCs w:val="18"/>
        </w:rPr>
      </w:pPr>
      <w:r w:rsidRPr="00FF2CB2">
        <w:rPr>
          <w:rStyle w:val="FootnoteReference"/>
          <w:sz w:val="18"/>
          <w:szCs w:val="18"/>
          <w:vertAlign w:val="baseline"/>
        </w:rPr>
        <w:footnoteRef/>
      </w:r>
      <w:r w:rsidRPr="00FF2CB2">
        <w:rPr>
          <w:sz w:val="18"/>
          <w:szCs w:val="18"/>
        </w:rPr>
        <w:t xml:space="preserve"> / This value is derived by first calculating the difference between the surplus of 117 MW in line 2  (2013 Planning Standard Including Market Risk) and the need (deficit) of 234 MW in line 3 (2015 Optimal Planning Standard). This value is then multiplied by the </w:t>
      </w:r>
      <w:proofErr w:type="spellStart"/>
      <w:r w:rsidRPr="00FF2CB2">
        <w:rPr>
          <w:sz w:val="18"/>
          <w:szCs w:val="18"/>
        </w:rPr>
        <w:t>levelized</w:t>
      </w:r>
      <w:proofErr w:type="spellEnd"/>
      <w:r w:rsidRPr="00FF2CB2">
        <w:rPr>
          <w:sz w:val="18"/>
          <w:szCs w:val="18"/>
        </w:rPr>
        <w:t xml:space="preserve"> cost of a </w:t>
      </w:r>
      <w:proofErr w:type="spellStart"/>
      <w:r w:rsidRPr="00FF2CB2">
        <w:rPr>
          <w:sz w:val="18"/>
          <w:szCs w:val="18"/>
        </w:rPr>
        <w:t>peaker</w:t>
      </w:r>
      <w:proofErr w:type="spellEnd"/>
      <w:r w:rsidRPr="00FF2CB2">
        <w:rPr>
          <w:sz w:val="18"/>
          <w:szCs w:val="18"/>
        </w:rPr>
        <w:t>, estimated from the portfolio model at $</w:t>
      </w:r>
      <w:r>
        <w:rPr>
          <w:sz w:val="18"/>
          <w:szCs w:val="18"/>
        </w:rPr>
        <w:t>0.</w:t>
      </w:r>
      <w:r w:rsidRPr="00FF2CB2">
        <w:rPr>
          <w:sz w:val="18"/>
          <w:szCs w:val="18"/>
        </w:rPr>
        <w:t xml:space="preserve">18 </w:t>
      </w:r>
      <w:r w:rsidR="00553691">
        <w:rPr>
          <w:sz w:val="18"/>
          <w:szCs w:val="18"/>
        </w:rPr>
        <w:t>million per MW per year.</w:t>
      </w:r>
      <w:r>
        <w:rPr>
          <w:sz w:val="18"/>
          <w:szCs w:val="18"/>
        </w:rPr>
        <w:t xml:space="preserve"> </w:t>
      </w:r>
      <w:r w:rsidRPr="00FF2CB2">
        <w:rPr>
          <w:sz w:val="18"/>
          <w:szCs w:val="18"/>
        </w:rPr>
        <w:t>So: 234 MW – (-117 MW) = 351 MW. Then: 351 MW * $0.18</w:t>
      </w:r>
      <w:r>
        <w:rPr>
          <w:sz w:val="18"/>
          <w:szCs w:val="18"/>
        </w:rPr>
        <w:t xml:space="preserve"> million per MW per year</w:t>
      </w:r>
      <w:r w:rsidR="00553691">
        <w:rPr>
          <w:sz w:val="18"/>
          <w:szCs w:val="18"/>
        </w:rPr>
        <w:t xml:space="preserve"> = $63 million per </w:t>
      </w:r>
      <w:r w:rsidRPr="00FF2CB2">
        <w:rPr>
          <w:sz w:val="18"/>
          <w:szCs w:val="18"/>
        </w:rPr>
        <w:t xml:space="preserve">year.    </w:t>
      </w:r>
    </w:p>
  </w:footnote>
  <w:footnote w:id="5">
    <w:p w14:paraId="39F0AD18" w14:textId="77777777" w:rsidR="00BC242C" w:rsidRPr="003B362F" w:rsidRDefault="00BC242C" w:rsidP="00FF2CB2">
      <w:pPr>
        <w:pStyle w:val="IRPfooter"/>
      </w:pPr>
      <w:r w:rsidRPr="00FF2CB2">
        <w:rPr>
          <w:rStyle w:val="FootnoteReference"/>
          <w:sz w:val="18"/>
          <w:szCs w:val="18"/>
          <w:vertAlign w:val="baseline"/>
        </w:rPr>
        <w:footnoteRef/>
      </w:r>
      <w:r w:rsidRPr="00FF2CB2">
        <w:rPr>
          <w:sz w:val="18"/>
          <w:szCs w:val="18"/>
        </w:rPr>
        <w:t xml:space="preserve"> / $1,691 million - $385 million = $1,306 million</w:t>
      </w:r>
    </w:p>
  </w:footnote>
  <w:footnote w:id="6">
    <w:p w14:paraId="612D384D" w14:textId="77777777" w:rsidR="00BC242C" w:rsidRPr="00ED52D1" w:rsidRDefault="00BC242C" w:rsidP="0054737D">
      <w:pPr>
        <w:pStyle w:val="IRPfooter"/>
        <w:rPr>
          <w:sz w:val="18"/>
          <w:szCs w:val="18"/>
        </w:rPr>
      </w:pPr>
      <w:r w:rsidRPr="00FF2CB2">
        <w:rPr>
          <w:rStyle w:val="FootnoteReference"/>
          <w:sz w:val="18"/>
          <w:szCs w:val="18"/>
          <w:vertAlign w:val="baseline"/>
        </w:rPr>
        <w:footnoteRef/>
      </w:r>
      <w:r w:rsidRPr="00FF2CB2">
        <w:rPr>
          <w:sz w:val="18"/>
          <w:szCs w:val="18"/>
        </w:rPr>
        <w:t xml:space="preserve"> / The</w:t>
      </w:r>
      <w:r w:rsidRPr="00ED52D1">
        <w:rPr>
          <w:sz w:val="18"/>
          <w:szCs w:val="18"/>
        </w:rPr>
        <w:t xml:space="preserve"> regional studies on load/resource balance conducted by NPCC, PNUCC and BPA (or links to them) appear in Appendix F. Appendix G explains how these studies were used in PSE’s wholesale market risk analysis.</w:t>
      </w:r>
    </w:p>
  </w:footnote>
  <w:footnote w:id="7">
    <w:p w14:paraId="1ED5BFDC" w14:textId="77777777" w:rsidR="00BC242C" w:rsidRPr="00FF2CB2" w:rsidRDefault="00BC242C" w:rsidP="00FF2CB2">
      <w:pPr>
        <w:pStyle w:val="IRPfooter"/>
        <w:rPr>
          <w:sz w:val="18"/>
          <w:szCs w:val="18"/>
        </w:rPr>
      </w:pPr>
      <w:r w:rsidRPr="00FF2CB2">
        <w:rPr>
          <w:rStyle w:val="FootnoteReference"/>
          <w:sz w:val="18"/>
          <w:szCs w:val="18"/>
          <w:vertAlign w:val="baseline"/>
        </w:rPr>
        <w:footnoteRef/>
      </w:r>
      <w:r w:rsidRPr="00FF2CB2">
        <w:rPr>
          <w:sz w:val="18"/>
          <w:szCs w:val="18"/>
        </w:rPr>
        <w:t xml:space="preserve"> / The ICE approach is similar to the equivalent load carrying capability (ELCC) approach.</w:t>
      </w:r>
    </w:p>
  </w:footnote>
  <w:footnote w:id="8">
    <w:p w14:paraId="092E2541" w14:textId="77777777" w:rsidR="00BC242C" w:rsidRPr="00FF2CB2" w:rsidRDefault="00BC242C" w:rsidP="00FF2CB2">
      <w:pPr>
        <w:pStyle w:val="IRPfooter"/>
        <w:rPr>
          <w:sz w:val="18"/>
          <w:szCs w:val="18"/>
        </w:rPr>
      </w:pPr>
      <w:r w:rsidRPr="00FF2CB2">
        <w:rPr>
          <w:rStyle w:val="FootnoteReference"/>
          <w:sz w:val="18"/>
          <w:szCs w:val="18"/>
          <w:vertAlign w:val="baseline"/>
        </w:rPr>
        <w:footnoteRef/>
      </w:r>
      <w:r w:rsidRPr="00FF2CB2">
        <w:rPr>
          <w:sz w:val="18"/>
          <w:szCs w:val="18"/>
        </w:rPr>
        <w:t xml:space="preserve"> / Additional details regarding the ICE computations are contained in Appendix N.</w:t>
      </w:r>
    </w:p>
  </w:footnote>
  <w:footnote w:id="9">
    <w:p w14:paraId="4A57E948" w14:textId="77777777" w:rsidR="00BC242C" w:rsidRPr="00ED52D1" w:rsidRDefault="00BC242C" w:rsidP="00FF2CB2">
      <w:pPr>
        <w:pStyle w:val="IRPfooter"/>
        <w:rPr>
          <w:sz w:val="18"/>
          <w:szCs w:val="18"/>
        </w:rPr>
      </w:pPr>
      <w:r w:rsidRPr="00FF2CB2">
        <w:rPr>
          <w:rStyle w:val="FootnoteReference"/>
          <w:sz w:val="18"/>
          <w:szCs w:val="18"/>
          <w:vertAlign w:val="baseline"/>
        </w:rPr>
        <w:footnoteRef/>
      </w:r>
      <w:r w:rsidRPr="00FF2CB2">
        <w:rPr>
          <w:sz w:val="18"/>
          <w:szCs w:val="18"/>
        </w:rPr>
        <w:t xml:space="preserve"> / Refer to Appendix F, Regional Resource Adequacy Studies.</w:t>
      </w:r>
    </w:p>
  </w:footnote>
  <w:footnote w:id="10">
    <w:p w14:paraId="299D519D" w14:textId="77777777" w:rsidR="00BC242C" w:rsidRPr="00FF2CB2" w:rsidRDefault="00BC242C" w:rsidP="0054737D">
      <w:pPr>
        <w:pStyle w:val="IRPfooter"/>
        <w:rPr>
          <w:sz w:val="18"/>
          <w:szCs w:val="18"/>
        </w:rPr>
      </w:pPr>
      <w:r w:rsidRPr="00FF2CB2">
        <w:rPr>
          <w:rStyle w:val="FootnoteReference"/>
          <w:sz w:val="18"/>
          <w:szCs w:val="18"/>
          <w:vertAlign w:val="baseline"/>
        </w:rPr>
        <w:footnoteRef/>
      </w:r>
      <w:r w:rsidRPr="00FF2CB2">
        <w:rPr>
          <w:sz w:val="18"/>
          <w:szCs w:val="18"/>
        </w:rPr>
        <w:t xml:space="preserve"> / The demand forecasts developed for the IRP are a snapshot in time, since the full IRP analysis takes more than a year to complete and this input is required at the outset. Forecasts are updated continually during the business year, which is why those used in acquisitions planning or rate cases may differ from the IRP.</w:t>
      </w:r>
    </w:p>
  </w:footnote>
  <w:footnote w:id="11">
    <w:p w14:paraId="1350C170" w14:textId="77777777" w:rsidR="00BC242C" w:rsidRPr="001B52A8" w:rsidRDefault="00BC242C" w:rsidP="0054737D">
      <w:pPr>
        <w:pStyle w:val="IRPfooter"/>
      </w:pPr>
      <w:r w:rsidRPr="00FF2CB2">
        <w:rPr>
          <w:rStyle w:val="FootnoteReference"/>
          <w:sz w:val="18"/>
          <w:szCs w:val="18"/>
          <w:vertAlign w:val="baseline"/>
        </w:rPr>
        <w:footnoteRef/>
      </w:r>
      <w:r w:rsidRPr="00FF2CB2">
        <w:rPr>
          <w:sz w:val="18"/>
          <w:szCs w:val="18"/>
        </w:rPr>
        <w:t xml:space="preserve"> / A detailed, technical explanation of how planning margins were calculated can be found in Appendix N, Electric Analysis.</w:t>
      </w:r>
    </w:p>
  </w:footnote>
  <w:footnote w:id="12">
    <w:p w14:paraId="1C19B184" w14:textId="77777777" w:rsidR="00BC242C" w:rsidRPr="00B956D8" w:rsidRDefault="00BC242C" w:rsidP="0054737D">
      <w:pPr>
        <w:pStyle w:val="IRPfooter"/>
        <w:rPr>
          <w:sz w:val="18"/>
          <w:szCs w:val="18"/>
        </w:rPr>
      </w:pPr>
      <w:r w:rsidRPr="00FF2CB2">
        <w:rPr>
          <w:rStyle w:val="FootnoteReference"/>
          <w:sz w:val="18"/>
          <w:szCs w:val="18"/>
          <w:vertAlign w:val="baseline"/>
        </w:rPr>
        <w:footnoteRef/>
      </w:r>
      <w:r w:rsidRPr="00FF2CB2">
        <w:rPr>
          <w:sz w:val="18"/>
          <w:szCs w:val="18"/>
        </w:rPr>
        <w:t xml:space="preserve"> / System</w:t>
      </w:r>
      <w:r w:rsidRPr="00B956D8">
        <w:rPr>
          <w:sz w:val="18"/>
          <w:szCs w:val="18"/>
        </w:rPr>
        <w:t xml:space="preserve"> flexibility needs are discussed in more detail in Appendix H, Operational Flexibility.</w:t>
      </w:r>
    </w:p>
  </w:footnote>
  <w:footnote w:id="13">
    <w:p w14:paraId="20BBE7E7" w14:textId="77777777" w:rsidR="00BC242C" w:rsidRPr="00B57114" w:rsidRDefault="00BC242C" w:rsidP="00B57114">
      <w:pPr>
        <w:pStyle w:val="IRPfooter"/>
        <w:rPr>
          <w:sz w:val="18"/>
          <w:szCs w:val="18"/>
        </w:rPr>
      </w:pPr>
      <w:r w:rsidRPr="00B57114">
        <w:rPr>
          <w:rStyle w:val="FootnoteReference"/>
          <w:sz w:val="18"/>
          <w:szCs w:val="18"/>
          <w:vertAlign w:val="baseline"/>
        </w:rPr>
        <w:footnoteRef/>
      </w:r>
      <w:r w:rsidRPr="00B57114">
        <w:rPr>
          <w:sz w:val="18"/>
          <w:szCs w:val="18"/>
        </w:rPr>
        <w:t xml:space="preserve"> / Chapter 4 presents the scenarios and sensitivities developed for this IRP analysis, and discusses in detail the key assumptions used to create them, including customer demand, natural gas prices, possible carbon dioxide (CO</w:t>
      </w:r>
      <w:r w:rsidRPr="00FF331D">
        <w:rPr>
          <w:sz w:val="18"/>
          <w:szCs w:val="18"/>
        </w:rPr>
        <w:t>2</w:t>
      </w:r>
      <w:r w:rsidRPr="00B57114">
        <w:rPr>
          <w:sz w:val="18"/>
          <w:szCs w:val="18"/>
        </w:rPr>
        <w:t>) prices, resource costs (both demand-side and supply-side), and power prices. Appendix D presents a detailed discussion of existing electric resources and resource alternatives.</w:t>
      </w:r>
    </w:p>
  </w:footnote>
  <w:footnote w:id="14">
    <w:p w14:paraId="63BC3F50" w14:textId="77777777" w:rsidR="00BC242C" w:rsidRPr="00F854BA" w:rsidRDefault="00BC242C" w:rsidP="00F854BA">
      <w:pPr>
        <w:pStyle w:val="IRPfooter"/>
        <w:rPr>
          <w:sz w:val="18"/>
          <w:szCs w:val="18"/>
        </w:rPr>
      </w:pPr>
      <w:r w:rsidRPr="00F854BA">
        <w:rPr>
          <w:rStyle w:val="FootnoteReference"/>
          <w:sz w:val="18"/>
          <w:szCs w:val="18"/>
          <w:vertAlign w:val="baseline"/>
        </w:rPr>
        <w:footnoteRef/>
      </w:r>
      <w:r w:rsidRPr="00F854BA">
        <w:rPr>
          <w:sz w:val="18"/>
          <w:szCs w:val="18"/>
        </w:rPr>
        <w:t xml:space="preserve"> / To screen some resources, we also use simpler, </w:t>
      </w:r>
      <w:proofErr w:type="spellStart"/>
      <w:r w:rsidRPr="00F854BA">
        <w:rPr>
          <w:sz w:val="18"/>
          <w:szCs w:val="18"/>
        </w:rPr>
        <w:t>levelized</w:t>
      </w:r>
      <w:proofErr w:type="spellEnd"/>
      <w:r w:rsidRPr="00F854BA">
        <w:rPr>
          <w:sz w:val="18"/>
          <w:szCs w:val="18"/>
        </w:rPr>
        <w:t xml:space="preserve"> cost analysis to determine if the resource is close enough in cost to justify spending the additional time and computing resources to include it in the two-step portfolio analysis.</w:t>
      </w:r>
    </w:p>
  </w:footnote>
  <w:footnote w:id="15">
    <w:p w14:paraId="47D5DB52" w14:textId="77777777" w:rsidR="00BC242C" w:rsidRPr="00F854BA" w:rsidRDefault="00BC242C" w:rsidP="00F854BA">
      <w:pPr>
        <w:pStyle w:val="IRPfooter"/>
        <w:rPr>
          <w:sz w:val="18"/>
          <w:szCs w:val="18"/>
        </w:rPr>
      </w:pPr>
      <w:r w:rsidRPr="00F854BA">
        <w:rPr>
          <w:rStyle w:val="FootnoteReference"/>
          <w:sz w:val="18"/>
          <w:szCs w:val="18"/>
          <w:vertAlign w:val="baseline"/>
        </w:rPr>
        <w:footnoteRef/>
      </w:r>
      <w:r w:rsidRPr="00F854BA">
        <w:rPr>
          <w:sz w:val="18"/>
          <w:szCs w:val="18"/>
        </w:rPr>
        <w:t xml:space="preserve"> </w:t>
      </w:r>
      <w:r>
        <w:rPr>
          <w:sz w:val="18"/>
          <w:szCs w:val="18"/>
        </w:rPr>
        <w:t xml:space="preserve">/ </w:t>
      </w:r>
      <w:r w:rsidRPr="00F854BA">
        <w:rPr>
          <w:sz w:val="18"/>
          <w:szCs w:val="18"/>
        </w:rPr>
        <w:t>Each of the 250 simulations is for the twenty-year IRP forecasting period, 2016 through 2035.</w:t>
      </w:r>
    </w:p>
  </w:footnote>
  <w:footnote w:id="16">
    <w:p w14:paraId="724BAAE8" w14:textId="77777777" w:rsidR="00BC242C" w:rsidRPr="00E74063" w:rsidRDefault="00BC242C" w:rsidP="00AD0F38">
      <w:pPr>
        <w:pStyle w:val="IRPfooter"/>
        <w:rPr>
          <w:sz w:val="18"/>
        </w:rPr>
      </w:pPr>
      <w:r w:rsidRPr="00E74063">
        <w:rPr>
          <w:sz w:val="18"/>
        </w:rPr>
        <w:footnoteRef/>
      </w:r>
      <w:r w:rsidRPr="00E74063">
        <w:rPr>
          <w:sz w:val="18"/>
        </w:rPr>
        <w:t xml:space="preserve"> / RCW 19.285.050 (1) (a) (b) “The incremental cost of an eligible renewable resource is calculated as the difference between the </w:t>
      </w:r>
      <w:proofErr w:type="spellStart"/>
      <w:r w:rsidRPr="00E74063">
        <w:rPr>
          <w:sz w:val="18"/>
        </w:rPr>
        <w:t>levelized</w:t>
      </w:r>
      <w:proofErr w:type="spellEnd"/>
      <w:r w:rsidRPr="00E74063">
        <w:rPr>
          <w:sz w:val="18"/>
        </w:rPr>
        <w:t xml:space="preserve"> delivered cost of the eligible renewable resource, regardless of ownership, compared to the </w:t>
      </w:r>
      <w:proofErr w:type="spellStart"/>
      <w:r w:rsidRPr="00E74063">
        <w:rPr>
          <w:sz w:val="18"/>
        </w:rPr>
        <w:t>levelized</w:t>
      </w:r>
      <w:proofErr w:type="spellEnd"/>
      <w:r w:rsidRPr="00E74063">
        <w:rPr>
          <w:sz w:val="18"/>
        </w:rPr>
        <w:t xml:space="preserve"> delivered cost of an equivalent amount of reasonably available substitute resource that does not qualify as eligible renewable resources.”</w:t>
      </w:r>
    </w:p>
  </w:footnote>
  <w:footnote w:id="17">
    <w:p w14:paraId="5BE8897B" w14:textId="77777777" w:rsidR="00BC242C" w:rsidRPr="00E74063" w:rsidRDefault="00BC242C" w:rsidP="00E74063">
      <w:pPr>
        <w:pStyle w:val="IRPfooter"/>
        <w:rPr>
          <w:sz w:val="18"/>
          <w:szCs w:val="18"/>
        </w:rPr>
      </w:pPr>
      <w:r w:rsidRPr="00E74063">
        <w:rPr>
          <w:rStyle w:val="FootnoteReference"/>
          <w:sz w:val="18"/>
          <w:szCs w:val="18"/>
          <w:vertAlign w:val="baseline"/>
        </w:rPr>
        <w:footnoteRef/>
      </w:r>
      <w:r w:rsidRPr="00E74063">
        <w:rPr>
          <w:sz w:val="18"/>
          <w:szCs w:val="18"/>
        </w:rPr>
        <w:t xml:space="preserve"> / A map that shows solar potential across th</w:t>
      </w:r>
      <w:r>
        <w:rPr>
          <w:sz w:val="18"/>
          <w:szCs w:val="18"/>
        </w:rPr>
        <w:t>e entire United States is includ</w:t>
      </w:r>
      <w:r w:rsidRPr="00E74063">
        <w:rPr>
          <w:sz w:val="18"/>
          <w:szCs w:val="18"/>
        </w:rPr>
        <w:t>ed in Appendix M, Distributed Solar.</w:t>
      </w:r>
    </w:p>
  </w:footnote>
  <w:footnote w:id="18">
    <w:p w14:paraId="02EF0FA0" w14:textId="77777777" w:rsidR="00BC242C" w:rsidRPr="00C13F4C" w:rsidRDefault="00BC242C" w:rsidP="00C13F4C">
      <w:pPr>
        <w:pStyle w:val="IRPfooter"/>
        <w:rPr>
          <w:sz w:val="18"/>
          <w:szCs w:val="18"/>
        </w:rPr>
      </w:pPr>
      <w:r w:rsidRPr="00C13F4C">
        <w:rPr>
          <w:rStyle w:val="FootnoteReference"/>
          <w:sz w:val="18"/>
          <w:szCs w:val="18"/>
          <w:vertAlign w:val="baseline"/>
        </w:rPr>
        <w:footnoteRef/>
      </w:r>
      <w:r w:rsidRPr="00C13F4C">
        <w:rPr>
          <w:sz w:val="18"/>
          <w:szCs w:val="18"/>
        </w:rPr>
        <w:t xml:space="preserve"> / </w:t>
      </w:r>
      <w:r w:rsidRPr="00C13F4C">
        <w:rPr>
          <w:bCs/>
          <w:sz w:val="18"/>
          <w:szCs w:val="18"/>
        </w:rPr>
        <w:t>Tail value at risk</w:t>
      </w:r>
      <w:r w:rsidRPr="00C13F4C">
        <w:rPr>
          <w:sz w:val="18"/>
          <w:szCs w:val="18"/>
        </w:rPr>
        <w:t xml:space="preserve"> (</w:t>
      </w:r>
      <w:proofErr w:type="spellStart"/>
      <w:r w:rsidRPr="00C13F4C">
        <w:rPr>
          <w:bCs/>
          <w:sz w:val="18"/>
          <w:szCs w:val="18"/>
        </w:rPr>
        <w:t>TVaR</w:t>
      </w:r>
      <w:proofErr w:type="spellEnd"/>
      <w:r w:rsidRPr="00C13F4C">
        <w:rPr>
          <w:sz w:val="18"/>
          <w:szCs w:val="18"/>
        </w:rPr>
        <w:t xml:space="preserve">) is also known as </w:t>
      </w:r>
      <w:r w:rsidRPr="00C13F4C">
        <w:rPr>
          <w:bCs/>
          <w:sz w:val="18"/>
          <w:szCs w:val="18"/>
        </w:rPr>
        <w:t>tail conditional expectation</w:t>
      </w:r>
      <w:r w:rsidRPr="00C13F4C">
        <w:rPr>
          <w:sz w:val="18"/>
          <w:szCs w:val="18"/>
        </w:rPr>
        <w:t xml:space="preserve"> (</w:t>
      </w:r>
      <w:r w:rsidRPr="00C13F4C">
        <w:rPr>
          <w:bCs/>
          <w:sz w:val="18"/>
          <w:szCs w:val="18"/>
        </w:rPr>
        <w:t>TCE</w:t>
      </w:r>
      <w:r w:rsidRPr="00C13F4C">
        <w:rPr>
          <w:sz w:val="18"/>
          <w:szCs w:val="18"/>
        </w:rPr>
        <w:t xml:space="preserve">) or </w:t>
      </w:r>
      <w:r w:rsidRPr="00C13F4C">
        <w:rPr>
          <w:bCs/>
          <w:sz w:val="18"/>
          <w:szCs w:val="18"/>
        </w:rPr>
        <w:t>conditional tail expectation</w:t>
      </w:r>
      <w:r w:rsidRPr="00C13F4C">
        <w:rPr>
          <w:sz w:val="18"/>
          <w:szCs w:val="18"/>
        </w:rPr>
        <w:t xml:space="preserve"> (</w:t>
      </w:r>
      <w:r w:rsidRPr="00C13F4C">
        <w:rPr>
          <w:bCs/>
          <w:sz w:val="18"/>
          <w:szCs w:val="18"/>
        </w:rPr>
        <w:t>CTE</w:t>
      </w:r>
      <w:r w:rsidRPr="00C13F4C">
        <w:rPr>
          <w:sz w:val="18"/>
          <w:szCs w:val="18"/>
        </w:rPr>
        <w:t>), is a risk measure associated with the more general value at risk. It quantifies the expected value of the loss given that an event outside a given probability level has occurred.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DA6B5" w14:textId="77777777" w:rsidR="00BC242C" w:rsidRDefault="00BA7904">
    <w:pPr>
      <w:pStyle w:val="Header"/>
    </w:pPr>
    <w:r>
      <w:rPr>
        <w:noProof/>
        <w:lang w:eastAsia="en-US"/>
      </w:rPr>
      <mc:AlternateContent>
        <mc:Choice Requires="wps">
          <w:drawing>
            <wp:anchor distT="0" distB="0" distL="114300" distR="114300" simplePos="0" relativeHeight="251659264" behindDoc="0" locked="0" layoutInCell="1" allowOverlap="1" wp14:anchorId="3FB245AB" wp14:editId="35278C76">
              <wp:simplePos x="0" y="0"/>
              <wp:positionH relativeFrom="column">
                <wp:posOffset>51435</wp:posOffset>
              </wp:positionH>
              <wp:positionV relativeFrom="paragraph">
                <wp:posOffset>2540</wp:posOffset>
              </wp:positionV>
              <wp:extent cx="4343400" cy="457200"/>
              <wp:effectExtent l="0" t="0" r="0" b="0"/>
              <wp:wrapThrough wrapText="bothSides">
                <wp:wrapPolygon edited="0">
                  <wp:start x="126" y="1200"/>
                  <wp:lineTo x="126" y="19200"/>
                  <wp:lineTo x="21347" y="19200"/>
                  <wp:lineTo x="21347" y="1200"/>
                  <wp:lineTo x="126" y="1200"/>
                </wp:wrapPolygon>
              </wp:wrapThrough>
              <wp:docPr id="20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FCA18" w14:textId="77777777" w:rsidR="00B7222C" w:rsidRPr="00C04720" w:rsidRDefault="00B7222C" w:rsidP="00BC31F5">
                          <w:pPr>
                            <w:pStyle w:val="irpsubsanstext16"/>
                          </w:pPr>
                          <w:r w:rsidRPr="00C04720">
                            <w:t xml:space="preserve">Chapter </w:t>
                          </w:r>
                          <w:r>
                            <w:t>6</w:t>
                          </w:r>
                          <w:r w:rsidRPr="00C04720">
                            <w:t xml:space="preserve">: </w:t>
                          </w:r>
                          <w:r>
                            <w:t>Electric Analysis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34" type="#_x0000_t202" style="position:absolute;margin-left:4.05pt;margin-top:.2pt;width:34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" filled="f" stroked="f">
              <v:textbox inset=",7.2pt,,7.2pt">
                <w:txbxContent>
                  <w:p w14:paraId="3D5FCA18" w14:textId="77777777" w:rsidR="00B7222C" w:rsidRPr="00C04720" w:rsidRDefault="00B7222C" w:rsidP="00BC31F5">
                    <w:pPr>
                      <w:pStyle w:val="irpsubsanstext16"/>
                    </w:pPr>
                    <w:r w:rsidRPr="00C04720">
                      <w:t xml:space="preserve">Chapter </w:t>
                    </w:r>
                    <w:r>
                      <w:t>6</w:t>
                    </w:r>
                    <w:r w:rsidRPr="00C04720">
                      <w:t xml:space="preserve">: </w:t>
                    </w:r>
                    <w:r>
                      <w:t>Electric Analysis</w:t>
                    </w:r>
                  </w:p>
                </w:txbxContent>
              </v:textbox>
              <w10:wrap type="through"/>
            </v:shape>
          </w:pict>
        </mc:Fallback>
      </mc:AlternateContent>
    </w:r>
    <w:r w:rsidR="00BC242C">
      <w:rPr>
        <w:noProof/>
        <w:lang w:eastAsia="en-US"/>
      </w:rPr>
      <w:drawing>
        <wp:inline distT="0" distB="0" distL="0" distR="0" wp14:anchorId="49444E74" wp14:editId="5C828BD6">
          <wp:extent cx="5418455" cy="451538"/>
          <wp:effectExtent l="0" t="0" r="0" b="5715"/>
          <wp:docPr id="24" name="Picture 24" descr="Macintosh HD:Users:annrhodes:Documents:01 RHODES-D-SIGNS:PSE_IRP2015:Title bands:title_greydkt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annrhodes:Documents:01 RHODES-D-SIGNS:PSE_IRP2015:Title bands:title_greydkte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8455" cy="451538"/>
                  </a:xfrm>
                  <a:prstGeom prst="rect">
                    <a:avLst/>
                  </a:prstGeom>
                  <a:noFill/>
                  <a:ln>
                    <a:noFill/>
                  </a:ln>
                </pic:spPr>
              </pic:pic>
            </a:graphicData>
          </a:graphic>
        </wp:inline>
      </w:drawing>
    </w:r>
  </w:p>
  <w:p w14:paraId="3341651E" w14:textId="77777777" w:rsidR="00BC242C" w:rsidRPr="00E651D4" w:rsidRDefault="00BC242C">
    <w:pPr>
      <w:pStyle w:val="Header"/>
      <w:rPr>
        <w:sz w:val="32"/>
        <w:szCs w:val="3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824CC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A4EC9BE"/>
    <w:lvl w:ilvl="0">
      <w:start w:val="1"/>
      <w:numFmt w:val="decimal"/>
      <w:lvlText w:val="%1."/>
      <w:lvlJc w:val="left"/>
      <w:pPr>
        <w:tabs>
          <w:tab w:val="num" w:pos="1800"/>
        </w:tabs>
        <w:ind w:left="1800" w:hanging="360"/>
      </w:pPr>
    </w:lvl>
  </w:abstractNum>
  <w:abstractNum w:abstractNumId="2">
    <w:nsid w:val="FFFFFF7D"/>
    <w:multiLevelType w:val="singleLevel"/>
    <w:tmpl w:val="58320F86"/>
    <w:lvl w:ilvl="0">
      <w:start w:val="1"/>
      <w:numFmt w:val="decimal"/>
      <w:lvlText w:val="%1."/>
      <w:lvlJc w:val="left"/>
      <w:pPr>
        <w:tabs>
          <w:tab w:val="num" w:pos="1440"/>
        </w:tabs>
        <w:ind w:left="1440" w:hanging="360"/>
      </w:pPr>
    </w:lvl>
  </w:abstractNum>
  <w:abstractNum w:abstractNumId="3">
    <w:nsid w:val="FFFFFF7E"/>
    <w:multiLevelType w:val="singleLevel"/>
    <w:tmpl w:val="EE84CBB4"/>
    <w:lvl w:ilvl="0">
      <w:start w:val="1"/>
      <w:numFmt w:val="decimal"/>
      <w:lvlText w:val="%1."/>
      <w:lvlJc w:val="left"/>
      <w:pPr>
        <w:tabs>
          <w:tab w:val="num" w:pos="1080"/>
        </w:tabs>
        <w:ind w:left="1080" w:hanging="360"/>
      </w:pPr>
    </w:lvl>
  </w:abstractNum>
  <w:abstractNum w:abstractNumId="4">
    <w:nsid w:val="FFFFFF7F"/>
    <w:multiLevelType w:val="singleLevel"/>
    <w:tmpl w:val="8BF6D6CC"/>
    <w:lvl w:ilvl="0">
      <w:start w:val="1"/>
      <w:numFmt w:val="decimal"/>
      <w:lvlText w:val="%1."/>
      <w:lvlJc w:val="left"/>
      <w:pPr>
        <w:tabs>
          <w:tab w:val="num" w:pos="720"/>
        </w:tabs>
        <w:ind w:left="720" w:hanging="360"/>
      </w:pPr>
    </w:lvl>
  </w:abstractNum>
  <w:abstractNum w:abstractNumId="5">
    <w:nsid w:val="FFFFFF80"/>
    <w:multiLevelType w:val="singleLevel"/>
    <w:tmpl w:val="F208B3C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066FC8A"/>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0FCC753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40E8621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892600AE"/>
    <w:lvl w:ilvl="0">
      <w:start w:val="1"/>
      <w:numFmt w:val="decimal"/>
      <w:lvlText w:val="%1."/>
      <w:lvlJc w:val="left"/>
      <w:pPr>
        <w:tabs>
          <w:tab w:val="num" w:pos="360"/>
        </w:tabs>
        <w:ind w:left="360" w:hanging="360"/>
      </w:pPr>
    </w:lvl>
  </w:abstractNum>
  <w:abstractNum w:abstractNumId="10">
    <w:nsid w:val="FFFFFF89"/>
    <w:multiLevelType w:val="singleLevel"/>
    <w:tmpl w:val="1BEA550C"/>
    <w:lvl w:ilvl="0">
      <w:start w:val="1"/>
      <w:numFmt w:val="bullet"/>
      <w:lvlText w:val=""/>
      <w:lvlJc w:val="left"/>
      <w:pPr>
        <w:tabs>
          <w:tab w:val="num" w:pos="360"/>
        </w:tabs>
        <w:ind w:left="360" w:hanging="360"/>
      </w:pPr>
      <w:rPr>
        <w:rFonts w:ascii="Symbol" w:hAnsi="Symbol" w:hint="default"/>
      </w:rPr>
    </w:lvl>
  </w:abstractNum>
  <w:abstractNum w:abstractNumId="11">
    <w:nsid w:val="05BD4FFC"/>
    <w:multiLevelType w:val="hybridMultilevel"/>
    <w:tmpl w:val="5C688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145295"/>
    <w:multiLevelType w:val="hybridMultilevel"/>
    <w:tmpl w:val="A7308646"/>
    <w:lvl w:ilvl="0" w:tplc="4F5E5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B80005"/>
    <w:multiLevelType w:val="hybridMultilevel"/>
    <w:tmpl w:val="D35C2C92"/>
    <w:lvl w:ilvl="0" w:tplc="4F5E5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E82AA7"/>
    <w:multiLevelType w:val="hybridMultilevel"/>
    <w:tmpl w:val="EF0A1416"/>
    <w:lvl w:ilvl="0" w:tplc="4F5E5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6B1669"/>
    <w:multiLevelType w:val="hybridMultilevel"/>
    <w:tmpl w:val="023E57D8"/>
    <w:lvl w:ilvl="0" w:tplc="C65ACF4A">
      <w:start w:val="1"/>
      <w:numFmt w:val="bullet"/>
      <w:pStyle w:val="IRP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16">
    <w:nsid w:val="20411585"/>
    <w:multiLevelType w:val="hybridMultilevel"/>
    <w:tmpl w:val="6832BF34"/>
    <w:lvl w:ilvl="0" w:tplc="4F5E5EF4">
      <w:start w:val="1"/>
      <w:numFmt w:val="decimal"/>
      <w:lvlText w:val="%1."/>
      <w:lvlJc w:val="left"/>
      <w:pPr>
        <w:ind w:left="720" w:hanging="360"/>
      </w:pPr>
      <w:rPr>
        <w:rFonts w:hint="default"/>
      </w:rPr>
    </w:lvl>
    <w:lvl w:ilvl="1" w:tplc="4F5E5EF4">
      <w:start w:val="1"/>
      <w:numFmt w:val="decimal"/>
      <w:lvlText w:val="%2."/>
      <w:lvlJc w:val="left"/>
      <w:pPr>
        <w:ind w:left="72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5C1716"/>
    <w:multiLevelType w:val="hybridMultilevel"/>
    <w:tmpl w:val="D2C43D4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623554"/>
    <w:multiLevelType w:val="hybridMultilevel"/>
    <w:tmpl w:val="4CA6ECB8"/>
    <w:lvl w:ilvl="0" w:tplc="25D0F712">
      <w:start w:val="1"/>
      <w:numFmt w:val="bullet"/>
      <w:lvlText w:val=""/>
      <w:lvlJc w:val="left"/>
      <w:pPr>
        <w:ind w:left="576"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nsid w:val="24755439"/>
    <w:multiLevelType w:val="hybridMultilevel"/>
    <w:tmpl w:val="4B243726"/>
    <w:lvl w:ilvl="0" w:tplc="1624DF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A98504E"/>
    <w:multiLevelType w:val="hybridMultilevel"/>
    <w:tmpl w:val="306AD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E17B40"/>
    <w:multiLevelType w:val="hybridMultilevel"/>
    <w:tmpl w:val="373ED198"/>
    <w:lvl w:ilvl="0" w:tplc="0409000F">
      <w:start w:val="1"/>
      <w:numFmt w:val="decimal"/>
      <w:lvlText w:val="%1."/>
      <w:lvlJc w:val="left"/>
      <w:pPr>
        <w:ind w:left="720" w:hanging="360"/>
      </w:pPr>
    </w:lvl>
    <w:lvl w:ilvl="1" w:tplc="0409000F">
      <w:start w:val="1"/>
      <w:numFmt w:val="decimal"/>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56467E"/>
    <w:multiLevelType w:val="hybridMultilevel"/>
    <w:tmpl w:val="4A540994"/>
    <w:lvl w:ilvl="0" w:tplc="04090015">
      <w:start w:val="1"/>
      <w:numFmt w:val="upperLetter"/>
      <w:lvlText w:val="%1."/>
      <w:lvlJc w:val="left"/>
      <w:pPr>
        <w:ind w:left="720" w:hanging="360"/>
      </w:pPr>
    </w:lvl>
    <w:lvl w:ilvl="1" w:tplc="3FA2A3CA">
      <w:start w:val="1"/>
      <w:numFmt w:val="bullet"/>
      <w:lvlText w:val=""/>
      <w:lvlJc w:val="left"/>
      <w:pPr>
        <w:tabs>
          <w:tab w:val="num" w:pos="1368"/>
        </w:tabs>
        <w:ind w:left="1368" w:hanging="288"/>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106FC1"/>
    <w:multiLevelType w:val="hybridMultilevel"/>
    <w:tmpl w:val="4C84B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0D43EF"/>
    <w:multiLevelType w:val="hybridMultilevel"/>
    <w:tmpl w:val="C6FADEC8"/>
    <w:lvl w:ilvl="0" w:tplc="04090015">
      <w:start w:val="1"/>
      <w:numFmt w:val="upperLetter"/>
      <w:lvlText w:val="%1."/>
      <w:lvlJc w:val="left"/>
      <w:pPr>
        <w:ind w:left="720" w:hanging="360"/>
      </w:pPr>
    </w:lvl>
    <w:lvl w:ilvl="1" w:tplc="3FA2A3CA">
      <w:start w:val="1"/>
      <w:numFmt w:val="bullet"/>
      <w:lvlText w:val=""/>
      <w:lvlJc w:val="left"/>
      <w:pPr>
        <w:tabs>
          <w:tab w:val="num" w:pos="1368"/>
        </w:tabs>
        <w:ind w:left="1368" w:hanging="288"/>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875C9F"/>
    <w:multiLevelType w:val="hybridMultilevel"/>
    <w:tmpl w:val="085046B8"/>
    <w:lvl w:ilvl="0" w:tplc="04090015">
      <w:start w:val="1"/>
      <w:numFmt w:val="upperLetter"/>
      <w:lvlText w:val="%1."/>
      <w:lvlJc w:val="left"/>
      <w:pPr>
        <w:ind w:left="720" w:hanging="360"/>
      </w:pPr>
    </w:lvl>
    <w:lvl w:ilvl="1" w:tplc="3FA2A3CA">
      <w:start w:val="1"/>
      <w:numFmt w:val="bullet"/>
      <w:lvlText w:val=""/>
      <w:lvlJc w:val="left"/>
      <w:pPr>
        <w:tabs>
          <w:tab w:val="num" w:pos="1368"/>
        </w:tabs>
        <w:ind w:left="1368" w:hanging="288"/>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3E40EF"/>
    <w:multiLevelType w:val="hybridMultilevel"/>
    <w:tmpl w:val="B1ACA3CE"/>
    <w:lvl w:ilvl="0" w:tplc="CBC851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891090"/>
    <w:multiLevelType w:val="hybridMultilevel"/>
    <w:tmpl w:val="11AEA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0B44E2"/>
    <w:multiLevelType w:val="hybridMultilevel"/>
    <w:tmpl w:val="B10ED272"/>
    <w:lvl w:ilvl="0" w:tplc="4F5E5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4953BF"/>
    <w:multiLevelType w:val="hybridMultilevel"/>
    <w:tmpl w:val="18EEACC2"/>
    <w:lvl w:ilvl="0" w:tplc="6F129F42">
      <w:start w:val="1"/>
      <w:numFmt w:val="lowerLetter"/>
      <w:lvlText w:val="%1."/>
      <w:lvlJc w:val="left"/>
      <w:pPr>
        <w:ind w:left="720" w:hanging="360"/>
      </w:pPr>
      <w:rPr>
        <w:rFonts w:hint="default"/>
      </w:rPr>
    </w:lvl>
    <w:lvl w:ilvl="1" w:tplc="6CF6AC4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C03D6F"/>
    <w:multiLevelType w:val="hybridMultilevel"/>
    <w:tmpl w:val="1AF452E2"/>
    <w:lvl w:ilvl="0" w:tplc="3FA2A3CA">
      <w:start w:val="1"/>
      <w:numFmt w:val="bullet"/>
      <w:lvlText w:val=""/>
      <w:lvlJc w:val="left"/>
      <w:pPr>
        <w:tabs>
          <w:tab w:val="num" w:pos="1296"/>
        </w:tabs>
        <w:ind w:left="1296" w:hanging="288"/>
      </w:pPr>
      <w:rPr>
        <w:rFonts w:ascii="Symbol" w:hAnsi="Symbol" w:hint="default"/>
      </w:rPr>
    </w:lvl>
    <w:lvl w:ilvl="1" w:tplc="04090003" w:tentative="1">
      <w:start w:val="1"/>
      <w:numFmt w:val="bullet"/>
      <w:lvlText w:val="o"/>
      <w:lvlJc w:val="left"/>
      <w:pPr>
        <w:ind w:left="2448" w:hanging="360"/>
      </w:pPr>
      <w:rPr>
        <w:rFonts w:ascii="Courier New" w:hAnsi="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31">
    <w:nsid w:val="5AEA0E19"/>
    <w:multiLevelType w:val="hybridMultilevel"/>
    <w:tmpl w:val="1B6E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FE4D4C"/>
    <w:multiLevelType w:val="hybridMultilevel"/>
    <w:tmpl w:val="E1AC1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2D133C"/>
    <w:multiLevelType w:val="hybridMultilevel"/>
    <w:tmpl w:val="3A260F0E"/>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4">
    <w:nsid w:val="602F2F43"/>
    <w:multiLevelType w:val="hybridMultilevel"/>
    <w:tmpl w:val="A0B4B560"/>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5">
    <w:nsid w:val="60E045EF"/>
    <w:multiLevelType w:val="hybridMultilevel"/>
    <w:tmpl w:val="30D60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EB32B3"/>
    <w:multiLevelType w:val="hybridMultilevel"/>
    <w:tmpl w:val="75B2B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C95DED"/>
    <w:multiLevelType w:val="hybridMultilevel"/>
    <w:tmpl w:val="21506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DC191D"/>
    <w:multiLevelType w:val="hybridMultilevel"/>
    <w:tmpl w:val="49C0AE0C"/>
    <w:lvl w:ilvl="0" w:tplc="83F83E22">
      <w:start w:val="1"/>
      <w:numFmt w:val="bullet"/>
      <w:lvlText w:val=""/>
      <w:lvlJc w:val="left"/>
      <w:pPr>
        <w:tabs>
          <w:tab w:val="num" w:pos="360"/>
        </w:tabs>
        <w:ind w:left="432"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0B54A0"/>
    <w:multiLevelType w:val="hybridMultilevel"/>
    <w:tmpl w:val="9722992C"/>
    <w:lvl w:ilvl="0" w:tplc="04090015">
      <w:start w:val="1"/>
      <w:numFmt w:val="upperLetter"/>
      <w:lvlText w:val="%1."/>
      <w:lvlJc w:val="left"/>
      <w:pPr>
        <w:ind w:left="720" w:hanging="360"/>
      </w:pPr>
    </w:lvl>
    <w:lvl w:ilvl="1" w:tplc="3FA2A3CA">
      <w:start w:val="1"/>
      <w:numFmt w:val="bullet"/>
      <w:lvlText w:val=""/>
      <w:lvlJc w:val="left"/>
      <w:pPr>
        <w:tabs>
          <w:tab w:val="num" w:pos="1368"/>
        </w:tabs>
        <w:ind w:left="1368" w:hanging="288"/>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73F35A9"/>
    <w:multiLevelType w:val="hybridMultilevel"/>
    <w:tmpl w:val="822E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8123848"/>
    <w:multiLevelType w:val="hybridMultilevel"/>
    <w:tmpl w:val="DB888042"/>
    <w:lvl w:ilvl="0" w:tplc="83F83E22">
      <w:start w:val="1"/>
      <w:numFmt w:val="bullet"/>
      <w:lvlText w:val=""/>
      <w:lvlJc w:val="left"/>
      <w:pPr>
        <w:tabs>
          <w:tab w:val="num" w:pos="360"/>
        </w:tabs>
        <w:ind w:left="432"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B63703F"/>
    <w:multiLevelType w:val="hybridMultilevel"/>
    <w:tmpl w:val="F1840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03574BF"/>
    <w:multiLevelType w:val="hybridMultilevel"/>
    <w:tmpl w:val="49C0A07E"/>
    <w:lvl w:ilvl="0" w:tplc="4F5E5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4861CA1"/>
    <w:multiLevelType w:val="hybridMultilevel"/>
    <w:tmpl w:val="2BC6C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874C0C"/>
    <w:multiLevelType w:val="hybridMultilevel"/>
    <w:tmpl w:val="4A200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7C04401"/>
    <w:multiLevelType w:val="hybridMultilevel"/>
    <w:tmpl w:val="2E6A1392"/>
    <w:lvl w:ilvl="0" w:tplc="4F5E5EF4">
      <w:start w:val="1"/>
      <w:numFmt w:val="decimal"/>
      <w:lvlText w:val="%1."/>
      <w:lvlJc w:val="left"/>
      <w:pPr>
        <w:ind w:left="720" w:hanging="360"/>
      </w:pPr>
      <w:rPr>
        <w:rFonts w:hint="default"/>
      </w:rPr>
    </w:lvl>
    <w:lvl w:ilvl="1" w:tplc="6CF6AC4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204854"/>
    <w:multiLevelType w:val="hybridMultilevel"/>
    <w:tmpl w:val="05865E5E"/>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8">
    <w:nsid w:val="7BF41583"/>
    <w:multiLevelType w:val="hybridMultilevel"/>
    <w:tmpl w:val="00BA503C"/>
    <w:lvl w:ilvl="0" w:tplc="4F5E5EF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3057C7"/>
    <w:multiLevelType w:val="hybridMultilevel"/>
    <w:tmpl w:val="4F666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42"/>
  </w:num>
  <w:num w:numId="4">
    <w:abstractNumId w:val="36"/>
  </w:num>
  <w:num w:numId="5">
    <w:abstractNumId w:val="37"/>
  </w:num>
  <w:num w:numId="6">
    <w:abstractNumId w:val="40"/>
  </w:num>
  <w:num w:numId="7">
    <w:abstractNumId w:val="27"/>
  </w:num>
  <w:num w:numId="8">
    <w:abstractNumId w:val="35"/>
  </w:num>
  <w:num w:numId="9">
    <w:abstractNumId w:val="32"/>
  </w:num>
  <w:num w:numId="10">
    <w:abstractNumId w:val="20"/>
  </w:num>
  <w:num w:numId="11">
    <w:abstractNumId w:val="49"/>
  </w:num>
  <w:num w:numId="12">
    <w:abstractNumId w:val="17"/>
  </w:num>
  <w:num w:numId="13">
    <w:abstractNumId w:val="31"/>
  </w:num>
  <w:num w:numId="14">
    <w:abstractNumId w:val="29"/>
  </w:num>
  <w:num w:numId="15">
    <w:abstractNumId w:val="18"/>
  </w:num>
  <w:num w:numId="16">
    <w:abstractNumId w:val="28"/>
  </w:num>
  <w:num w:numId="17">
    <w:abstractNumId w:val="48"/>
  </w:num>
  <w:num w:numId="18">
    <w:abstractNumId w:val="26"/>
  </w:num>
  <w:num w:numId="19">
    <w:abstractNumId w:val="43"/>
  </w:num>
  <w:num w:numId="20">
    <w:abstractNumId w:val="21"/>
  </w:num>
  <w:num w:numId="21">
    <w:abstractNumId w:val="46"/>
  </w:num>
  <w:num w:numId="22">
    <w:abstractNumId w:val="14"/>
  </w:num>
  <w:num w:numId="23">
    <w:abstractNumId w:val="16"/>
  </w:num>
  <w:num w:numId="24">
    <w:abstractNumId w:val="24"/>
  </w:num>
  <w:num w:numId="25">
    <w:abstractNumId w:val="39"/>
  </w:num>
  <w:num w:numId="26">
    <w:abstractNumId w:val="22"/>
  </w:num>
  <w:num w:numId="27">
    <w:abstractNumId w:val="25"/>
  </w:num>
  <w:num w:numId="28">
    <w:abstractNumId w:val="30"/>
  </w:num>
  <w:num w:numId="29">
    <w:abstractNumId w:val="13"/>
  </w:num>
  <w:num w:numId="30">
    <w:abstractNumId w:val="12"/>
  </w:num>
  <w:num w:numId="31">
    <w:abstractNumId w:val="44"/>
  </w:num>
  <w:num w:numId="32">
    <w:abstractNumId w:val="33"/>
  </w:num>
  <w:num w:numId="33">
    <w:abstractNumId w:val="47"/>
  </w:num>
  <w:num w:numId="34">
    <w:abstractNumId w:val="34"/>
  </w:num>
  <w:num w:numId="35">
    <w:abstractNumId w:val="19"/>
  </w:num>
  <w:num w:numId="36">
    <w:abstractNumId w:val="23"/>
  </w:num>
  <w:num w:numId="37">
    <w:abstractNumId w:val="41"/>
  </w:num>
  <w:num w:numId="38">
    <w:abstractNumId w:val="38"/>
  </w:num>
  <w:num w:numId="39">
    <w:abstractNumId w:val="45"/>
  </w:num>
  <w:num w:numId="40">
    <w:abstractNumId w:val="10"/>
  </w:num>
  <w:num w:numId="41">
    <w:abstractNumId w:val="8"/>
  </w:num>
  <w:num w:numId="42">
    <w:abstractNumId w:val="7"/>
  </w:num>
  <w:num w:numId="43">
    <w:abstractNumId w:val="6"/>
  </w:num>
  <w:num w:numId="44">
    <w:abstractNumId w:val="5"/>
  </w:num>
  <w:num w:numId="45">
    <w:abstractNumId w:val="9"/>
  </w:num>
  <w:num w:numId="46">
    <w:abstractNumId w:val="4"/>
  </w:num>
  <w:num w:numId="47">
    <w:abstractNumId w:val="3"/>
  </w:num>
  <w:num w:numId="48">
    <w:abstractNumId w:val="2"/>
  </w:num>
  <w:num w:numId="49">
    <w:abstractNumId w:val="1"/>
  </w:num>
  <w:num w:numId="50">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E72"/>
    <w:rsid w:val="00002500"/>
    <w:rsid w:val="00010FAF"/>
    <w:rsid w:val="000115D5"/>
    <w:rsid w:val="00012BA7"/>
    <w:rsid w:val="00022812"/>
    <w:rsid w:val="00022AE1"/>
    <w:rsid w:val="00022D70"/>
    <w:rsid w:val="00024FD4"/>
    <w:rsid w:val="00030B29"/>
    <w:rsid w:val="00045148"/>
    <w:rsid w:val="00051DAA"/>
    <w:rsid w:val="000536D7"/>
    <w:rsid w:val="0007291A"/>
    <w:rsid w:val="00076463"/>
    <w:rsid w:val="000811E5"/>
    <w:rsid w:val="000A6E07"/>
    <w:rsid w:val="000A7BCC"/>
    <w:rsid w:val="000B106F"/>
    <w:rsid w:val="000B7673"/>
    <w:rsid w:val="000D66B1"/>
    <w:rsid w:val="000E4936"/>
    <w:rsid w:val="000E4C33"/>
    <w:rsid w:val="000E4F6D"/>
    <w:rsid w:val="000F0CE4"/>
    <w:rsid w:val="000F320C"/>
    <w:rsid w:val="000F4412"/>
    <w:rsid w:val="00103198"/>
    <w:rsid w:val="00107F63"/>
    <w:rsid w:val="00110C8D"/>
    <w:rsid w:val="001141E6"/>
    <w:rsid w:val="00114BAD"/>
    <w:rsid w:val="00122D3B"/>
    <w:rsid w:val="00131291"/>
    <w:rsid w:val="00136C0F"/>
    <w:rsid w:val="001432B5"/>
    <w:rsid w:val="00155762"/>
    <w:rsid w:val="00166453"/>
    <w:rsid w:val="00166809"/>
    <w:rsid w:val="00173E5C"/>
    <w:rsid w:val="0018478A"/>
    <w:rsid w:val="00194D4E"/>
    <w:rsid w:val="00195216"/>
    <w:rsid w:val="001A7102"/>
    <w:rsid w:val="001B5F2B"/>
    <w:rsid w:val="001B7E34"/>
    <w:rsid w:val="001C671A"/>
    <w:rsid w:val="001D052C"/>
    <w:rsid w:val="001D348B"/>
    <w:rsid w:val="001D4E32"/>
    <w:rsid w:val="001D5CCE"/>
    <w:rsid w:val="001D6146"/>
    <w:rsid w:val="001D628F"/>
    <w:rsid w:val="001D6E99"/>
    <w:rsid w:val="001E0300"/>
    <w:rsid w:val="001F3571"/>
    <w:rsid w:val="001F362D"/>
    <w:rsid w:val="00200234"/>
    <w:rsid w:val="002003DD"/>
    <w:rsid w:val="00201B7A"/>
    <w:rsid w:val="0020207E"/>
    <w:rsid w:val="0020632A"/>
    <w:rsid w:val="00215349"/>
    <w:rsid w:val="00232C82"/>
    <w:rsid w:val="00234579"/>
    <w:rsid w:val="00255AA2"/>
    <w:rsid w:val="00255D45"/>
    <w:rsid w:val="00261C33"/>
    <w:rsid w:val="00261F11"/>
    <w:rsid w:val="00262375"/>
    <w:rsid w:val="00262868"/>
    <w:rsid w:val="0026312D"/>
    <w:rsid w:val="00266F88"/>
    <w:rsid w:val="00270A0C"/>
    <w:rsid w:val="00270B96"/>
    <w:rsid w:val="002873A4"/>
    <w:rsid w:val="00293A4E"/>
    <w:rsid w:val="00294A3F"/>
    <w:rsid w:val="002A1142"/>
    <w:rsid w:val="002A1729"/>
    <w:rsid w:val="002A32C5"/>
    <w:rsid w:val="002A542A"/>
    <w:rsid w:val="002C0782"/>
    <w:rsid w:val="002C1ECE"/>
    <w:rsid w:val="002C25BB"/>
    <w:rsid w:val="002F109C"/>
    <w:rsid w:val="002F4831"/>
    <w:rsid w:val="002F77B4"/>
    <w:rsid w:val="0030002A"/>
    <w:rsid w:val="00303A61"/>
    <w:rsid w:val="00305222"/>
    <w:rsid w:val="00307C88"/>
    <w:rsid w:val="00315227"/>
    <w:rsid w:val="00327AF9"/>
    <w:rsid w:val="00330C7B"/>
    <w:rsid w:val="003355A7"/>
    <w:rsid w:val="0033736F"/>
    <w:rsid w:val="00337764"/>
    <w:rsid w:val="003429E1"/>
    <w:rsid w:val="003536EB"/>
    <w:rsid w:val="00367AB0"/>
    <w:rsid w:val="003742A6"/>
    <w:rsid w:val="00382146"/>
    <w:rsid w:val="00383033"/>
    <w:rsid w:val="00384CCF"/>
    <w:rsid w:val="00387BBF"/>
    <w:rsid w:val="003961E1"/>
    <w:rsid w:val="00397EFC"/>
    <w:rsid w:val="003A0016"/>
    <w:rsid w:val="003B06BA"/>
    <w:rsid w:val="003B0C15"/>
    <w:rsid w:val="003B0D42"/>
    <w:rsid w:val="003B1E0E"/>
    <w:rsid w:val="003B3D00"/>
    <w:rsid w:val="003D034A"/>
    <w:rsid w:val="003D09B7"/>
    <w:rsid w:val="003D2FD6"/>
    <w:rsid w:val="003E6166"/>
    <w:rsid w:val="003E7037"/>
    <w:rsid w:val="004148A3"/>
    <w:rsid w:val="00415990"/>
    <w:rsid w:val="00415B12"/>
    <w:rsid w:val="004161D2"/>
    <w:rsid w:val="004220AB"/>
    <w:rsid w:val="00427D40"/>
    <w:rsid w:val="00431435"/>
    <w:rsid w:val="00440047"/>
    <w:rsid w:val="00446887"/>
    <w:rsid w:val="0045538F"/>
    <w:rsid w:val="004640D8"/>
    <w:rsid w:val="00466B1D"/>
    <w:rsid w:val="00474A60"/>
    <w:rsid w:val="00482F16"/>
    <w:rsid w:val="0048686B"/>
    <w:rsid w:val="00493E0D"/>
    <w:rsid w:val="004943C1"/>
    <w:rsid w:val="00495DCD"/>
    <w:rsid w:val="004A0FFF"/>
    <w:rsid w:val="004A562E"/>
    <w:rsid w:val="004B09B6"/>
    <w:rsid w:val="004B5052"/>
    <w:rsid w:val="004B5984"/>
    <w:rsid w:val="004B5C59"/>
    <w:rsid w:val="004C16F7"/>
    <w:rsid w:val="004C1F08"/>
    <w:rsid w:val="004C2FFD"/>
    <w:rsid w:val="004C3537"/>
    <w:rsid w:val="004D0808"/>
    <w:rsid w:val="004D0B5F"/>
    <w:rsid w:val="004D593E"/>
    <w:rsid w:val="004D6366"/>
    <w:rsid w:val="004E52C1"/>
    <w:rsid w:val="004E5935"/>
    <w:rsid w:val="004E5E60"/>
    <w:rsid w:val="005078E2"/>
    <w:rsid w:val="00521E04"/>
    <w:rsid w:val="00523C65"/>
    <w:rsid w:val="00525FEB"/>
    <w:rsid w:val="00540B5A"/>
    <w:rsid w:val="005410EE"/>
    <w:rsid w:val="00542866"/>
    <w:rsid w:val="0054737D"/>
    <w:rsid w:val="00553691"/>
    <w:rsid w:val="00553C47"/>
    <w:rsid w:val="00555205"/>
    <w:rsid w:val="00562AC1"/>
    <w:rsid w:val="0057180E"/>
    <w:rsid w:val="00571E09"/>
    <w:rsid w:val="00573527"/>
    <w:rsid w:val="005769F5"/>
    <w:rsid w:val="00580CED"/>
    <w:rsid w:val="00591EC7"/>
    <w:rsid w:val="00592155"/>
    <w:rsid w:val="005924F8"/>
    <w:rsid w:val="005A7EAB"/>
    <w:rsid w:val="005B05E2"/>
    <w:rsid w:val="005B2826"/>
    <w:rsid w:val="005B2F54"/>
    <w:rsid w:val="005B39D0"/>
    <w:rsid w:val="005C4660"/>
    <w:rsid w:val="005C70DF"/>
    <w:rsid w:val="005D4708"/>
    <w:rsid w:val="005D69A8"/>
    <w:rsid w:val="005E3CDC"/>
    <w:rsid w:val="005F1704"/>
    <w:rsid w:val="005F2D39"/>
    <w:rsid w:val="005F33C5"/>
    <w:rsid w:val="005F721A"/>
    <w:rsid w:val="00601E72"/>
    <w:rsid w:val="00606052"/>
    <w:rsid w:val="00607581"/>
    <w:rsid w:val="00615718"/>
    <w:rsid w:val="0062092C"/>
    <w:rsid w:val="00622720"/>
    <w:rsid w:val="006246FD"/>
    <w:rsid w:val="00626921"/>
    <w:rsid w:val="00626BB2"/>
    <w:rsid w:val="0063113C"/>
    <w:rsid w:val="00637544"/>
    <w:rsid w:val="00643586"/>
    <w:rsid w:val="00645007"/>
    <w:rsid w:val="0064621A"/>
    <w:rsid w:val="00657D52"/>
    <w:rsid w:val="00660D84"/>
    <w:rsid w:val="006632C4"/>
    <w:rsid w:val="006707B7"/>
    <w:rsid w:val="00670EF9"/>
    <w:rsid w:val="00670F0A"/>
    <w:rsid w:val="0067369A"/>
    <w:rsid w:val="006762B2"/>
    <w:rsid w:val="00676660"/>
    <w:rsid w:val="006766F4"/>
    <w:rsid w:val="00681421"/>
    <w:rsid w:val="0068280F"/>
    <w:rsid w:val="0068362D"/>
    <w:rsid w:val="006943A5"/>
    <w:rsid w:val="00694DA4"/>
    <w:rsid w:val="006954DC"/>
    <w:rsid w:val="006A0FD3"/>
    <w:rsid w:val="006B303D"/>
    <w:rsid w:val="006B304A"/>
    <w:rsid w:val="006C3677"/>
    <w:rsid w:val="006D1BDD"/>
    <w:rsid w:val="006E18F6"/>
    <w:rsid w:val="006E35E5"/>
    <w:rsid w:val="00704F20"/>
    <w:rsid w:val="007128ED"/>
    <w:rsid w:val="007131AC"/>
    <w:rsid w:val="00713242"/>
    <w:rsid w:val="00713778"/>
    <w:rsid w:val="00720A5A"/>
    <w:rsid w:val="00723C6D"/>
    <w:rsid w:val="007247D3"/>
    <w:rsid w:val="00730CC6"/>
    <w:rsid w:val="00737BAA"/>
    <w:rsid w:val="00742F65"/>
    <w:rsid w:val="007431C8"/>
    <w:rsid w:val="0074521B"/>
    <w:rsid w:val="00756833"/>
    <w:rsid w:val="00757869"/>
    <w:rsid w:val="0076578E"/>
    <w:rsid w:val="00766C30"/>
    <w:rsid w:val="007763FA"/>
    <w:rsid w:val="00781BE1"/>
    <w:rsid w:val="007826F2"/>
    <w:rsid w:val="007845E5"/>
    <w:rsid w:val="00785A65"/>
    <w:rsid w:val="007949E6"/>
    <w:rsid w:val="00794D2D"/>
    <w:rsid w:val="00796E81"/>
    <w:rsid w:val="007A4835"/>
    <w:rsid w:val="007B2488"/>
    <w:rsid w:val="007D64BB"/>
    <w:rsid w:val="007E0F1E"/>
    <w:rsid w:val="007E49E8"/>
    <w:rsid w:val="007F2800"/>
    <w:rsid w:val="00801918"/>
    <w:rsid w:val="00812DDD"/>
    <w:rsid w:val="008165FD"/>
    <w:rsid w:val="00816B3B"/>
    <w:rsid w:val="008201FE"/>
    <w:rsid w:val="008216CC"/>
    <w:rsid w:val="00827F70"/>
    <w:rsid w:val="00834C15"/>
    <w:rsid w:val="0084244F"/>
    <w:rsid w:val="00843162"/>
    <w:rsid w:val="0084567C"/>
    <w:rsid w:val="008507B6"/>
    <w:rsid w:val="00855BD7"/>
    <w:rsid w:val="00860015"/>
    <w:rsid w:val="00862111"/>
    <w:rsid w:val="00866CAC"/>
    <w:rsid w:val="00867536"/>
    <w:rsid w:val="008727E6"/>
    <w:rsid w:val="0087659D"/>
    <w:rsid w:val="00877AF0"/>
    <w:rsid w:val="00882098"/>
    <w:rsid w:val="0088219C"/>
    <w:rsid w:val="00883F46"/>
    <w:rsid w:val="00884900"/>
    <w:rsid w:val="00885552"/>
    <w:rsid w:val="00886AE5"/>
    <w:rsid w:val="00890504"/>
    <w:rsid w:val="00892C11"/>
    <w:rsid w:val="00894DE6"/>
    <w:rsid w:val="00896C34"/>
    <w:rsid w:val="008A35A3"/>
    <w:rsid w:val="008B3E40"/>
    <w:rsid w:val="008B5881"/>
    <w:rsid w:val="008B5F11"/>
    <w:rsid w:val="008B6756"/>
    <w:rsid w:val="008C6240"/>
    <w:rsid w:val="008C7552"/>
    <w:rsid w:val="008D1DE3"/>
    <w:rsid w:val="008D302A"/>
    <w:rsid w:val="008E0828"/>
    <w:rsid w:val="008F21F1"/>
    <w:rsid w:val="008F3C60"/>
    <w:rsid w:val="00903F5B"/>
    <w:rsid w:val="00904890"/>
    <w:rsid w:val="00906559"/>
    <w:rsid w:val="00906A0A"/>
    <w:rsid w:val="009164D2"/>
    <w:rsid w:val="00921DB9"/>
    <w:rsid w:val="00922349"/>
    <w:rsid w:val="0092482C"/>
    <w:rsid w:val="00926AB0"/>
    <w:rsid w:val="00934276"/>
    <w:rsid w:val="009368BF"/>
    <w:rsid w:val="00937249"/>
    <w:rsid w:val="0094465F"/>
    <w:rsid w:val="009524AC"/>
    <w:rsid w:val="00963B31"/>
    <w:rsid w:val="0096451E"/>
    <w:rsid w:val="00964652"/>
    <w:rsid w:val="009669E9"/>
    <w:rsid w:val="00980573"/>
    <w:rsid w:val="009808CD"/>
    <w:rsid w:val="009840C0"/>
    <w:rsid w:val="009B5276"/>
    <w:rsid w:val="009B5442"/>
    <w:rsid w:val="009C0BDA"/>
    <w:rsid w:val="009E1D4B"/>
    <w:rsid w:val="009E6CD9"/>
    <w:rsid w:val="009F012A"/>
    <w:rsid w:val="009F176E"/>
    <w:rsid w:val="00A01F5C"/>
    <w:rsid w:val="00A02886"/>
    <w:rsid w:val="00A06060"/>
    <w:rsid w:val="00A075A9"/>
    <w:rsid w:val="00A11C81"/>
    <w:rsid w:val="00A11C82"/>
    <w:rsid w:val="00A157B1"/>
    <w:rsid w:val="00A2511D"/>
    <w:rsid w:val="00A3279D"/>
    <w:rsid w:val="00A32941"/>
    <w:rsid w:val="00A33D5B"/>
    <w:rsid w:val="00A35E26"/>
    <w:rsid w:val="00A46FBC"/>
    <w:rsid w:val="00A47CC2"/>
    <w:rsid w:val="00A47D61"/>
    <w:rsid w:val="00A51D03"/>
    <w:rsid w:val="00A54A99"/>
    <w:rsid w:val="00A5532E"/>
    <w:rsid w:val="00A60AD6"/>
    <w:rsid w:val="00A64E5A"/>
    <w:rsid w:val="00A746A5"/>
    <w:rsid w:val="00A75AB8"/>
    <w:rsid w:val="00A779B4"/>
    <w:rsid w:val="00A96C47"/>
    <w:rsid w:val="00A979CE"/>
    <w:rsid w:val="00AA05FF"/>
    <w:rsid w:val="00AA175B"/>
    <w:rsid w:val="00AB7144"/>
    <w:rsid w:val="00AB715F"/>
    <w:rsid w:val="00AD0F38"/>
    <w:rsid w:val="00AD1089"/>
    <w:rsid w:val="00AE601C"/>
    <w:rsid w:val="00AE6946"/>
    <w:rsid w:val="00AF0E12"/>
    <w:rsid w:val="00AF5574"/>
    <w:rsid w:val="00AF56BB"/>
    <w:rsid w:val="00AF575E"/>
    <w:rsid w:val="00B12366"/>
    <w:rsid w:val="00B177E5"/>
    <w:rsid w:val="00B2040D"/>
    <w:rsid w:val="00B279EB"/>
    <w:rsid w:val="00B303DC"/>
    <w:rsid w:val="00B407E9"/>
    <w:rsid w:val="00B455E4"/>
    <w:rsid w:val="00B57114"/>
    <w:rsid w:val="00B62010"/>
    <w:rsid w:val="00B64AF9"/>
    <w:rsid w:val="00B7222C"/>
    <w:rsid w:val="00B72944"/>
    <w:rsid w:val="00B74C72"/>
    <w:rsid w:val="00B804C6"/>
    <w:rsid w:val="00B82F6C"/>
    <w:rsid w:val="00B84965"/>
    <w:rsid w:val="00B84F10"/>
    <w:rsid w:val="00B956D8"/>
    <w:rsid w:val="00B972A1"/>
    <w:rsid w:val="00BA6837"/>
    <w:rsid w:val="00BA7904"/>
    <w:rsid w:val="00BB712C"/>
    <w:rsid w:val="00BC242C"/>
    <w:rsid w:val="00BC31F5"/>
    <w:rsid w:val="00BD592A"/>
    <w:rsid w:val="00BD62F3"/>
    <w:rsid w:val="00BF0D28"/>
    <w:rsid w:val="00BF45F8"/>
    <w:rsid w:val="00BF5F94"/>
    <w:rsid w:val="00C0158B"/>
    <w:rsid w:val="00C0184B"/>
    <w:rsid w:val="00C02518"/>
    <w:rsid w:val="00C02EDD"/>
    <w:rsid w:val="00C0343B"/>
    <w:rsid w:val="00C04720"/>
    <w:rsid w:val="00C04D24"/>
    <w:rsid w:val="00C07DA5"/>
    <w:rsid w:val="00C129D8"/>
    <w:rsid w:val="00C12DD6"/>
    <w:rsid w:val="00C12FBA"/>
    <w:rsid w:val="00C13F4C"/>
    <w:rsid w:val="00C14649"/>
    <w:rsid w:val="00C15C52"/>
    <w:rsid w:val="00C241A5"/>
    <w:rsid w:val="00C2445C"/>
    <w:rsid w:val="00C3119F"/>
    <w:rsid w:val="00C343F5"/>
    <w:rsid w:val="00C35E0C"/>
    <w:rsid w:val="00C40E44"/>
    <w:rsid w:val="00C57C50"/>
    <w:rsid w:val="00C61579"/>
    <w:rsid w:val="00C70154"/>
    <w:rsid w:val="00C903A0"/>
    <w:rsid w:val="00CA128E"/>
    <w:rsid w:val="00CA1290"/>
    <w:rsid w:val="00CA3D66"/>
    <w:rsid w:val="00CA58B1"/>
    <w:rsid w:val="00CB0E7B"/>
    <w:rsid w:val="00CB4D2E"/>
    <w:rsid w:val="00CB5341"/>
    <w:rsid w:val="00CC5017"/>
    <w:rsid w:val="00CE225B"/>
    <w:rsid w:val="00CF0A40"/>
    <w:rsid w:val="00CF6E6E"/>
    <w:rsid w:val="00D00285"/>
    <w:rsid w:val="00D02777"/>
    <w:rsid w:val="00D029FC"/>
    <w:rsid w:val="00D02E49"/>
    <w:rsid w:val="00D03F44"/>
    <w:rsid w:val="00D12A04"/>
    <w:rsid w:val="00D25121"/>
    <w:rsid w:val="00D269BA"/>
    <w:rsid w:val="00D310AF"/>
    <w:rsid w:val="00D32FB9"/>
    <w:rsid w:val="00D37313"/>
    <w:rsid w:val="00D37F49"/>
    <w:rsid w:val="00D57C8D"/>
    <w:rsid w:val="00D60616"/>
    <w:rsid w:val="00D64911"/>
    <w:rsid w:val="00D71197"/>
    <w:rsid w:val="00D77FB6"/>
    <w:rsid w:val="00D869A1"/>
    <w:rsid w:val="00D959D4"/>
    <w:rsid w:val="00D979B2"/>
    <w:rsid w:val="00DA0FF3"/>
    <w:rsid w:val="00DA54D6"/>
    <w:rsid w:val="00DC16C8"/>
    <w:rsid w:val="00DC1A9D"/>
    <w:rsid w:val="00DC485C"/>
    <w:rsid w:val="00DC784B"/>
    <w:rsid w:val="00DF1BA5"/>
    <w:rsid w:val="00E051E6"/>
    <w:rsid w:val="00E06808"/>
    <w:rsid w:val="00E11FE6"/>
    <w:rsid w:val="00E16024"/>
    <w:rsid w:val="00E21DFE"/>
    <w:rsid w:val="00E33BA5"/>
    <w:rsid w:val="00E51DDB"/>
    <w:rsid w:val="00E52BCA"/>
    <w:rsid w:val="00E62204"/>
    <w:rsid w:val="00E64523"/>
    <w:rsid w:val="00E651D4"/>
    <w:rsid w:val="00E72663"/>
    <w:rsid w:val="00E74063"/>
    <w:rsid w:val="00E74DBA"/>
    <w:rsid w:val="00E7686C"/>
    <w:rsid w:val="00E777D9"/>
    <w:rsid w:val="00E77908"/>
    <w:rsid w:val="00E77DF0"/>
    <w:rsid w:val="00E830D5"/>
    <w:rsid w:val="00E87BB5"/>
    <w:rsid w:val="00E94232"/>
    <w:rsid w:val="00E946C3"/>
    <w:rsid w:val="00EA4E46"/>
    <w:rsid w:val="00EC0B9A"/>
    <w:rsid w:val="00EC176D"/>
    <w:rsid w:val="00EC4408"/>
    <w:rsid w:val="00EC5150"/>
    <w:rsid w:val="00ED056D"/>
    <w:rsid w:val="00ED4391"/>
    <w:rsid w:val="00ED52D1"/>
    <w:rsid w:val="00EE2098"/>
    <w:rsid w:val="00EF26B5"/>
    <w:rsid w:val="00F053F8"/>
    <w:rsid w:val="00F0569E"/>
    <w:rsid w:val="00F133C9"/>
    <w:rsid w:val="00F1656A"/>
    <w:rsid w:val="00F204A1"/>
    <w:rsid w:val="00F26524"/>
    <w:rsid w:val="00F2753E"/>
    <w:rsid w:val="00F3138F"/>
    <w:rsid w:val="00F35EE8"/>
    <w:rsid w:val="00F46928"/>
    <w:rsid w:val="00F46C42"/>
    <w:rsid w:val="00F5057A"/>
    <w:rsid w:val="00F52DDC"/>
    <w:rsid w:val="00F5476C"/>
    <w:rsid w:val="00F63737"/>
    <w:rsid w:val="00F63AEF"/>
    <w:rsid w:val="00F67EF0"/>
    <w:rsid w:val="00F71565"/>
    <w:rsid w:val="00F736A8"/>
    <w:rsid w:val="00F75BF4"/>
    <w:rsid w:val="00F854BA"/>
    <w:rsid w:val="00F90746"/>
    <w:rsid w:val="00F9658D"/>
    <w:rsid w:val="00F96C37"/>
    <w:rsid w:val="00FA1E6C"/>
    <w:rsid w:val="00FA24A1"/>
    <w:rsid w:val="00FA48D6"/>
    <w:rsid w:val="00FA5F2F"/>
    <w:rsid w:val="00FC56A6"/>
    <w:rsid w:val="00FD3C80"/>
    <w:rsid w:val="00FF2CB2"/>
    <w:rsid w:val="00FF331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5203F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footnote text" w:uiPriority="99"/>
    <w:lsdException w:name="annotation text" w:uiPriority="99"/>
    <w:lsdException w:name="header" w:uiPriority="99"/>
    <w:lsdException w:name="footer" w:uiPriority="99"/>
    <w:lsdException w:name="annotation reference" w:uiPriority="99"/>
    <w:lsdException w:name="page number" w:uiPriority="99"/>
    <w:lsdException w:name="Title" w:uiPriority="10" w:qFormat="1"/>
    <w:lsdException w:name="Default Paragraph Font" w:uiPriority="1"/>
    <w:lsdException w:name="Body Text" w:uiPriority="99"/>
    <w:lsdException w:name="Subtitle" w:uiPriority="11" w:qFormat="1"/>
    <w:lsdException w:name="Normal (Web)" w:uiPriority="99"/>
    <w:lsdException w:name="annotation subject" w:uiPriority="99"/>
    <w:lsdException w:name="Balloon Text" w:uiPriority="99"/>
    <w:lsdException w:name="Table Grid" w:uiPriority="5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1E72"/>
    <w:rPr>
      <w:rFonts w:eastAsia="MS Mincho"/>
    </w:rPr>
  </w:style>
  <w:style w:type="paragraph" w:styleId="Heading1">
    <w:name w:val="heading 1"/>
    <w:basedOn w:val="Normal"/>
    <w:next w:val="Normal"/>
    <w:link w:val="Heading1Char"/>
    <w:uiPriority w:val="9"/>
    <w:qFormat/>
    <w:rsid w:val="001D4E3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semiHidden/>
    <w:unhideWhenUsed/>
    <w:rsid w:val="00601E72"/>
    <w:rPr>
      <w:rFonts w:ascii="Lucida Grande" w:hAnsi="Lucida Grande" w:cs="Lucida Grande"/>
      <w:sz w:val="18"/>
      <w:szCs w:val="18"/>
    </w:rPr>
  </w:style>
  <w:style w:type="character" w:customStyle="1" w:styleId="BalloonTextChar">
    <w:name w:val="Balloon Text Char"/>
    <w:basedOn w:val="DefaultParagraphFont"/>
    <w:uiPriority w:val="99"/>
    <w:semiHidden/>
    <w:rsid w:val="00CB1DEA"/>
    <w:rPr>
      <w:rFonts w:ascii="Lucida Grande" w:hAnsi="Lucida Grande" w:cs="Lucida Grande"/>
      <w:sz w:val="18"/>
      <w:szCs w:val="18"/>
    </w:rPr>
  </w:style>
  <w:style w:type="character" w:customStyle="1" w:styleId="Heading1Char">
    <w:name w:val="Heading 1 Char"/>
    <w:basedOn w:val="DefaultParagraphFont"/>
    <w:link w:val="Heading1"/>
    <w:uiPriority w:val="9"/>
    <w:rsid w:val="001D4E3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234579"/>
    <w:rPr>
      <w:rFonts w:ascii="Garamond" w:eastAsia="Times New Roman" w:hAnsi="Garamond"/>
      <w:b/>
      <w:bCs/>
      <w:color w:val="4F81BD"/>
      <w:sz w:val="26"/>
      <w:szCs w:val="26"/>
      <w:lang w:eastAsia="en-US"/>
    </w:rPr>
  </w:style>
  <w:style w:type="character" w:customStyle="1" w:styleId="BalloonTextChar2">
    <w:name w:val="Balloon Text Char2"/>
    <w:basedOn w:val="DefaultParagraphFont"/>
    <w:link w:val="BalloonText"/>
    <w:uiPriority w:val="99"/>
    <w:semiHidden/>
    <w:rsid w:val="00601E72"/>
    <w:rPr>
      <w:rFonts w:ascii="Lucida Grande" w:eastAsia="MS Mincho" w:hAnsi="Lucida Grande" w:cs="Lucida Grande"/>
      <w:sz w:val="18"/>
      <w:szCs w:val="18"/>
    </w:rPr>
  </w:style>
  <w:style w:type="character" w:customStyle="1" w:styleId="BalloonTextChar0">
    <w:name w:val="Balloon Text Char"/>
    <w:basedOn w:val="DefaultParagraphFont"/>
    <w:uiPriority w:val="99"/>
    <w:semiHidden/>
    <w:rsid w:val="00EF13A4"/>
    <w:rPr>
      <w:rFonts w:ascii="Lucida Grande" w:hAnsi="Lucida Grande" w:cs="Lucida Grande"/>
      <w:sz w:val="18"/>
      <w:szCs w:val="18"/>
    </w:rPr>
  </w:style>
  <w:style w:type="character" w:customStyle="1" w:styleId="BalloonTextChar1">
    <w:name w:val="Balloon Text Char"/>
    <w:basedOn w:val="DefaultParagraphFont"/>
    <w:uiPriority w:val="99"/>
    <w:semiHidden/>
    <w:rsid w:val="001337BF"/>
    <w:rPr>
      <w:rFonts w:ascii="Lucida Grande" w:hAnsi="Lucida Grande" w:cs="Lucida Grande"/>
      <w:sz w:val="18"/>
      <w:szCs w:val="18"/>
    </w:rPr>
  </w:style>
  <w:style w:type="character" w:customStyle="1" w:styleId="BalloonTextChar3">
    <w:name w:val="Balloon Text Char"/>
    <w:basedOn w:val="DefaultParagraphFont"/>
    <w:uiPriority w:val="99"/>
    <w:semiHidden/>
    <w:rsid w:val="001337BF"/>
    <w:rPr>
      <w:rFonts w:ascii="Lucida Grande" w:hAnsi="Lucida Grande" w:cs="Lucida Grande"/>
      <w:sz w:val="18"/>
      <w:szCs w:val="18"/>
    </w:rPr>
  </w:style>
  <w:style w:type="paragraph" w:customStyle="1" w:styleId="IRPsanstext">
    <w:name w:val="IRPsanstext"/>
    <w:basedOn w:val="Normal"/>
    <w:link w:val="IRPsanstextChar1"/>
    <w:rsid w:val="005B05E2"/>
    <w:pPr>
      <w:spacing w:line="320" w:lineRule="exact"/>
    </w:pPr>
    <w:rPr>
      <w:rFonts w:ascii="Arial" w:hAnsi="Arial"/>
      <w:sz w:val="20"/>
      <w:szCs w:val="20"/>
    </w:rPr>
  </w:style>
  <w:style w:type="character" w:customStyle="1" w:styleId="IRPsanstextChar1">
    <w:name w:val="IRPsanstext Char1"/>
    <w:link w:val="IRPsanstext"/>
    <w:locked/>
    <w:rsid w:val="005B05E2"/>
    <w:rPr>
      <w:rFonts w:ascii="Arial" w:eastAsia="MS Mincho" w:hAnsi="Arial"/>
      <w:sz w:val="20"/>
      <w:szCs w:val="20"/>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uiPriority w:val="99"/>
    <w:rsid w:val="00601E72"/>
    <w:rPr>
      <w:b/>
      <w:color w:val="006C71"/>
    </w:rPr>
  </w:style>
  <w:style w:type="paragraph" w:customStyle="1" w:styleId="IRPseriftextbig">
    <w:name w:val="IRPseriftextbig"/>
    <w:basedOn w:val="Normal"/>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iPriority w:val="99"/>
    <w:unhideWhenUsed/>
    <w:rsid w:val="00601E72"/>
    <w:pPr>
      <w:tabs>
        <w:tab w:val="center" w:pos="4320"/>
        <w:tab w:val="right" w:pos="8640"/>
      </w:tabs>
    </w:pPr>
  </w:style>
  <w:style w:type="character" w:customStyle="1" w:styleId="HeaderChar">
    <w:name w:val="Header Char"/>
    <w:basedOn w:val="DefaultParagraphFont"/>
    <w:link w:val="Header"/>
    <w:uiPriority w:val="99"/>
    <w:rsid w:val="00601E72"/>
    <w:rPr>
      <w:rFonts w:eastAsia="MS Mincho"/>
    </w:rPr>
  </w:style>
  <w:style w:type="paragraph" w:styleId="Footer">
    <w:name w:val="footer"/>
    <w:basedOn w:val="Normal"/>
    <w:link w:val="FooterChar"/>
    <w:uiPriority w:val="99"/>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paragraph" w:customStyle="1" w:styleId="irpsubsanstext16">
    <w:name w:val="irpsub_sanstext16"/>
    <w:basedOn w:val="Normal"/>
    <w:next w:val="Normal"/>
    <w:autoRedefine/>
    <w:rsid w:val="00BC31F5"/>
    <w:pPr>
      <w:spacing w:after="120"/>
    </w:pPr>
    <w:rPr>
      <w:rFonts w:ascii="Arial" w:eastAsia="Times New Roman" w:hAnsi="Arial" w:cs="Arial"/>
      <w:bCs/>
      <w:iCs/>
      <w:color w:val="FFFFFF" w:themeColor="background1"/>
      <w:sz w:val="28"/>
      <w:szCs w:val="28"/>
      <w:lang w:eastAsia="en-US"/>
    </w:rPr>
  </w:style>
  <w:style w:type="paragraph" w:customStyle="1" w:styleId="IRPFigureSub">
    <w:name w:val="IRPFigureSub"/>
    <w:basedOn w:val="IRPsanstext"/>
    <w:link w:val="IRPFigureSubChar"/>
    <w:uiPriority w:val="99"/>
    <w:qFormat/>
    <w:rsid w:val="00B12366"/>
    <w:pPr>
      <w:jc w:val="center"/>
    </w:pPr>
    <w:rPr>
      <w:i/>
      <w:szCs w:val="22"/>
    </w:rPr>
  </w:style>
  <w:style w:type="character" w:customStyle="1" w:styleId="IRPFigureSubChar">
    <w:name w:val="IRPFigureSub Char"/>
    <w:link w:val="IRPFigureSub"/>
    <w:uiPriority w:val="99"/>
    <w:rsid w:val="00B12366"/>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uiPriority w:val="99"/>
    <w:rsid w:val="00B12366"/>
    <w:rPr>
      <w:rFonts w:ascii="Palatino" w:hAnsi="Palatino"/>
      <w:i/>
    </w:rPr>
  </w:style>
  <w:style w:type="paragraph" w:customStyle="1" w:styleId="IRPtitle">
    <w:name w:val="IRPtitle"/>
    <w:basedOn w:val="Normal"/>
    <w:rsid w:val="00B12366"/>
    <w:pPr>
      <w:ind w:left="576" w:hanging="576"/>
    </w:pPr>
    <w:rPr>
      <w:rFonts w:ascii="Palatino" w:hAnsi="Palatino"/>
      <w:sz w:val="40"/>
    </w:rPr>
  </w:style>
  <w:style w:type="character" w:styleId="FootnoteReference">
    <w:name w:val="footnote reference"/>
    <w:basedOn w:val="DefaultParagraphFont"/>
    <w:rsid w:val="00B12366"/>
    <w:rPr>
      <w:rFonts w:cs="Times New Roman"/>
      <w:vertAlign w:val="superscript"/>
    </w:rPr>
  </w:style>
  <w:style w:type="character" w:styleId="PageNumber">
    <w:name w:val="page number"/>
    <w:basedOn w:val="DefaultParagraphFont"/>
    <w:uiPriority w:val="99"/>
    <w:rsid w:val="0020632A"/>
    <w:rPr>
      <w:rFonts w:cs="Times New Roman"/>
    </w:rPr>
  </w:style>
  <w:style w:type="paragraph" w:styleId="FootnoteText">
    <w:name w:val="footnote text"/>
    <w:basedOn w:val="Normal"/>
    <w:link w:val="FootnoteTextChar"/>
    <w:uiPriority w:val="99"/>
    <w:rsid w:val="00C12FBA"/>
    <w:rPr>
      <w:rFonts w:ascii="Garamond" w:eastAsia="Garamond" w:hAnsi="Garamond"/>
      <w:lang w:eastAsia="en-US"/>
    </w:rPr>
  </w:style>
  <w:style w:type="character" w:customStyle="1" w:styleId="FootnoteTextChar">
    <w:name w:val="Footnote Text Char"/>
    <w:basedOn w:val="DefaultParagraphFont"/>
    <w:link w:val="FootnoteText"/>
    <w:uiPriority w:val="99"/>
    <w:rsid w:val="00C12FBA"/>
    <w:rPr>
      <w:rFonts w:ascii="Garamond" w:eastAsia="Garamond" w:hAnsi="Garamond"/>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customStyle="1" w:styleId="Highhead">
    <w:name w:val="Highhead"/>
    <w:basedOn w:val="IRPtitle"/>
    <w:rsid w:val="005B05E2"/>
    <w:rPr>
      <w:i/>
      <w:color w:val="008000"/>
      <w:sz w:val="32"/>
      <w:szCs w:val="40"/>
    </w:rPr>
  </w:style>
  <w:style w:type="paragraph" w:customStyle="1" w:styleId="IRPseriftext">
    <w:name w:val="IRPseriftext"/>
    <w:basedOn w:val="Normal"/>
    <w:rsid w:val="00307C88"/>
    <w:pPr>
      <w:spacing w:line="320" w:lineRule="exact"/>
      <w:ind w:left="720"/>
    </w:pPr>
    <w:rPr>
      <w:rFonts w:ascii="Palatino" w:hAnsi="Palatino"/>
      <w:i/>
    </w:rPr>
  </w:style>
  <w:style w:type="character" w:styleId="CommentReference">
    <w:name w:val="annotation reference"/>
    <w:uiPriority w:val="99"/>
    <w:rsid w:val="00307C88"/>
    <w:rPr>
      <w:sz w:val="16"/>
      <w:szCs w:val="16"/>
    </w:rPr>
  </w:style>
  <w:style w:type="paragraph" w:styleId="CommentText">
    <w:name w:val="annotation text"/>
    <w:basedOn w:val="Normal"/>
    <w:link w:val="CommentTextChar"/>
    <w:uiPriority w:val="99"/>
    <w:rsid w:val="00307C88"/>
  </w:style>
  <w:style w:type="character" w:customStyle="1" w:styleId="CommentTextChar">
    <w:name w:val="Comment Text Char"/>
    <w:basedOn w:val="DefaultParagraphFont"/>
    <w:link w:val="CommentText"/>
    <w:uiPriority w:val="99"/>
    <w:rsid w:val="00307C88"/>
    <w:rPr>
      <w:rFonts w:eastAsia="MS Mincho"/>
    </w:rPr>
  </w:style>
  <w:style w:type="paragraph" w:customStyle="1" w:styleId="IRPfiguresub0">
    <w:name w:val="IRPfiguresub"/>
    <w:basedOn w:val="BodyText"/>
    <w:rsid w:val="004D0808"/>
    <w:pPr>
      <w:spacing w:beforeAutospacing="1" w:after="0" w:afterAutospacing="1"/>
    </w:pPr>
    <w:rPr>
      <w:rFonts w:ascii="Arial" w:eastAsia="Times New Roman" w:hAnsi="Arial"/>
      <w:b/>
      <w:sz w:val="20"/>
    </w:rPr>
  </w:style>
  <w:style w:type="paragraph" w:styleId="BodyText">
    <w:name w:val="Body Text"/>
    <w:basedOn w:val="Normal"/>
    <w:link w:val="BodyTextChar"/>
    <w:uiPriority w:val="99"/>
    <w:semiHidden/>
    <w:unhideWhenUsed/>
    <w:rsid w:val="004D0808"/>
    <w:pPr>
      <w:spacing w:after="120"/>
    </w:pPr>
  </w:style>
  <w:style w:type="character" w:customStyle="1" w:styleId="BodyTextChar">
    <w:name w:val="Body Text Char"/>
    <w:basedOn w:val="DefaultParagraphFont"/>
    <w:link w:val="BodyText"/>
    <w:uiPriority w:val="99"/>
    <w:semiHidden/>
    <w:rsid w:val="004D0808"/>
    <w:rPr>
      <w:rFonts w:eastAsia="MS Mincho"/>
    </w:rPr>
  </w:style>
  <w:style w:type="paragraph" w:styleId="ListParagraph">
    <w:name w:val="List Paragraph"/>
    <w:basedOn w:val="Normal"/>
    <w:uiPriority w:val="34"/>
    <w:qFormat/>
    <w:rsid w:val="00E651D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BalloonTextChar10">
    <w:name w:val="Balloon Text Char1"/>
    <w:basedOn w:val="DefaultParagraphFont"/>
    <w:uiPriority w:val="99"/>
    <w:semiHidden/>
    <w:rsid w:val="00E651D4"/>
    <w:rPr>
      <w:rFonts w:ascii="Tahoma" w:hAnsi="Tahoma" w:cs="Tahoma"/>
      <w:sz w:val="16"/>
      <w:szCs w:val="16"/>
    </w:rPr>
  </w:style>
  <w:style w:type="character" w:customStyle="1" w:styleId="IRPsanstextChar">
    <w:name w:val="IRPsanstext Char"/>
    <w:rsid w:val="00B956D8"/>
    <w:rPr>
      <w:sz w:val="20"/>
    </w:rPr>
  </w:style>
  <w:style w:type="paragraph" w:styleId="Title">
    <w:name w:val="Title"/>
    <w:basedOn w:val="Normal"/>
    <w:next w:val="Normal"/>
    <w:link w:val="TitleChar"/>
    <w:uiPriority w:val="10"/>
    <w:qFormat/>
    <w:rsid w:val="00AD0F3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AD0F38"/>
    <w:rPr>
      <w:rFonts w:asciiTheme="majorHAnsi" w:eastAsiaTheme="majorEastAsia" w:hAnsiTheme="majorHAnsi" w:cstheme="majorBidi"/>
      <w:color w:val="17365D" w:themeColor="text2" w:themeShade="BF"/>
      <w:spacing w:val="5"/>
      <w:kern w:val="28"/>
      <w:sz w:val="52"/>
      <w:szCs w:val="52"/>
      <w:lang w:eastAsia="en-US"/>
    </w:rPr>
  </w:style>
  <w:style w:type="character" w:styleId="Hyperlink">
    <w:name w:val="Hyperlink"/>
    <w:rsid w:val="00AD0F38"/>
    <w:rPr>
      <w:color w:val="31849B"/>
      <w:u w:val="single"/>
    </w:rPr>
  </w:style>
  <w:style w:type="paragraph" w:customStyle="1" w:styleId="irpsub10">
    <w:name w:val="irpsub1"/>
    <w:basedOn w:val="Normal"/>
    <w:rsid w:val="00AD0F38"/>
    <w:pPr>
      <w:spacing w:before="100" w:beforeAutospacing="1" w:after="100" w:afterAutospacing="1"/>
    </w:pPr>
    <w:rPr>
      <w:rFonts w:ascii="Helvetica" w:eastAsia="Times New Roman" w:hAnsi="Helvetica" w:cs="Arial"/>
      <w:b/>
      <w:bCs/>
      <w:iCs/>
      <w:color w:val="007163"/>
      <w:sz w:val="28"/>
      <w:lang w:eastAsia="en-US"/>
    </w:rPr>
  </w:style>
  <w:style w:type="paragraph" w:styleId="NormalWeb">
    <w:name w:val="Normal (Web)"/>
    <w:basedOn w:val="Normal"/>
    <w:uiPriority w:val="99"/>
    <w:unhideWhenUsed/>
    <w:rsid w:val="00AD0F38"/>
    <w:pPr>
      <w:spacing w:before="100" w:beforeAutospacing="1" w:after="100" w:afterAutospacing="1"/>
    </w:pPr>
    <w:rPr>
      <w:rFonts w:eastAsiaTheme="minorEastAsia"/>
      <w:lang w:eastAsia="en-US"/>
    </w:rPr>
  </w:style>
  <w:style w:type="character" w:customStyle="1" w:styleId="CommentSubjectChar">
    <w:name w:val="Comment Subject Char"/>
    <w:basedOn w:val="CommentTextChar"/>
    <w:link w:val="CommentSubject"/>
    <w:uiPriority w:val="99"/>
    <w:semiHidden/>
    <w:rsid w:val="00AD0F38"/>
    <w:rPr>
      <w:rFonts w:asciiTheme="minorHAnsi" w:eastAsiaTheme="minorHAnsi" w:hAnsiTheme="minorHAnsi" w:cstheme="minorBidi"/>
      <w:b/>
      <w:bCs/>
      <w:sz w:val="20"/>
      <w:szCs w:val="20"/>
      <w:lang w:eastAsia="en-US"/>
    </w:rPr>
  </w:style>
  <w:style w:type="paragraph" w:styleId="CommentSubject">
    <w:name w:val="annotation subject"/>
    <w:basedOn w:val="CommentText"/>
    <w:next w:val="CommentText"/>
    <w:link w:val="CommentSubjectChar"/>
    <w:uiPriority w:val="99"/>
    <w:semiHidden/>
    <w:unhideWhenUsed/>
    <w:rsid w:val="00AD0F38"/>
    <w:pPr>
      <w:spacing w:after="200"/>
    </w:pPr>
    <w:rPr>
      <w:rFonts w:asciiTheme="minorHAnsi" w:eastAsiaTheme="minorHAnsi" w:hAnsiTheme="minorHAnsi" w:cstheme="minorBidi"/>
      <w:b/>
      <w:bCs/>
      <w:sz w:val="20"/>
      <w:szCs w:val="20"/>
      <w:lang w:eastAsia="en-US"/>
    </w:rPr>
  </w:style>
  <w:style w:type="table" w:styleId="TableGrid">
    <w:name w:val="Table Grid"/>
    <w:basedOn w:val="TableNormal"/>
    <w:uiPriority w:val="59"/>
    <w:rsid w:val="00AD0F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AD0F3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footnote text" w:uiPriority="99"/>
    <w:lsdException w:name="annotation text" w:uiPriority="99"/>
    <w:lsdException w:name="header" w:uiPriority="99"/>
    <w:lsdException w:name="footer" w:uiPriority="99"/>
    <w:lsdException w:name="annotation reference" w:uiPriority="99"/>
    <w:lsdException w:name="page number" w:uiPriority="99"/>
    <w:lsdException w:name="Title" w:uiPriority="10" w:qFormat="1"/>
    <w:lsdException w:name="Default Paragraph Font" w:uiPriority="1"/>
    <w:lsdException w:name="Body Text" w:uiPriority="99"/>
    <w:lsdException w:name="Subtitle" w:uiPriority="11" w:qFormat="1"/>
    <w:lsdException w:name="Normal (Web)" w:uiPriority="99"/>
    <w:lsdException w:name="annotation subject" w:uiPriority="99"/>
    <w:lsdException w:name="Balloon Text" w:uiPriority="99"/>
    <w:lsdException w:name="Table Grid" w:uiPriority="5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1E72"/>
    <w:rPr>
      <w:rFonts w:eastAsia="MS Mincho"/>
    </w:rPr>
  </w:style>
  <w:style w:type="paragraph" w:styleId="Heading1">
    <w:name w:val="heading 1"/>
    <w:basedOn w:val="Normal"/>
    <w:next w:val="Normal"/>
    <w:link w:val="Heading1Char"/>
    <w:uiPriority w:val="9"/>
    <w:qFormat/>
    <w:rsid w:val="001D4E3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semiHidden/>
    <w:unhideWhenUsed/>
    <w:rsid w:val="00601E72"/>
    <w:rPr>
      <w:rFonts w:ascii="Lucida Grande" w:hAnsi="Lucida Grande" w:cs="Lucida Grande"/>
      <w:sz w:val="18"/>
      <w:szCs w:val="18"/>
    </w:rPr>
  </w:style>
  <w:style w:type="character" w:customStyle="1" w:styleId="BalloonTextChar">
    <w:name w:val="Balloon Text Char"/>
    <w:basedOn w:val="DefaultParagraphFont"/>
    <w:uiPriority w:val="99"/>
    <w:semiHidden/>
    <w:rsid w:val="00CB1DEA"/>
    <w:rPr>
      <w:rFonts w:ascii="Lucida Grande" w:hAnsi="Lucida Grande" w:cs="Lucida Grande"/>
      <w:sz w:val="18"/>
      <w:szCs w:val="18"/>
    </w:rPr>
  </w:style>
  <w:style w:type="character" w:customStyle="1" w:styleId="Heading1Char">
    <w:name w:val="Heading 1 Char"/>
    <w:basedOn w:val="DefaultParagraphFont"/>
    <w:link w:val="Heading1"/>
    <w:uiPriority w:val="9"/>
    <w:rsid w:val="001D4E3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234579"/>
    <w:rPr>
      <w:rFonts w:ascii="Garamond" w:eastAsia="Times New Roman" w:hAnsi="Garamond"/>
      <w:b/>
      <w:bCs/>
      <w:color w:val="4F81BD"/>
      <w:sz w:val="26"/>
      <w:szCs w:val="26"/>
      <w:lang w:eastAsia="en-US"/>
    </w:rPr>
  </w:style>
  <w:style w:type="character" w:customStyle="1" w:styleId="BalloonTextChar2">
    <w:name w:val="Balloon Text Char2"/>
    <w:basedOn w:val="DefaultParagraphFont"/>
    <w:link w:val="BalloonText"/>
    <w:uiPriority w:val="99"/>
    <w:semiHidden/>
    <w:rsid w:val="00601E72"/>
    <w:rPr>
      <w:rFonts w:ascii="Lucida Grande" w:eastAsia="MS Mincho" w:hAnsi="Lucida Grande" w:cs="Lucida Grande"/>
      <w:sz w:val="18"/>
      <w:szCs w:val="18"/>
    </w:rPr>
  </w:style>
  <w:style w:type="character" w:customStyle="1" w:styleId="BalloonTextChar0">
    <w:name w:val="Balloon Text Char"/>
    <w:basedOn w:val="DefaultParagraphFont"/>
    <w:uiPriority w:val="99"/>
    <w:semiHidden/>
    <w:rsid w:val="00EF13A4"/>
    <w:rPr>
      <w:rFonts w:ascii="Lucida Grande" w:hAnsi="Lucida Grande" w:cs="Lucida Grande"/>
      <w:sz w:val="18"/>
      <w:szCs w:val="18"/>
    </w:rPr>
  </w:style>
  <w:style w:type="character" w:customStyle="1" w:styleId="BalloonTextChar1">
    <w:name w:val="Balloon Text Char"/>
    <w:basedOn w:val="DefaultParagraphFont"/>
    <w:uiPriority w:val="99"/>
    <w:semiHidden/>
    <w:rsid w:val="001337BF"/>
    <w:rPr>
      <w:rFonts w:ascii="Lucida Grande" w:hAnsi="Lucida Grande" w:cs="Lucida Grande"/>
      <w:sz w:val="18"/>
      <w:szCs w:val="18"/>
    </w:rPr>
  </w:style>
  <w:style w:type="character" w:customStyle="1" w:styleId="BalloonTextChar3">
    <w:name w:val="Balloon Text Char"/>
    <w:basedOn w:val="DefaultParagraphFont"/>
    <w:uiPriority w:val="99"/>
    <w:semiHidden/>
    <w:rsid w:val="001337BF"/>
    <w:rPr>
      <w:rFonts w:ascii="Lucida Grande" w:hAnsi="Lucida Grande" w:cs="Lucida Grande"/>
      <w:sz w:val="18"/>
      <w:szCs w:val="18"/>
    </w:rPr>
  </w:style>
  <w:style w:type="paragraph" w:customStyle="1" w:styleId="IRPsanstext">
    <w:name w:val="IRPsanstext"/>
    <w:basedOn w:val="Normal"/>
    <w:link w:val="IRPsanstextChar1"/>
    <w:rsid w:val="005B05E2"/>
    <w:pPr>
      <w:spacing w:line="320" w:lineRule="exact"/>
    </w:pPr>
    <w:rPr>
      <w:rFonts w:ascii="Arial" w:hAnsi="Arial"/>
      <w:sz w:val="20"/>
      <w:szCs w:val="20"/>
    </w:rPr>
  </w:style>
  <w:style w:type="character" w:customStyle="1" w:styleId="IRPsanstextChar1">
    <w:name w:val="IRPsanstext Char1"/>
    <w:link w:val="IRPsanstext"/>
    <w:locked/>
    <w:rsid w:val="005B05E2"/>
    <w:rPr>
      <w:rFonts w:ascii="Arial" w:eastAsia="MS Mincho" w:hAnsi="Arial"/>
      <w:sz w:val="20"/>
      <w:szCs w:val="20"/>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uiPriority w:val="99"/>
    <w:rsid w:val="00601E72"/>
    <w:rPr>
      <w:b/>
      <w:color w:val="006C71"/>
    </w:rPr>
  </w:style>
  <w:style w:type="paragraph" w:customStyle="1" w:styleId="IRPseriftextbig">
    <w:name w:val="IRPseriftextbig"/>
    <w:basedOn w:val="Normal"/>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iPriority w:val="99"/>
    <w:unhideWhenUsed/>
    <w:rsid w:val="00601E72"/>
    <w:pPr>
      <w:tabs>
        <w:tab w:val="center" w:pos="4320"/>
        <w:tab w:val="right" w:pos="8640"/>
      </w:tabs>
    </w:pPr>
  </w:style>
  <w:style w:type="character" w:customStyle="1" w:styleId="HeaderChar">
    <w:name w:val="Header Char"/>
    <w:basedOn w:val="DefaultParagraphFont"/>
    <w:link w:val="Header"/>
    <w:uiPriority w:val="99"/>
    <w:rsid w:val="00601E72"/>
    <w:rPr>
      <w:rFonts w:eastAsia="MS Mincho"/>
    </w:rPr>
  </w:style>
  <w:style w:type="paragraph" w:styleId="Footer">
    <w:name w:val="footer"/>
    <w:basedOn w:val="Normal"/>
    <w:link w:val="FooterChar"/>
    <w:uiPriority w:val="99"/>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paragraph" w:customStyle="1" w:styleId="irpsubsanstext16">
    <w:name w:val="irpsub_sanstext16"/>
    <w:basedOn w:val="Normal"/>
    <w:next w:val="Normal"/>
    <w:autoRedefine/>
    <w:rsid w:val="00BC31F5"/>
    <w:pPr>
      <w:spacing w:after="120"/>
    </w:pPr>
    <w:rPr>
      <w:rFonts w:ascii="Arial" w:eastAsia="Times New Roman" w:hAnsi="Arial" w:cs="Arial"/>
      <w:bCs/>
      <w:iCs/>
      <w:color w:val="FFFFFF" w:themeColor="background1"/>
      <w:sz w:val="28"/>
      <w:szCs w:val="28"/>
      <w:lang w:eastAsia="en-US"/>
    </w:rPr>
  </w:style>
  <w:style w:type="paragraph" w:customStyle="1" w:styleId="IRPFigureSub">
    <w:name w:val="IRPFigureSub"/>
    <w:basedOn w:val="IRPsanstext"/>
    <w:link w:val="IRPFigureSubChar"/>
    <w:uiPriority w:val="99"/>
    <w:qFormat/>
    <w:rsid w:val="00B12366"/>
    <w:pPr>
      <w:jc w:val="center"/>
    </w:pPr>
    <w:rPr>
      <w:i/>
      <w:szCs w:val="22"/>
    </w:rPr>
  </w:style>
  <w:style w:type="character" w:customStyle="1" w:styleId="IRPFigureSubChar">
    <w:name w:val="IRPFigureSub Char"/>
    <w:link w:val="IRPFigureSub"/>
    <w:uiPriority w:val="99"/>
    <w:rsid w:val="00B12366"/>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uiPriority w:val="99"/>
    <w:rsid w:val="00B12366"/>
    <w:rPr>
      <w:rFonts w:ascii="Palatino" w:hAnsi="Palatino"/>
      <w:i/>
    </w:rPr>
  </w:style>
  <w:style w:type="paragraph" w:customStyle="1" w:styleId="IRPtitle">
    <w:name w:val="IRPtitle"/>
    <w:basedOn w:val="Normal"/>
    <w:rsid w:val="00B12366"/>
    <w:pPr>
      <w:ind w:left="576" w:hanging="576"/>
    </w:pPr>
    <w:rPr>
      <w:rFonts w:ascii="Palatino" w:hAnsi="Palatino"/>
      <w:sz w:val="40"/>
    </w:rPr>
  </w:style>
  <w:style w:type="character" w:styleId="FootnoteReference">
    <w:name w:val="footnote reference"/>
    <w:basedOn w:val="DefaultParagraphFont"/>
    <w:rsid w:val="00B12366"/>
    <w:rPr>
      <w:rFonts w:cs="Times New Roman"/>
      <w:vertAlign w:val="superscript"/>
    </w:rPr>
  </w:style>
  <w:style w:type="character" w:styleId="PageNumber">
    <w:name w:val="page number"/>
    <w:basedOn w:val="DefaultParagraphFont"/>
    <w:uiPriority w:val="99"/>
    <w:rsid w:val="0020632A"/>
    <w:rPr>
      <w:rFonts w:cs="Times New Roman"/>
    </w:rPr>
  </w:style>
  <w:style w:type="paragraph" w:styleId="FootnoteText">
    <w:name w:val="footnote text"/>
    <w:basedOn w:val="Normal"/>
    <w:link w:val="FootnoteTextChar"/>
    <w:uiPriority w:val="99"/>
    <w:rsid w:val="00C12FBA"/>
    <w:rPr>
      <w:rFonts w:ascii="Garamond" w:eastAsia="Garamond" w:hAnsi="Garamond"/>
      <w:lang w:eastAsia="en-US"/>
    </w:rPr>
  </w:style>
  <w:style w:type="character" w:customStyle="1" w:styleId="FootnoteTextChar">
    <w:name w:val="Footnote Text Char"/>
    <w:basedOn w:val="DefaultParagraphFont"/>
    <w:link w:val="FootnoteText"/>
    <w:uiPriority w:val="99"/>
    <w:rsid w:val="00C12FBA"/>
    <w:rPr>
      <w:rFonts w:ascii="Garamond" w:eastAsia="Garamond" w:hAnsi="Garamond"/>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customStyle="1" w:styleId="Highhead">
    <w:name w:val="Highhead"/>
    <w:basedOn w:val="IRPtitle"/>
    <w:rsid w:val="005B05E2"/>
    <w:rPr>
      <w:i/>
      <w:color w:val="008000"/>
      <w:sz w:val="32"/>
      <w:szCs w:val="40"/>
    </w:rPr>
  </w:style>
  <w:style w:type="paragraph" w:customStyle="1" w:styleId="IRPseriftext">
    <w:name w:val="IRPseriftext"/>
    <w:basedOn w:val="Normal"/>
    <w:rsid w:val="00307C88"/>
    <w:pPr>
      <w:spacing w:line="320" w:lineRule="exact"/>
      <w:ind w:left="720"/>
    </w:pPr>
    <w:rPr>
      <w:rFonts w:ascii="Palatino" w:hAnsi="Palatino"/>
      <w:i/>
    </w:rPr>
  </w:style>
  <w:style w:type="character" w:styleId="CommentReference">
    <w:name w:val="annotation reference"/>
    <w:uiPriority w:val="99"/>
    <w:rsid w:val="00307C88"/>
    <w:rPr>
      <w:sz w:val="16"/>
      <w:szCs w:val="16"/>
    </w:rPr>
  </w:style>
  <w:style w:type="paragraph" w:styleId="CommentText">
    <w:name w:val="annotation text"/>
    <w:basedOn w:val="Normal"/>
    <w:link w:val="CommentTextChar"/>
    <w:uiPriority w:val="99"/>
    <w:rsid w:val="00307C88"/>
  </w:style>
  <w:style w:type="character" w:customStyle="1" w:styleId="CommentTextChar">
    <w:name w:val="Comment Text Char"/>
    <w:basedOn w:val="DefaultParagraphFont"/>
    <w:link w:val="CommentText"/>
    <w:uiPriority w:val="99"/>
    <w:rsid w:val="00307C88"/>
    <w:rPr>
      <w:rFonts w:eastAsia="MS Mincho"/>
    </w:rPr>
  </w:style>
  <w:style w:type="paragraph" w:customStyle="1" w:styleId="IRPfiguresub0">
    <w:name w:val="IRPfiguresub"/>
    <w:basedOn w:val="BodyText"/>
    <w:rsid w:val="004D0808"/>
    <w:pPr>
      <w:spacing w:beforeAutospacing="1" w:after="0" w:afterAutospacing="1"/>
    </w:pPr>
    <w:rPr>
      <w:rFonts w:ascii="Arial" w:eastAsia="Times New Roman" w:hAnsi="Arial"/>
      <w:b/>
      <w:sz w:val="20"/>
    </w:rPr>
  </w:style>
  <w:style w:type="paragraph" w:styleId="BodyText">
    <w:name w:val="Body Text"/>
    <w:basedOn w:val="Normal"/>
    <w:link w:val="BodyTextChar"/>
    <w:uiPriority w:val="99"/>
    <w:semiHidden/>
    <w:unhideWhenUsed/>
    <w:rsid w:val="004D0808"/>
    <w:pPr>
      <w:spacing w:after="120"/>
    </w:pPr>
  </w:style>
  <w:style w:type="character" w:customStyle="1" w:styleId="BodyTextChar">
    <w:name w:val="Body Text Char"/>
    <w:basedOn w:val="DefaultParagraphFont"/>
    <w:link w:val="BodyText"/>
    <w:uiPriority w:val="99"/>
    <w:semiHidden/>
    <w:rsid w:val="004D0808"/>
    <w:rPr>
      <w:rFonts w:eastAsia="MS Mincho"/>
    </w:rPr>
  </w:style>
  <w:style w:type="paragraph" w:styleId="ListParagraph">
    <w:name w:val="List Paragraph"/>
    <w:basedOn w:val="Normal"/>
    <w:uiPriority w:val="34"/>
    <w:qFormat/>
    <w:rsid w:val="00E651D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BalloonTextChar10">
    <w:name w:val="Balloon Text Char1"/>
    <w:basedOn w:val="DefaultParagraphFont"/>
    <w:uiPriority w:val="99"/>
    <w:semiHidden/>
    <w:rsid w:val="00E651D4"/>
    <w:rPr>
      <w:rFonts w:ascii="Tahoma" w:hAnsi="Tahoma" w:cs="Tahoma"/>
      <w:sz w:val="16"/>
      <w:szCs w:val="16"/>
    </w:rPr>
  </w:style>
  <w:style w:type="character" w:customStyle="1" w:styleId="IRPsanstextChar">
    <w:name w:val="IRPsanstext Char"/>
    <w:rsid w:val="00B956D8"/>
    <w:rPr>
      <w:sz w:val="20"/>
    </w:rPr>
  </w:style>
  <w:style w:type="paragraph" w:styleId="Title">
    <w:name w:val="Title"/>
    <w:basedOn w:val="Normal"/>
    <w:next w:val="Normal"/>
    <w:link w:val="TitleChar"/>
    <w:uiPriority w:val="10"/>
    <w:qFormat/>
    <w:rsid w:val="00AD0F3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AD0F38"/>
    <w:rPr>
      <w:rFonts w:asciiTheme="majorHAnsi" w:eastAsiaTheme="majorEastAsia" w:hAnsiTheme="majorHAnsi" w:cstheme="majorBidi"/>
      <w:color w:val="17365D" w:themeColor="text2" w:themeShade="BF"/>
      <w:spacing w:val="5"/>
      <w:kern w:val="28"/>
      <w:sz w:val="52"/>
      <w:szCs w:val="52"/>
      <w:lang w:eastAsia="en-US"/>
    </w:rPr>
  </w:style>
  <w:style w:type="character" w:styleId="Hyperlink">
    <w:name w:val="Hyperlink"/>
    <w:rsid w:val="00AD0F38"/>
    <w:rPr>
      <w:color w:val="31849B"/>
      <w:u w:val="single"/>
    </w:rPr>
  </w:style>
  <w:style w:type="paragraph" w:customStyle="1" w:styleId="irpsub10">
    <w:name w:val="irpsub1"/>
    <w:basedOn w:val="Normal"/>
    <w:rsid w:val="00AD0F38"/>
    <w:pPr>
      <w:spacing w:before="100" w:beforeAutospacing="1" w:after="100" w:afterAutospacing="1"/>
    </w:pPr>
    <w:rPr>
      <w:rFonts w:ascii="Helvetica" w:eastAsia="Times New Roman" w:hAnsi="Helvetica" w:cs="Arial"/>
      <w:b/>
      <w:bCs/>
      <w:iCs/>
      <w:color w:val="007163"/>
      <w:sz w:val="28"/>
      <w:lang w:eastAsia="en-US"/>
    </w:rPr>
  </w:style>
  <w:style w:type="paragraph" w:styleId="NormalWeb">
    <w:name w:val="Normal (Web)"/>
    <w:basedOn w:val="Normal"/>
    <w:uiPriority w:val="99"/>
    <w:unhideWhenUsed/>
    <w:rsid w:val="00AD0F38"/>
    <w:pPr>
      <w:spacing w:before="100" w:beforeAutospacing="1" w:after="100" w:afterAutospacing="1"/>
    </w:pPr>
    <w:rPr>
      <w:rFonts w:eastAsiaTheme="minorEastAsia"/>
      <w:lang w:eastAsia="en-US"/>
    </w:rPr>
  </w:style>
  <w:style w:type="character" w:customStyle="1" w:styleId="CommentSubjectChar">
    <w:name w:val="Comment Subject Char"/>
    <w:basedOn w:val="CommentTextChar"/>
    <w:link w:val="CommentSubject"/>
    <w:uiPriority w:val="99"/>
    <w:semiHidden/>
    <w:rsid w:val="00AD0F38"/>
    <w:rPr>
      <w:rFonts w:asciiTheme="minorHAnsi" w:eastAsiaTheme="minorHAnsi" w:hAnsiTheme="minorHAnsi" w:cstheme="minorBidi"/>
      <w:b/>
      <w:bCs/>
      <w:sz w:val="20"/>
      <w:szCs w:val="20"/>
      <w:lang w:eastAsia="en-US"/>
    </w:rPr>
  </w:style>
  <w:style w:type="paragraph" w:styleId="CommentSubject">
    <w:name w:val="annotation subject"/>
    <w:basedOn w:val="CommentText"/>
    <w:next w:val="CommentText"/>
    <w:link w:val="CommentSubjectChar"/>
    <w:uiPriority w:val="99"/>
    <w:semiHidden/>
    <w:unhideWhenUsed/>
    <w:rsid w:val="00AD0F38"/>
    <w:pPr>
      <w:spacing w:after="200"/>
    </w:pPr>
    <w:rPr>
      <w:rFonts w:asciiTheme="minorHAnsi" w:eastAsiaTheme="minorHAnsi" w:hAnsiTheme="minorHAnsi" w:cstheme="minorBidi"/>
      <w:b/>
      <w:bCs/>
      <w:sz w:val="20"/>
      <w:szCs w:val="20"/>
      <w:lang w:eastAsia="en-US"/>
    </w:rPr>
  </w:style>
  <w:style w:type="table" w:styleId="TableGrid">
    <w:name w:val="Table Grid"/>
    <w:basedOn w:val="TableNormal"/>
    <w:uiPriority w:val="59"/>
    <w:rsid w:val="00AD0F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AD0F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421023">
      <w:bodyDiv w:val="1"/>
      <w:marLeft w:val="0"/>
      <w:marRight w:val="0"/>
      <w:marTop w:val="0"/>
      <w:marBottom w:val="0"/>
      <w:divBdr>
        <w:top w:val="none" w:sz="0" w:space="0" w:color="auto"/>
        <w:left w:val="none" w:sz="0" w:space="0" w:color="auto"/>
        <w:bottom w:val="none" w:sz="0" w:space="0" w:color="auto"/>
        <w:right w:val="none" w:sz="0" w:space="0" w:color="auto"/>
      </w:divBdr>
    </w:div>
    <w:div w:id="495457969">
      <w:bodyDiv w:val="1"/>
      <w:marLeft w:val="0"/>
      <w:marRight w:val="0"/>
      <w:marTop w:val="0"/>
      <w:marBottom w:val="0"/>
      <w:divBdr>
        <w:top w:val="none" w:sz="0" w:space="0" w:color="auto"/>
        <w:left w:val="none" w:sz="0" w:space="0" w:color="auto"/>
        <w:bottom w:val="none" w:sz="0" w:space="0" w:color="auto"/>
        <w:right w:val="none" w:sz="0" w:space="0" w:color="auto"/>
      </w:divBdr>
    </w:div>
    <w:div w:id="558515190">
      <w:bodyDiv w:val="1"/>
      <w:marLeft w:val="0"/>
      <w:marRight w:val="0"/>
      <w:marTop w:val="0"/>
      <w:marBottom w:val="0"/>
      <w:divBdr>
        <w:top w:val="none" w:sz="0" w:space="0" w:color="auto"/>
        <w:left w:val="none" w:sz="0" w:space="0" w:color="auto"/>
        <w:bottom w:val="none" w:sz="0" w:space="0" w:color="auto"/>
        <w:right w:val="none" w:sz="0" w:space="0" w:color="auto"/>
      </w:divBdr>
    </w:div>
    <w:div w:id="617107701">
      <w:bodyDiv w:val="1"/>
      <w:marLeft w:val="0"/>
      <w:marRight w:val="0"/>
      <w:marTop w:val="0"/>
      <w:marBottom w:val="0"/>
      <w:divBdr>
        <w:top w:val="none" w:sz="0" w:space="0" w:color="auto"/>
        <w:left w:val="none" w:sz="0" w:space="0" w:color="auto"/>
        <w:bottom w:val="none" w:sz="0" w:space="0" w:color="auto"/>
        <w:right w:val="none" w:sz="0" w:space="0" w:color="auto"/>
      </w:divBdr>
    </w:div>
    <w:div w:id="666321297">
      <w:bodyDiv w:val="1"/>
      <w:marLeft w:val="0"/>
      <w:marRight w:val="0"/>
      <w:marTop w:val="0"/>
      <w:marBottom w:val="0"/>
      <w:divBdr>
        <w:top w:val="none" w:sz="0" w:space="0" w:color="auto"/>
        <w:left w:val="none" w:sz="0" w:space="0" w:color="auto"/>
        <w:bottom w:val="none" w:sz="0" w:space="0" w:color="auto"/>
        <w:right w:val="none" w:sz="0" w:space="0" w:color="auto"/>
      </w:divBdr>
    </w:div>
    <w:div w:id="1167482966">
      <w:bodyDiv w:val="1"/>
      <w:marLeft w:val="0"/>
      <w:marRight w:val="0"/>
      <w:marTop w:val="0"/>
      <w:marBottom w:val="0"/>
      <w:divBdr>
        <w:top w:val="none" w:sz="0" w:space="0" w:color="auto"/>
        <w:left w:val="none" w:sz="0" w:space="0" w:color="auto"/>
        <w:bottom w:val="none" w:sz="0" w:space="0" w:color="auto"/>
        <w:right w:val="none" w:sz="0" w:space="0" w:color="auto"/>
      </w:divBdr>
    </w:div>
    <w:div w:id="1339624206">
      <w:bodyDiv w:val="1"/>
      <w:marLeft w:val="0"/>
      <w:marRight w:val="0"/>
      <w:marTop w:val="0"/>
      <w:marBottom w:val="0"/>
      <w:divBdr>
        <w:top w:val="none" w:sz="0" w:space="0" w:color="auto"/>
        <w:left w:val="none" w:sz="0" w:space="0" w:color="auto"/>
        <w:bottom w:val="none" w:sz="0" w:space="0" w:color="auto"/>
        <w:right w:val="none" w:sz="0" w:space="0" w:color="auto"/>
      </w:divBdr>
    </w:div>
    <w:div w:id="1555510135">
      <w:bodyDiv w:val="1"/>
      <w:marLeft w:val="0"/>
      <w:marRight w:val="0"/>
      <w:marTop w:val="0"/>
      <w:marBottom w:val="0"/>
      <w:divBdr>
        <w:top w:val="none" w:sz="0" w:space="0" w:color="auto"/>
        <w:left w:val="none" w:sz="0" w:space="0" w:color="auto"/>
        <w:bottom w:val="none" w:sz="0" w:space="0" w:color="auto"/>
        <w:right w:val="none" w:sz="0" w:space="0" w:color="auto"/>
      </w:divBdr>
    </w:div>
    <w:div w:id="16133160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63" Type="http://schemas.openxmlformats.org/officeDocument/2006/relationships/image" Target="media/image20.png"/><Relationship Id="rId68" Type="http://schemas.openxmlformats.org/officeDocument/2006/relationships/image" Target="media/image24.emf"/><Relationship Id="rId42" Type="http://schemas.openxmlformats.org/officeDocument/2006/relationships/diagramColors" Target="diagrams/colors7.xml"/><Relationship Id="rId47" Type="http://schemas.openxmlformats.org/officeDocument/2006/relationships/image" Target="media/image4.emf"/><Relationship Id="rId84" Type="http://schemas.openxmlformats.org/officeDocument/2006/relationships/fontTable" Target="fontTable.xml"/><Relationship Id="rId21" Type="http://schemas.openxmlformats.org/officeDocument/2006/relationships/diagramQuickStyle" Target="diagrams/quickStyle3.xml"/><Relationship Id="rId89" Type="http://schemas.openxmlformats.org/officeDocument/2006/relationships/customXml" Target="../customXml/item5.xml"/><Relationship Id="rId16" Type="http://schemas.openxmlformats.org/officeDocument/2006/relationships/diagramQuickStyle" Target="diagrams/quickStyle2.xml"/><Relationship Id="rId53" Type="http://schemas.openxmlformats.org/officeDocument/2006/relationships/image" Target="media/image10.emf"/><Relationship Id="rId58" Type="http://schemas.openxmlformats.org/officeDocument/2006/relationships/image" Target="media/image15.emf"/><Relationship Id="rId32" Type="http://schemas.openxmlformats.org/officeDocument/2006/relationships/diagramColors" Target="diagrams/colors5.xml"/><Relationship Id="rId37" Type="http://schemas.openxmlformats.org/officeDocument/2006/relationships/diagramColors" Target="diagrams/colors6.xml"/><Relationship Id="rId74" Type="http://schemas.openxmlformats.org/officeDocument/2006/relationships/image" Target="media/image30.png"/><Relationship Id="rId79" Type="http://schemas.openxmlformats.org/officeDocument/2006/relationships/image" Target="media/image35.png"/><Relationship Id="rId11" Type="http://schemas.openxmlformats.org/officeDocument/2006/relationships/diagramQuickStyle" Target="diagrams/quickStyle1.xml"/><Relationship Id="rId5" Type="http://schemas.openxmlformats.org/officeDocument/2006/relationships/settings" Target="settings.xml"/><Relationship Id="rId14" Type="http://schemas.openxmlformats.org/officeDocument/2006/relationships/diagramData" Target="diagrams/data2.xml"/><Relationship Id="rId64" Type="http://schemas.openxmlformats.org/officeDocument/2006/relationships/image" Target="media/image21.png"/><Relationship Id="rId69" Type="http://schemas.openxmlformats.org/officeDocument/2006/relationships/image" Target="media/image25.emf"/><Relationship Id="rId56" Type="http://schemas.openxmlformats.org/officeDocument/2006/relationships/image" Target="media/image13.png"/><Relationship Id="rId43" Type="http://schemas.microsoft.com/office/2007/relationships/diagramDrawing" Target="diagrams/drawing7.xml"/><Relationship Id="rId48" Type="http://schemas.openxmlformats.org/officeDocument/2006/relationships/image" Target="media/image5.emf"/><Relationship Id="rId30" Type="http://schemas.openxmlformats.org/officeDocument/2006/relationships/diagramLayout" Target="diagrams/layout5.xml"/><Relationship Id="rId35" Type="http://schemas.openxmlformats.org/officeDocument/2006/relationships/diagramLayout" Target="diagrams/layout6.xml"/><Relationship Id="rId22" Type="http://schemas.openxmlformats.org/officeDocument/2006/relationships/diagramColors" Target="diagrams/colors3.xml"/><Relationship Id="rId27" Type="http://schemas.openxmlformats.org/officeDocument/2006/relationships/diagramColors" Target="diagrams/colors4.xml"/><Relationship Id="rId77" Type="http://schemas.openxmlformats.org/officeDocument/2006/relationships/image" Target="media/image33.emf"/><Relationship Id="rId51" Type="http://schemas.openxmlformats.org/officeDocument/2006/relationships/image" Target="media/image8.emf"/><Relationship Id="rId8" Type="http://schemas.openxmlformats.org/officeDocument/2006/relationships/endnotes" Target="endnotes.xml"/><Relationship Id="rId80" Type="http://schemas.openxmlformats.org/officeDocument/2006/relationships/image" Target="media/image36.png"/><Relationship Id="rId85" Type="http://schemas.openxmlformats.org/officeDocument/2006/relationships/theme" Target="theme/theme1.xml"/><Relationship Id="rId72" Type="http://schemas.openxmlformats.org/officeDocument/2006/relationships/image" Target="media/image28.emf"/><Relationship Id="rId3" Type="http://schemas.openxmlformats.org/officeDocument/2006/relationships/styles" Target="styles.xml"/><Relationship Id="rId17" Type="http://schemas.openxmlformats.org/officeDocument/2006/relationships/diagramColors" Target="diagrams/colors2.xml"/><Relationship Id="rId67" Type="http://schemas.openxmlformats.org/officeDocument/2006/relationships/hyperlink" Target="http://www.eia.gov/oiaf/beck_plantcosts/pdf/updatedplantcosts.pdf" TargetMode="External"/><Relationship Id="rId59" Type="http://schemas.openxmlformats.org/officeDocument/2006/relationships/image" Target="media/image16.emf"/><Relationship Id="rId46" Type="http://schemas.openxmlformats.org/officeDocument/2006/relationships/image" Target="media/image3.emf"/><Relationship Id="rId33" Type="http://schemas.microsoft.com/office/2007/relationships/diagramDrawing" Target="diagrams/drawing5.xml"/><Relationship Id="rId38" Type="http://schemas.microsoft.com/office/2007/relationships/diagramDrawing" Target="diagrams/drawing6.xml"/><Relationship Id="rId25" Type="http://schemas.openxmlformats.org/officeDocument/2006/relationships/diagramLayout" Target="diagrams/layout4.xml"/><Relationship Id="rId12" Type="http://schemas.openxmlformats.org/officeDocument/2006/relationships/diagramColors" Target="diagrams/colors1.xml"/><Relationship Id="rId54" Type="http://schemas.openxmlformats.org/officeDocument/2006/relationships/image" Target="media/image11.emf"/><Relationship Id="rId41" Type="http://schemas.openxmlformats.org/officeDocument/2006/relationships/diagramQuickStyle" Target="diagrams/quickStyle7.xml"/><Relationship Id="rId83" Type="http://schemas.openxmlformats.org/officeDocument/2006/relationships/footer" Target="footer1.xml"/><Relationship Id="rId70" Type="http://schemas.openxmlformats.org/officeDocument/2006/relationships/image" Target="media/image26.emf"/><Relationship Id="rId20" Type="http://schemas.openxmlformats.org/officeDocument/2006/relationships/diagramLayout" Target="diagrams/layout3.xml"/><Relationship Id="rId75" Type="http://schemas.openxmlformats.org/officeDocument/2006/relationships/image" Target="media/image31.emf"/><Relationship Id="rId62" Type="http://schemas.openxmlformats.org/officeDocument/2006/relationships/image" Target="media/image19.jpeg"/><Relationship Id="rId88"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2.xml"/><Relationship Id="rId57" Type="http://schemas.openxmlformats.org/officeDocument/2006/relationships/image" Target="media/image14.png"/><Relationship Id="rId49" Type="http://schemas.openxmlformats.org/officeDocument/2006/relationships/image" Target="media/image6.jpeg"/><Relationship Id="rId36" Type="http://schemas.openxmlformats.org/officeDocument/2006/relationships/diagramQuickStyle" Target="diagrams/quickStyle6.xml"/><Relationship Id="rId23" Type="http://schemas.microsoft.com/office/2007/relationships/diagramDrawing" Target="diagrams/drawing3.xml"/><Relationship Id="rId28" Type="http://schemas.microsoft.com/office/2007/relationships/diagramDrawing" Target="diagrams/drawing4.xml"/><Relationship Id="rId65" Type="http://schemas.openxmlformats.org/officeDocument/2006/relationships/image" Target="media/image22.png"/><Relationship Id="rId52" Type="http://schemas.openxmlformats.org/officeDocument/2006/relationships/image" Target="media/image9.emf"/><Relationship Id="rId44" Type="http://schemas.openxmlformats.org/officeDocument/2006/relationships/image" Target="media/image1.png"/><Relationship Id="rId31" Type="http://schemas.openxmlformats.org/officeDocument/2006/relationships/diagramQuickStyle" Target="diagrams/quickStyle5.xml"/><Relationship Id="rId81" Type="http://schemas.openxmlformats.org/officeDocument/2006/relationships/image" Target="media/image37.jpeg"/><Relationship Id="rId73" Type="http://schemas.openxmlformats.org/officeDocument/2006/relationships/image" Target="media/image29.png"/><Relationship Id="rId78" Type="http://schemas.openxmlformats.org/officeDocument/2006/relationships/image" Target="media/image34.png"/><Relationship Id="rId60" Type="http://schemas.openxmlformats.org/officeDocument/2006/relationships/image" Target="media/image17.jpeg"/><Relationship Id="rId10" Type="http://schemas.openxmlformats.org/officeDocument/2006/relationships/diagramLayout" Target="diagrams/layout1.xml"/><Relationship Id="rId86"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Data" Target="diagrams/data7.xml"/><Relationship Id="rId50" Type="http://schemas.openxmlformats.org/officeDocument/2006/relationships/image" Target="media/image7.emf"/><Relationship Id="rId55" Type="http://schemas.openxmlformats.org/officeDocument/2006/relationships/image" Target="media/image12.emf"/><Relationship Id="rId34" Type="http://schemas.openxmlformats.org/officeDocument/2006/relationships/diagramData" Target="diagrams/data6.xml"/><Relationship Id="rId76" Type="http://schemas.openxmlformats.org/officeDocument/2006/relationships/image" Target="media/image32.emf"/><Relationship Id="rId7" Type="http://schemas.openxmlformats.org/officeDocument/2006/relationships/footnotes" Target="footnotes.xml"/><Relationship Id="rId71" Type="http://schemas.openxmlformats.org/officeDocument/2006/relationships/image" Target="media/image27.emf"/><Relationship Id="rId2" Type="http://schemas.openxmlformats.org/officeDocument/2006/relationships/numbering" Target="numbering.xml"/><Relationship Id="rId29" Type="http://schemas.openxmlformats.org/officeDocument/2006/relationships/diagramData" Target="diagrams/data5.xml"/><Relationship Id="rId66" Type="http://schemas.openxmlformats.org/officeDocument/2006/relationships/image" Target="media/image23.png"/><Relationship Id="rId40" Type="http://schemas.openxmlformats.org/officeDocument/2006/relationships/diagramLayout" Target="diagrams/layout7.xml"/><Relationship Id="rId45" Type="http://schemas.openxmlformats.org/officeDocument/2006/relationships/image" Target="media/image2.emf"/><Relationship Id="rId24" Type="http://schemas.openxmlformats.org/officeDocument/2006/relationships/diagramData" Target="diagrams/data4.xml"/><Relationship Id="rId87" Type="http://schemas.openxmlformats.org/officeDocument/2006/relationships/customXml" Target="../customXml/item3.xml"/><Relationship Id="rId82" Type="http://schemas.openxmlformats.org/officeDocument/2006/relationships/header" Target="header1.xml"/><Relationship Id="rId61" Type="http://schemas.openxmlformats.org/officeDocument/2006/relationships/image" Target="media/image18.jpeg"/><Relationship Id="rId19" Type="http://schemas.openxmlformats.org/officeDocument/2006/relationships/diagramData" Target="diagrams/data3.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363E4E-885F-46C4-A0E9-E01A0C6785E6}"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C5458142-A79A-4533-8AEF-4ED85E57A472}">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Establish             Resource Needs</a:t>
          </a:r>
          <a:endParaRPr lang="en-US" sz="1000" dirty="0">
            <a:latin typeface="Arial" panose="020B0604020202020204" pitchFamily="34" charset="0"/>
            <a:cs typeface="Arial" panose="020B0604020202020204" pitchFamily="34" charset="0"/>
          </a:endParaRPr>
        </a:p>
      </dgm:t>
    </dgm:pt>
    <dgm:pt modelId="{92051A9B-617C-4348-8697-5DC3F78BF68D}" type="parTrans" cxnId="{6C512B7D-89C8-4A8E-ACF7-1F98479DCA0E}">
      <dgm:prSet/>
      <dgm:spPr/>
      <dgm:t>
        <a:bodyPr/>
        <a:lstStyle/>
        <a:p>
          <a:endParaRPr lang="en-US"/>
        </a:p>
      </dgm:t>
    </dgm:pt>
    <dgm:pt modelId="{027BCA59-0C79-42E9-90BC-E2143DAE59CE}" type="sibTrans" cxnId="{6C512B7D-89C8-4A8E-ACF7-1F98479DCA0E}">
      <dgm:prSet/>
      <dgm:spPr>
        <a:solidFill>
          <a:srgbClr val="156570"/>
        </a:solidFill>
        <a:ln>
          <a:solidFill>
            <a:srgbClr val="156570"/>
          </a:solidFill>
        </a:ln>
      </dgm:spPr>
      <dgm:t>
        <a:bodyPr/>
        <a:lstStyle/>
        <a:p>
          <a:endParaRPr lang="en-US"/>
        </a:p>
      </dgm:t>
    </dgm:pt>
    <dgm:pt modelId="{FD252C8F-CFC0-4622-958C-323021705A74}">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Planning Assumptions &amp; Resource Alternatives</a:t>
          </a:r>
          <a:endParaRPr lang="en-US" sz="1000" dirty="0">
            <a:latin typeface="Arial" panose="020B0604020202020204" pitchFamily="34" charset="0"/>
            <a:cs typeface="Arial" panose="020B0604020202020204" pitchFamily="34" charset="0"/>
          </a:endParaRPr>
        </a:p>
      </dgm:t>
    </dgm:pt>
    <dgm:pt modelId="{6343E4C3-9583-4E5F-860A-8CD5C90FF303}" type="parTrans" cxnId="{8D19512D-C33C-480B-9DDB-C4374F2A8C63}">
      <dgm:prSet/>
      <dgm:spPr/>
      <dgm:t>
        <a:bodyPr/>
        <a:lstStyle/>
        <a:p>
          <a:endParaRPr lang="en-US"/>
        </a:p>
      </dgm:t>
    </dgm:pt>
    <dgm:pt modelId="{FD0D17BB-6C83-4BCC-AFD6-215704517345}" type="sibTrans" cxnId="{8D19512D-C33C-480B-9DDB-C4374F2A8C63}">
      <dgm:prSet/>
      <dgm:spPr>
        <a:solidFill>
          <a:srgbClr val="156570"/>
        </a:solidFill>
        <a:ln>
          <a:solidFill>
            <a:srgbClr val="156570"/>
          </a:solidFill>
        </a:ln>
      </dgm:spPr>
      <dgm:t>
        <a:bodyPr/>
        <a:lstStyle/>
        <a:p>
          <a:endParaRPr lang="en-US"/>
        </a:p>
      </dgm:t>
    </dgm:pt>
    <dgm:pt modelId="{6AD48BF1-985D-4E6C-8133-BFF9BA5BDE0D}">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Make Decisions</a:t>
          </a:r>
          <a:endParaRPr lang="en-US" sz="1000" dirty="0">
            <a:latin typeface="Arial" panose="020B0604020202020204" pitchFamily="34" charset="0"/>
            <a:cs typeface="Arial" panose="020B0604020202020204" pitchFamily="34" charset="0"/>
          </a:endParaRPr>
        </a:p>
      </dgm:t>
    </dgm:pt>
    <dgm:pt modelId="{68CA9A19-6026-4E22-984B-8940A7CE28DE}" type="parTrans" cxnId="{D510A552-7C5C-40F6-BEB0-C8C69AA069E8}">
      <dgm:prSet/>
      <dgm:spPr/>
      <dgm:t>
        <a:bodyPr/>
        <a:lstStyle/>
        <a:p>
          <a:endParaRPr lang="en-US"/>
        </a:p>
      </dgm:t>
    </dgm:pt>
    <dgm:pt modelId="{EBC809D7-A893-47AB-8357-4F94D1BE8561}" type="sibTrans" cxnId="{D510A552-7C5C-40F6-BEB0-C8C69AA069E8}">
      <dgm:prSet/>
      <dgm:spPr>
        <a:solidFill>
          <a:srgbClr val="156570"/>
        </a:solidFill>
        <a:ln>
          <a:solidFill>
            <a:srgbClr val="156570"/>
          </a:solidFill>
        </a:ln>
      </dgm:spPr>
      <dgm:t>
        <a:bodyPr/>
        <a:lstStyle/>
        <a:p>
          <a:endParaRPr lang="en-US"/>
        </a:p>
      </dgm:t>
    </dgm:pt>
    <dgm:pt modelId="{FB6685F8-C964-4FB8-9029-75D2AB1F538C}">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Commit to “Action”</a:t>
          </a:r>
          <a:endParaRPr lang="en-US" sz="1000" dirty="0">
            <a:latin typeface="Arial" panose="020B0604020202020204" pitchFamily="34" charset="0"/>
            <a:cs typeface="Arial" panose="020B0604020202020204" pitchFamily="34" charset="0"/>
          </a:endParaRPr>
        </a:p>
      </dgm:t>
    </dgm:pt>
    <dgm:pt modelId="{E464C486-5F6E-4036-B42E-B68D2D923E7A}" type="parTrans" cxnId="{9728E14A-090B-4ECD-9D2C-DFF3F47F138D}">
      <dgm:prSet/>
      <dgm:spPr/>
      <dgm:t>
        <a:bodyPr/>
        <a:lstStyle/>
        <a:p>
          <a:endParaRPr lang="en-US"/>
        </a:p>
      </dgm:t>
    </dgm:pt>
    <dgm:pt modelId="{FF3AED98-FF34-4338-BA23-E4F14C6A106B}" type="sibTrans" cxnId="{9728E14A-090B-4ECD-9D2C-DFF3F47F138D}">
      <dgm:prSet/>
      <dgm:spPr>
        <a:solidFill>
          <a:srgbClr val="156570"/>
        </a:solidFill>
        <a:ln>
          <a:solidFill>
            <a:srgbClr val="156570"/>
          </a:solidFill>
        </a:ln>
      </dgm:spPr>
      <dgm:t>
        <a:bodyPr/>
        <a:lstStyle/>
        <a:p>
          <a:endParaRPr lang="en-US"/>
        </a:p>
      </dgm:t>
    </dgm:pt>
    <dgm:pt modelId="{3227A9EB-69B5-481E-89F4-8BFAAF9E31A5}">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Analyze Alternatives  and Portfolios </a:t>
          </a:r>
          <a:endParaRPr lang="en-US" sz="1000" dirty="0">
            <a:latin typeface="Arial" panose="020B0604020202020204" pitchFamily="34" charset="0"/>
            <a:cs typeface="Arial" panose="020B0604020202020204" pitchFamily="34" charset="0"/>
          </a:endParaRPr>
        </a:p>
      </dgm:t>
    </dgm:pt>
    <dgm:pt modelId="{40D2A1DD-7E23-4470-8363-C421D6F40A77}" type="parTrans" cxnId="{D1BE2684-DB08-4717-AB97-4D8A9B8E4876}">
      <dgm:prSet/>
      <dgm:spPr/>
      <dgm:t>
        <a:bodyPr/>
        <a:lstStyle/>
        <a:p>
          <a:endParaRPr lang="en-US"/>
        </a:p>
      </dgm:t>
    </dgm:pt>
    <dgm:pt modelId="{9BBADF01-113C-467A-B4DC-E950A34918B1}" type="sibTrans" cxnId="{D1BE2684-DB08-4717-AB97-4D8A9B8E4876}">
      <dgm:prSet/>
      <dgm:spPr>
        <a:solidFill>
          <a:srgbClr val="156570"/>
        </a:solidFill>
        <a:ln>
          <a:solidFill>
            <a:srgbClr val="156570"/>
          </a:solidFill>
        </a:ln>
      </dgm:spPr>
      <dgm:t>
        <a:bodyPr/>
        <a:lstStyle/>
        <a:p>
          <a:endParaRPr lang="en-US"/>
        </a:p>
      </dgm:t>
    </dgm:pt>
    <dgm:pt modelId="{FB740930-E894-465F-A6CD-FA1CEA706B89}">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Analyze Results</a:t>
          </a:r>
          <a:endParaRPr lang="en-US" sz="1000" dirty="0">
            <a:latin typeface="Arial" panose="020B0604020202020204" pitchFamily="34" charset="0"/>
            <a:cs typeface="Arial" panose="020B0604020202020204" pitchFamily="34" charset="0"/>
          </a:endParaRPr>
        </a:p>
      </dgm:t>
    </dgm:pt>
    <dgm:pt modelId="{26342BE4-BE51-4CD0-AA92-A265C039B2CA}" type="parTrans" cxnId="{85626B45-8C37-4D2E-B369-F91559AAE28E}">
      <dgm:prSet/>
      <dgm:spPr/>
      <dgm:t>
        <a:bodyPr/>
        <a:lstStyle/>
        <a:p>
          <a:endParaRPr lang="en-US"/>
        </a:p>
      </dgm:t>
    </dgm:pt>
    <dgm:pt modelId="{EBF9F176-80E2-40F1-98B8-375BC3C663ED}" type="sibTrans" cxnId="{85626B45-8C37-4D2E-B369-F91559AAE28E}">
      <dgm:prSet/>
      <dgm:spPr>
        <a:solidFill>
          <a:srgbClr val="156570"/>
        </a:solidFill>
        <a:ln>
          <a:solidFill>
            <a:srgbClr val="156570"/>
          </a:solidFill>
        </a:ln>
      </dgm:spPr>
      <dgm:t>
        <a:bodyPr/>
        <a:lstStyle/>
        <a:p>
          <a:endParaRPr lang="en-US"/>
        </a:p>
      </dgm:t>
    </dgm:pt>
    <dgm:pt modelId="{71922EEB-8951-4613-8B80-67BCDE5150E7}">
      <dgm:prSet custT="1"/>
      <dgm:spPr>
        <a:solidFill>
          <a:srgbClr val="156570"/>
        </a:solidFill>
        <a:ln>
          <a:solidFill>
            <a:srgbClr val="156570"/>
          </a:solidFill>
        </a:ln>
      </dgm:spPr>
      <dgm:t>
        <a:bodyPr/>
        <a:lstStyle/>
        <a:p>
          <a:r>
            <a:rPr lang="en-US" sz="1000" dirty="0">
              <a:latin typeface="Arial" panose="020B0604020202020204" pitchFamily="34" charset="0"/>
              <a:cs typeface="Arial" panose="020B0604020202020204" pitchFamily="34" charset="0"/>
            </a:rPr>
            <a:t>Analyze Market Risk</a:t>
          </a:r>
        </a:p>
      </dgm:t>
    </dgm:pt>
    <dgm:pt modelId="{9824D77D-0EF1-442C-8C0F-EE22068B1582}" type="parTrans" cxnId="{162F99F2-01CB-437B-97B2-84B57E8E399E}">
      <dgm:prSet/>
      <dgm:spPr/>
      <dgm:t>
        <a:bodyPr/>
        <a:lstStyle/>
        <a:p>
          <a:endParaRPr lang="en-US"/>
        </a:p>
      </dgm:t>
    </dgm:pt>
    <dgm:pt modelId="{70F93FD8-DFEC-49BD-9A74-D908D0185630}" type="sibTrans" cxnId="{162F99F2-01CB-437B-97B2-84B57E8E399E}">
      <dgm:prSet/>
      <dgm:spPr>
        <a:solidFill>
          <a:srgbClr val="156570"/>
        </a:solidFill>
        <a:ln>
          <a:solidFill>
            <a:srgbClr val="156570"/>
          </a:solidFill>
        </a:ln>
      </dgm:spPr>
      <dgm:t>
        <a:bodyPr/>
        <a:lstStyle/>
        <a:p>
          <a:endParaRPr lang="en-US"/>
        </a:p>
      </dgm:t>
    </dgm:pt>
    <dgm:pt modelId="{187ADC7F-0783-4AAD-9BFA-5AB94CD3E2E5}" type="pres">
      <dgm:prSet presAssocID="{56363E4E-885F-46C4-A0E9-E01A0C6785E6}" presName="cycle" presStyleCnt="0">
        <dgm:presLayoutVars>
          <dgm:dir/>
          <dgm:resizeHandles val="exact"/>
        </dgm:presLayoutVars>
      </dgm:prSet>
      <dgm:spPr/>
      <dgm:t>
        <a:bodyPr/>
        <a:lstStyle/>
        <a:p>
          <a:endParaRPr lang="en-US"/>
        </a:p>
      </dgm:t>
    </dgm:pt>
    <dgm:pt modelId="{C885EC70-3487-4092-BF87-F8B62F2F9317}" type="pres">
      <dgm:prSet presAssocID="{C5458142-A79A-4533-8AEF-4ED85E57A472}" presName="node" presStyleLbl="node1" presStyleIdx="0" presStyleCnt="7">
        <dgm:presLayoutVars>
          <dgm:bulletEnabled val="1"/>
        </dgm:presLayoutVars>
      </dgm:prSet>
      <dgm:spPr/>
      <dgm:t>
        <a:bodyPr/>
        <a:lstStyle/>
        <a:p>
          <a:endParaRPr lang="en-US"/>
        </a:p>
      </dgm:t>
    </dgm:pt>
    <dgm:pt modelId="{E6394890-7204-4AEC-A67A-FC128C8B44B1}" type="pres">
      <dgm:prSet presAssocID="{C5458142-A79A-4533-8AEF-4ED85E57A472}" presName="spNode" presStyleCnt="0"/>
      <dgm:spPr/>
      <dgm:t>
        <a:bodyPr/>
        <a:lstStyle/>
        <a:p>
          <a:endParaRPr lang="en-US"/>
        </a:p>
      </dgm:t>
    </dgm:pt>
    <dgm:pt modelId="{AB3EAF64-A96E-47AE-A168-2FBADECDA3A8}" type="pres">
      <dgm:prSet presAssocID="{027BCA59-0C79-42E9-90BC-E2143DAE59CE}" presName="sibTrans" presStyleLbl="sibTrans1D1" presStyleIdx="0" presStyleCnt="7"/>
      <dgm:spPr/>
      <dgm:t>
        <a:bodyPr/>
        <a:lstStyle/>
        <a:p>
          <a:endParaRPr lang="en-US"/>
        </a:p>
      </dgm:t>
    </dgm:pt>
    <dgm:pt modelId="{2747A0B0-2606-42AA-B673-2585FD664FD1}" type="pres">
      <dgm:prSet presAssocID="{FD252C8F-CFC0-4622-958C-323021705A74}" presName="node" presStyleLbl="node1" presStyleIdx="1" presStyleCnt="7">
        <dgm:presLayoutVars>
          <dgm:bulletEnabled val="1"/>
        </dgm:presLayoutVars>
      </dgm:prSet>
      <dgm:spPr/>
      <dgm:t>
        <a:bodyPr/>
        <a:lstStyle/>
        <a:p>
          <a:endParaRPr lang="en-US"/>
        </a:p>
      </dgm:t>
    </dgm:pt>
    <dgm:pt modelId="{254EEAA9-1CFA-45E0-BAB4-C93BDA6EC993}" type="pres">
      <dgm:prSet presAssocID="{FD252C8F-CFC0-4622-958C-323021705A74}" presName="spNode" presStyleCnt="0"/>
      <dgm:spPr/>
      <dgm:t>
        <a:bodyPr/>
        <a:lstStyle/>
        <a:p>
          <a:endParaRPr lang="en-US"/>
        </a:p>
      </dgm:t>
    </dgm:pt>
    <dgm:pt modelId="{78643BAC-5B2A-4281-8DFD-9912DDBD067A}" type="pres">
      <dgm:prSet presAssocID="{FD0D17BB-6C83-4BCC-AFD6-215704517345}" presName="sibTrans" presStyleLbl="sibTrans1D1" presStyleIdx="1" presStyleCnt="7"/>
      <dgm:spPr/>
      <dgm:t>
        <a:bodyPr/>
        <a:lstStyle/>
        <a:p>
          <a:endParaRPr lang="en-US"/>
        </a:p>
      </dgm:t>
    </dgm:pt>
    <dgm:pt modelId="{F18F486F-E943-4269-9F8A-7CD730F87ADD}" type="pres">
      <dgm:prSet presAssocID="{3227A9EB-69B5-481E-89F4-8BFAAF9E31A5}" presName="node" presStyleLbl="node1" presStyleIdx="2" presStyleCnt="7">
        <dgm:presLayoutVars>
          <dgm:bulletEnabled val="1"/>
        </dgm:presLayoutVars>
      </dgm:prSet>
      <dgm:spPr/>
      <dgm:t>
        <a:bodyPr/>
        <a:lstStyle/>
        <a:p>
          <a:endParaRPr lang="en-US"/>
        </a:p>
      </dgm:t>
    </dgm:pt>
    <dgm:pt modelId="{F037DB1C-2FFE-40CC-9571-53C30EA8C107}" type="pres">
      <dgm:prSet presAssocID="{3227A9EB-69B5-481E-89F4-8BFAAF9E31A5}" presName="spNode" presStyleCnt="0"/>
      <dgm:spPr/>
      <dgm:t>
        <a:bodyPr/>
        <a:lstStyle/>
        <a:p>
          <a:endParaRPr lang="en-US"/>
        </a:p>
      </dgm:t>
    </dgm:pt>
    <dgm:pt modelId="{6AA09B05-B6B1-44D2-834A-D23654075E80}" type="pres">
      <dgm:prSet presAssocID="{9BBADF01-113C-467A-B4DC-E950A34918B1}" presName="sibTrans" presStyleLbl="sibTrans1D1" presStyleIdx="2" presStyleCnt="7"/>
      <dgm:spPr/>
      <dgm:t>
        <a:bodyPr/>
        <a:lstStyle/>
        <a:p>
          <a:endParaRPr lang="en-US"/>
        </a:p>
      </dgm:t>
    </dgm:pt>
    <dgm:pt modelId="{DCE450DC-075D-4800-B1B3-4CDD0802EAA6}" type="pres">
      <dgm:prSet presAssocID="{71922EEB-8951-4613-8B80-67BCDE5150E7}" presName="node" presStyleLbl="node1" presStyleIdx="3" presStyleCnt="7">
        <dgm:presLayoutVars>
          <dgm:bulletEnabled val="1"/>
        </dgm:presLayoutVars>
      </dgm:prSet>
      <dgm:spPr/>
      <dgm:t>
        <a:bodyPr/>
        <a:lstStyle/>
        <a:p>
          <a:endParaRPr lang="en-US"/>
        </a:p>
      </dgm:t>
    </dgm:pt>
    <dgm:pt modelId="{526D2CF0-B74C-4EFA-8714-C734C799624C}" type="pres">
      <dgm:prSet presAssocID="{71922EEB-8951-4613-8B80-67BCDE5150E7}" presName="spNode" presStyleCnt="0"/>
      <dgm:spPr/>
      <dgm:t>
        <a:bodyPr/>
        <a:lstStyle/>
        <a:p>
          <a:endParaRPr lang="en-US"/>
        </a:p>
      </dgm:t>
    </dgm:pt>
    <dgm:pt modelId="{EE6CFCF7-3009-4ED9-B464-EF08EBEA4BF2}" type="pres">
      <dgm:prSet presAssocID="{70F93FD8-DFEC-49BD-9A74-D908D0185630}" presName="sibTrans" presStyleLbl="sibTrans1D1" presStyleIdx="3" presStyleCnt="7"/>
      <dgm:spPr/>
      <dgm:t>
        <a:bodyPr/>
        <a:lstStyle/>
        <a:p>
          <a:endParaRPr lang="en-US"/>
        </a:p>
      </dgm:t>
    </dgm:pt>
    <dgm:pt modelId="{D880854A-AF27-4A38-8DB1-EAF9AD97448E}" type="pres">
      <dgm:prSet presAssocID="{FB740930-E894-465F-A6CD-FA1CEA706B89}" presName="node" presStyleLbl="node1" presStyleIdx="4" presStyleCnt="7">
        <dgm:presLayoutVars>
          <dgm:bulletEnabled val="1"/>
        </dgm:presLayoutVars>
      </dgm:prSet>
      <dgm:spPr/>
      <dgm:t>
        <a:bodyPr/>
        <a:lstStyle/>
        <a:p>
          <a:endParaRPr lang="en-US"/>
        </a:p>
      </dgm:t>
    </dgm:pt>
    <dgm:pt modelId="{5DE161AF-BD76-488C-85AD-3AB4B86994F0}" type="pres">
      <dgm:prSet presAssocID="{FB740930-E894-465F-A6CD-FA1CEA706B89}" presName="spNode" presStyleCnt="0"/>
      <dgm:spPr/>
      <dgm:t>
        <a:bodyPr/>
        <a:lstStyle/>
        <a:p>
          <a:endParaRPr lang="en-US"/>
        </a:p>
      </dgm:t>
    </dgm:pt>
    <dgm:pt modelId="{6F8B7423-3725-4547-940F-B946B8DCD0FD}" type="pres">
      <dgm:prSet presAssocID="{EBF9F176-80E2-40F1-98B8-375BC3C663ED}" presName="sibTrans" presStyleLbl="sibTrans1D1" presStyleIdx="4" presStyleCnt="7"/>
      <dgm:spPr/>
      <dgm:t>
        <a:bodyPr/>
        <a:lstStyle/>
        <a:p>
          <a:endParaRPr lang="en-US"/>
        </a:p>
      </dgm:t>
    </dgm:pt>
    <dgm:pt modelId="{8F689025-B867-42AE-9531-33DB20A6C3A5}" type="pres">
      <dgm:prSet presAssocID="{6AD48BF1-985D-4E6C-8133-BFF9BA5BDE0D}" presName="node" presStyleLbl="node1" presStyleIdx="5" presStyleCnt="7">
        <dgm:presLayoutVars>
          <dgm:bulletEnabled val="1"/>
        </dgm:presLayoutVars>
      </dgm:prSet>
      <dgm:spPr/>
      <dgm:t>
        <a:bodyPr/>
        <a:lstStyle/>
        <a:p>
          <a:endParaRPr lang="en-US"/>
        </a:p>
      </dgm:t>
    </dgm:pt>
    <dgm:pt modelId="{86D66C5C-2D21-46EF-B0E5-CF59641309D4}" type="pres">
      <dgm:prSet presAssocID="{6AD48BF1-985D-4E6C-8133-BFF9BA5BDE0D}" presName="spNode" presStyleCnt="0"/>
      <dgm:spPr/>
      <dgm:t>
        <a:bodyPr/>
        <a:lstStyle/>
        <a:p>
          <a:endParaRPr lang="en-US"/>
        </a:p>
      </dgm:t>
    </dgm:pt>
    <dgm:pt modelId="{7C5BA10D-BAF1-4F6D-9C39-8F6FD9E9AB6B}" type="pres">
      <dgm:prSet presAssocID="{EBC809D7-A893-47AB-8357-4F94D1BE8561}" presName="sibTrans" presStyleLbl="sibTrans1D1" presStyleIdx="5" presStyleCnt="7"/>
      <dgm:spPr/>
      <dgm:t>
        <a:bodyPr/>
        <a:lstStyle/>
        <a:p>
          <a:endParaRPr lang="en-US"/>
        </a:p>
      </dgm:t>
    </dgm:pt>
    <dgm:pt modelId="{54D94A86-33D3-4689-BD12-3A42EBE61067}" type="pres">
      <dgm:prSet presAssocID="{FB6685F8-C964-4FB8-9029-75D2AB1F538C}" presName="node" presStyleLbl="node1" presStyleIdx="6" presStyleCnt="7">
        <dgm:presLayoutVars>
          <dgm:bulletEnabled val="1"/>
        </dgm:presLayoutVars>
      </dgm:prSet>
      <dgm:spPr/>
      <dgm:t>
        <a:bodyPr/>
        <a:lstStyle/>
        <a:p>
          <a:endParaRPr lang="en-US"/>
        </a:p>
      </dgm:t>
    </dgm:pt>
    <dgm:pt modelId="{16C6844E-0385-4302-9483-38CD32EFFA71}" type="pres">
      <dgm:prSet presAssocID="{FB6685F8-C964-4FB8-9029-75D2AB1F538C}" presName="spNode" presStyleCnt="0"/>
      <dgm:spPr/>
      <dgm:t>
        <a:bodyPr/>
        <a:lstStyle/>
        <a:p>
          <a:endParaRPr lang="en-US"/>
        </a:p>
      </dgm:t>
    </dgm:pt>
    <dgm:pt modelId="{6DEA5942-2340-4773-B852-92117FEC3249}" type="pres">
      <dgm:prSet presAssocID="{FF3AED98-FF34-4338-BA23-E4F14C6A106B}" presName="sibTrans" presStyleLbl="sibTrans1D1" presStyleIdx="6" presStyleCnt="7"/>
      <dgm:spPr/>
      <dgm:t>
        <a:bodyPr/>
        <a:lstStyle/>
        <a:p>
          <a:endParaRPr lang="en-US"/>
        </a:p>
      </dgm:t>
    </dgm:pt>
  </dgm:ptLst>
  <dgm:cxnLst>
    <dgm:cxn modelId="{162F99F2-01CB-437B-97B2-84B57E8E399E}" srcId="{56363E4E-885F-46C4-A0E9-E01A0C6785E6}" destId="{71922EEB-8951-4613-8B80-67BCDE5150E7}" srcOrd="3" destOrd="0" parTransId="{9824D77D-0EF1-442C-8C0F-EE22068B1582}" sibTransId="{70F93FD8-DFEC-49BD-9A74-D908D0185630}"/>
    <dgm:cxn modelId="{D6F18AB1-41FE-4E11-9616-5A9C1F37024B}" type="presOf" srcId="{71922EEB-8951-4613-8B80-67BCDE5150E7}" destId="{DCE450DC-075D-4800-B1B3-4CDD0802EAA6}" srcOrd="0" destOrd="0" presId="urn:microsoft.com/office/officeart/2005/8/layout/cycle5"/>
    <dgm:cxn modelId="{73E355DD-F9E5-434F-AFD3-08FA316BEB48}" type="presOf" srcId="{FB740930-E894-465F-A6CD-FA1CEA706B89}" destId="{D880854A-AF27-4A38-8DB1-EAF9AD97448E}" srcOrd="0" destOrd="0" presId="urn:microsoft.com/office/officeart/2005/8/layout/cycle5"/>
    <dgm:cxn modelId="{3C321F14-6974-4986-861B-C6CD0C1DE6D3}" type="presOf" srcId="{9BBADF01-113C-467A-B4DC-E950A34918B1}" destId="{6AA09B05-B6B1-44D2-834A-D23654075E80}" srcOrd="0" destOrd="0" presId="urn:microsoft.com/office/officeart/2005/8/layout/cycle5"/>
    <dgm:cxn modelId="{9284CB1F-076C-4955-89E0-05CD3EBED508}" type="presOf" srcId="{6AD48BF1-985D-4E6C-8133-BFF9BA5BDE0D}" destId="{8F689025-B867-42AE-9531-33DB20A6C3A5}" srcOrd="0" destOrd="0" presId="urn:microsoft.com/office/officeart/2005/8/layout/cycle5"/>
    <dgm:cxn modelId="{545C05C1-FDEB-41D7-AE55-33AC14024FD2}" type="presOf" srcId="{56363E4E-885F-46C4-A0E9-E01A0C6785E6}" destId="{187ADC7F-0783-4AAD-9BFA-5AB94CD3E2E5}" srcOrd="0" destOrd="0" presId="urn:microsoft.com/office/officeart/2005/8/layout/cycle5"/>
    <dgm:cxn modelId="{8890486B-740C-44B8-A8F7-725E55C51DF6}" type="presOf" srcId="{70F93FD8-DFEC-49BD-9A74-D908D0185630}" destId="{EE6CFCF7-3009-4ED9-B464-EF08EBEA4BF2}" srcOrd="0" destOrd="0" presId="urn:microsoft.com/office/officeart/2005/8/layout/cycle5"/>
    <dgm:cxn modelId="{22E036AB-57CA-42D1-9B3E-64FB70A411A7}" type="presOf" srcId="{027BCA59-0C79-42E9-90BC-E2143DAE59CE}" destId="{AB3EAF64-A96E-47AE-A168-2FBADECDA3A8}" srcOrd="0" destOrd="0" presId="urn:microsoft.com/office/officeart/2005/8/layout/cycle5"/>
    <dgm:cxn modelId="{9728E14A-090B-4ECD-9D2C-DFF3F47F138D}" srcId="{56363E4E-885F-46C4-A0E9-E01A0C6785E6}" destId="{FB6685F8-C964-4FB8-9029-75D2AB1F538C}" srcOrd="6" destOrd="0" parTransId="{E464C486-5F6E-4036-B42E-B68D2D923E7A}" sibTransId="{FF3AED98-FF34-4338-BA23-E4F14C6A106B}"/>
    <dgm:cxn modelId="{2983C5D8-EFEB-4893-BC3B-118F09AAB18D}" type="presOf" srcId="{C5458142-A79A-4533-8AEF-4ED85E57A472}" destId="{C885EC70-3487-4092-BF87-F8B62F2F9317}" srcOrd="0" destOrd="0" presId="urn:microsoft.com/office/officeart/2005/8/layout/cycle5"/>
    <dgm:cxn modelId="{CACF84C2-B9AE-4E34-88D4-317B7F63185A}" type="presOf" srcId="{FD252C8F-CFC0-4622-958C-323021705A74}" destId="{2747A0B0-2606-42AA-B673-2585FD664FD1}" srcOrd="0" destOrd="0" presId="urn:microsoft.com/office/officeart/2005/8/layout/cycle5"/>
    <dgm:cxn modelId="{6C512B7D-89C8-4A8E-ACF7-1F98479DCA0E}" srcId="{56363E4E-885F-46C4-A0E9-E01A0C6785E6}" destId="{C5458142-A79A-4533-8AEF-4ED85E57A472}" srcOrd="0" destOrd="0" parTransId="{92051A9B-617C-4348-8697-5DC3F78BF68D}" sibTransId="{027BCA59-0C79-42E9-90BC-E2143DAE59CE}"/>
    <dgm:cxn modelId="{D0C80D59-2765-47D1-A0BB-0C60A3370BCB}" type="presOf" srcId="{FD0D17BB-6C83-4BCC-AFD6-215704517345}" destId="{78643BAC-5B2A-4281-8DFD-9912DDBD067A}" srcOrd="0" destOrd="0" presId="urn:microsoft.com/office/officeart/2005/8/layout/cycle5"/>
    <dgm:cxn modelId="{2F521F40-A5C0-46F9-B097-DB07B9BE941A}" type="presOf" srcId="{3227A9EB-69B5-481E-89F4-8BFAAF9E31A5}" destId="{F18F486F-E943-4269-9F8A-7CD730F87ADD}" srcOrd="0" destOrd="0" presId="urn:microsoft.com/office/officeart/2005/8/layout/cycle5"/>
    <dgm:cxn modelId="{DD3F8BE1-1900-4960-9FFD-23CC90F24783}" type="presOf" srcId="{EBC809D7-A893-47AB-8357-4F94D1BE8561}" destId="{7C5BA10D-BAF1-4F6D-9C39-8F6FD9E9AB6B}" srcOrd="0" destOrd="0" presId="urn:microsoft.com/office/officeart/2005/8/layout/cycle5"/>
    <dgm:cxn modelId="{85626B45-8C37-4D2E-B369-F91559AAE28E}" srcId="{56363E4E-885F-46C4-A0E9-E01A0C6785E6}" destId="{FB740930-E894-465F-A6CD-FA1CEA706B89}" srcOrd="4" destOrd="0" parTransId="{26342BE4-BE51-4CD0-AA92-A265C039B2CA}" sibTransId="{EBF9F176-80E2-40F1-98B8-375BC3C663ED}"/>
    <dgm:cxn modelId="{D1BE2684-DB08-4717-AB97-4D8A9B8E4876}" srcId="{56363E4E-885F-46C4-A0E9-E01A0C6785E6}" destId="{3227A9EB-69B5-481E-89F4-8BFAAF9E31A5}" srcOrd="2" destOrd="0" parTransId="{40D2A1DD-7E23-4470-8363-C421D6F40A77}" sibTransId="{9BBADF01-113C-467A-B4DC-E950A34918B1}"/>
    <dgm:cxn modelId="{B70A041B-BE5E-404B-B653-B85CA5F1D032}" type="presOf" srcId="{EBF9F176-80E2-40F1-98B8-375BC3C663ED}" destId="{6F8B7423-3725-4547-940F-B946B8DCD0FD}" srcOrd="0" destOrd="0" presId="urn:microsoft.com/office/officeart/2005/8/layout/cycle5"/>
    <dgm:cxn modelId="{D510A552-7C5C-40F6-BEB0-C8C69AA069E8}" srcId="{56363E4E-885F-46C4-A0E9-E01A0C6785E6}" destId="{6AD48BF1-985D-4E6C-8133-BFF9BA5BDE0D}" srcOrd="5" destOrd="0" parTransId="{68CA9A19-6026-4E22-984B-8940A7CE28DE}" sibTransId="{EBC809D7-A893-47AB-8357-4F94D1BE8561}"/>
    <dgm:cxn modelId="{89273A0A-F21F-4431-8F7D-E4B088EB2120}" type="presOf" srcId="{FB6685F8-C964-4FB8-9029-75D2AB1F538C}" destId="{54D94A86-33D3-4689-BD12-3A42EBE61067}" srcOrd="0" destOrd="0" presId="urn:microsoft.com/office/officeart/2005/8/layout/cycle5"/>
    <dgm:cxn modelId="{061F4E66-DCC9-422C-900C-99E929A46E24}" type="presOf" srcId="{FF3AED98-FF34-4338-BA23-E4F14C6A106B}" destId="{6DEA5942-2340-4773-B852-92117FEC3249}" srcOrd="0" destOrd="0" presId="urn:microsoft.com/office/officeart/2005/8/layout/cycle5"/>
    <dgm:cxn modelId="{8D19512D-C33C-480B-9DDB-C4374F2A8C63}" srcId="{56363E4E-885F-46C4-A0E9-E01A0C6785E6}" destId="{FD252C8F-CFC0-4622-958C-323021705A74}" srcOrd="1" destOrd="0" parTransId="{6343E4C3-9583-4E5F-860A-8CD5C90FF303}" sibTransId="{FD0D17BB-6C83-4BCC-AFD6-215704517345}"/>
    <dgm:cxn modelId="{D4B4DC02-4148-4911-A6F6-B517918162F5}" type="presParOf" srcId="{187ADC7F-0783-4AAD-9BFA-5AB94CD3E2E5}" destId="{C885EC70-3487-4092-BF87-F8B62F2F9317}" srcOrd="0" destOrd="0" presId="urn:microsoft.com/office/officeart/2005/8/layout/cycle5"/>
    <dgm:cxn modelId="{801DD4F5-55B7-4D3F-8CD8-BDF54AC129A3}" type="presParOf" srcId="{187ADC7F-0783-4AAD-9BFA-5AB94CD3E2E5}" destId="{E6394890-7204-4AEC-A67A-FC128C8B44B1}" srcOrd="1" destOrd="0" presId="urn:microsoft.com/office/officeart/2005/8/layout/cycle5"/>
    <dgm:cxn modelId="{F5BF0CF7-CF61-4063-AC8C-47C3F1F997C3}" type="presParOf" srcId="{187ADC7F-0783-4AAD-9BFA-5AB94CD3E2E5}" destId="{AB3EAF64-A96E-47AE-A168-2FBADECDA3A8}" srcOrd="2" destOrd="0" presId="urn:microsoft.com/office/officeart/2005/8/layout/cycle5"/>
    <dgm:cxn modelId="{7492F9ED-6E66-4E46-B558-8F75A6FA46A9}" type="presParOf" srcId="{187ADC7F-0783-4AAD-9BFA-5AB94CD3E2E5}" destId="{2747A0B0-2606-42AA-B673-2585FD664FD1}" srcOrd="3" destOrd="0" presId="urn:microsoft.com/office/officeart/2005/8/layout/cycle5"/>
    <dgm:cxn modelId="{F7B2E780-AC54-493F-8577-AFBFFD2FF753}" type="presParOf" srcId="{187ADC7F-0783-4AAD-9BFA-5AB94CD3E2E5}" destId="{254EEAA9-1CFA-45E0-BAB4-C93BDA6EC993}" srcOrd="4" destOrd="0" presId="urn:microsoft.com/office/officeart/2005/8/layout/cycle5"/>
    <dgm:cxn modelId="{3ADDD536-5A57-42EE-9E64-E21BB1D1D261}" type="presParOf" srcId="{187ADC7F-0783-4AAD-9BFA-5AB94CD3E2E5}" destId="{78643BAC-5B2A-4281-8DFD-9912DDBD067A}" srcOrd="5" destOrd="0" presId="urn:microsoft.com/office/officeart/2005/8/layout/cycle5"/>
    <dgm:cxn modelId="{25D1F5D4-B831-4189-9448-96B904BAF998}" type="presParOf" srcId="{187ADC7F-0783-4AAD-9BFA-5AB94CD3E2E5}" destId="{F18F486F-E943-4269-9F8A-7CD730F87ADD}" srcOrd="6" destOrd="0" presId="urn:microsoft.com/office/officeart/2005/8/layout/cycle5"/>
    <dgm:cxn modelId="{4D3726AE-07F8-4324-AD77-6CA700F15638}" type="presParOf" srcId="{187ADC7F-0783-4AAD-9BFA-5AB94CD3E2E5}" destId="{F037DB1C-2FFE-40CC-9571-53C30EA8C107}" srcOrd="7" destOrd="0" presId="urn:microsoft.com/office/officeart/2005/8/layout/cycle5"/>
    <dgm:cxn modelId="{2C367620-272D-4D80-9122-C4B8B7C1C723}" type="presParOf" srcId="{187ADC7F-0783-4AAD-9BFA-5AB94CD3E2E5}" destId="{6AA09B05-B6B1-44D2-834A-D23654075E80}" srcOrd="8" destOrd="0" presId="urn:microsoft.com/office/officeart/2005/8/layout/cycle5"/>
    <dgm:cxn modelId="{0745DCE4-7929-4548-9664-EAA8995C4B5C}" type="presParOf" srcId="{187ADC7F-0783-4AAD-9BFA-5AB94CD3E2E5}" destId="{DCE450DC-075D-4800-B1B3-4CDD0802EAA6}" srcOrd="9" destOrd="0" presId="urn:microsoft.com/office/officeart/2005/8/layout/cycle5"/>
    <dgm:cxn modelId="{C1C50948-579B-4530-BB0E-67A5EEA1F2B4}" type="presParOf" srcId="{187ADC7F-0783-4AAD-9BFA-5AB94CD3E2E5}" destId="{526D2CF0-B74C-4EFA-8714-C734C799624C}" srcOrd="10" destOrd="0" presId="urn:microsoft.com/office/officeart/2005/8/layout/cycle5"/>
    <dgm:cxn modelId="{5EEF694E-0FE1-4159-A1B6-FC149A40A0F1}" type="presParOf" srcId="{187ADC7F-0783-4AAD-9BFA-5AB94CD3E2E5}" destId="{EE6CFCF7-3009-4ED9-B464-EF08EBEA4BF2}" srcOrd="11" destOrd="0" presId="urn:microsoft.com/office/officeart/2005/8/layout/cycle5"/>
    <dgm:cxn modelId="{3D543CBB-1806-4931-96D1-E813D6E72DAC}" type="presParOf" srcId="{187ADC7F-0783-4AAD-9BFA-5AB94CD3E2E5}" destId="{D880854A-AF27-4A38-8DB1-EAF9AD97448E}" srcOrd="12" destOrd="0" presId="urn:microsoft.com/office/officeart/2005/8/layout/cycle5"/>
    <dgm:cxn modelId="{E37C7F42-5C4E-44F0-BB7E-A3A5A68BBCFA}" type="presParOf" srcId="{187ADC7F-0783-4AAD-9BFA-5AB94CD3E2E5}" destId="{5DE161AF-BD76-488C-85AD-3AB4B86994F0}" srcOrd="13" destOrd="0" presId="urn:microsoft.com/office/officeart/2005/8/layout/cycle5"/>
    <dgm:cxn modelId="{35C187E3-77FD-46D6-B834-BF0437B2DC1F}" type="presParOf" srcId="{187ADC7F-0783-4AAD-9BFA-5AB94CD3E2E5}" destId="{6F8B7423-3725-4547-940F-B946B8DCD0FD}" srcOrd="14" destOrd="0" presId="urn:microsoft.com/office/officeart/2005/8/layout/cycle5"/>
    <dgm:cxn modelId="{4122FF38-7204-4412-8362-8683015AD45B}" type="presParOf" srcId="{187ADC7F-0783-4AAD-9BFA-5AB94CD3E2E5}" destId="{8F689025-B867-42AE-9531-33DB20A6C3A5}" srcOrd="15" destOrd="0" presId="urn:microsoft.com/office/officeart/2005/8/layout/cycle5"/>
    <dgm:cxn modelId="{8CF2CDAE-5716-431A-A0F5-38CD50CA4DF1}" type="presParOf" srcId="{187ADC7F-0783-4AAD-9BFA-5AB94CD3E2E5}" destId="{86D66C5C-2D21-46EF-B0E5-CF59641309D4}" srcOrd="16" destOrd="0" presId="urn:microsoft.com/office/officeart/2005/8/layout/cycle5"/>
    <dgm:cxn modelId="{A63254AC-52B4-4775-94FA-20F3F4D9F582}" type="presParOf" srcId="{187ADC7F-0783-4AAD-9BFA-5AB94CD3E2E5}" destId="{7C5BA10D-BAF1-4F6D-9C39-8F6FD9E9AB6B}" srcOrd="17" destOrd="0" presId="urn:microsoft.com/office/officeart/2005/8/layout/cycle5"/>
    <dgm:cxn modelId="{EDE51714-B0D5-4D9D-A3D0-FED20B379DA3}" type="presParOf" srcId="{187ADC7F-0783-4AAD-9BFA-5AB94CD3E2E5}" destId="{54D94A86-33D3-4689-BD12-3A42EBE61067}" srcOrd="18" destOrd="0" presId="urn:microsoft.com/office/officeart/2005/8/layout/cycle5"/>
    <dgm:cxn modelId="{5E298AF5-2F05-4428-BE8F-7398BA0BDFC4}" type="presParOf" srcId="{187ADC7F-0783-4AAD-9BFA-5AB94CD3E2E5}" destId="{16C6844E-0385-4302-9483-38CD32EFFA71}" srcOrd="19" destOrd="0" presId="urn:microsoft.com/office/officeart/2005/8/layout/cycle5"/>
    <dgm:cxn modelId="{6954E37E-BF3D-4CF9-9D88-1562539007F6}" type="presParOf" srcId="{187ADC7F-0783-4AAD-9BFA-5AB94CD3E2E5}" destId="{6DEA5942-2340-4773-B852-92117FEC3249}" srcOrd="20" destOrd="0" presId="urn:microsoft.com/office/officeart/2005/8/layout/cycle5"/>
  </dgm:cxnLst>
  <dgm:bg>
    <a:noFill/>
  </dgm:bg>
  <dgm:whole>
    <a:ln>
      <a:noFill/>
    </a:ln>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6363E4E-885F-46C4-A0E9-E01A0C6785E6}"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FD252C8F-CFC0-4622-958C-323021705A74}">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Planning Assumptions &amp; Resource Alternatives</a:t>
          </a:r>
          <a:endParaRPr lang="en-US" sz="1000" dirty="0">
            <a:latin typeface="Arial" panose="020B0604020202020204" pitchFamily="34" charset="0"/>
            <a:cs typeface="Arial" panose="020B0604020202020204" pitchFamily="34" charset="0"/>
          </a:endParaRPr>
        </a:p>
      </dgm:t>
    </dgm:pt>
    <dgm:pt modelId="{6343E4C3-9583-4E5F-860A-8CD5C90FF303}" type="parTrans" cxnId="{8D19512D-C33C-480B-9DDB-C4374F2A8C63}">
      <dgm:prSet/>
      <dgm:spPr/>
      <dgm:t>
        <a:bodyPr/>
        <a:lstStyle/>
        <a:p>
          <a:endParaRPr lang="en-US"/>
        </a:p>
      </dgm:t>
    </dgm:pt>
    <dgm:pt modelId="{FD0D17BB-6C83-4BCC-AFD6-215704517345}" type="sibTrans" cxnId="{8D19512D-C33C-480B-9DDB-C4374F2A8C63}">
      <dgm:prSet/>
      <dgm:spPr>
        <a:solidFill>
          <a:srgbClr val="156570"/>
        </a:solidFill>
        <a:ln>
          <a:solidFill>
            <a:srgbClr val="156570"/>
          </a:solidFill>
        </a:ln>
      </dgm:spPr>
      <dgm:t>
        <a:bodyPr/>
        <a:lstStyle/>
        <a:p>
          <a:endParaRPr lang="en-US"/>
        </a:p>
      </dgm:t>
    </dgm:pt>
    <dgm:pt modelId="{6AD48BF1-985D-4E6C-8133-BFF9BA5BDE0D}">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Make Decisions</a:t>
          </a:r>
          <a:endParaRPr lang="en-US" sz="1000" dirty="0">
            <a:latin typeface="Arial" panose="020B0604020202020204" pitchFamily="34" charset="0"/>
            <a:cs typeface="Arial" panose="020B0604020202020204" pitchFamily="34" charset="0"/>
          </a:endParaRPr>
        </a:p>
      </dgm:t>
    </dgm:pt>
    <dgm:pt modelId="{68CA9A19-6026-4E22-984B-8940A7CE28DE}" type="parTrans" cxnId="{D510A552-7C5C-40F6-BEB0-C8C69AA069E8}">
      <dgm:prSet/>
      <dgm:spPr/>
      <dgm:t>
        <a:bodyPr/>
        <a:lstStyle/>
        <a:p>
          <a:endParaRPr lang="en-US"/>
        </a:p>
      </dgm:t>
    </dgm:pt>
    <dgm:pt modelId="{EBC809D7-A893-47AB-8357-4F94D1BE8561}" type="sibTrans" cxnId="{D510A552-7C5C-40F6-BEB0-C8C69AA069E8}">
      <dgm:prSet/>
      <dgm:spPr>
        <a:solidFill>
          <a:srgbClr val="156570"/>
        </a:solidFill>
        <a:ln>
          <a:solidFill>
            <a:srgbClr val="156570"/>
          </a:solidFill>
        </a:ln>
      </dgm:spPr>
      <dgm:t>
        <a:bodyPr/>
        <a:lstStyle/>
        <a:p>
          <a:endParaRPr lang="en-US"/>
        </a:p>
      </dgm:t>
    </dgm:pt>
    <dgm:pt modelId="{FB6685F8-C964-4FB8-9029-75D2AB1F538C}">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Commit to “Action”</a:t>
          </a:r>
          <a:endParaRPr lang="en-US" sz="1000" dirty="0">
            <a:latin typeface="Arial" panose="020B0604020202020204" pitchFamily="34" charset="0"/>
            <a:cs typeface="Arial" panose="020B0604020202020204" pitchFamily="34" charset="0"/>
          </a:endParaRPr>
        </a:p>
      </dgm:t>
    </dgm:pt>
    <dgm:pt modelId="{E464C486-5F6E-4036-B42E-B68D2D923E7A}" type="parTrans" cxnId="{9728E14A-090B-4ECD-9D2C-DFF3F47F138D}">
      <dgm:prSet/>
      <dgm:spPr/>
      <dgm:t>
        <a:bodyPr/>
        <a:lstStyle/>
        <a:p>
          <a:endParaRPr lang="en-US"/>
        </a:p>
      </dgm:t>
    </dgm:pt>
    <dgm:pt modelId="{FF3AED98-FF34-4338-BA23-E4F14C6A106B}" type="sibTrans" cxnId="{9728E14A-090B-4ECD-9D2C-DFF3F47F138D}">
      <dgm:prSet/>
      <dgm:spPr>
        <a:solidFill>
          <a:srgbClr val="156570"/>
        </a:solidFill>
        <a:ln>
          <a:solidFill>
            <a:srgbClr val="156570"/>
          </a:solidFill>
        </a:ln>
      </dgm:spPr>
      <dgm:t>
        <a:bodyPr/>
        <a:lstStyle/>
        <a:p>
          <a:endParaRPr lang="en-US"/>
        </a:p>
      </dgm:t>
    </dgm:pt>
    <dgm:pt modelId="{3227A9EB-69B5-481E-89F4-8BFAAF9E31A5}">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Analyze Alternatives  and Portfolios </a:t>
          </a:r>
          <a:endParaRPr lang="en-US" sz="1000" dirty="0">
            <a:latin typeface="Arial" panose="020B0604020202020204" pitchFamily="34" charset="0"/>
            <a:cs typeface="Arial" panose="020B0604020202020204" pitchFamily="34" charset="0"/>
          </a:endParaRPr>
        </a:p>
      </dgm:t>
    </dgm:pt>
    <dgm:pt modelId="{40D2A1DD-7E23-4470-8363-C421D6F40A77}" type="parTrans" cxnId="{D1BE2684-DB08-4717-AB97-4D8A9B8E4876}">
      <dgm:prSet/>
      <dgm:spPr/>
      <dgm:t>
        <a:bodyPr/>
        <a:lstStyle/>
        <a:p>
          <a:endParaRPr lang="en-US"/>
        </a:p>
      </dgm:t>
    </dgm:pt>
    <dgm:pt modelId="{9BBADF01-113C-467A-B4DC-E950A34918B1}" type="sibTrans" cxnId="{D1BE2684-DB08-4717-AB97-4D8A9B8E4876}">
      <dgm:prSet/>
      <dgm:spPr>
        <a:solidFill>
          <a:srgbClr val="156570"/>
        </a:solidFill>
        <a:ln>
          <a:solidFill>
            <a:srgbClr val="156570"/>
          </a:solidFill>
        </a:ln>
      </dgm:spPr>
      <dgm:t>
        <a:bodyPr/>
        <a:lstStyle/>
        <a:p>
          <a:endParaRPr lang="en-US"/>
        </a:p>
      </dgm:t>
    </dgm:pt>
    <dgm:pt modelId="{FB740930-E894-465F-A6CD-FA1CEA706B89}">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Analyze Results</a:t>
          </a:r>
          <a:endParaRPr lang="en-US" sz="1000" dirty="0">
            <a:latin typeface="Arial" panose="020B0604020202020204" pitchFamily="34" charset="0"/>
            <a:cs typeface="Arial" panose="020B0604020202020204" pitchFamily="34" charset="0"/>
          </a:endParaRPr>
        </a:p>
      </dgm:t>
    </dgm:pt>
    <dgm:pt modelId="{26342BE4-BE51-4CD0-AA92-A265C039B2CA}" type="parTrans" cxnId="{85626B45-8C37-4D2E-B369-F91559AAE28E}">
      <dgm:prSet/>
      <dgm:spPr/>
      <dgm:t>
        <a:bodyPr/>
        <a:lstStyle/>
        <a:p>
          <a:endParaRPr lang="en-US"/>
        </a:p>
      </dgm:t>
    </dgm:pt>
    <dgm:pt modelId="{EBF9F176-80E2-40F1-98B8-375BC3C663ED}" type="sibTrans" cxnId="{85626B45-8C37-4D2E-B369-F91559AAE28E}">
      <dgm:prSet/>
      <dgm:spPr>
        <a:solidFill>
          <a:srgbClr val="156570"/>
        </a:solidFill>
        <a:ln>
          <a:solidFill>
            <a:srgbClr val="156570"/>
          </a:solidFill>
        </a:ln>
      </dgm:spPr>
      <dgm:t>
        <a:bodyPr/>
        <a:lstStyle/>
        <a:p>
          <a:endParaRPr lang="en-US"/>
        </a:p>
      </dgm:t>
    </dgm:pt>
    <dgm:pt modelId="{71922EEB-8951-4613-8B80-67BCDE5150E7}">
      <dgm:prSet custT="1"/>
      <dgm:spPr>
        <a:solidFill>
          <a:srgbClr val="156570"/>
        </a:solidFill>
        <a:ln>
          <a:solidFill>
            <a:srgbClr val="156570"/>
          </a:solidFill>
        </a:ln>
      </dgm:spPr>
      <dgm:t>
        <a:bodyPr/>
        <a:lstStyle/>
        <a:p>
          <a:r>
            <a:rPr lang="en-US" sz="1000" dirty="0">
              <a:latin typeface="Arial" panose="020B0604020202020204" pitchFamily="34" charset="0"/>
              <a:cs typeface="Arial" panose="020B0604020202020204" pitchFamily="34" charset="0"/>
            </a:rPr>
            <a:t>Analyze Market Risk</a:t>
          </a:r>
        </a:p>
      </dgm:t>
    </dgm:pt>
    <dgm:pt modelId="{9824D77D-0EF1-442C-8C0F-EE22068B1582}" type="parTrans" cxnId="{162F99F2-01CB-437B-97B2-84B57E8E399E}">
      <dgm:prSet/>
      <dgm:spPr/>
      <dgm:t>
        <a:bodyPr/>
        <a:lstStyle/>
        <a:p>
          <a:endParaRPr lang="en-US"/>
        </a:p>
      </dgm:t>
    </dgm:pt>
    <dgm:pt modelId="{70F93FD8-DFEC-49BD-9A74-D908D0185630}" type="sibTrans" cxnId="{162F99F2-01CB-437B-97B2-84B57E8E399E}">
      <dgm:prSet/>
      <dgm:spPr>
        <a:solidFill>
          <a:srgbClr val="156570"/>
        </a:solidFill>
        <a:ln>
          <a:solidFill>
            <a:srgbClr val="156570"/>
          </a:solidFill>
        </a:ln>
      </dgm:spPr>
      <dgm:t>
        <a:bodyPr/>
        <a:lstStyle/>
        <a:p>
          <a:endParaRPr lang="en-US"/>
        </a:p>
      </dgm:t>
    </dgm:pt>
    <dgm:pt modelId="{C5458142-A79A-4533-8AEF-4ED85E57A472}">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Establish             Resource Needs</a:t>
          </a:r>
          <a:endParaRPr lang="en-US" sz="1000" dirty="0">
            <a:latin typeface="Arial" panose="020B0604020202020204" pitchFamily="34" charset="0"/>
            <a:cs typeface="Arial" panose="020B0604020202020204" pitchFamily="34" charset="0"/>
          </a:endParaRPr>
        </a:p>
      </dgm:t>
    </dgm:pt>
    <dgm:pt modelId="{027BCA59-0C79-42E9-90BC-E2143DAE59CE}" type="sibTrans" cxnId="{6C512B7D-89C8-4A8E-ACF7-1F98479DCA0E}">
      <dgm:prSet/>
      <dgm:spPr>
        <a:solidFill>
          <a:srgbClr val="156570"/>
        </a:solidFill>
        <a:ln>
          <a:solidFill>
            <a:srgbClr val="156570"/>
          </a:solidFill>
        </a:ln>
      </dgm:spPr>
      <dgm:t>
        <a:bodyPr/>
        <a:lstStyle/>
        <a:p>
          <a:endParaRPr lang="en-US"/>
        </a:p>
      </dgm:t>
    </dgm:pt>
    <dgm:pt modelId="{92051A9B-617C-4348-8697-5DC3F78BF68D}" type="parTrans" cxnId="{6C512B7D-89C8-4A8E-ACF7-1F98479DCA0E}">
      <dgm:prSet/>
      <dgm:spPr/>
      <dgm:t>
        <a:bodyPr/>
        <a:lstStyle/>
        <a:p>
          <a:endParaRPr lang="en-US"/>
        </a:p>
      </dgm:t>
    </dgm:pt>
    <dgm:pt modelId="{187ADC7F-0783-4AAD-9BFA-5AB94CD3E2E5}" type="pres">
      <dgm:prSet presAssocID="{56363E4E-885F-46C4-A0E9-E01A0C6785E6}" presName="cycle" presStyleCnt="0">
        <dgm:presLayoutVars>
          <dgm:dir/>
          <dgm:resizeHandles val="exact"/>
        </dgm:presLayoutVars>
      </dgm:prSet>
      <dgm:spPr/>
      <dgm:t>
        <a:bodyPr/>
        <a:lstStyle/>
        <a:p>
          <a:endParaRPr lang="en-US"/>
        </a:p>
      </dgm:t>
    </dgm:pt>
    <dgm:pt modelId="{C885EC70-3487-4092-BF87-F8B62F2F9317}" type="pres">
      <dgm:prSet presAssocID="{C5458142-A79A-4533-8AEF-4ED85E57A472}" presName="node" presStyleLbl="node1" presStyleIdx="0" presStyleCnt="7">
        <dgm:presLayoutVars>
          <dgm:bulletEnabled val="1"/>
        </dgm:presLayoutVars>
      </dgm:prSet>
      <dgm:spPr/>
      <dgm:t>
        <a:bodyPr/>
        <a:lstStyle/>
        <a:p>
          <a:endParaRPr lang="en-US"/>
        </a:p>
      </dgm:t>
    </dgm:pt>
    <dgm:pt modelId="{E6394890-7204-4AEC-A67A-FC128C8B44B1}" type="pres">
      <dgm:prSet presAssocID="{C5458142-A79A-4533-8AEF-4ED85E57A472}" presName="spNode" presStyleCnt="0"/>
      <dgm:spPr/>
      <dgm:t>
        <a:bodyPr/>
        <a:lstStyle/>
        <a:p>
          <a:endParaRPr lang="en-US"/>
        </a:p>
      </dgm:t>
    </dgm:pt>
    <dgm:pt modelId="{AB3EAF64-A96E-47AE-A168-2FBADECDA3A8}" type="pres">
      <dgm:prSet presAssocID="{027BCA59-0C79-42E9-90BC-E2143DAE59CE}" presName="sibTrans" presStyleLbl="sibTrans1D1" presStyleIdx="0" presStyleCnt="7"/>
      <dgm:spPr/>
      <dgm:t>
        <a:bodyPr/>
        <a:lstStyle/>
        <a:p>
          <a:endParaRPr lang="en-US"/>
        </a:p>
      </dgm:t>
    </dgm:pt>
    <dgm:pt modelId="{2747A0B0-2606-42AA-B673-2585FD664FD1}" type="pres">
      <dgm:prSet presAssocID="{FD252C8F-CFC0-4622-958C-323021705A74}" presName="node" presStyleLbl="node1" presStyleIdx="1" presStyleCnt="7">
        <dgm:presLayoutVars>
          <dgm:bulletEnabled val="1"/>
        </dgm:presLayoutVars>
      </dgm:prSet>
      <dgm:spPr/>
      <dgm:t>
        <a:bodyPr/>
        <a:lstStyle/>
        <a:p>
          <a:endParaRPr lang="en-US"/>
        </a:p>
      </dgm:t>
    </dgm:pt>
    <dgm:pt modelId="{254EEAA9-1CFA-45E0-BAB4-C93BDA6EC993}" type="pres">
      <dgm:prSet presAssocID="{FD252C8F-CFC0-4622-958C-323021705A74}" presName="spNode" presStyleCnt="0"/>
      <dgm:spPr/>
      <dgm:t>
        <a:bodyPr/>
        <a:lstStyle/>
        <a:p>
          <a:endParaRPr lang="en-US"/>
        </a:p>
      </dgm:t>
    </dgm:pt>
    <dgm:pt modelId="{78643BAC-5B2A-4281-8DFD-9912DDBD067A}" type="pres">
      <dgm:prSet presAssocID="{FD0D17BB-6C83-4BCC-AFD6-215704517345}" presName="sibTrans" presStyleLbl="sibTrans1D1" presStyleIdx="1" presStyleCnt="7"/>
      <dgm:spPr/>
      <dgm:t>
        <a:bodyPr/>
        <a:lstStyle/>
        <a:p>
          <a:endParaRPr lang="en-US"/>
        </a:p>
      </dgm:t>
    </dgm:pt>
    <dgm:pt modelId="{F18F486F-E943-4269-9F8A-7CD730F87ADD}" type="pres">
      <dgm:prSet presAssocID="{3227A9EB-69B5-481E-89F4-8BFAAF9E31A5}" presName="node" presStyleLbl="node1" presStyleIdx="2" presStyleCnt="7">
        <dgm:presLayoutVars>
          <dgm:bulletEnabled val="1"/>
        </dgm:presLayoutVars>
      </dgm:prSet>
      <dgm:spPr/>
      <dgm:t>
        <a:bodyPr/>
        <a:lstStyle/>
        <a:p>
          <a:endParaRPr lang="en-US"/>
        </a:p>
      </dgm:t>
    </dgm:pt>
    <dgm:pt modelId="{F037DB1C-2FFE-40CC-9571-53C30EA8C107}" type="pres">
      <dgm:prSet presAssocID="{3227A9EB-69B5-481E-89F4-8BFAAF9E31A5}" presName="spNode" presStyleCnt="0"/>
      <dgm:spPr/>
      <dgm:t>
        <a:bodyPr/>
        <a:lstStyle/>
        <a:p>
          <a:endParaRPr lang="en-US"/>
        </a:p>
      </dgm:t>
    </dgm:pt>
    <dgm:pt modelId="{6AA09B05-B6B1-44D2-834A-D23654075E80}" type="pres">
      <dgm:prSet presAssocID="{9BBADF01-113C-467A-B4DC-E950A34918B1}" presName="sibTrans" presStyleLbl="sibTrans1D1" presStyleIdx="2" presStyleCnt="7"/>
      <dgm:spPr/>
      <dgm:t>
        <a:bodyPr/>
        <a:lstStyle/>
        <a:p>
          <a:endParaRPr lang="en-US"/>
        </a:p>
      </dgm:t>
    </dgm:pt>
    <dgm:pt modelId="{DCE450DC-075D-4800-B1B3-4CDD0802EAA6}" type="pres">
      <dgm:prSet presAssocID="{71922EEB-8951-4613-8B80-67BCDE5150E7}" presName="node" presStyleLbl="node1" presStyleIdx="3" presStyleCnt="7">
        <dgm:presLayoutVars>
          <dgm:bulletEnabled val="1"/>
        </dgm:presLayoutVars>
      </dgm:prSet>
      <dgm:spPr/>
      <dgm:t>
        <a:bodyPr/>
        <a:lstStyle/>
        <a:p>
          <a:endParaRPr lang="en-US"/>
        </a:p>
      </dgm:t>
    </dgm:pt>
    <dgm:pt modelId="{526D2CF0-B74C-4EFA-8714-C734C799624C}" type="pres">
      <dgm:prSet presAssocID="{71922EEB-8951-4613-8B80-67BCDE5150E7}" presName="spNode" presStyleCnt="0"/>
      <dgm:spPr/>
      <dgm:t>
        <a:bodyPr/>
        <a:lstStyle/>
        <a:p>
          <a:endParaRPr lang="en-US"/>
        </a:p>
      </dgm:t>
    </dgm:pt>
    <dgm:pt modelId="{EE6CFCF7-3009-4ED9-B464-EF08EBEA4BF2}" type="pres">
      <dgm:prSet presAssocID="{70F93FD8-DFEC-49BD-9A74-D908D0185630}" presName="sibTrans" presStyleLbl="sibTrans1D1" presStyleIdx="3" presStyleCnt="7"/>
      <dgm:spPr/>
      <dgm:t>
        <a:bodyPr/>
        <a:lstStyle/>
        <a:p>
          <a:endParaRPr lang="en-US"/>
        </a:p>
      </dgm:t>
    </dgm:pt>
    <dgm:pt modelId="{D880854A-AF27-4A38-8DB1-EAF9AD97448E}" type="pres">
      <dgm:prSet presAssocID="{FB740930-E894-465F-A6CD-FA1CEA706B89}" presName="node" presStyleLbl="node1" presStyleIdx="4" presStyleCnt="7">
        <dgm:presLayoutVars>
          <dgm:bulletEnabled val="1"/>
        </dgm:presLayoutVars>
      </dgm:prSet>
      <dgm:spPr/>
      <dgm:t>
        <a:bodyPr/>
        <a:lstStyle/>
        <a:p>
          <a:endParaRPr lang="en-US"/>
        </a:p>
      </dgm:t>
    </dgm:pt>
    <dgm:pt modelId="{5DE161AF-BD76-488C-85AD-3AB4B86994F0}" type="pres">
      <dgm:prSet presAssocID="{FB740930-E894-465F-A6CD-FA1CEA706B89}" presName="spNode" presStyleCnt="0"/>
      <dgm:spPr/>
      <dgm:t>
        <a:bodyPr/>
        <a:lstStyle/>
        <a:p>
          <a:endParaRPr lang="en-US"/>
        </a:p>
      </dgm:t>
    </dgm:pt>
    <dgm:pt modelId="{6F8B7423-3725-4547-940F-B946B8DCD0FD}" type="pres">
      <dgm:prSet presAssocID="{EBF9F176-80E2-40F1-98B8-375BC3C663ED}" presName="sibTrans" presStyleLbl="sibTrans1D1" presStyleIdx="4" presStyleCnt="7"/>
      <dgm:spPr/>
      <dgm:t>
        <a:bodyPr/>
        <a:lstStyle/>
        <a:p>
          <a:endParaRPr lang="en-US"/>
        </a:p>
      </dgm:t>
    </dgm:pt>
    <dgm:pt modelId="{8F689025-B867-42AE-9531-33DB20A6C3A5}" type="pres">
      <dgm:prSet presAssocID="{6AD48BF1-985D-4E6C-8133-BFF9BA5BDE0D}" presName="node" presStyleLbl="node1" presStyleIdx="5" presStyleCnt="7">
        <dgm:presLayoutVars>
          <dgm:bulletEnabled val="1"/>
        </dgm:presLayoutVars>
      </dgm:prSet>
      <dgm:spPr/>
      <dgm:t>
        <a:bodyPr/>
        <a:lstStyle/>
        <a:p>
          <a:endParaRPr lang="en-US"/>
        </a:p>
      </dgm:t>
    </dgm:pt>
    <dgm:pt modelId="{86D66C5C-2D21-46EF-B0E5-CF59641309D4}" type="pres">
      <dgm:prSet presAssocID="{6AD48BF1-985D-4E6C-8133-BFF9BA5BDE0D}" presName="spNode" presStyleCnt="0"/>
      <dgm:spPr/>
      <dgm:t>
        <a:bodyPr/>
        <a:lstStyle/>
        <a:p>
          <a:endParaRPr lang="en-US"/>
        </a:p>
      </dgm:t>
    </dgm:pt>
    <dgm:pt modelId="{7C5BA10D-BAF1-4F6D-9C39-8F6FD9E9AB6B}" type="pres">
      <dgm:prSet presAssocID="{EBC809D7-A893-47AB-8357-4F94D1BE8561}" presName="sibTrans" presStyleLbl="sibTrans1D1" presStyleIdx="5" presStyleCnt="7"/>
      <dgm:spPr/>
      <dgm:t>
        <a:bodyPr/>
        <a:lstStyle/>
        <a:p>
          <a:endParaRPr lang="en-US"/>
        </a:p>
      </dgm:t>
    </dgm:pt>
    <dgm:pt modelId="{54D94A86-33D3-4689-BD12-3A42EBE61067}" type="pres">
      <dgm:prSet presAssocID="{FB6685F8-C964-4FB8-9029-75D2AB1F538C}" presName="node" presStyleLbl="node1" presStyleIdx="6" presStyleCnt="7">
        <dgm:presLayoutVars>
          <dgm:bulletEnabled val="1"/>
        </dgm:presLayoutVars>
      </dgm:prSet>
      <dgm:spPr/>
      <dgm:t>
        <a:bodyPr/>
        <a:lstStyle/>
        <a:p>
          <a:endParaRPr lang="en-US"/>
        </a:p>
      </dgm:t>
    </dgm:pt>
    <dgm:pt modelId="{16C6844E-0385-4302-9483-38CD32EFFA71}" type="pres">
      <dgm:prSet presAssocID="{FB6685F8-C964-4FB8-9029-75D2AB1F538C}" presName="spNode" presStyleCnt="0"/>
      <dgm:spPr/>
      <dgm:t>
        <a:bodyPr/>
        <a:lstStyle/>
        <a:p>
          <a:endParaRPr lang="en-US"/>
        </a:p>
      </dgm:t>
    </dgm:pt>
    <dgm:pt modelId="{6DEA5942-2340-4773-B852-92117FEC3249}" type="pres">
      <dgm:prSet presAssocID="{FF3AED98-FF34-4338-BA23-E4F14C6A106B}" presName="sibTrans" presStyleLbl="sibTrans1D1" presStyleIdx="6" presStyleCnt="7"/>
      <dgm:spPr/>
      <dgm:t>
        <a:bodyPr/>
        <a:lstStyle/>
        <a:p>
          <a:endParaRPr lang="en-US"/>
        </a:p>
      </dgm:t>
    </dgm:pt>
  </dgm:ptLst>
  <dgm:cxnLst>
    <dgm:cxn modelId="{85626B45-8C37-4D2E-B369-F91559AAE28E}" srcId="{56363E4E-885F-46C4-A0E9-E01A0C6785E6}" destId="{FB740930-E894-465F-A6CD-FA1CEA706B89}" srcOrd="4" destOrd="0" parTransId="{26342BE4-BE51-4CD0-AA92-A265C039B2CA}" sibTransId="{EBF9F176-80E2-40F1-98B8-375BC3C663ED}"/>
    <dgm:cxn modelId="{909F0104-A136-44BF-994C-6AADF95BA751}" type="presOf" srcId="{FB740930-E894-465F-A6CD-FA1CEA706B89}" destId="{D880854A-AF27-4A38-8DB1-EAF9AD97448E}" srcOrd="0" destOrd="0" presId="urn:microsoft.com/office/officeart/2005/8/layout/cycle5"/>
    <dgm:cxn modelId="{D510A552-7C5C-40F6-BEB0-C8C69AA069E8}" srcId="{56363E4E-885F-46C4-A0E9-E01A0C6785E6}" destId="{6AD48BF1-985D-4E6C-8133-BFF9BA5BDE0D}" srcOrd="5" destOrd="0" parTransId="{68CA9A19-6026-4E22-984B-8940A7CE28DE}" sibTransId="{EBC809D7-A893-47AB-8357-4F94D1BE8561}"/>
    <dgm:cxn modelId="{D1BE2684-DB08-4717-AB97-4D8A9B8E4876}" srcId="{56363E4E-885F-46C4-A0E9-E01A0C6785E6}" destId="{3227A9EB-69B5-481E-89F4-8BFAAF9E31A5}" srcOrd="2" destOrd="0" parTransId="{40D2A1DD-7E23-4470-8363-C421D6F40A77}" sibTransId="{9BBADF01-113C-467A-B4DC-E950A34918B1}"/>
    <dgm:cxn modelId="{508BF770-ECFF-4B1F-AB37-91D272B36B94}" type="presOf" srcId="{FD252C8F-CFC0-4622-958C-323021705A74}" destId="{2747A0B0-2606-42AA-B673-2585FD664FD1}" srcOrd="0" destOrd="0" presId="urn:microsoft.com/office/officeart/2005/8/layout/cycle5"/>
    <dgm:cxn modelId="{A0F5D502-E7F5-4F0E-B4A8-09C3CC986A6F}" type="presOf" srcId="{56363E4E-885F-46C4-A0E9-E01A0C6785E6}" destId="{187ADC7F-0783-4AAD-9BFA-5AB94CD3E2E5}" srcOrd="0" destOrd="0" presId="urn:microsoft.com/office/officeart/2005/8/layout/cycle5"/>
    <dgm:cxn modelId="{2B8A7C06-97F7-4B42-8E38-18B1AEB73DF2}" type="presOf" srcId="{71922EEB-8951-4613-8B80-67BCDE5150E7}" destId="{DCE450DC-075D-4800-B1B3-4CDD0802EAA6}" srcOrd="0" destOrd="0" presId="urn:microsoft.com/office/officeart/2005/8/layout/cycle5"/>
    <dgm:cxn modelId="{5CA05261-B477-46E3-8BAC-BA0E4A93D7FF}" type="presOf" srcId="{C5458142-A79A-4533-8AEF-4ED85E57A472}" destId="{C885EC70-3487-4092-BF87-F8B62F2F9317}" srcOrd="0" destOrd="0" presId="urn:microsoft.com/office/officeart/2005/8/layout/cycle5"/>
    <dgm:cxn modelId="{5B304B89-E3C8-4DBD-9862-C25B73E34A94}" type="presOf" srcId="{FF3AED98-FF34-4338-BA23-E4F14C6A106B}" destId="{6DEA5942-2340-4773-B852-92117FEC3249}" srcOrd="0" destOrd="0" presId="urn:microsoft.com/office/officeart/2005/8/layout/cycle5"/>
    <dgm:cxn modelId="{FFC263E5-6C9A-4A91-ABD0-E084FC5AE9C5}" type="presOf" srcId="{FD0D17BB-6C83-4BCC-AFD6-215704517345}" destId="{78643BAC-5B2A-4281-8DFD-9912DDBD067A}" srcOrd="0" destOrd="0" presId="urn:microsoft.com/office/officeart/2005/8/layout/cycle5"/>
    <dgm:cxn modelId="{6C512B7D-89C8-4A8E-ACF7-1F98479DCA0E}" srcId="{56363E4E-885F-46C4-A0E9-E01A0C6785E6}" destId="{C5458142-A79A-4533-8AEF-4ED85E57A472}" srcOrd="0" destOrd="0" parTransId="{92051A9B-617C-4348-8697-5DC3F78BF68D}" sibTransId="{027BCA59-0C79-42E9-90BC-E2143DAE59CE}"/>
    <dgm:cxn modelId="{8D19512D-C33C-480B-9DDB-C4374F2A8C63}" srcId="{56363E4E-885F-46C4-A0E9-E01A0C6785E6}" destId="{FD252C8F-CFC0-4622-958C-323021705A74}" srcOrd="1" destOrd="0" parTransId="{6343E4C3-9583-4E5F-860A-8CD5C90FF303}" sibTransId="{FD0D17BB-6C83-4BCC-AFD6-215704517345}"/>
    <dgm:cxn modelId="{6B82C76A-B344-4B4A-8F1B-ABFBB58FC881}" type="presOf" srcId="{70F93FD8-DFEC-49BD-9A74-D908D0185630}" destId="{EE6CFCF7-3009-4ED9-B464-EF08EBEA4BF2}" srcOrd="0" destOrd="0" presId="urn:microsoft.com/office/officeart/2005/8/layout/cycle5"/>
    <dgm:cxn modelId="{C63F94B7-2F2B-440E-89E2-62FF77705BC5}" type="presOf" srcId="{027BCA59-0C79-42E9-90BC-E2143DAE59CE}" destId="{AB3EAF64-A96E-47AE-A168-2FBADECDA3A8}" srcOrd="0" destOrd="0" presId="urn:microsoft.com/office/officeart/2005/8/layout/cycle5"/>
    <dgm:cxn modelId="{5C409954-9BB0-45D1-BA50-5887BC1E77EF}" type="presOf" srcId="{EBF9F176-80E2-40F1-98B8-375BC3C663ED}" destId="{6F8B7423-3725-4547-940F-B946B8DCD0FD}" srcOrd="0" destOrd="0" presId="urn:microsoft.com/office/officeart/2005/8/layout/cycle5"/>
    <dgm:cxn modelId="{CD9C36FB-0625-4391-99D1-F12B17BA7E75}" type="presOf" srcId="{EBC809D7-A893-47AB-8357-4F94D1BE8561}" destId="{7C5BA10D-BAF1-4F6D-9C39-8F6FD9E9AB6B}" srcOrd="0" destOrd="0" presId="urn:microsoft.com/office/officeart/2005/8/layout/cycle5"/>
    <dgm:cxn modelId="{162F99F2-01CB-437B-97B2-84B57E8E399E}" srcId="{56363E4E-885F-46C4-A0E9-E01A0C6785E6}" destId="{71922EEB-8951-4613-8B80-67BCDE5150E7}" srcOrd="3" destOrd="0" parTransId="{9824D77D-0EF1-442C-8C0F-EE22068B1582}" sibTransId="{70F93FD8-DFEC-49BD-9A74-D908D0185630}"/>
    <dgm:cxn modelId="{53649C60-A2C1-460E-9229-3AB755E48A54}" type="presOf" srcId="{6AD48BF1-985D-4E6C-8133-BFF9BA5BDE0D}" destId="{8F689025-B867-42AE-9531-33DB20A6C3A5}" srcOrd="0" destOrd="0" presId="urn:microsoft.com/office/officeart/2005/8/layout/cycle5"/>
    <dgm:cxn modelId="{5C3D9407-845A-4875-A471-B7DCFFE88BA0}" type="presOf" srcId="{9BBADF01-113C-467A-B4DC-E950A34918B1}" destId="{6AA09B05-B6B1-44D2-834A-D23654075E80}" srcOrd="0" destOrd="0" presId="urn:microsoft.com/office/officeart/2005/8/layout/cycle5"/>
    <dgm:cxn modelId="{9728E14A-090B-4ECD-9D2C-DFF3F47F138D}" srcId="{56363E4E-885F-46C4-A0E9-E01A0C6785E6}" destId="{FB6685F8-C964-4FB8-9029-75D2AB1F538C}" srcOrd="6" destOrd="0" parTransId="{E464C486-5F6E-4036-B42E-B68D2D923E7A}" sibTransId="{FF3AED98-FF34-4338-BA23-E4F14C6A106B}"/>
    <dgm:cxn modelId="{B3B92E31-D42B-41CC-9380-13324074E329}" type="presOf" srcId="{FB6685F8-C964-4FB8-9029-75D2AB1F538C}" destId="{54D94A86-33D3-4689-BD12-3A42EBE61067}" srcOrd="0" destOrd="0" presId="urn:microsoft.com/office/officeart/2005/8/layout/cycle5"/>
    <dgm:cxn modelId="{C8985CE4-6A73-4EFF-BAC1-71579604EC7B}" type="presOf" srcId="{3227A9EB-69B5-481E-89F4-8BFAAF9E31A5}" destId="{F18F486F-E943-4269-9F8A-7CD730F87ADD}" srcOrd="0" destOrd="0" presId="urn:microsoft.com/office/officeart/2005/8/layout/cycle5"/>
    <dgm:cxn modelId="{FE1456DA-2CA7-4EB4-BAC7-B2D48B623665}" type="presParOf" srcId="{187ADC7F-0783-4AAD-9BFA-5AB94CD3E2E5}" destId="{C885EC70-3487-4092-BF87-F8B62F2F9317}" srcOrd="0" destOrd="0" presId="urn:microsoft.com/office/officeart/2005/8/layout/cycle5"/>
    <dgm:cxn modelId="{EA179CF2-F972-404F-A503-4C1D57B8EF35}" type="presParOf" srcId="{187ADC7F-0783-4AAD-9BFA-5AB94CD3E2E5}" destId="{E6394890-7204-4AEC-A67A-FC128C8B44B1}" srcOrd="1" destOrd="0" presId="urn:microsoft.com/office/officeart/2005/8/layout/cycle5"/>
    <dgm:cxn modelId="{78C32431-46F7-4277-8DE9-7BDC5F0906FE}" type="presParOf" srcId="{187ADC7F-0783-4AAD-9BFA-5AB94CD3E2E5}" destId="{AB3EAF64-A96E-47AE-A168-2FBADECDA3A8}" srcOrd="2" destOrd="0" presId="urn:microsoft.com/office/officeart/2005/8/layout/cycle5"/>
    <dgm:cxn modelId="{23276F1E-511D-42C7-BD85-9660DDAB0692}" type="presParOf" srcId="{187ADC7F-0783-4AAD-9BFA-5AB94CD3E2E5}" destId="{2747A0B0-2606-42AA-B673-2585FD664FD1}" srcOrd="3" destOrd="0" presId="urn:microsoft.com/office/officeart/2005/8/layout/cycle5"/>
    <dgm:cxn modelId="{37584FAE-AF0D-4C21-AFE2-5470D3D80697}" type="presParOf" srcId="{187ADC7F-0783-4AAD-9BFA-5AB94CD3E2E5}" destId="{254EEAA9-1CFA-45E0-BAB4-C93BDA6EC993}" srcOrd="4" destOrd="0" presId="urn:microsoft.com/office/officeart/2005/8/layout/cycle5"/>
    <dgm:cxn modelId="{8E4302A4-0CFD-4ABF-8BD2-BD42BA77D7E2}" type="presParOf" srcId="{187ADC7F-0783-4AAD-9BFA-5AB94CD3E2E5}" destId="{78643BAC-5B2A-4281-8DFD-9912DDBD067A}" srcOrd="5" destOrd="0" presId="urn:microsoft.com/office/officeart/2005/8/layout/cycle5"/>
    <dgm:cxn modelId="{C37452FF-C4AA-4C7C-8789-DC710FD9736E}" type="presParOf" srcId="{187ADC7F-0783-4AAD-9BFA-5AB94CD3E2E5}" destId="{F18F486F-E943-4269-9F8A-7CD730F87ADD}" srcOrd="6" destOrd="0" presId="urn:microsoft.com/office/officeart/2005/8/layout/cycle5"/>
    <dgm:cxn modelId="{1DC46DE2-655F-42FA-891B-E7CCB5C883BE}" type="presParOf" srcId="{187ADC7F-0783-4AAD-9BFA-5AB94CD3E2E5}" destId="{F037DB1C-2FFE-40CC-9571-53C30EA8C107}" srcOrd="7" destOrd="0" presId="urn:microsoft.com/office/officeart/2005/8/layout/cycle5"/>
    <dgm:cxn modelId="{6586FC2D-99BF-466A-91DA-1A6AC60B9998}" type="presParOf" srcId="{187ADC7F-0783-4AAD-9BFA-5AB94CD3E2E5}" destId="{6AA09B05-B6B1-44D2-834A-D23654075E80}" srcOrd="8" destOrd="0" presId="urn:microsoft.com/office/officeart/2005/8/layout/cycle5"/>
    <dgm:cxn modelId="{4F298CD6-64C9-44D9-9DF3-7B40FC943D76}" type="presParOf" srcId="{187ADC7F-0783-4AAD-9BFA-5AB94CD3E2E5}" destId="{DCE450DC-075D-4800-B1B3-4CDD0802EAA6}" srcOrd="9" destOrd="0" presId="urn:microsoft.com/office/officeart/2005/8/layout/cycle5"/>
    <dgm:cxn modelId="{ED1D7F7E-138F-426F-9A63-32326B602215}" type="presParOf" srcId="{187ADC7F-0783-4AAD-9BFA-5AB94CD3E2E5}" destId="{526D2CF0-B74C-4EFA-8714-C734C799624C}" srcOrd="10" destOrd="0" presId="urn:microsoft.com/office/officeart/2005/8/layout/cycle5"/>
    <dgm:cxn modelId="{0CE6E2FD-B62A-4317-8E59-CB70B2F57963}" type="presParOf" srcId="{187ADC7F-0783-4AAD-9BFA-5AB94CD3E2E5}" destId="{EE6CFCF7-3009-4ED9-B464-EF08EBEA4BF2}" srcOrd="11" destOrd="0" presId="urn:microsoft.com/office/officeart/2005/8/layout/cycle5"/>
    <dgm:cxn modelId="{D78BA9A6-69C8-463A-9E1A-531CFEE1F1FA}" type="presParOf" srcId="{187ADC7F-0783-4AAD-9BFA-5AB94CD3E2E5}" destId="{D880854A-AF27-4A38-8DB1-EAF9AD97448E}" srcOrd="12" destOrd="0" presId="urn:microsoft.com/office/officeart/2005/8/layout/cycle5"/>
    <dgm:cxn modelId="{E6CC4B81-BA3C-455E-827E-3D4C441A72B3}" type="presParOf" srcId="{187ADC7F-0783-4AAD-9BFA-5AB94CD3E2E5}" destId="{5DE161AF-BD76-488C-85AD-3AB4B86994F0}" srcOrd="13" destOrd="0" presId="urn:microsoft.com/office/officeart/2005/8/layout/cycle5"/>
    <dgm:cxn modelId="{2A1693DD-FDD5-4D85-8B46-CCC2B07A5F07}" type="presParOf" srcId="{187ADC7F-0783-4AAD-9BFA-5AB94CD3E2E5}" destId="{6F8B7423-3725-4547-940F-B946B8DCD0FD}" srcOrd="14" destOrd="0" presId="urn:microsoft.com/office/officeart/2005/8/layout/cycle5"/>
    <dgm:cxn modelId="{9BC87405-F3A3-4770-9B08-6CBE6AACA283}" type="presParOf" srcId="{187ADC7F-0783-4AAD-9BFA-5AB94CD3E2E5}" destId="{8F689025-B867-42AE-9531-33DB20A6C3A5}" srcOrd="15" destOrd="0" presId="urn:microsoft.com/office/officeart/2005/8/layout/cycle5"/>
    <dgm:cxn modelId="{0E227770-1571-4F11-A018-CD8B17812A9E}" type="presParOf" srcId="{187ADC7F-0783-4AAD-9BFA-5AB94CD3E2E5}" destId="{86D66C5C-2D21-46EF-B0E5-CF59641309D4}" srcOrd="16" destOrd="0" presId="urn:microsoft.com/office/officeart/2005/8/layout/cycle5"/>
    <dgm:cxn modelId="{733BAEDF-E404-4199-ABF8-2D8B94D328D5}" type="presParOf" srcId="{187ADC7F-0783-4AAD-9BFA-5AB94CD3E2E5}" destId="{7C5BA10D-BAF1-4F6D-9C39-8F6FD9E9AB6B}" srcOrd="17" destOrd="0" presId="urn:microsoft.com/office/officeart/2005/8/layout/cycle5"/>
    <dgm:cxn modelId="{2BBF59D2-A4B4-42A7-B699-5D52C8BDB3EE}" type="presParOf" srcId="{187ADC7F-0783-4AAD-9BFA-5AB94CD3E2E5}" destId="{54D94A86-33D3-4689-BD12-3A42EBE61067}" srcOrd="18" destOrd="0" presId="urn:microsoft.com/office/officeart/2005/8/layout/cycle5"/>
    <dgm:cxn modelId="{78E4A2DE-6B3B-415C-AB1C-BF0377E765B8}" type="presParOf" srcId="{187ADC7F-0783-4AAD-9BFA-5AB94CD3E2E5}" destId="{16C6844E-0385-4302-9483-38CD32EFFA71}" srcOrd="19" destOrd="0" presId="urn:microsoft.com/office/officeart/2005/8/layout/cycle5"/>
    <dgm:cxn modelId="{85BA7C47-49CB-4CC8-89EA-3E242570950C}" type="presParOf" srcId="{187ADC7F-0783-4AAD-9BFA-5AB94CD3E2E5}" destId="{6DEA5942-2340-4773-B852-92117FEC3249}" srcOrd="20" destOrd="0" presId="urn:microsoft.com/office/officeart/2005/8/layout/cycle5"/>
  </dgm:cxnLst>
  <dgm:bg>
    <a:noFill/>
  </dgm:bg>
  <dgm:whole>
    <a:ln>
      <a:noFill/>
    </a:ln>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6363E4E-885F-46C4-A0E9-E01A0C6785E6}"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FD252C8F-CFC0-4622-958C-323021705A74}">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Planning Assumptions &amp; Resource Alternatives</a:t>
          </a:r>
          <a:endParaRPr lang="en-US" sz="1000" dirty="0">
            <a:latin typeface="Arial" panose="020B0604020202020204" pitchFamily="34" charset="0"/>
            <a:cs typeface="Arial" panose="020B0604020202020204" pitchFamily="34" charset="0"/>
          </a:endParaRPr>
        </a:p>
      </dgm:t>
    </dgm:pt>
    <dgm:pt modelId="{6343E4C3-9583-4E5F-860A-8CD5C90FF303}" type="parTrans" cxnId="{8D19512D-C33C-480B-9DDB-C4374F2A8C63}">
      <dgm:prSet/>
      <dgm:spPr/>
      <dgm:t>
        <a:bodyPr/>
        <a:lstStyle/>
        <a:p>
          <a:endParaRPr lang="en-US"/>
        </a:p>
      </dgm:t>
    </dgm:pt>
    <dgm:pt modelId="{FD0D17BB-6C83-4BCC-AFD6-215704517345}" type="sibTrans" cxnId="{8D19512D-C33C-480B-9DDB-C4374F2A8C63}">
      <dgm:prSet/>
      <dgm:spPr>
        <a:solidFill>
          <a:srgbClr val="156570"/>
        </a:solidFill>
        <a:ln>
          <a:solidFill>
            <a:srgbClr val="156570"/>
          </a:solidFill>
        </a:ln>
      </dgm:spPr>
      <dgm:t>
        <a:bodyPr/>
        <a:lstStyle/>
        <a:p>
          <a:endParaRPr lang="en-US"/>
        </a:p>
      </dgm:t>
    </dgm:pt>
    <dgm:pt modelId="{6AD48BF1-985D-4E6C-8133-BFF9BA5BDE0D}">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Make Decisions</a:t>
          </a:r>
          <a:endParaRPr lang="en-US" sz="1000" dirty="0">
            <a:latin typeface="Arial" panose="020B0604020202020204" pitchFamily="34" charset="0"/>
            <a:cs typeface="Arial" panose="020B0604020202020204" pitchFamily="34" charset="0"/>
          </a:endParaRPr>
        </a:p>
      </dgm:t>
    </dgm:pt>
    <dgm:pt modelId="{68CA9A19-6026-4E22-984B-8940A7CE28DE}" type="parTrans" cxnId="{D510A552-7C5C-40F6-BEB0-C8C69AA069E8}">
      <dgm:prSet/>
      <dgm:spPr/>
      <dgm:t>
        <a:bodyPr/>
        <a:lstStyle/>
        <a:p>
          <a:endParaRPr lang="en-US"/>
        </a:p>
      </dgm:t>
    </dgm:pt>
    <dgm:pt modelId="{EBC809D7-A893-47AB-8357-4F94D1BE8561}" type="sibTrans" cxnId="{D510A552-7C5C-40F6-BEB0-C8C69AA069E8}">
      <dgm:prSet/>
      <dgm:spPr>
        <a:solidFill>
          <a:srgbClr val="156570"/>
        </a:solidFill>
        <a:ln>
          <a:solidFill>
            <a:srgbClr val="156570"/>
          </a:solidFill>
        </a:ln>
      </dgm:spPr>
      <dgm:t>
        <a:bodyPr/>
        <a:lstStyle/>
        <a:p>
          <a:endParaRPr lang="en-US"/>
        </a:p>
      </dgm:t>
    </dgm:pt>
    <dgm:pt modelId="{FB6685F8-C964-4FB8-9029-75D2AB1F538C}">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Commit to “Action”</a:t>
          </a:r>
          <a:endParaRPr lang="en-US" sz="1000" dirty="0">
            <a:latin typeface="Arial" panose="020B0604020202020204" pitchFamily="34" charset="0"/>
            <a:cs typeface="Arial" panose="020B0604020202020204" pitchFamily="34" charset="0"/>
          </a:endParaRPr>
        </a:p>
      </dgm:t>
    </dgm:pt>
    <dgm:pt modelId="{E464C486-5F6E-4036-B42E-B68D2D923E7A}" type="parTrans" cxnId="{9728E14A-090B-4ECD-9D2C-DFF3F47F138D}">
      <dgm:prSet/>
      <dgm:spPr/>
      <dgm:t>
        <a:bodyPr/>
        <a:lstStyle/>
        <a:p>
          <a:endParaRPr lang="en-US"/>
        </a:p>
      </dgm:t>
    </dgm:pt>
    <dgm:pt modelId="{FF3AED98-FF34-4338-BA23-E4F14C6A106B}" type="sibTrans" cxnId="{9728E14A-090B-4ECD-9D2C-DFF3F47F138D}">
      <dgm:prSet/>
      <dgm:spPr>
        <a:solidFill>
          <a:srgbClr val="156570"/>
        </a:solidFill>
        <a:ln>
          <a:solidFill>
            <a:srgbClr val="156570"/>
          </a:solidFill>
        </a:ln>
      </dgm:spPr>
      <dgm:t>
        <a:bodyPr/>
        <a:lstStyle/>
        <a:p>
          <a:endParaRPr lang="en-US"/>
        </a:p>
      </dgm:t>
    </dgm:pt>
    <dgm:pt modelId="{3227A9EB-69B5-481E-89F4-8BFAAF9E31A5}">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Analyze Alternatives  and Portfolios </a:t>
          </a:r>
          <a:endParaRPr lang="en-US" sz="1000" dirty="0">
            <a:latin typeface="Arial" panose="020B0604020202020204" pitchFamily="34" charset="0"/>
            <a:cs typeface="Arial" panose="020B0604020202020204" pitchFamily="34" charset="0"/>
          </a:endParaRPr>
        </a:p>
      </dgm:t>
    </dgm:pt>
    <dgm:pt modelId="{40D2A1DD-7E23-4470-8363-C421D6F40A77}" type="parTrans" cxnId="{D1BE2684-DB08-4717-AB97-4D8A9B8E4876}">
      <dgm:prSet/>
      <dgm:spPr/>
      <dgm:t>
        <a:bodyPr/>
        <a:lstStyle/>
        <a:p>
          <a:endParaRPr lang="en-US"/>
        </a:p>
      </dgm:t>
    </dgm:pt>
    <dgm:pt modelId="{9BBADF01-113C-467A-B4DC-E950A34918B1}" type="sibTrans" cxnId="{D1BE2684-DB08-4717-AB97-4D8A9B8E4876}">
      <dgm:prSet/>
      <dgm:spPr>
        <a:solidFill>
          <a:srgbClr val="156570"/>
        </a:solidFill>
        <a:ln>
          <a:solidFill>
            <a:srgbClr val="156570"/>
          </a:solidFill>
        </a:ln>
      </dgm:spPr>
      <dgm:t>
        <a:bodyPr/>
        <a:lstStyle/>
        <a:p>
          <a:endParaRPr lang="en-US"/>
        </a:p>
      </dgm:t>
    </dgm:pt>
    <dgm:pt modelId="{FB740930-E894-465F-A6CD-FA1CEA706B89}">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Analyze Results</a:t>
          </a:r>
          <a:endParaRPr lang="en-US" sz="1000" dirty="0">
            <a:latin typeface="Arial" panose="020B0604020202020204" pitchFamily="34" charset="0"/>
            <a:cs typeface="Arial" panose="020B0604020202020204" pitchFamily="34" charset="0"/>
          </a:endParaRPr>
        </a:p>
      </dgm:t>
    </dgm:pt>
    <dgm:pt modelId="{26342BE4-BE51-4CD0-AA92-A265C039B2CA}" type="parTrans" cxnId="{85626B45-8C37-4D2E-B369-F91559AAE28E}">
      <dgm:prSet/>
      <dgm:spPr/>
      <dgm:t>
        <a:bodyPr/>
        <a:lstStyle/>
        <a:p>
          <a:endParaRPr lang="en-US"/>
        </a:p>
      </dgm:t>
    </dgm:pt>
    <dgm:pt modelId="{EBF9F176-80E2-40F1-98B8-375BC3C663ED}" type="sibTrans" cxnId="{85626B45-8C37-4D2E-B369-F91559AAE28E}">
      <dgm:prSet/>
      <dgm:spPr>
        <a:solidFill>
          <a:srgbClr val="156570"/>
        </a:solidFill>
        <a:ln>
          <a:solidFill>
            <a:srgbClr val="156570"/>
          </a:solidFill>
        </a:ln>
      </dgm:spPr>
      <dgm:t>
        <a:bodyPr/>
        <a:lstStyle/>
        <a:p>
          <a:endParaRPr lang="en-US"/>
        </a:p>
      </dgm:t>
    </dgm:pt>
    <dgm:pt modelId="{71922EEB-8951-4613-8B80-67BCDE5150E7}">
      <dgm:prSet custT="1"/>
      <dgm:spPr>
        <a:solidFill>
          <a:srgbClr val="156570"/>
        </a:solidFill>
        <a:ln>
          <a:solidFill>
            <a:srgbClr val="156570"/>
          </a:solidFill>
        </a:ln>
      </dgm:spPr>
      <dgm:t>
        <a:bodyPr/>
        <a:lstStyle/>
        <a:p>
          <a:r>
            <a:rPr lang="en-US" sz="1000" dirty="0">
              <a:latin typeface="Arial" panose="020B0604020202020204" pitchFamily="34" charset="0"/>
              <a:cs typeface="Arial" panose="020B0604020202020204" pitchFamily="34" charset="0"/>
            </a:rPr>
            <a:t>Analyze Market Risk</a:t>
          </a:r>
        </a:p>
      </dgm:t>
    </dgm:pt>
    <dgm:pt modelId="{9824D77D-0EF1-442C-8C0F-EE22068B1582}" type="parTrans" cxnId="{162F99F2-01CB-437B-97B2-84B57E8E399E}">
      <dgm:prSet/>
      <dgm:spPr/>
      <dgm:t>
        <a:bodyPr/>
        <a:lstStyle/>
        <a:p>
          <a:endParaRPr lang="en-US"/>
        </a:p>
      </dgm:t>
    </dgm:pt>
    <dgm:pt modelId="{70F93FD8-DFEC-49BD-9A74-D908D0185630}" type="sibTrans" cxnId="{162F99F2-01CB-437B-97B2-84B57E8E399E}">
      <dgm:prSet/>
      <dgm:spPr>
        <a:solidFill>
          <a:srgbClr val="156570"/>
        </a:solidFill>
        <a:ln>
          <a:solidFill>
            <a:srgbClr val="156570"/>
          </a:solidFill>
        </a:ln>
      </dgm:spPr>
      <dgm:t>
        <a:bodyPr/>
        <a:lstStyle/>
        <a:p>
          <a:endParaRPr lang="en-US"/>
        </a:p>
      </dgm:t>
    </dgm:pt>
    <dgm:pt modelId="{C5458142-A79A-4533-8AEF-4ED85E57A472}">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Establish             Resource Needs</a:t>
          </a:r>
          <a:endParaRPr lang="en-US" sz="1000" dirty="0">
            <a:latin typeface="Arial" panose="020B0604020202020204" pitchFamily="34" charset="0"/>
            <a:cs typeface="Arial" panose="020B0604020202020204" pitchFamily="34" charset="0"/>
          </a:endParaRPr>
        </a:p>
      </dgm:t>
    </dgm:pt>
    <dgm:pt modelId="{027BCA59-0C79-42E9-90BC-E2143DAE59CE}" type="sibTrans" cxnId="{6C512B7D-89C8-4A8E-ACF7-1F98479DCA0E}">
      <dgm:prSet/>
      <dgm:spPr>
        <a:solidFill>
          <a:srgbClr val="156570"/>
        </a:solidFill>
        <a:ln>
          <a:solidFill>
            <a:srgbClr val="156570"/>
          </a:solidFill>
        </a:ln>
      </dgm:spPr>
      <dgm:t>
        <a:bodyPr/>
        <a:lstStyle/>
        <a:p>
          <a:endParaRPr lang="en-US"/>
        </a:p>
      </dgm:t>
    </dgm:pt>
    <dgm:pt modelId="{92051A9B-617C-4348-8697-5DC3F78BF68D}" type="parTrans" cxnId="{6C512B7D-89C8-4A8E-ACF7-1F98479DCA0E}">
      <dgm:prSet/>
      <dgm:spPr/>
      <dgm:t>
        <a:bodyPr/>
        <a:lstStyle/>
        <a:p>
          <a:endParaRPr lang="en-US"/>
        </a:p>
      </dgm:t>
    </dgm:pt>
    <dgm:pt modelId="{187ADC7F-0783-4AAD-9BFA-5AB94CD3E2E5}" type="pres">
      <dgm:prSet presAssocID="{56363E4E-885F-46C4-A0E9-E01A0C6785E6}" presName="cycle" presStyleCnt="0">
        <dgm:presLayoutVars>
          <dgm:dir/>
          <dgm:resizeHandles val="exact"/>
        </dgm:presLayoutVars>
      </dgm:prSet>
      <dgm:spPr/>
      <dgm:t>
        <a:bodyPr/>
        <a:lstStyle/>
        <a:p>
          <a:endParaRPr lang="en-US"/>
        </a:p>
      </dgm:t>
    </dgm:pt>
    <dgm:pt modelId="{C885EC70-3487-4092-BF87-F8B62F2F9317}" type="pres">
      <dgm:prSet presAssocID="{C5458142-A79A-4533-8AEF-4ED85E57A472}" presName="node" presStyleLbl="node1" presStyleIdx="0" presStyleCnt="7">
        <dgm:presLayoutVars>
          <dgm:bulletEnabled val="1"/>
        </dgm:presLayoutVars>
      </dgm:prSet>
      <dgm:spPr/>
      <dgm:t>
        <a:bodyPr/>
        <a:lstStyle/>
        <a:p>
          <a:endParaRPr lang="en-US"/>
        </a:p>
      </dgm:t>
    </dgm:pt>
    <dgm:pt modelId="{E6394890-7204-4AEC-A67A-FC128C8B44B1}" type="pres">
      <dgm:prSet presAssocID="{C5458142-A79A-4533-8AEF-4ED85E57A472}" presName="spNode" presStyleCnt="0"/>
      <dgm:spPr/>
      <dgm:t>
        <a:bodyPr/>
        <a:lstStyle/>
        <a:p>
          <a:endParaRPr lang="en-US"/>
        </a:p>
      </dgm:t>
    </dgm:pt>
    <dgm:pt modelId="{AB3EAF64-A96E-47AE-A168-2FBADECDA3A8}" type="pres">
      <dgm:prSet presAssocID="{027BCA59-0C79-42E9-90BC-E2143DAE59CE}" presName="sibTrans" presStyleLbl="sibTrans1D1" presStyleIdx="0" presStyleCnt="7"/>
      <dgm:spPr/>
      <dgm:t>
        <a:bodyPr/>
        <a:lstStyle/>
        <a:p>
          <a:endParaRPr lang="en-US"/>
        </a:p>
      </dgm:t>
    </dgm:pt>
    <dgm:pt modelId="{2747A0B0-2606-42AA-B673-2585FD664FD1}" type="pres">
      <dgm:prSet presAssocID="{FD252C8F-CFC0-4622-958C-323021705A74}" presName="node" presStyleLbl="node1" presStyleIdx="1" presStyleCnt="7">
        <dgm:presLayoutVars>
          <dgm:bulletEnabled val="1"/>
        </dgm:presLayoutVars>
      </dgm:prSet>
      <dgm:spPr/>
      <dgm:t>
        <a:bodyPr/>
        <a:lstStyle/>
        <a:p>
          <a:endParaRPr lang="en-US"/>
        </a:p>
      </dgm:t>
    </dgm:pt>
    <dgm:pt modelId="{254EEAA9-1CFA-45E0-BAB4-C93BDA6EC993}" type="pres">
      <dgm:prSet presAssocID="{FD252C8F-CFC0-4622-958C-323021705A74}" presName="spNode" presStyleCnt="0"/>
      <dgm:spPr/>
      <dgm:t>
        <a:bodyPr/>
        <a:lstStyle/>
        <a:p>
          <a:endParaRPr lang="en-US"/>
        </a:p>
      </dgm:t>
    </dgm:pt>
    <dgm:pt modelId="{78643BAC-5B2A-4281-8DFD-9912DDBD067A}" type="pres">
      <dgm:prSet presAssocID="{FD0D17BB-6C83-4BCC-AFD6-215704517345}" presName="sibTrans" presStyleLbl="sibTrans1D1" presStyleIdx="1" presStyleCnt="7"/>
      <dgm:spPr/>
      <dgm:t>
        <a:bodyPr/>
        <a:lstStyle/>
        <a:p>
          <a:endParaRPr lang="en-US"/>
        </a:p>
      </dgm:t>
    </dgm:pt>
    <dgm:pt modelId="{F18F486F-E943-4269-9F8A-7CD730F87ADD}" type="pres">
      <dgm:prSet presAssocID="{3227A9EB-69B5-481E-89F4-8BFAAF9E31A5}" presName="node" presStyleLbl="node1" presStyleIdx="2" presStyleCnt="7">
        <dgm:presLayoutVars>
          <dgm:bulletEnabled val="1"/>
        </dgm:presLayoutVars>
      </dgm:prSet>
      <dgm:spPr/>
      <dgm:t>
        <a:bodyPr/>
        <a:lstStyle/>
        <a:p>
          <a:endParaRPr lang="en-US"/>
        </a:p>
      </dgm:t>
    </dgm:pt>
    <dgm:pt modelId="{F037DB1C-2FFE-40CC-9571-53C30EA8C107}" type="pres">
      <dgm:prSet presAssocID="{3227A9EB-69B5-481E-89F4-8BFAAF9E31A5}" presName="spNode" presStyleCnt="0"/>
      <dgm:spPr/>
      <dgm:t>
        <a:bodyPr/>
        <a:lstStyle/>
        <a:p>
          <a:endParaRPr lang="en-US"/>
        </a:p>
      </dgm:t>
    </dgm:pt>
    <dgm:pt modelId="{6AA09B05-B6B1-44D2-834A-D23654075E80}" type="pres">
      <dgm:prSet presAssocID="{9BBADF01-113C-467A-B4DC-E950A34918B1}" presName="sibTrans" presStyleLbl="sibTrans1D1" presStyleIdx="2" presStyleCnt="7"/>
      <dgm:spPr/>
      <dgm:t>
        <a:bodyPr/>
        <a:lstStyle/>
        <a:p>
          <a:endParaRPr lang="en-US"/>
        </a:p>
      </dgm:t>
    </dgm:pt>
    <dgm:pt modelId="{DCE450DC-075D-4800-B1B3-4CDD0802EAA6}" type="pres">
      <dgm:prSet presAssocID="{71922EEB-8951-4613-8B80-67BCDE5150E7}" presName="node" presStyleLbl="node1" presStyleIdx="3" presStyleCnt="7">
        <dgm:presLayoutVars>
          <dgm:bulletEnabled val="1"/>
        </dgm:presLayoutVars>
      </dgm:prSet>
      <dgm:spPr/>
      <dgm:t>
        <a:bodyPr/>
        <a:lstStyle/>
        <a:p>
          <a:endParaRPr lang="en-US"/>
        </a:p>
      </dgm:t>
    </dgm:pt>
    <dgm:pt modelId="{526D2CF0-B74C-4EFA-8714-C734C799624C}" type="pres">
      <dgm:prSet presAssocID="{71922EEB-8951-4613-8B80-67BCDE5150E7}" presName="spNode" presStyleCnt="0"/>
      <dgm:spPr/>
      <dgm:t>
        <a:bodyPr/>
        <a:lstStyle/>
        <a:p>
          <a:endParaRPr lang="en-US"/>
        </a:p>
      </dgm:t>
    </dgm:pt>
    <dgm:pt modelId="{EE6CFCF7-3009-4ED9-B464-EF08EBEA4BF2}" type="pres">
      <dgm:prSet presAssocID="{70F93FD8-DFEC-49BD-9A74-D908D0185630}" presName="sibTrans" presStyleLbl="sibTrans1D1" presStyleIdx="3" presStyleCnt="7"/>
      <dgm:spPr/>
      <dgm:t>
        <a:bodyPr/>
        <a:lstStyle/>
        <a:p>
          <a:endParaRPr lang="en-US"/>
        </a:p>
      </dgm:t>
    </dgm:pt>
    <dgm:pt modelId="{D880854A-AF27-4A38-8DB1-EAF9AD97448E}" type="pres">
      <dgm:prSet presAssocID="{FB740930-E894-465F-A6CD-FA1CEA706B89}" presName="node" presStyleLbl="node1" presStyleIdx="4" presStyleCnt="7">
        <dgm:presLayoutVars>
          <dgm:bulletEnabled val="1"/>
        </dgm:presLayoutVars>
      </dgm:prSet>
      <dgm:spPr/>
      <dgm:t>
        <a:bodyPr/>
        <a:lstStyle/>
        <a:p>
          <a:endParaRPr lang="en-US"/>
        </a:p>
      </dgm:t>
    </dgm:pt>
    <dgm:pt modelId="{5DE161AF-BD76-488C-85AD-3AB4B86994F0}" type="pres">
      <dgm:prSet presAssocID="{FB740930-E894-465F-A6CD-FA1CEA706B89}" presName="spNode" presStyleCnt="0"/>
      <dgm:spPr/>
      <dgm:t>
        <a:bodyPr/>
        <a:lstStyle/>
        <a:p>
          <a:endParaRPr lang="en-US"/>
        </a:p>
      </dgm:t>
    </dgm:pt>
    <dgm:pt modelId="{6F8B7423-3725-4547-940F-B946B8DCD0FD}" type="pres">
      <dgm:prSet presAssocID="{EBF9F176-80E2-40F1-98B8-375BC3C663ED}" presName="sibTrans" presStyleLbl="sibTrans1D1" presStyleIdx="4" presStyleCnt="7"/>
      <dgm:spPr/>
      <dgm:t>
        <a:bodyPr/>
        <a:lstStyle/>
        <a:p>
          <a:endParaRPr lang="en-US"/>
        </a:p>
      </dgm:t>
    </dgm:pt>
    <dgm:pt modelId="{8F689025-B867-42AE-9531-33DB20A6C3A5}" type="pres">
      <dgm:prSet presAssocID="{6AD48BF1-985D-4E6C-8133-BFF9BA5BDE0D}" presName="node" presStyleLbl="node1" presStyleIdx="5" presStyleCnt="7">
        <dgm:presLayoutVars>
          <dgm:bulletEnabled val="1"/>
        </dgm:presLayoutVars>
      </dgm:prSet>
      <dgm:spPr/>
      <dgm:t>
        <a:bodyPr/>
        <a:lstStyle/>
        <a:p>
          <a:endParaRPr lang="en-US"/>
        </a:p>
      </dgm:t>
    </dgm:pt>
    <dgm:pt modelId="{86D66C5C-2D21-46EF-B0E5-CF59641309D4}" type="pres">
      <dgm:prSet presAssocID="{6AD48BF1-985D-4E6C-8133-BFF9BA5BDE0D}" presName="spNode" presStyleCnt="0"/>
      <dgm:spPr/>
      <dgm:t>
        <a:bodyPr/>
        <a:lstStyle/>
        <a:p>
          <a:endParaRPr lang="en-US"/>
        </a:p>
      </dgm:t>
    </dgm:pt>
    <dgm:pt modelId="{7C5BA10D-BAF1-4F6D-9C39-8F6FD9E9AB6B}" type="pres">
      <dgm:prSet presAssocID="{EBC809D7-A893-47AB-8357-4F94D1BE8561}" presName="sibTrans" presStyleLbl="sibTrans1D1" presStyleIdx="5" presStyleCnt="7"/>
      <dgm:spPr/>
      <dgm:t>
        <a:bodyPr/>
        <a:lstStyle/>
        <a:p>
          <a:endParaRPr lang="en-US"/>
        </a:p>
      </dgm:t>
    </dgm:pt>
    <dgm:pt modelId="{54D94A86-33D3-4689-BD12-3A42EBE61067}" type="pres">
      <dgm:prSet presAssocID="{FB6685F8-C964-4FB8-9029-75D2AB1F538C}" presName="node" presStyleLbl="node1" presStyleIdx="6" presStyleCnt="7">
        <dgm:presLayoutVars>
          <dgm:bulletEnabled val="1"/>
        </dgm:presLayoutVars>
      </dgm:prSet>
      <dgm:spPr/>
      <dgm:t>
        <a:bodyPr/>
        <a:lstStyle/>
        <a:p>
          <a:endParaRPr lang="en-US"/>
        </a:p>
      </dgm:t>
    </dgm:pt>
    <dgm:pt modelId="{16C6844E-0385-4302-9483-38CD32EFFA71}" type="pres">
      <dgm:prSet presAssocID="{FB6685F8-C964-4FB8-9029-75D2AB1F538C}" presName="spNode" presStyleCnt="0"/>
      <dgm:spPr/>
      <dgm:t>
        <a:bodyPr/>
        <a:lstStyle/>
        <a:p>
          <a:endParaRPr lang="en-US"/>
        </a:p>
      </dgm:t>
    </dgm:pt>
    <dgm:pt modelId="{6DEA5942-2340-4773-B852-92117FEC3249}" type="pres">
      <dgm:prSet presAssocID="{FF3AED98-FF34-4338-BA23-E4F14C6A106B}" presName="sibTrans" presStyleLbl="sibTrans1D1" presStyleIdx="6" presStyleCnt="7"/>
      <dgm:spPr/>
      <dgm:t>
        <a:bodyPr/>
        <a:lstStyle/>
        <a:p>
          <a:endParaRPr lang="en-US"/>
        </a:p>
      </dgm:t>
    </dgm:pt>
  </dgm:ptLst>
  <dgm:cxnLst>
    <dgm:cxn modelId="{85626B45-8C37-4D2E-B369-F91559AAE28E}" srcId="{56363E4E-885F-46C4-A0E9-E01A0C6785E6}" destId="{FB740930-E894-465F-A6CD-FA1CEA706B89}" srcOrd="4" destOrd="0" parTransId="{26342BE4-BE51-4CD0-AA92-A265C039B2CA}" sibTransId="{EBF9F176-80E2-40F1-98B8-375BC3C663ED}"/>
    <dgm:cxn modelId="{335FD4F0-23E7-494D-B679-8E3FC61F8C1E}" type="presOf" srcId="{FD0D17BB-6C83-4BCC-AFD6-215704517345}" destId="{78643BAC-5B2A-4281-8DFD-9912DDBD067A}" srcOrd="0" destOrd="0" presId="urn:microsoft.com/office/officeart/2005/8/layout/cycle5"/>
    <dgm:cxn modelId="{D510A552-7C5C-40F6-BEB0-C8C69AA069E8}" srcId="{56363E4E-885F-46C4-A0E9-E01A0C6785E6}" destId="{6AD48BF1-985D-4E6C-8133-BFF9BA5BDE0D}" srcOrd="5" destOrd="0" parTransId="{68CA9A19-6026-4E22-984B-8940A7CE28DE}" sibTransId="{EBC809D7-A893-47AB-8357-4F94D1BE8561}"/>
    <dgm:cxn modelId="{D1BE2684-DB08-4717-AB97-4D8A9B8E4876}" srcId="{56363E4E-885F-46C4-A0E9-E01A0C6785E6}" destId="{3227A9EB-69B5-481E-89F4-8BFAAF9E31A5}" srcOrd="2" destOrd="0" parTransId="{40D2A1DD-7E23-4470-8363-C421D6F40A77}" sibTransId="{9BBADF01-113C-467A-B4DC-E950A34918B1}"/>
    <dgm:cxn modelId="{71C8ED6D-7C43-4FAC-B2E4-40447F415685}" type="presOf" srcId="{FF3AED98-FF34-4338-BA23-E4F14C6A106B}" destId="{6DEA5942-2340-4773-B852-92117FEC3249}" srcOrd="0" destOrd="0" presId="urn:microsoft.com/office/officeart/2005/8/layout/cycle5"/>
    <dgm:cxn modelId="{87CB7FBB-9747-4AEA-A753-9B26B4FA4364}" type="presOf" srcId="{FB740930-E894-465F-A6CD-FA1CEA706B89}" destId="{D880854A-AF27-4A38-8DB1-EAF9AD97448E}" srcOrd="0" destOrd="0" presId="urn:microsoft.com/office/officeart/2005/8/layout/cycle5"/>
    <dgm:cxn modelId="{166C8C7A-7874-4FF6-8E36-9D7E452E794C}" type="presOf" srcId="{56363E4E-885F-46C4-A0E9-E01A0C6785E6}" destId="{187ADC7F-0783-4AAD-9BFA-5AB94CD3E2E5}" srcOrd="0" destOrd="0" presId="urn:microsoft.com/office/officeart/2005/8/layout/cycle5"/>
    <dgm:cxn modelId="{6C512B7D-89C8-4A8E-ACF7-1F98479DCA0E}" srcId="{56363E4E-885F-46C4-A0E9-E01A0C6785E6}" destId="{C5458142-A79A-4533-8AEF-4ED85E57A472}" srcOrd="0" destOrd="0" parTransId="{92051A9B-617C-4348-8697-5DC3F78BF68D}" sibTransId="{027BCA59-0C79-42E9-90BC-E2143DAE59CE}"/>
    <dgm:cxn modelId="{8D19512D-C33C-480B-9DDB-C4374F2A8C63}" srcId="{56363E4E-885F-46C4-A0E9-E01A0C6785E6}" destId="{FD252C8F-CFC0-4622-958C-323021705A74}" srcOrd="1" destOrd="0" parTransId="{6343E4C3-9583-4E5F-860A-8CD5C90FF303}" sibTransId="{FD0D17BB-6C83-4BCC-AFD6-215704517345}"/>
    <dgm:cxn modelId="{96977A52-833B-408B-8FC0-DE195645A4CE}" type="presOf" srcId="{C5458142-A79A-4533-8AEF-4ED85E57A472}" destId="{C885EC70-3487-4092-BF87-F8B62F2F9317}" srcOrd="0" destOrd="0" presId="urn:microsoft.com/office/officeart/2005/8/layout/cycle5"/>
    <dgm:cxn modelId="{8BF6BE92-D5EB-44E2-A46B-4BCCB0B3D01E}" type="presOf" srcId="{EBF9F176-80E2-40F1-98B8-375BC3C663ED}" destId="{6F8B7423-3725-4547-940F-B946B8DCD0FD}" srcOrd="0" destOrd="0" presId="urn:microsoft.com/office/officeart/2005/8/layout/cycle5"/>
    <dgm:cxn modelId="{81D2E0EC-DFD9-4FF1-8018-BE7E86725D82}" type="presOf" srcId="{6AD48BF1-985D-4E6C-8133-BFF9BA5BDE0D}" destId="{8F689025-B867-42AE-9531-33DB20A6C3A5}" srcOrd="0" destOrd="0" presId="urn:microsoft.com/office/officeart/2005/8/layout/cycle5"/>
    <dgm:cxn modelId="{6253E954-49B6-4C58-8AF7-CDEB7D29BFC0}" type="presOf" srcId="{027BCA59-0C79-42E9-90BC-E2143DAE59CE}" destId="{AB3EAF64-A96E-47AE-A168-2FBADECDA3A8}" srcOrd="0" destOrd="0" presId="urn:microsoft.com/office/officeart/2005/8/layout/cycle5"/>
    <dgm:cxn modelId="{B6F6B6D9-35C5-489F-9509-F9B2311DC17E}" type="presOf" srcId="{3227A9EB-69B5-481E-89F4-8BFAAF9E31A5}" destId="{F18F486F-E943-4269-9F8A-7CD730F87ADD}" srcOrd="0" destOrd="0" presId="urn:microsoft.com/office/officeart/2005/8/layout/cycle5"/>
    <dgm:cxn modelId="{C65BE7CE-4618-490E-B438-055D8C903845}" type="presOf" srcId="{FD252C8F-CFC0-4622-958C-323021705A74}" destId="{2747A0B0-2606-42AA-B673-2585FD664FD1}" srcOrd="0" destOrd="0" presId="urn:microsoft.com/office/officeart/2005/8/layout/cycle5"/>
    <dgm:cxn modelId="{A9CE9B5D-E751-49EB-BACA-21BFFC6E5003}" type="presOf" srcId="{9BBADF01-113C-467A-B4DC-E950A34918B1}" destId="{6AA09B05-B6B1-44D2-834A-D23654075E80}" srcOrd="0" destOrd="0" presId="urn:microsoft.com/office/officeart/2005/8/layout/cycle5"/>
    <dgm:cxn modelId="{6BA1317D-28D8-4143-BE7E-6F0AF4474BEA}" type="presOf" srcId="{EBC809D7-A893-47AB-8357-4F94D1BE8561}" destId="{7C5BA10D-BAF1-4F6D-9C39-8F6FD9E9AB6B}" srcOrd="0" destOrd="0" presId="urn:microsoft.com/office/officeart/2005/8/layout/cycle5"/>
    <dgm:cxn modelId="{162F99F2-01CB-437B-97B2-84B57E8E399E}" srcId="{56363E4E-885F-46C4-A0E9-E01A0C6785E6}" destId="{71922EEB-8951-4613-8B80-67BCDE5150E7}" srcOrd="3" destOrd="0" parTransId="{9824D77D-0EF1-442C-8C0F-EE22068B1582}" sibTransId="{70F93FD8-DFEC-49BD-9A74-D908D0185630}"/>
    <dgm:cxn modelId="{C7406E83-DDCC-4682-A5BB-4389E4C2FEF7}" type="presOf" srcId="{FB6685F8-C964-4FB8-9029-75D2AB1F538C}" destId="{54D94A86-33D3-4689-BD12-3A42EBE61067}" srcOrd="0" destOrd="0" presId="urn:microsoft.com/office/officeart/2005/8/layout/cycle5"/>
    <dgm:cxn modelId="{9728E14A-090B-4ECD-9D2C-DFF3F47F138D}" srcId="{56363E4E-885F-46C4-A0E9-E01A0C6785E6}" destId="{FB6685F8-C964-4FB8-9029-75D2AB1F538C}" srcOrd="6" destOrd="0" parTransId="{E464C486-5F6E-4036-B42E-B68D2D923E7A}" sibTransId="{FF3AED98-FF34-4338-BA23-E4F14C6A106B}"/>
    <dgm:cxn modelId="{F381CFF6-6190-4770-8C2F-4CA9B23482A2}" type="presOf" srcId="{70F93FD8-DFEC-49BD-9A74-D908D0185630}" destId="{EE6CFCF7-3009-4ED9-B464-EF08EBEA4BF2}" srcOrd="0" destOrd="0" presId="urn:microsoft.com/office/officeart/2005/8/layout/cycle5"/>
    <dgm:cxn modelId="{ACBAB37E-76A3-4553-B06E-48B0844D76A8}" type="presOf" srcId="{71922EEB-8951-4613-8B80-67BCDE5150E7}" destId="{DCE450DC-075D-4800-B1B3-4CDD0802EAA6}" srcOrd="0" destOrd="0" presId="urn:microsoft.com/office/officeart/2005/8/layout/cycle5"/>
    <dgm:cxn modelId="{F091E38A-0D23-4DEF-903F-ED850F59DBF4}" type="presParOf" srcId="{187ADC7F-0783-4AAD-9BFA-5AB94CD3E2E5}" destId="{C885EC70-3487-4092-BF87-F8B62F2F9317}" srcOrd="0" destOrd="0" presId="urn:microsoft.com/office/officeart/2005/8/layout/cycle5"/>
    <dgm:cxn modelId="{C2B0660C-C6B1-4291-80B0-2D6607E69896}" type="presParOf" srcId="{187ADC7F-0783-4AAD-9BFA-5AB94CD3E2E5}" destId="{E6394890-7204-4AEC-A67A-FC128C8B44B1}" srcOrd="1" destOrd="0" presId="urn:microsoft.com/office/officeart/2005/8/layout/cycle5"/>
    <dgm:cxn modelId="{57597B4C-4124-48AB-8B18-8F18678FF078}" type="presParOf" srcId="{187ADC7F-0783-4AAD-9BFA-5AB94CD3E2E5}" destId="{AB3EAF64-A96E-47AE-A168-2FBADECDA3A8}" srcOrd="2" destOrd="0" presId="urn:microsoft.com/office/officeart/2005/8/layout/cycle5"/>
    <dgm:cxn modelId="{5E8F2C09-99DC-461A-9E87-1AF4D4DE7F86}" type="presParOf" srcId="{187ADC7F-0783-4AAD-9BFA-5AB94CD3E2E5}" destId="{2747A0B0-2606-42AA-B673-2585FD664FD1}" srcOrd="3" destOrd="0" presId="urn:microsoft.com/office/officeart/2005/8/layout/cycle5"/>
    <dgm:cxn modelId="{3D4D3689-49EC-474B-99F8-160E93F254C6}" type="presParOf" srcId="{187ADC7F-0783-4AAD-9BFA-5AB94CD3E2E5}" destId="{254EEAA9-1CFA-45E0-BAB4-C93BDA6EC993}" srcOrd="4" destOrd="0" presId="urn:microsoft.com/office/officeart/2005/8/layout/cycle5"/>
    <dgm:cxn modelId="{FB472A3A-6A4B-4C8D-8A8E-9E62FF6274EB}" type="presParOf" srcId="{187ADC7F-0783-4AAD-9BFA-5AB94CD3E2E5}" destId="{78643BAC-5B2A-4281-8DFD-9912DDBD067A}" srcOrd="5" destOrd="0" presId="urn:microsoft.com/office/officeart/2005/8/layout/cycle5"/>
    <dgm:cxn modelId="{36DD4049-B38F-4A47-A240-15475636ED42}" type="presParOf" srcId="{187ADC7F-0783-4AAD-9BFA-5AB94CD3E2E5}" destId="{F18F486F-E943-4269-9F8A-7CD730F87ADD}" srcOrd="6" destOrd="0" presId="urn:microsoft.com/office/officeart/2005/8/layout/cycle5"/>
    <dgm:cxn modelId="{9AB8DC62-48BB-4B1C-95E7-54EE84C6CAF4}" type="presParOf" srcId="{187ADC7F-0783-4AAD-9BFA-5AB94CD3E2E5}" destId="{F037DB1C-2FFE-40CC-9571-53C30EA8C107}" srcOrd="7" destOrd="0" presId="urn:microsoft.com/office/officeart/2005/8/layout/cycle5"/>
    <dgm:cxn modelId="{D40C2EFD-BD8D-45DB-A345-ABCD732627BD}" type="presParOf" srcId="{187ADC7F-0783-4AAD-9BFA-5AB94CD3E2E5}" destId="{6AA09B05-B6B1-44D2-834A-D23654075E80}" srcOrd="8" destOrd="0" presId="urn:microsoft.com/office/officeart/2005/8/layout/cycle5"/>
    <dgm:cxn modelId="{1AC51943-05D5-48EF-84A2-8927BC7D79AE}" type="presParOf" srcId="{187ADC7F-0783-4AAD-9BFA-5AB94CD3E2E5}" destId="{DCE450DC-075D-4800-B1B3-4CDD0802EAA6}" srcOrd="9" destOrd="0" presId="urn:microsoft.com/office/officeart/2005/8/layout/cycle5"/>
    <dgm:cxn modelId="{5085B82A-552F-42BA-85F9-8D0E9782AEB6}" type="presParOf" srcId="{187ADC7F-0783-4AAD-9BFA-5AB94CD3E2E5}" destId="{526D2CF0-B74C-4EFA-8714-C734C799624C}" srcOrd="10" destOrd="0" presId="urn:microsoft.com/office/officeart/2005/8/layout/cycle5"/>
    <dgm:cxn modelId="{A2D197DE-4683-4EEF-8677-D0BD6FC8BF16}" type="presParOf" srcId="{187ADC7F-0783-4AAD-9BFA-5AB94CD3E2E5}" destId="{EE6CFCF7-3009-4ED9-B464-EF08EBEA4BF2}" srcOrd="11" destOrd="0" presId="urn:microsoft.com/office/officeart/2005/8/layout/cycle5"/>
    <dgm:cxn modelId="{764A6553-22AA-4EAF-8160-439DD559BAC3}" type="presParOf" srcId="{187ADC7F-0783-4AAD-9BFA-5AB94CD3E2E5}" destId="{D880854A-AF27-4A38-8DB1-EAF9AD97448E}" srcOrd="12" destOrd="0" presId="urn:microsoft.com/office/officeart/2005/8/layout/cycle5"/>
    <dgm:cxn modelId="{A27E94E9-6DC6-462C-8EFD-CD8CB38B81BF}" type="presParOf" srcId="{187ADC7F-0783-4AAD-9BFA-5AB94CD3E2E5}" destId="{5DE161AF-BD76-488C-85AD-3AB4B86994F0}" srcOrd="13" destOrd="0" presId="urn:microsoft.com/office/officeart/2005/8/layout/cycle5"/>
    <dgm:cxn modelId="{69E893E4-09D0-44A6-9E22-530313E3C18B}" type="presParOf" srcId="{187ADC7F-0783-4AAD-9BFA-5AB94CD3E2E5}" destId="{6F8B7423-3725-4547-940F-B946B8DCD0FD}" srcOrd="14" destOrd="0" presId="urn:microsoft.com/office/officeart/2005/8/layout/cycle5"/>
    <dgm:cxn modelId="{3EDA2BC3-5D81-4A18-982F-CD527B0247FA}" type="presParOf" srcId="{187ADC7F-0783-4AAD-9BFA-5AB94CD3E2E5}" destId="{8F689025-B867-42AE-9531-33DB20A6C3A5}" srcOrd="15" destOrd="0" presId="urn:microsoft.com/office/officeart/2005/8/layout/cycle5"/>
    <dgm:cxn modelId="{88E57C54-97C3-4D88-81FD-90B96469F437}" type="presParOf" srcId="{187ADC7F-0783-4AAD-9BFA-5AB94CD3E2E5}" destId="{86D66C5C-2D21-46EF-B0E5-CF59641309D4}" srcOrd="16" destOrd="0" presId="urn:microsoft.com/office/officeart/2005/8/layout/cycle5"/>
    <dgm:cxn modelId="{1A7B4BD3-3652-400F-BA41-734BA743A496}" type="presParOf" srcId="{187ADC7F-0783-4AAD-9BFA-5AB94CD3E2E5}" destId="{7C5BA10D-BAF1-4F6D-9C39-8F6FD9E9AB6B}" srcOrd="17" destOrd="0" presId="urn:microsoft.com/office/officeart/2005/8/layout/cycle5"/>
    <dgm:cxn modelId="{99A1AF74-91A7-4132-8666-247CCFC8B816}" type="presParOf" srcId="{187ADC7F-0783-4AAD-9BFA-5AB94CD3E2E5}" destId="{54D94A86-33D3-4689-BD12-3A42EBE61067}" srcOrd="18" destOrd="0" presId="urn:microsoft.com/office/officeart/2005/8/layout/cycle5"/>
    <dgm:cxn modelId="{E07A4B4D-D40A-4758-A4B9-FEF86B83CB47}" type="presParOf" srcId="{187ADC7F-0783-4AAD-9BFA-5AB94CD3E2E5}" destId="{16C6844E-0385-4302-9483-38CD32EFFA71}" srcOrd="19" destOrd="0" presId="urn:microsoft.com/office/officeart/2005/8/layout/cycle5"/>
    <dgm:cxn modelId="{1B352564-4B91-406E-BF25-6D3786152F41}" type="presParOf" srcId="{187ADC7F-0783-4AAD-9BFA-5AB94CD3E2E5}" destId="{6DEA5942-2340-4773-B852-92117FEC3249}" srcOrd="20" destOrd="0" presId="urn:microsoft.com/office/officeart/2005/8/layout/cycle5"/>
  </dgm:cxnLst>
  <dgm:bg>
    <a:noFill/>
  </dgm:bg>
  <dgm:whole>
    <a:ln>
      <a:noFill/>
    </a:ln>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6363E4E-885F-46C4-A0E9-E01A0C6785E6}"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FB6685F8-C964-4FB8-9029-75D2AB1F538C}">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Commit to "Action"</a:t>
          </a:r>
          <a:endParaRPr lang="en-US" sz="1000" dirty="0">
            <a:latin typeface="Arial" panose="020B0604020202020204" pitchFamily="34" charset="0"/>
            <a:cs typeface="Arial" panose="020B0604020202020204" pitchFamily="34" charset="0"/>
          </a:endParaRPr>
        </a:p>
      </dgm:t>
    </dgm:pt>
    <dgm:pt modelId="{FF3AED98-FF34-4338-BA23-E4F14C6A106B}" type="sibTrans" cxnId="{9728E14A-090B-4ECD-9D2C-DFF3F47F138D}">
      <dgm:prSet/>
      <dgm:spPr>
        <a:solidFill>
          <a:srgbClr val="156570"/>
        </a:solidFill>
        <a:ln>
          <a:solidFill>
            <a:srgbClr val="156570"/>
          </a:solidFill>
        </a:ln>
      </dgm:spPr>
      <dgm:t>
        <a:bodyPr/>
        <a:lstStyle/>
        <a:p>
          <a:endParaRPr lang="en-US"/>
        </a:p>
      </dgm:t>
    </dgm:pt>
    <dgm:pt modelId="{E464C486-5F6E-4036-B42E-B68D2D923E7A}" type="parTrans" cxnId="{9728E14A-090B-4ECD-9D2C-DFF3F47F138D}">
      <dgm:prSet/>
      <dgm:spPr/>
      <dgm:t>
        <a:bodyPr/>
        <a:lstStyle/>
        <a:p>
          <a:endParaRPr lang="en-US"/>
        </a:p>
      </dgm:t>
    </dgm:pt>
    <dgm:pt modelId="{6AD48BF1-985D-4E6C-8133-BFF9BA5BDE0D}">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Make Decisions</a:t>
          </a:r>
          <a:endParaRPr lang="en-US" sz="1000" dirty="0">
            <a:latin typeface="Arial" panose="020B0604020202020204" pitchFamily="34" charset="0"/>
            <a:cs typeface="Arial" panose="020B0604020202020204" pitchFamily="34" charset="0"/>
          </a:endParaRPr>
        </a:p>
      </dgm:t>
    </dgm:pt>
    <dgm:pt modelId="{EBC809D7-A893-47AB-8357-4F94D1BE8561}" type="sibTrans" cxnId="{D510A552-7C5C-40F6-BEB0-C8C69AA069E8}">
      <dgm:prSet/>
      <dgm:spPr>
        <a:solidFill>
          <a:srgbClr val="156570"/>
        </a:solidFill>
        <a:ln>
          <a:solidFill>
            <a:srgbClr val="156570"/>
          </a:solidFill>
        </a:ln>
      </dgm:spPr>
      <dgm:t>
        <a:bodyPr/>
        <a:lstStyle/>
        <a:p>
          <a:endParaRPr lang="en-US"/>
        </a:p>
      </dgm:t>
    </dgm:pt>
    <dgm:pt modelId="{68CA9A19-6026-4E22-984B-8940A7CE28DE}" type="parTrans" cxnId="{D510A552-7C5C-40F6-BEB0-C8C69AA069E8}">
      <dgm:prSet/>
      <dgm:spPr/>
      <dgm:t>
        <a:bodyPr/>
        <a:lstStyle/>
        <a:p>
          <a:endParaRPr lang="en-US"/>
        </a:p>
      </dgm:t>
    </dgm:pt>
    <dgm:pt modelId="{FB740930-E894-465F-A6CD-FA1CEA706B89}">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Analyze Results</a:t>
          </a:r>
          <a:endParaRPr lang="en-US" sz="1000" dirty="0">
            <a:latin typeface="Arial" panose="020B0604020202020204" pitchFamily="34" charset="0"/>
            <a:cs typeface="Arial" panose="020B0604020202020204" pitchFamily="34" charset="0"/>
          </a:endParaRPr>
        </a:p>
      </dgm:t>
    </dgm:pt>
    <dgm:pt modelId="{EBF9F176-80E2-40F1-98B8-375BC3C663ED}" type="sibTrans" cxnId="{85626B45-8C37-4D2E-B369-F91559AAE28E}">
      <dgm:prSet/>
      <dgm:spPr>
        <a:solidFill>
          <a:srgbClr val="156570"/>
        </a:solidFill>
        <a:ln>
          <a:solidFill>
            <a:srgbClr val="156570"/>
          </a:solidFill>
        </a:ln>
      </dgm:spPr>
      <dgm:t>
        <a:bodyPr/>
        <a:lstStyle/>
        <a:p>
          <a:endParaRPr lang="en-US"/>
        </a:p>
      </dgm:t>
    </dgm:pt>
    <dgm:pt modelId="{26342BE4-BE51-4CD0-AA92-A265C039B2CA}" type="parTrans" cxnId="{85626B45-8C37-4D2E-B369-F91559AAE28E}">
      <dgm:prSet/>
      <dgm:spPr/>
      <dgm:t>
        <a:bodyPr/>
        <a:lstStyle/>
        <a:p>
          <a:endParaRPr lang="en-US"/>
        </a:p>
      </dgm:t>
    </dgm:pt>
    <dgm:pt modelId="{71922EEB-8951-4613-8B80-67BCDE5150E7}">
      <dgm:prSet custT="1"/>
      <dgm:spPr>
        <a:solidFill>
          <a:srgbClr val="156570"/>
        </a:solidFill>
        <a:ln>
          <a:solidFill>
            <a:srgbClr val="156570"/>
          </a:solidFill>
        </a:ln>
      </dgm:spPr>
      <dgm:t>
        <a:bodyPr/>
        <a:lstStyle/>
        <a:p>
          <a:r>
            <a:rPr lang="en-US" sz="1000" dirty="0">
              <a:latin typeface="Arial" panose="020B0604020202020204" pitchFamily="34" charset="0"/>
              <a:cs typeface="Arial" panose="020B0604020202020204" pitchFamily="34" charset="0"/>
            </a:rPr>
            <a:t>Stochastic Risk Analysis of Candidate Resource Plans</a:t>
          </a:r>
        </a:p>
      </dgm:t>
    </dgm:pt>
    <dgm:pt modelId="{70F93FD8-DFEC-49BD-9A74-D908D0185630}" type="sibTrans" cxnId="{162F99F2-01CB-437B-97B2-84B57E8E399E}">
      <dgm:prSet/>
      <dgm:spPr>
        <a:solidFill>
          <a:srgbClr val="156570"/>
        </a:solidFill>
        <a:ln>
          <a:solidFill>
            <a:srgbClr val="156570"/>
          </a:solidFill>
        </a:ln>
      </dgm:spPr>
      <dgm:t>
        <a:bodyPr/>
        <a:lstStyle/>
        <a:p>
          <a:endParaRPr lang="en-US"/>
        </a:p>
      </dgm:t>
    </dgm:pt>
    <dgm:pt modelId="{9824D77D-0EF1-442C-8C0F-EE22068B1582}" type="parTrans" cxnId="{162F99F2-01CB-437B-97B2-84B57E8E399E}">
      <dgm:prSet/>
      <dgm:spPr/>
      <dgm:t>
        <a:bodyPr/>
        <a:lstStyle/>
        <a:p>
          <a:endParaRPr lang="en-US"/>
        </a:p>
      </dgm:t>
    </dgm:pt>
    <dgm:pt modelId="{3227A9EB-69B5-481E-89F4-8BFAAF9E31A5}">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Deterministic Analystis of Scenarios and Sensitivities</a:t>
          </a:r>
          <a:endParaRPr lang="en-US" sz="1000" dirty="0">
            <a:latin typeface="Arial" panose="020B0604020202020204" pitchFamily="34" charset="0"/>
            <a:cs typeface="Arial" panose="020B0604020202020204" pitchFamily="34" charset="0"/>
          </a:endParaRPr>
        </a:p>
      </dgm:t>
    </dgm:pt>
    <dgm:pt modelId="{9BBADF01-113C-467A-B4DC-E950A34918B1}" type="sibTrans" cxnId="{D1BE2684-DB08-4717-AB97-4D8A9B8E4876}">
      <dgm:prSet/>
      <dgm:spPr>
        <a:solidFill>
          <a:srgbClr val="156570"/>
        </a:solidFill>
        <a:ln>
          <a:solidFill>
            <a:srgbClr val="156570"/>
          </a:solidFill>
        </a:ln>
      </dgm:spPr>
      <dgm:t>
        <a:bodyPr/>
        <a:lstStyle/>
        <a:p>
          <a:endParaRPr lang="en-US"/>
        </a:p>
      </dgm:t>
    </dgm:pt>
    <dgm:pt modelId="{40D2A1DD-7E23-4470-8363-C421D6F40A77}" type="parTrans" cxnId="{D1BE2684-DB08-4717-AB97-4D8A9B8E4876}">
      <dgm:prSet/>
      <dgm:spPr/>
      <dgm:t>
        <a:bodyPr/>
        <a:lstStyle/>
        <a:p>
          <a:endParaRPr lang="en-US"/>
        </a:p>
      </dgm:t>
    </dgm:pt>
    <dgm:pt modelId="{FD252C8F-CFC0-4622-958C-323021705A74}">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Planning Assumptions &amp; Resource Alternatives</a:t>
          </a:r>
          <a:endParaRPr lang="en-US" sz="1000" dirty="0">
            <a:latin typeface="Arial" panose="020B0604020202020204" pitchFamily="34" charset="0"/>
            <a:cs typeface="Arial" panose="020B0604020202020204" pitchFamily="34" charset="0"/>
          </a:endParaRPr>
        </a:p>
      </dgm:t>
    </dgm:pt>
    <dgm:pt modelId="{FD0D17BB-6C83-4BCC-AFD6-215704517345}" type="sibTrans" cxnId="{8D19512D-C33C-480B-9DDB-C4374F2A8C63}">
      <dgm:prSet/>
      <dgm:spPr>
        <a:solidFill>
          <a:srgbClr val="156570"/>
        </a:solidFill>
        <a:ln>
          <a:solidFill>
            <a:srgbClr val="156570"/>
          </a:solidFill>
        </a:ln>
      </dgm:spPr>
      <dgm:t>
        <a:bodyPr/>
        <a:lstStyle/>
        <a:p>
          <a:endParaRPr lang="en-US"/>
        </a:p>
      </dgm:t>
    </dgm:pt>
    <dgm:pt modelId="{6343E4C3-9583-4E5F-860A-8CD5C90FF303}" type="parTrans" cxnId="{8D19512D-C33C-480B-9DDB-C4374F2A8C63}">
      <dgm:prSet/>
      <dgm:spPr/>
      <dgm:t>
        <a:bodyPr/>
        <a:lstStyle/>
        <a:p>
          <a:endParaRPr lang="en-US"/>
        </a:p>
      </dgm:t>
    </dgm:pt>
    <dgm:pt modelId="{C5458142-A79A-4533-8AEF-4ED85E57A472}">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Establish             Resource Needs</a:t>
          </a:r>
          <a:endParaRPr lang="en-US" sz="1000" dirty="0">
            <a:latin typeface="Arial" panose="020B0604020202020204" pitchFamily="34" charset="0"/>
            <a:cs typeface="Arial" panose="020B0604020202020204" pitchFamily="34" charset="0"/>
          </a:endParaRPr>
        </a:p>
      </dgm:t>
    </dgm:pt>
    <dgm:pt modelId="{027BCA59-0C79-42E9-90BC-E2143DAE59CE}" type="sibTrans" cxnId="{6C512B7D-89C8-4A8E-ACF7-1F98479DCA0E}">
      <dgm:prSet/>
      <dgm:spPr>
        <a:solidFill>
          <a:srgbClr val="156570"/>
        </a:solidFill>
        <a:ln>
          <a:solidFill>
            <a:srgbClr val="156570"/>
          </a:solidFill>
        </a:ln>
      </dgm:spPr>
      <dgm:t>
        <a:bodyPr/>
        <a:lstStyle/>
        <a:p>
          <a:endParaRPr lang="en-US"/>
        </a:p>
      </dgm:t>
    </dgm:pt>
    <dgm:pt modelId="{92051A9B-617C-4348-8697-5DC3F78BF68D}" type="parTrans" cxnId="{6C512B7D-89C8-4A8E-ACF7-1F98479DCA0E}">
      <dgm:prSet/>
      <dgm:spPr/>
      <dgm:t>
        <a:bodyPr/>
        <a:lstStyle/>
        <a:p>
          <a:endParaRPr lang="en-US"/>
        </a:p>
      </dgm:t>
    </dgm:pt>
    <dgm:pt modelId="{187ADC7F-0783-4AAD-9BFA-5AB94CD3E2E5}" type="pres">
      <dgm:prSet presAssocID="{56363E4E-885F-46C4-A0E9-E01A0C6785E6}" presName="cycle" presStyleCnt="0">
        <dgm:presLayoutVars>
          <dgm:dir/>
          <dgm:resizeHandles val="exact"/>
        </dgm:presLayoutVars>
      </dgm:prSet>
      <dgm:spPr/>
      <dgm:t>
        <a:bodyPr/>
        <a:lstStyle/>
        <a:p>
          <a:endParaRPr lang="en-US"/>
        </a:p>
      </dgm:t>
    </dgm:pt>
    <dgm:pt modelId="{C885EC70-3487-4092-BF87-F8B62F2F9317}" type="pres">
      <dgm:prSet presAssocID="{C5458142-A79A-4533-8AEF-4ED85E57A472}" presName="node" presStyleLbl="node1" presStyleIdx="0" presStyleCnt="7">
        <dgm:presLayoutVars>
          <dgm:bulletEnabled val="1"/>
        </dgm:presLayoutVars>
      </dgm:prSet>
      <dgm:spPr/>
      <dgm:t>
        <a:bodyPr/>
        <a:lstStyle/>
        <a:p>
          <a:endParaRPr lang="en-US"/>
        </a:p>
      </dgm:t>
    </dgm:pt>
    <dgm:pt modelId="{E6394890-7204-4AEC-A67A-FC128C8B44B1}" type="pres">
      <dgm:prSet presAssocID="{C5458142-A79A-4533-8AEF-4ED85E57A472}" presName="spNode" presStyleCnt="0"/>
      <dgm:spPr/>
      <dgm:t>
        <a:bodyPr/>
        <a:lstStyle/>
        <a:p>
          <a:endParaRPr lang="en-US"/>
        </a:p>
      </dgm:t>
    </dgm:pt>
    <dgm:pt modelId="{AB3EAF64-A96E-47AE-A168-2FBADECDA3A8}" type="pres">
      <dgm:prSet presAssocID="{027BCA59-0C79-42E9-90BC-E2143DAE59CE}" presName="sibTrans" presStyleLbl="sibTrans1D1" presStyleIdx="0" presStyleCnt="7"/>
      <dgm:spPr/>
      <dgm:t>
        <a:bodyPr/>
        <a:lstStyle/>
        <a:p>
          <a:endParaRPr lang="en-US"/>
        </a:p>
      </dgm:t>
    </dgm:pt>
    <dgm:pt modelId="{2747A0B0-2606-42AA-B673-2585FD664FD1}" type="pres">
      <dgm:prSet presAssocID="{FD252C8F-CFC0-4622-958C-323021705A74}" presName="node" presStyleLbl="node1" presStyleIdx="1" presStyleCnt="7">
        <dgm:presLayoutVars>
          <dgm:bulletEnabled val="1"/>
        </dgm:presLayoutVars>
      </dgm:prSet>
      <dgm:spPr/>
      <dgm:t>
        <a:bodyPr/>
        <a:lstStyle/>
        <a:p>
          <a:endParaRPr lang="en-US"/>
        </a:p>
      </dgm:t>
    </dgm:pt>
    <dgm:pt modelId="{254EEAA9-1CFA-45E0-BAB4-C93BDA6EC993}" type="pres">
      <dgm:prSet presAssocID="{FD252C8F-CFC0-4622-958C-323021705A74}" presName="spNode" presStyleCnt="0"/>
      <dgm:spPr/>
      <dgm:t>
        <a:bodyPr/>
        <a:lstStyle/>
        <a:p>
          <a:endParaRPr lang="en-US"/>
        </a:p>
      </dgm:t>
    </dgm:pt>
    <dgm:pt modelId="{78643BAC-5B2A-4281-8DFD-9912DDBD067A}" type="pres">
      <dgm:prSet presAssocID="{FD0D17BB-6C83-4BCC-AFD6-215704517345}" presName="sibTrans" presStyleLbl="sibTrans1D1" presStyleIdx="1" presStyleCnt="7"/>
      <dgm:spPr/>
      <dgm:t>
        <a:bodyPr/>
        <a:lstStyle/>
        <a:p>
          <a:endParaRPr lang="en-US"/>
        </a:p>
      </dgm:t>
    </dgm:pt>
    <dgm:pt modelId="{F18F486F-E943-4269-9F8A-7CD730F87ADD}" type="pres">
      <dgm:prSet presAssocID="{3227A9EB-69B5-481E-89F4-8BFAAF9E31A5}" presName="node" presStyleLbl="node1" presStyleIdx="2" presStyleCnt="7">
        <dgm:presLayoutVars>
          <dgm:bulletEnabled val="1"/>
        </dgm:presLayoutVars>
      </dgm:prSet>
      <dgm:spPr/>
      <dgm:t>
        <a:bodyPr/>
        <a:lstStyle/>
        <a:p>
          <a:endParaRPr lang="en-US"/>
        </a:p>
      </dgm:t>
    </dgm:pt>
    <dgm:pt modelId="{F037DB1C-2FFE-40CC-9571-53C30EA8C107}" type="pres">
      <dgm:prSet presAssocID="{3227A9EB-69B5-481E-89F4-8BFAAF9E31A5}" presName="spNode" presStyleCnt="0"/>
      <dgm:spPr/>
      <dgm:t>
        <a:bodyPr/>
        <a:lstStyle/>
        <a:p>
          <a:endParaRPr lang="en-US"/>
        </a:p>
      </dgm:t>
    </dgm:pt>
    <dgm:pt modelId="{6AA09B05-B6B1-44D2-834A-D23654075E80}" type="pres">
      <dgm:prSet presAssocID="{9BBADF01-113C-467A-B4DC-E950A34918B1}" presName="sibTrans" presStyleLbl="sibTrans1D1" presStyleIdx="2" presStyleCnt="7"/>
      <dgm:spPr/>
      <dgm:t>
        <a:bodyPr/>
        <a:lstStyle/>
        <a:p>
          <a:endParaRPr lang="en-US"/>
        </a:p>
      </dgm:t>
    </dgm:pt>
    <dgm:pt modelId="{DCE450DC-075D-4800-B1B3-4CDD0802EAA6}" type="pres">
      <dgm:prSet presAssocID="{71922EEB-8951-4613-8B80-67BCDE5150E7}" presName="node" presStyleLbl="node1" presStyleIdx="3" presStyleCnt="7" custScaleX="107673">
        <dgm:presLayoutVars>
          <dgm:bulletEnabled val="1"/>
        </dgm:presLayoutVars>
      </dgm:prSet>
      <dgm:spPr/>
      <dgm:t>
        <a:bodyPr/>
        <a:lstStyle/>
        <a:p>
          <a:endParaRPr lang="en-US"/>
        </a:p>
      </dgm:t>
    </dgm:pt>
    <dgm:pt modelId="{526D2CF0-B74C-4EFA-8714-C734C799624C}" type="pres">
      <dgm:prSet presAssocID="{71922EEB-8951-4613-8B80-67BCDE5150E7}" presName="spNode" presStyleCnt="0"/>
      <dgm:spPr/>
      <dgm:t>
        <a:bodyPr/>
        <a:lstStyle/>
        <a:p>
          <a:endParaRPr lang="en-US"/>
        </a:p>
      </dgm:t>
    </dgm:pt>
    <dgm:pt modelId="{EE6CFCF7-3009-4ED9-B464-EF08EBEA4BF2}" type="pres">
      <dgm:prSet presAssocID="{70F93FD8-DFEC-49BD-9A74-D908D0185630}" presName="sibTrans" presStyleLbl="sibTrans1D1" presStyleIdx="3" presStyleCnt="7"/>
      <dgm:spPr/>
      <dgm:t>
        <a:bodyPr/>
        <a:lstStyle/>
        <a:p>
          <a:endParaRPr lang="en-US"/>
        </a:p>
      </dgm:t>
    </dgm:pt>
    <dgm:pt modelId="{D880854A-AF27-4A38-8DB1-EAF9AD97448E}" type="pres">
      <dgm:prSet presAssocID="{FB740930-E894-465F-A6CD-FA1CEA706B89}" presName="node" presStyleLbl="node1" presStyleIdx="4" presStyleCnt="7">
        <dgm:presLayoutVars>
          <dgm:bulletEnabled val="1"/>
        </dgm:presLayoutVars>
      </dgm:prSet>
      <dgm:spPr/>
      <dgm:t>
        <a:bodyPr/>
        <a:lstStyle/>
        <a:p>
          <a:endParaRPr lang="en-US"/>
        </a:p>
      </dgm:t>
    </dgm:pt>
    <dgm:pt modelId="{5DE161AF-BD76-488C-85AD-3AB4B86994F0}" type="pres">
      <dgm:prSet presAssocID="{FB740930-E894-465F-A6CD-FA1CEA706B89}" presName="spNode" presStyleCnt="0"/>
      <dgm:spPr/>
      <dgm:t>
        <a:bodyPr/>
        <a:lstStyle/>
        <a:p>
          <a:endParaRPr lang="en-US"/>
        </a:p>
      </dgm:t>
    </dgm:pt>
    <dgm:pt modelId="{6F8B7423-3725-4547-940F-B946B8DCD0FD}" type="pres">
      <dgm:prSet presAssocID="{EBF9F176-80E2-40F1-98B8-375BC3C663ED}" presName="sibTrans" presStyleLbl="sibTrans1D1" presStyleIdx="4" presStyleCnt="7"/>
      <dgm:spPr/>
      <dgm:t>
        <a:bodyPr/>
        <a:lstStyle/>
        <a:p>
          <a:endParaRPr lang="en-US"/>
        </a:p>
      </dgm:t>
    </dgm:pt>
    <dgm:pt modelId="{8F689025-B867-42AE-9531-33DB20A6C3A5}" type="pres">
      <dgm:prSet presAssocID="{6AD48BF1-985D-4E6C-8133-BFF9BA5BDE0D}" presName="node" presStyleLbl="node1" presStyleIdx="5" presStyleCnt="7">
        <dgm:presLayoutVars>
          <dgm:bulletEnabled val="1"/>
        </dgm:presLayoutVars>
      </dgm:prSet>
      <dgm:spPr/>
      <dgm:t>
        <a:bodyPr/>
        <a:lstStyle/>
        <a:p>
          <a:endParaRPr lang="en-US"/>
        </a:p>
      </dgm:t>
    </dgm:pt>
    <dgm:pt modelId="{86D66C5C-2D21-46EF-B0E5-CF59641309D4}" type="pres">
      <dgm:prSet presAssocID="{6AD48BF1-985D-4E6C-8133-BFF9BA5BDE0D}" presName="spNode" presStyleCnt="0"/>
      <dgm:spPr/>
      <dgm:t>
        <a:bodyPr/>
        <a:lstStyle/>
        <a:p>
          <a:endParaRPr lang="en-US"/>
        </a:p>
      </dgm:t>
    </dgm:pt>
    <dgm:pt modelId="{7C5BA10D-BAF1-4F6D-9C39-8F6FD9E9AB6B}" type="pres">
      <dgm:prSet presAssocID="{EBC809D7-A893-47AB-8357-4F94D1BE8561}" presName="sibTrans" presStyleLbl="sibTrans1D1" presStyleIdx="5" presStyleCnt="7"/>
      <dgm:spPr/>
      <dgm:t>
        <a:bodyPr/>
        <a:lstStyle/>
        <a:p>
          <a:endParaRPr lang="en-US"/>
        </a:p>
      </dgm:t>
    </dgm:pt>
    <dgm:pt modelId="{54D94A86-33D3-4689-BD12-3A42EBE61067}" type="pres">
      <dgm:prSet presAssocID="{FB6685F8-C964-4FB8-9029-75D2AB1F538C}" presName="node" presStyleLbl="node1" presStyleIdx="6" presStyleCnt="7">
        <dgm:presLayoutVars>
          <dgm:bulletEnabled val="1"/>
        </dgm:presLayoutVars>
      </dgm:prSet>
      <dgm:spPr/>
      <dgm:t>
        <a:bodyPr/>
        <a:lstStyle/>
        <a:p>
          <a:endParaRPr lang="en-US"/>
        </a:p>
      </dgm:t>
    </dgm:pt>
    <dgm:pt modelId="{16C6844E-0385-4302-9483-38CD32EFFA71}" type="pres">
      <dgm:prSet presAssocID="{FB6685F8-C964-4FB8-9029-75D2AB1F538C}" presName="spNode" presStyleCnt="0"/>
      <dgm:spPr/>
      <dgm:t>
        <a:bodyPr/>
        <a:lstStyle/>
        <a:p>
          <a:endParaRPr lang="en-US"/>
        </a:p>
      </dgm:t>
    </dgm:pt>
    <dgm:pt modelId="{6DEA5942-2340-4773-B852-92117FEC3249}" type="pres">
      <dgm:prSet presAssocID="{FF3AED98-FF34-4338-BA23-E4F14C6A106B}" presName="sibTrans" presStyleLbl="sibTrans1D1" presStyleIdx="6" presStyleCnt="7"/>
      <dgm:spPr/>
      <dgm:t>
        <a:bodyPr/>
        <a:lstStyle/>
        <a:p>
          <a:endParaRPr lang="en-US"/>
        </a:p>
      </dgm:t>
    </dgm:pt>
  </dgm:ptLst>
  <dgm:cxnLst>
    <dgm:cxn modelId="{D1BE2684-DB08-4717-AB97-4D8A9B8E4876}" srcId="{56363E4E-885F-46C4-A0E9-E01A0C6785E6}" destId="{3227A9EB-69B5-481E-89F4-8BFAAF9E31A5}" srcOrd="2" destOrd="0" parTransId="{40D2A1DD-7E23-4470-8363-C421D6F40A77}" sibTransId="{9BBADF01-113C-467A-B4DC-E950A34918B1}"/>
    <dgm:cxn modelId="{9728E14A-090B-4ECD-9D2C-DFF3F47F138D}" srcId="{56363E4E-885F-46C4-A0E9-E01A0C6785E6}" destId="{FB6685F8-C964-4FB8-9029-75D2AB1F538C}" srcOrd="6" destOrd="0" parTransId="{E464C486-5F6E-4036-B42E-B68D2D923E7A}" sibTransId="{FF3AED98-FF34-4338-BA23-E4F14C6A106B}"/>
    <dgm:cxn modelId="{D510A552-7C5C-40F6-BEB0-C8C69AA069E8}" srcId="{56363E4E-885F-46C4-A0E9-E01A0C6785E6}" destId="{6AD48BF1-985D-4E6C-8133-BFF9BA5BDE0D}" srcOrd="5" destOrd="0" parTransId="{68CA9A19-6026-4E22-984B-8940A7CE28DE}" sibTransId="{EBC809D7-A893-47AB-8357-4F94D1BE8561}"/>
    <dgm:cxn modelId="{8D19512D-C33C-480B-9DDB-C4374F2A8C63}" srcId="{56363E4E-885F-46C4-A0E9-E01A0C6785E6}" destId="{FD252C8F-CFC0-4622-958C-323021705A74}" srcOrd="1" destOrd="0" parTransId="{6343E4C3-9583-4E5F-860A-8CD5C90FF303}" sibTransId="{FD0D17BB-6C83-4BCC-AFD6-215704517345}"/>
    <dgm:cxn modelId="{A494F1FB-754D-4BDF-964C-5AAF92933158}" type="presOf" srcId="{FB740930-E894-465F-A6CD-FA1CEA706B89}" destId="{D880854A-AF27-4A38-8DB1-EAF9AD97448E}" srcOrd="0" destOrd="0" presId="urn:microsoft.com/office/officeart/2005/8/layout/cycle5"/>
    <dgm:cxn modelId="{974D920E-9280-49C8-B361-F039190A8142}" type="presOf" srcId="{C5458142-A79A-4533-8AEF-4ED85E57A472}" destId="{C885EC70-3487-4092-BF87-F8B62F2F9317}" srcOrd="0" destOrd="0" presId="urn:microsoft.com/office/officeart/2005/8/layout/cycle5"/>
    <dgm:cxn modelId="{7CB15A99-BCBF-4494-BE15-095E1C51801F}" type="presOf" srcId="{6AD48BF1-985D-4E6C-8133-BFF9BA5BDE0D}" destId="{8F689025-B867-42AE-9531-33DB20A6C3A5}" srcOrd="0" destOrd="0" presId="urn:microsoft.com/office/officeart/2005/8/layout/cycle5"/>
    <dgm:cxn modelId="{4C2313BE-9A65-47C6-8D9C-7F05945C864D}" type="presOf" srcId="{71922EEB-8951-4613-8B80-67BCDE5150E7}" destId="{DCE450DC-075D-4800-B1B3-4CDD0802EAA6}" srcOrd="0" destOrd="0" presId="urn:microsoft.com/office/officeart/2005/8/layout/cycle5"/>
    <dgm:cxn modelId="{95CF16D2-A17B-4C45-AE79-49A1E30417A1}" type="presOf" srcId="{70F93FD8-DFEC-49BD-9A74-D908D0185630}" destId="{EE6CFCF7-3009-4ED9-B464-EF08EBEA4BF2}" srcOrd="0" destOrd="0" presId="urn:microsoft.com/office/officeart/2005/8/layout/cycle5"/>
    <dgm:cxn modelId="{D5427D2D-D60A-400B-A889-3C3FAB4C13E6}" type="presOf" srcId="{FD252C8F-CFC0-4622-958C-323021705A74}" destId="{2747A0B0-2606-42AA-B673-2585FD664FD1}" srcOrd="0" destOrd="0" presId="urn:microsoft.com/office/officeart/2005/8/layout/cycle5"/>
    <dgm:cxn modelId="{F6789D4D-68BC-45C2-A440-ED0A4187E370}" type="presOf" srcId="{FD0D17BB-6C83-4BCC-AFD6-215704517345}" destId="{78643BAC-5B2A-4281-8DFD-9912DDBD067A}" srcOrd="0" destOrd="0" presId="urn:microsoft.com/office/officeart/2005/8/layout/cycle5"/>
    <dgm:cxn modelId="{245E9D80-7711-46CC-9734-F0E234D1306C}" type="presOf" srcId="{3227A9EB-69B5-481E-89F4-8BFAAF9E31A5}" destId="{F18F486F-E943-4269-9F8A-7CD730F87ADD}" srcOrd="0" destOrd="0" presId="urn:microsoft.com/office/officeart/2005/8/layout/cycle5"/>
    <dgm:cxn modelId="{39A7C10A-E352-4E77-8F77-EEEBCC8C807D}" type="presOf" srcId="{9BBADF01-113C-467A-B4DC-E950A34918B1}" destId="{6AA09B05-B6B1-44D2-834A-D23654075E80}" srcOrd="0" destOrd="0" presId="urn:microsoft.com/office/officeart/2005/8/layout/cycle5"/>
    <dgm:cxn modelId="{162F99F2-01CB-437B-97B2-84B57E8E399E}" srcId="{56363E4E-885F-46C4-A0E9-E01A0C6785E6}" destId="{71922EEB-8951-4613-8B80-67BCDE5150E7}" srcOrd="3" destOrd="0" parTransId="{9824D77D-0EF1-442C-8C0F-EE22068B1582}" sibTransId="{70F93FD8-DFEC-49BD-9A74-D908D0185630}"/>
    <dgm:cxn modelId="{DA2282DB-A685-4A9F-83F9-D9D7A40C1415}" type="presOf" srcId="{FB6685F8-C964-4FB8-9029-75D2AB1F538C}" destId="{54D94A86-33D3-4689-BD12-3A42EBE61067}" srcOrd="0" destOrd="0" presId="urn:microsoft.com/office/officeart/2005/8/layout/cycle5"/>
    <dgm:cxn modelId="{85626B45-8C37-4D2E-B369-F91559AAE28E}" srcId="{56363E4E-885F-46C4-A0E9-E01A0C6785E6}" destId="{FB740930-E894-465F-A6CD-FA1CEA706B89}" srcOrd="4" destOrd="0" parTransId="{26342BE4-BE51-4CD0-AA92-A265C039B2CA}" sibTransId="{EBF9F176-80E2-40F1-98B8-375BC3C663ED}"/>
    <dgm:cxn modelId="{27B26A46-773A-4ED7-9CA3-F9ACDC2E89C4}" type="presOf" srcId="{56363E4E-885F-46C4-A0E9-E01A0C6785E6}" destId="{187ADC7F-0783-4AAD-9BFA-5AB94CD3E2E5}" srcOrd="0" destOrd="0" presId="urn:microsoft.com/office/officeart/2005/8/layout/cycle5"/>
    <dgm:cxn modelId="{6C512B7D-89C8-4A8E-ACF7-1F98479DCA0E}" srcId="{56363E4E-885F-46C4-A0E9-E01A0C6785E6}" destId="{C5458142-A79A-4533-8AEF-4ED85E57A472}" srcOrd="0" destOrd="0" parTransId="{92051A9B-617C-4348-8697-5DC3F78BF68D}" sibTransId="{027BCA59-0C79-42E9-90BC-E2143DAE59CE}"/>
    <dgm:cxn modelId="{BC73EA74-46E6-4EF7-900B-C39F907E77B2}" type="presOf" srcId="{EBC809D7-A893-47AB-8357-4F94D1BE8561}" destId="{7C5BA10D-BAF1-4F6D-9C39-8F6FD9E9AB6B}" srcOrd="0" destOrd="0" presId="urn:microsoft.com/office/officeart/2005/8/layout/cycle5"/>
    <dgm:cxn modelId="{E6A48114-786F-496C-8E59-0E9A99CDD7EA}" type="presOf" srcId="{027BCA59-0C79-42E9-90BC-E2143DAE59CE}" destId="{AB3EAF64-A96E-47AE-A168-2FBADECDA3A8}" srcOrd="0" destOrd="0" presId="urn:microsoft.com/office/officeart/2005/8/layout/cycle5"/>
    <dgm:cxn modelId="{9336B3FD-F435-4130-9D94-4B2483FE3C57}" type="presOf" srcId="{FF3AED98-FF34-4338-BA23-E4F14C6A106B}" destId="{6DEA5942-2340-4773-B852-92117FEC3249}" srcOrd="0" destOrd="0" presId="urn:microsoft.com/office/officeart/2005/8/layout/cycle5"/>
    <dgm:cxn modelId="{9CA40A40-28C4-497D-B758-3BA7DD79FFAF}" type="presOf" srcId="{EBF9F176-80E2-40F1-98B8-375BC3C663ED}" destId="{6F8B7423-3725-4547-940F-B946B8DCD0FD}" srcOrd="0" destOrd="0" presId="urn:microsoft.com/office/officeart/2005/8/layout/cycle5"/>
    <dgm:cxn modelId="{2B7A9F65-DC36-452B-803D-28A5A5CC8A10}" type="presParOf" srcId="{187ADC7F-0783-4AAD-9BFA-5AB94CD3E2E5}" destId="{C885EC70-3487-4092-BF87-F8B62F2F9317}" srcOrd="0" destOrd="0" presId="urn:microsoft.com/office/officeart/2005/8/layout/cycle5"/>
    <dgm:cxn modelId="{A6A1B036-FA30-43B6-B9C5-C01246914F18}" type="presParOf" srcId="{187ADC7F-0783-4AAD-9BFA-5AB94CD3E2E5}" destId="{E6394890-7204-4AEC-A67A-FC128C8B44B1}" srcOrd="1" destOrd="0" presId="urn:microsoft.com/office/officeart/2005/8/layout/cycle5"/>
    <dgm:cxn modelId="{E8549531-38BC-4587-A30B-D2D86A4B4171}" type="presParOf" srcId="{187ADC7F-0783-4AAD-9BFA-5AB94CD3E2E5}" destId="{AB3EAF64-A96E-47AE-A168-2FBADECDA3A8}" srcOrd="2" destOrd="0" presId="urn:microsoft.com/office/officeart/2005/8/layout/cycle5"/>
    <dgm:cxn modelId="{62247CD0-DADB-4900-9054-74B89EA7ACE6}" type="presParOf" srcId="{187ADC7F-0783-4AAD-9BFA-5AB94CD3E2E5}" destId="{2747A0B0-2606-42AA-B673-2585FD664FD1}" srcOrd="3" destOrd="0" presId="urn:microsoft.com/office/officeart/2005/8/layout/cycle5"/>
    <dgm:cxn modelId="{80E777A1-FD98-4699-B5A6-C2D505E7BAE7}" type="presParOf" srcId="{187ADC7F-0783-4AAD-9BFA-5AB94CD3E2E5}" destId="{254EEAA9-1CFA-45E0-BAB4-C93BDA6EC993}" srcOrd="4" destOrd="0" presId="urn:microsoft.com/office/officeart/2005/8/layout/cycle5"/>
    <dgm:cxn modelId="{BB4B46B3-E8C9-4BD4-BAC2-3233113277A5}" type="presParOf" srcId="{187ADC7F-0783-4AAD-9BFA-5AB94CD3E2E5}" destId="{78643BAC-5B2A-4281-8DFD-9912DDBD067A}" srcOrd="5" destOrd="0" presId="urn:microsoft.com/office/officeart/2005/8/layout/cycle5"/>
    <dgm:cxn modelId="{74C799C4-6061-48C8-AB7E-24CBD370D43A}" type="presParOf" srcId="{187ADC7F-0783-4AAD-9BFA-5AB94CD3E2E5}" destId="{F18F486F-E943-4269-9F8A-7CD730F87ADD}" srcOrd="6" destOrd="0" presId="urn:microsoft.com/office/officeart/2005/8/layout/cycle5"/>
    <dgm:cxn modelId="{137B6A48-C614-4336-B53D-EF7E28F6F263}" type="presParOf" srcId="{187ADC7F-0783-4AAD-9BFA-5AB94CD3E2E5}" destId="{F037DB1C-2FFE-40CC-9571-53C30EA8C107}" srcOrd="7" destOrd="0" presId="urn:microsoft.com/office/officeart/2005/8/layout/cycle5"/>
    <dgm:cxn modelId="{B1A7ECEE-C5EE-447A-AFF9-DB1A5B28DD7D}" type="presParOf" srcId="{187ADC7F-0783-4AAD-9BFA-5AB94CD3E2E5}" destId="{6AA09B05-B6B1-44D2-834A-D23654075E80}" srcOrd="8" destOrd="0" presId="urn:microsoft.com/office/officeart/2005/8/layout/cycle5"/>
    <dgm:cxn modelId="{CC23EAFB-1A4E-4C71-9508-2654F444F6FB}" type="presParOf" srcId="{187ADC7F-0783-4AAD-9BFA-5AB94CD3E2E5}" destId="{DCE450DC-075D-4800-B1B3-4CDD0802EAA6}" srcOrd="9" destOrd="0" presId="urn:microsoft.com/office/officeart/2005/8/layout/cycle5"/>
    <dgm:cxn modelId="{DC92E44D-EDDB-45B7-B513-5AD7D2A165BF}" type="presParOf" srcId="{187ADC7F-0783-4AAD-9BFA-5AB94CD3E2E5}" destId="{526D2CF0-B74C-4EFA-8714-C734C799624C}" srcOrd="10" destOrd="0" presId="urn:microsoft.com/office/officeart/2005/8/layout/cycle5"/>
    <dgm:cxn modelId="{6EA5B959-EF8C-49A6-8DF6-9EE43AA9EA7A}" type="presParOf" srcId="{187ADC7F-0783-4AAD-9BFA-5AB94CD3E2E5}" destId="{EE6CFCF7-3009-4ED9-B464-EF08EBEA4BF2}" srcOrd="11" destOrd="0" presId="urn:microsoft.com/office/officeart/2005/8/layout/cycle5"/>
    <dgm:cxn modelId="{C9F1A4D4-A5D2-4562-88DC-97B77C049AC4}" type="presParOf" srcId="{187ADC7F-0783-4AAD-9BFA-5AB94CD3E2E5}" destId="{D880854A-AF27-4A38-8DB1-EAF9AD97448E}" srcOrd="12" destOrd="0" presId="urn:microsoft.com/office/officeart/2005/8/layout/cycle5"/>
    <dgm:cxn modelId="{4622157F-25D7-4DBA-9836-5089FCECA770}" type="presParOf" srcId="{187ADC7F-0783-4AAD-9BFA-5AB94CD3E2E5}" destId="{5DE161AF-BD76-488C-85AD-3AB4B86994F0}" srcOrd="13" destOrd="0" presId="urn:microsoft.com/office/officeart/2005/8/layout/cycle5"/>
    <dgm:cxn modelId="{6B60452D-FC07-4930-80D8-68744DFEB452}" type="presParOf" srcId="{187ADC7F-0783-4AAD-9BFA-5AB94CD3E2E5}" destId="{6F8B7423-3725-4547-940F-B946B8DCD0FD}" srcOrd="14" destOrd="0" presId="urn:microsoft.com/office/officeart/2005/8/layout/cycle5"/>
    <dgm:cxn modelId="{E8DF6471-19DC-4A39-8841-B01BDA9367E7}" type="presParOf" srcId="{187ADC7F-0783-4AAD-9BFA-5AB94CD3E2E5}" destId="{8F689025-B867-42AE-9531-33DB20A6C3A5}" srcOrd="15" destOrd="0" presId="urn:microsoft.com/office/officeart/2005/8/layout/cycle5"/>
    <dgm:cxn modelId="{9C50882A-E1C3-4328-86C6-5C9D53702012}" type="presParOf" srcId="{187ADC7F-0783-4AAD-9BFA-5AB94CD3E2E5}" destId="{86D66C5C-2D21-46EF-B0E5-CF59641309D4}" srcOrd="16" destOrd="0" presId="urn:microsoft.com/office/officeart/2005/8/layout/cycle5"/>
    <dgm:cxn modelId="{F2A496F2-7251-4E58-931C-0859BA296496}" type="presParOf" srcId="{187ADC7F-0783-4AAD-9BFA-5AB94CD3E2E5}" destId="{7C5BA10D-BAF1-4F6D-9C39-8F6FD9E9AB6B}" srcOrd="17" destOrd="0" presId="urn:microsoft.com/office/officeart/2005/8/layout/cycle5"/>
    <dgm:cxn modelId="{6F718291-79E4-4910-AD5A-306F0EB94BF9}" type="presParOf" srcId="{187ADC7F-0783-4AAD-9BFA-5AB94CD3E2E5}" destId="{54D94A86-33D3-4689-BD12-3A42EBE61067}" srcOrd="18" destOrd="0" presId="urn:microsoft.com/office/officeart/2005/8/layout/cycle5"/>
    <dgm:cxn modelId="{BC30CD5B-A2BD-49B6-9FFC-FAF8BC002D95}" type="presParOf" srcId="{187ADC7F-0783-4AAD-9BFA-5AB94CD3E2E5}" destId="{16C6844E-0385-4302-9483-38CD32EFFA71}" srcOrd="19" destOrd="0" presId="urn:microsoft.com/office/officeart/2005/8/layout/cycle5"/>
    <dgm:cxn modelId="{4F3D78DF-460B-4B53-8711-7C4D0FC1FBE4}" type="presParOf" srcId="{187ADC7F-0783-4AAD-9BFA-5AB94CD3E2E5}" destId="{6DEA5942-2340-4773-B852-92117FEC3249}" srcOrd="20" destOrd="0" presId="urn:microsoft.com/office/officeart/2005/8/layout/cycle5"/>
  </dgm:cxnLst>
  <dgm:bg>
    <a:noFill/>
  </dgm:bg>
  <dgm:whole>
    <a:ln>
      <a:noFill/>
    </a:ln>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6363E4E-885F-46C4-A0E9-E01A0C6785E6}"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C5458142-A79A-4533-8AEF-4ED85E57A472}">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Establish             Resource Needs</a:t>
          </a:r>
          <a:endParaRPr lang="en-US" sz="1000" dirty="0">
            <a:latin typeface="Arial" panose="020B0604020202020204" pitchFamily="34" charset="0"/>
            <a:cs typeface="Arial" panose="020B0604020202020204" pitchFamily="34" charset="0"/>
          </a:endParaRPr>
        </a:p>
      </dgm:t>
    </dgm:pt>
    <dgm:pt modelId="{92051A9B-617C-4348-8697-5DC3F78BF68D}" type="parTrans" cxnId="{6C512B7D-89C8-4A8E-ACF7-1F98479DCA0E}">
      <dgm:prSet/>
      <dgm:spPr/>
      <dgm:t>
        <a:bodyPr/>
        <a:lstStyle/>
        <a:p>
          <a:endParaRPr lang="en-US"/>
        </a:p>
      </dgm:t>
    </dgm:pt>
    <dgm:pt modelId="{027BCA59-0C79-42E9-90BC-E2143DAE59CE}" type="sibTrans" cxnId="{6C512B7D-89C8-4A8E-ACF7-1F98479DCA0E}">
      <dgm:prSet/>
      <dgm:spPr>
        <a:solidFill>
          <a:srgbClr val="156570"/>
        </a:solidFill>
        <a:ln>
          <a:solidFill>
            <a:srgbClr val="156570"/>
          </a:solidFill>
        </a:ln>
      </dgm:spPr>
      <dgm:t>
        <a:bodyPr/>
        <a:lstStyle/>
        <a:p>
          <a:endParaRPr lang="en-US"/>
        </a:p>
      </dgm:t>
    </dgm:pt>
    <dgm:pt modelId="{FD252C8F-CFC0-4622-958C-323021705A74}">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Planning Assumptions &amp; Resource Alternatives</a:t>
          </a:r>
          <a:endParaRPr lang="en-US" sz="1000" dirty="0">
            <a:latin typeface="Arial" panose="020B0604020202020204" pitchFamily="34" charset="0"/>
            <a:cs typeface="Arial" panose="020B0604020202020204" pitchFamily="34" charset="0"/>
          </a:endParaRPr>
        </a:p>
      </dgm:t>
    </dgm:pt>
    <dgm:pt modelId="{6343E4C3-9583-4E5F-860A-8CD5C90FF303}" type="parTrans" cxnId="{8D19512D-C33C-480B-9DDB-C4374F2A8C63}">
      <dgm:prSet/>
      <dgm:spPr/>
      <dgm:t>
        <a:bodyPr/>
        <a:lstStyle/>
        <a:p>
          <a:endParaRPr lang="en-US"/>
        </a:p>
      </dgm:t>
    </dgm:pt>
    <dgm:pt modelId="{FD0D17BB-6C83-4BCC-AFD6-215704517345}" type="sibTrans" cxnId="{8D19512D-C33C-480B-9DDB-C4374F2A8C63}">
      <dgm:prSet/>
      <dgm:spPr>
        <a:solidFill>
          <a:srgbClr val="156570"/>
        </a:solidFill>
        <a:ln>
          <a:solidFill>
            <a:srgbClr val="156570"/>
          </a:solidFill>
        </a:ln>
      </dgm:spPr>
      <dgm:t>
        <a:bodyPr/>
        <a:lstStyle/>
        <a:p>
          <a:endParaRPr lang="en-US"/>
        </a:p>
      </dgm:t>
    </dgm:pt>
    <dgm:pt modelId="{6AD48BF1-985D-4E6C-8133-BFF9BA5BDE0D}">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Make Decisions</a:t>
          </a:r>
          <a:endParaRPr lang="en-US" sz="1000" dirty="0">
            <a:latin typeface="Arial" panose="020B0604020202020204" pitchFamily="34" charset="0"/>
            <a:cs typeface="Arial" panose="020B0604020202020204" pitchFamily="34" charset="0"/>
          </a:endParaRPr>
        </a:p>
      </dgm:t>
    </dgm:pt>
    <dgm:pt modelId="{68CA9A19-6026-4E22-984B-8940A7CE28DE}" type="parTrans" cxnId="{D510A552-7C5C-40F6-BEB0-C8C69AA069E8}">
      <dgm:prSet/>
      <dgm:spPr/>
      <dgm:t>
        <a:bodyPr/>
        <a:lstStyle/>
        <a:p>
          <a:endParaRPr lang="en-US"/>
        </a:p>
      </dgm:t>
    </dgm:pt>
    <dgm:pt modelId="{EBC809D7-A893-47AB-8357-4F94D1BE8561}" type="sibTrans" cxnId="{D510A552-7C5C-40F6-BEB0-C8C69AA069E8}">
      <dgm:prSet/>
      <dgm:spPr>
        <a:solidFill>
          <a:srgbClr val="156570"/>
        </a:solidFill>
        <a:ln>
          <a:solidFill>
            <a:srgbClr val="156570"/>
          </a:solidFill>
        </a:ln>
      </dgm:spPr>
      <dgm:t>
        <a:bodyPr/>
        <a:lstStyle/>
        <a:p>
          <a:endParaRPr lang="en-US"/>
        </a:p>
      </dgm:t>
    </dgm:pt>
    <dgm:pt modelId="{FB6685F8-C964-4FB8-9029-75D2AB1F538C}">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Commit to “Action”</a:t>
          </a:r>
          <a:endParaRPr lang="en-US" sz="1000" dirty="0">
            <a:latin typeface="Arial" panose="020B0604020202020204" pitchFamily="34" charset="0"/>
            <a:cs typeface="Arial" panose="020B0604020202020204" pitchFamily="34" charset="0"/>
          </a:endParaRPr>
        </a:p>
      </dgm:t>
    </dgm:pt>
    <dgm:pt modelId="{E464C486-5F6E-4036-B42E-B68D2D923E7A}" type="parTrans" cxnId="{9728E14A-090B-4ECD-9D2C-DFF3F47F138D}">
      <dgm:prSet/>
      <dgm:spPr/>
      <dgm:t>
        <a:bodyPr/>
        <a:lstStyle/>
        <a:p>
          <a:endParaRPr lang="en-US"/>
        </a:p>
      </dgm:t>
    </dgm:pt>
    <dgm:pt modelId="{FF3AED98-FF34-4338-BA23-E4F14C6A106B}" type="sibTrans" cxnId="{9728E14A-090B-4ECD-9D2C-DFF3F47F138D}">
      <dgm:prSet/>
      <dgm:spPr>
        <a:solidFill>
          <a:srgbClr val="156570"/>
        </a:solidFill>
        <a:ln>
          <a:solidFill>
            <a:srgbClr val="156570"/>
          </a:solidFill>
        </a:ln>
      </dgm:spPr>
      <dgm:t>
        <a:bodyPr/>
        <a:lstStyle/>
        <a:p>
          <a:endParaRPr lang="en-US"/>
        </a:p>
      </dgm:t>
    </dgm:pt>
    <dgm:pt modelId="{3227A9EB-69B5-481E-89F4-8BFAAF9E31A5}">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Analyze Alternatives  and Portfolios </a:t>
          </a:r>
          <a:endParaRPr lang="en-US" sz="1000" dirty="0">
            <a:latin typeface="Arial" panose="020B0604020202020204" pitchFamily="34" charset="0"/>
            <a:cs typeface="Arial" panose="020B0604020202020204" pitchFamily="34" charset="0"/>
          </a:endParaRPr>
        </a:p>
      </dgm:t>
    </dgm:pt>
    <dgm:pt modelId="{40D2A1DD-7E23-4470-8363-C421D6F40A77}" type="parTrans" cxnId="{D1BE2684-DB08-4717-AB97-4D8A9B8E4876}">
      <dgm:prSet/>
      <dgm:spPr/>
      <dgm:t>
        <a:bodyPr/>
        <a:lstStyle/>
        <a:p>
          <a:endParaRPr lang="en-US"/>
        </a:p>
      </dgm:t>
    </dgm:pt>
    <dgm:pt modelId="{9BBADF01-113C-467A-B4DC-E950A34918B1}" type="sibTrans" cxnId="{D1BE2684-DB08-4717-AB97-4D8A9B8E4876}">
      <dgm:prSet/>
      <dgm:spPr>
        <a:solidFill>
          <a:srgbClr val="156570"/>
        </a:solidFill>
        <a:ln>
          <a:solidFill>
            <a:srgbClr val="156570"/>
          </a:solidFill>
        </a:ln>
      </dgm:spPr>
      <dgm:t>
        <a:bodyPr/>
        <a:lstStyle/>
        <a:p>
          <a:endParaRPr lang="en-US"/>
        </a:p>
      </dgm:t>
    </dgm:pt>
    <dgm:pt modelId="{FB740930-E894-465F-A6CD-FA1CEA706B89}">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Analyze Results</a:t>
          </a:r>
          <a:endParaRPr lang="en-US" sz="1000" dirty="0">
            <a:latin typeface="Arial" panose="020B0604020202020204" pitchFamily="34" charset="0"/>
            <a:cs typeface="Arial" panose="020B0604020202020204" pitchFamily="34" charset="0"/>
          </a:endParaRPr>
        </a:p>
      </dgm:t>
    </dgm:pt>
    <dgm:pt modelId="{26342BE4-BE51-4CD0-AA92-A265C039B2CA}" type="parTrans" cxnId="{85626B45-8C37-4D2E-B369-F91559AAE28E}">
      <dgm:prSet/>
      <dgm:spPr/>
      <dgm:t>
        <a:bodyPr/>
        <a:lstStyle/>
        <a:p>
          <a:endParaRPr lang="en-US"/>
        </a:p>
      </dgm:t>
    </dgm:pt>
    <dgm:pt modelId="{EBF9F176-80E2-40F1-98B8-375BC3C663ED}" type="sibTrans" cxnId="{85626B45-8C37-4D2E-B369-F91559AAE28E}">
      <dgm:prSet/>
      <dgm:spPr>
        <a:solidFill>
          <a:srgbClr val="156570"/>
        </a:solidFill>
        <a:ln>
          <a:solidFill>
            <a:srgbClr val="156570"/>
          </a:solidFill>
        </a:ln>
      </dgm:spPr>
      <dgm:t>
        <a:bodyPr/>
        <a:lstStyle/>
        <a:p>
          <a:endParaRPr lang="en-US"/>
        </a:p>
      </dgm:t>
    </dgm:pt>
    <dgm:pt modelId="{71922EEB-8951-4613-8B80-67BCDE5150E7}">
      <dgm:prSet custT="1"/>
      <dgm:spPr>
        <a:solidFill>
          <a:srgbClr val="156570"/>
        </a:solidFill>
        <a:ln>
          <a:solidFill>
            <a:srgbClr val="156570"/>
          </a:solidFill>
        </a:ln>
      </dgm:spPr>
      <dgm:t>
        <a:bodyPr/>
        <a:lstStyle/>
        <a:p>
          <a:r>
            <a:rPr lang="en-US" sz="1000" dirty="0">
              <a:latin typeface="Arial" panose="020B0604020202020204" pitchFamily="34" charset="0"/>
              <a:cs typeface="Arial" panose="020B0604020202020204" pitchFamily="34" charset="0"/>
            </a:rPr>
            <a:t>Analyze Market Risk</a:t>
          </a:r>
        </a:p>
      </dgm:t>
    </dgm:pt>
    <dgm:pt modelId="{9824D77D-0EF1-442C-8C0F-EE22068B1582}" type="parTrans" cxnId="{162F99F2-01CB-437B-97B2-84B57E8E399E}">
      <dgm:prSet/>
      <dgm:spPr/>
      <dgm:t>
        <a:bodyPr/>
        <a:lstStyle/>
        <a:p>
          <a:endParaRPr lang="en-US"/>
        </a:p>
      </dgm:t>
    </dgm:pt>
    <dgm:pt modelId="{70F93FD8-DFEC-49BD-9A74-D908D0185630}" type="sibTrans" cxnId="{162F99F2-01CB-437B-97B2-84B57E8E399E}">
      <dgm:prSet/>
      <dgm:spPr>
        <a:solidFill>
          <a:srgbClr val="156570"/>
        </a:solidFill>
        <a:ln>
          <a:solidFill>
            <a:srgbClr val="156570"/>
          </a:solidFill>
        </a:ln>
      </dgm:spPr>
      <dgm:t>
        <a:bodyPr/>
        <a:lstStyle/>
        <a:p>
          <a:endParaRPr lang="en-US"/>
        </a:p>
      </dgm:t>
    </dgm:pt>
    <dgm:pt modelId="{187ADC7F-0783-4AAD-9BFA-5AB94CD3E2E5}" type="pres">
      <dgm:prSet presAssocID="{56363E4E-885F-46C4-A0E9-E01A0C6785E6}" presName="cycle" presStyleCnt="0">
        <dgm:presLayoutVars>
          <dgm:dir/>
          <dgm:resizeHandles val="exact"/>
        </dgm:presLayoutVars>
      </dgm:prSet>
      <dgm:spPr/>
      <dgm:t>
        <a:bodyPr/>
        <a:lstStyle/>
        <a:p>
          <a:endParaRPr lang="en-US"/>
        </a:p>
      </dgm:t>
    </dgm:pt>
    <dgm:pt modelId="{C885EC70-3487-4092-BF87-F8B62F2F9317}" type="pres">
      <dgm:prSet presAssocID="{C5458142-A79A-4533-8AEF-4ED85E57A472}" presName="node" presStyleLbl="node1" presStyleIdx="0" presStyleCnt="7">
        <dgm:presLayoutVars>
          <dgm:bulletEnabled val="1"/>
        </dgm:presLayoutVars>
      </dgm:prSet>
      <dgm:spPr/>
      <dgm:t>
        <a:bodyPr/>
        <a:lstStyle/>
        <a:p>
          <a:endParaRPr lang="en-US"/>
        </a:p>
      </dgm:t>
    </dgm:pt>
    <dgm:pt modelId="{E6394890-7204-4AEC-A67A-FC128C8B44B1}" type="pres">
      <dgm:prSet presAssocID="{C5458142-A79A-4533-8AEF-4ED85E57A472}" presName="spNode" presStyleCnt="0"/>
      <dgm:spPr/>
      <dgm:t>
        <a:bodyPr/>
        <a:lstStyle/>
        <a:p>
          <a:endParaRPr lang="en-US"/>
        </a:p>
      </dgm:t>
    </dgm:pt>
    <dgm:pt modelId="{AB3EAF64-A96E-47AE-A168-2FBADECDA3A8}" type="pres">
      <dgm:prSet presAssocID="{027BCA59-0C79-42E9-90BC-E2143DAE59CE}" presName="sibTrans" presStyleLbl="sibTrans1D1" presStyleIdx="0" presStyleCnt="7"/>
      <dgm:spPr/>
      <dgm:t>
        <a:bodyPr/>
        <a:lstStyle/>
        <a:p>
          <a:endParaRPr lang="en-US"/>
        </a:p>
      </dgm:t>
    </dgm:pt>
    <dgm:pt modelId="{2747A0B0-2606-42AA-B673-2585FD664FD1}" type="pres">
      <dgm:prSet presAssocID="{FD252C8F-CFC0-4622-958C-323021705A74}" presName="node" presStyleLbl="node1" presStyleIdx="1" presStyleCnt="7">
        <dgm:presLayoutVars>
          <dgm:bulletEnabled val="1"/>
        </dgm:presLayoutVars>
      </dgm:prSet>
      <dgm:spPr/>
      <dgm:t>
        <a:bodyPr/>
        <a:lstStyle/>
        <a:p>
          <a:endParaRPr lang="en-US"/>
        </a:p>
      </dgm:t>
    </dgm:pt>
    <dgm:pt modelId="{254EEAA9-1CFA-45E0-BAB4-C93BDA6EC993}" type="pres">
      <dgm:prSet presAssocID="{FD252C8F-CFC0-4622-958C-323021705A74}" presName="spNode" presStyleCnt="0"/>
      <dgm:spPr/>
      <dgm:t>
        <a:bodyPr/>
        <a:lstStyle/>
        <a:p>
          <a:endParaRPr lang="en-US"/>
        </a:p>
      </dgm:t>
    </dgm:pt>
    <dgm:pt modelId="{78643BAC-5B2A-4281-8DFD-9912DDBD067A}" type="pres">
      <dgm:prSet presAssocID="{FD0D17BB-6C83-4BCC-AFD6-215704517345}" presName="sibTrans" presStyleLbl="sibTrans1D1" presStyleIdx="1" presStyleCnt="7"/>
      <dgm:spPr/>
      <dgm:t>
        <a:bodyPr/>
        <a:lstStyle/>
        <a:p>
          <a:endParaRPr lang="en-US"/>
        </a:p>
      </dgm:t>
    </dgm:pt>
    <dgm:pt modelId="{F18F486F-E943-4269-9F8A-7CD730F87ADD}" type="pres">
      <dgm:prSet presAssocID="{3227A9EB-69B5-481E-89F4-8BFAAF9E31A5}" presName="node" presStyleLbl="node1" presStyleIdx="2" presStyleCnt="7">
        <dgm:presLayoutVars>
          <dgm:bulletEnabled val="1"/>
        </dgm:presLayoutVars>
      </dgm:prSet>
      <dgm:spPr/>
      <dgm:t>
        <a:bodyPr/>
        <a:lstStyle/>
        <a:p>
          <a:endParaRPr lang="en-US"/>
        </a:p>
      </dgm:t>
    </dgm:pt>
    <dgm:pt modelId="{F037DB1C-2FFE-40CC-9571-53C30EA8C107}" type="pres">
      <dgm:prSet presAssocID="{3227A9EB-69B5-481E-89F4-8BFAAF9E31A5}" presName="spNode" presStyleCnt="0"/>
      <dgm:spPr/>
      <dgm:t>
        <a:bodyPr/>
        <a:lstStyle/>
        <a:p>
          <a:endParaRPr lang="en-US"/>
        </a:p>
      </dgm:t>
    </dgm:pt>
    <dgm:pt modelId="{6AA09B05-B6B1-44D2-834A-D23654075E80}" type="pres">
      <dgm:prSet presAssocID="{9BBADF01-113C-467A-B4DC-E950A34918B1}" presName="sibTrans" presStyleLbl="sibTrans1D1" presStyleIdx="2" presStyleCnt="7"/>
      <dgm:spPr/>
      <dgm:t>
        <a:bodyPr/>
        <a:lstStyle/>
        <a:p>
          <a:endParaRPr lang="en-US"/>
        </a:p>
      </dgm:t>
    </dgm:pt>
    <dgm:pt modelId="{DCE450DC-075D-4800-B1B3-4CDD0802EAA6}" type="pres">
      <dgm:prSet presAssocID="{71922EEB-8951-4613-8B80-67BCDE5150E7}" presName="node" presStyleLbl="node1" presStyleIdx="3" presStyleCnt="7">
        <dgm:presLayoutVars>
          <dgm:bulletEnabled val="1"/>
        </dgm:presLayoutVars>
      </dgm:prSet>
      <dgm:spPr/>
      <dgm:t>
        <a:bodyPr/>
        <a:lstStyle/>
        <a:p>
          <a:endParaRPr lang="en-US"/>
        </a:p>
      </dgm:t>
    </dgm:pt>
    <dgm:pt modelId="{526D2CF0-B74C-4EFA-8714-C734C799624C}" type="pres">
      <dgm:prSet presAssocID="{71922EEB-8951-4613-8B80-67BCDE5150E7}" presName="spNode" presStyleCnt="0"/>
      <dgm:spPr/>
      <dgm:t>
        <a:bodyPr/>
        <a:lstStyle/>
        <a:p>
          <a:endParaRPr lang="en-US"/>
        </a:p>
      </dgm:t>
    </dgm:pt>
    <dgm:pt modelId="{EE6CFCF7-3009-4ED9-B464-EF08EBEA4BF2}" type="pres">
      <dgm:prSet presAssocID="{70F93FD8-DFEC-49BD-9A74-D908D0185630}" presName="sibTrans" presStyleLbl="sibTrans1D1" presStyleIdx="3" presStyleCnt="7"/>
      <dgm:spPr/>
      <dgm:t>
        <a:bodyPr/>
        <a:lstStyle/>
        <a:p>
          <a:endParaRPr lang="en-US"/>
        </a:p>
      </dgm:t>
    </dgm:pt>
    <dgm:pt modelId="{D880854A-AF27-4A38-8DB1-EAF9AD97448E}" type="pres">
      <dgm:prSet presAssocID="{FB740930-E894-465F-A6CD-FA1CEA706B89}" presName="node" presStyleLbl="node1" presStyleIdx="4" presStyleCnt="7">
        <dgm:presLayoutVars>
          <dgm:bulletEnabled val="1"/>
        </dgm:presLayoutVars>
      </dgm:prSet>
      <dgm:spPr/>
      <dgm:t>
        <a:bodyPr/>
        <a:lstStyle/>
        <a:p>
          <a:endParaRPr lang="en-US"/>
        </a:p>
      </dgm:t>
    </dgm:pt>
    <dgm:pt modelId="{5DE161AF-BD76-488C-85AD-3AB4B86994F0}" type="pres">
      <dgm:prSet presAssocID="{FB740930-E894-465F-A6CD-FA1CEA706B89}" presName="spNode" presStyleCnt="0"/>
      <dgm:spPr/>
      <dgm:t>
        <a:bodyPr/>
        <a:lstStyle/>
        <a:p>
          <a:endParaRPr lang="en-US"/>
        </a:p>
      </dgm:t>
    </dgm:pt>
    <dgm:pt modelId="{6F8B7423-3725-4547-940F-B946B8DCD0FD}" type="pres">
      <dgm:prSet presAssocID="{EBF9F176-80E2-40F1-98B8-375BC3C663ED}" presName="sibTrans" presStyleLbl="sibTrans1D1" presStyleIdx="4" presStyleCnt="7"/>
      <dgm:spPr/>
      <dgm:t>
        <a:bodyPr/>
        <a:lstStyle/>
        <a:p>
          <a:endParaRPr lang="en-US"/>
        </a:p>
      </dgm:t>
    </dgm:pt>
    <dgm:pt modelId="{8F689025-B867-42AE-9531-33DB20A6C3A5}" type="pres">
      <dgm:prSet presAssocID="{6AD48BF1-985D-4E6C-8133-BFF9BA5BDE0D}" presName="node" presStyleLbl="node1" presStyleIdx="5" presStyleCnt="7">
        <dgm:presLayoutVars>
          <dgm:bulletEnabled val="1"/>
        </dgm:presLayoutVars>
      </dgm:prSet>
      <dgm:spPr/>
      <dgm:t>
        <a:bodyPr/>
        <a:lstStyle/>
        <a:p>
          <a:endParaRPr lang="en-US"/>
        </a:p>
      </dgm:t>
    </dgm:pt>
    <dgm:pt modelId="{86D66C5C-2D21-46EF-B0E5-CF59641309D4}" type="pres">
      <dgm:prSet presAssocID="{6AD48BF1-985D-4E6C-8133-BFF9BA5BDE0D}" presName="spNode" presStyleCnt="0"/>
      <dgm:spPr/>
      <dgm:t>
        <a:bodyPr/>
        <a:lstStyle/>
        <a:p>
          <a:endParaRPr lang="en-US"/>
        </a:p>
      </dgm:t>
    </dgm:pt>
    <dgm:pt modelId="{7C5BA10D-BAF1-4F6D-9C39-8F6FD9E9AB6B}" type="pres">
      <dgm:prSet presAssocID="{EBC809D7-A893-47AB-8357-4F94D1BE8561}" presName="sibTrans" presStyleLbl="sibTrans1D1" presStyleIdx="5" presStyleCnt="7"/>
      <dgm:spPr/>
      <dgm:t>
        <a:bodyPr/>
        <a:lstStyle/>
        <a:p>
          <a:endParaRPr lang="en-US"/>
        </a:p>
      </dgm:t>
    </dgm:pt>
    <dgm:pt modelId="{54D94A86-33D3-4689-BD12-3A42EBE61067}" type="pres">
      <dgm:prSet presAssocID="{FB6685F8-C964-4FB8-9029-75D2AB1F538C}" presName="node" presStyleLbl="node1" presStyleIdx="6" presStyleCnt="7">
        <dgm:presLayoutVars>
          <dgm:bulletEnabled val="1"/>
        </dgm:presLayoutVars>
      </dgm:prSet>
      <dgm:spPr/>
      <dgm:t>
        <a:bodyPr/>
        <a:lstStyle/>
        <a:p>
          <a:endParaRPr lang="en-US"/>
        </a:p>
      </dgm:t>
    </dgm:pt>
    <dgm:pt modelId="{16C6844E-0385-4302-9483-38CD32EFFA71}" type="pres">
      <dgm:prSet presAssocID="{FB6685F8-C964-4FB8-9029-75D2AB1F538C}" presName="spNode" presStyleCnt="0"/>
      <dgm:spPr/>
      <dgm:t>
        <a:bodyPr/>
        <a:lstStyle/>
        <a:p>
          <a:endParaRPr lang="en-US"/>
        </a:p>
      </dgm:t>
    </dgm:pt>
    <dgm:pt modelId="{6DEA5942-2340-4773-B852-92117FEC3249}" type="pres">
      <dgm:prSet presAssocID="{FF3AED98-FF34-4338-BA23-E4F14C6A106B}" presName="sibTrans" presStyleLbl="sibTrans1D1" presStyleIdx="6" presStyleCnt="7"/>
      <dgm:spPr/>
      <dgm:t>
        <a:bodyPr/>
        <a:lstStyle/>
        <a:p>
          <a:endParaRPr lang="en-US"/>
        </a:p>
      </dgm:t>
    </dgm:pt>
  </dgm:ptLst>
  <dgm:cxnLst>
    <dgm:cxn modelId="{85626B45-8C37-4D2E-B369-F91559AAE28E}" srcId="{56363E4E-885F-46C4-A0E9-E01A0C6785E6}" destId="{FB740930-E894-465F-A6CD-FA1CEA706B89}" srcOrd="4" destOrd="0" parTransId="{26342BE4-BE51-4CD0-AA92-A265C039B2CA}" sibTransId="{EBF9F176-80E2-40F1-98B8-375BC3C663ED}"/>
    <dgm:cxn modelId="{EAF78C2F-28F4-4DF3-AB46-4AD638E19BB0}" type="presOf" srcId="{FF3AED98-FF34-4338-BA23-E4F14C6A106B}" destId="{6DEA5942-2340-4773-B852-92117FEC3249}" srcOrd="0" destOrd="0" presId="urn:microsoft.com/office/officeart/2005/8/layout/cycle5"/>
    <dgm:cxn modelId="{D510A552-7C5C-40F6-BEB0-C8C69AA069E8}" srcId="{56363E4E-885F-46C4-A0E9-E01A0C6785E6}" destId="{6AD48BF1-985D-4E6C-8133-BFF9BA5BDE0D}" srcOrd="5" destOrd="0" parTransId="{68CA9A19-6026-4E22-984B-8940A7CE28DE}" sibTransId="{EBC809D7-A893-47AB-8357-4F94D1BE8561}"/>
    <dgm:cxn modelId="{D1BE2684-DB08-4717-AB97-4D8A9B8E4876}" srcId="{56363E4E-885F-46C4-A0E9-E01A0C6785E6}" destId="{3227A9EB-69B5-481E-89F4-8BFAAF9E31A5}" srcOrd="2" destOrd="0" parTransId="{40D2A1DD-7E23-4470-8363-C421D6F40A77}" sibTransId="{9BBADF01-113C-467A-B4DC-E950A34918B1}"/>
    <dgm:cxn modelId="{10C58B0D-6F8D-4766-90CB-C1A5591879E8}" type="presOf" srcId="{C5458142-A79A-4533-8AEF-4ED85E57A472}" destId="{C885EC70-3487-4092-BF87-F8B62F2F9317}" srcOrd="0" destOrd="0" presId="urn:microsoft.com/office/officeart/2005/8/layout/cycle5"/>
    <dgm:cxn modelId="{4512BB05-42BC-49D8-B356-9C2D23A71C36}" type="presOf" srcId="{EBC809D7-A893-47AB-8357-4F94D1BE8561}" destId="{7C5BA10D-BAF1-4F6D-9C39-8F6FD9E9AB6B}" srcOrd="0" destOrd="0" presId="urn:microsoft.com/office/officeart/2005/8/layout/cycle5"/>
    <dgm:cxn modelId="{6C512B7D-89C8-4A8E-ACF7-1F98479DCA0E}" srcId="{56363E4E-885F-46C4-A0E9-E01A0C6785E6}" destId="{C5458142-A79A-4533-8AEF-4ED85E57A472}" srcOrd="0" destOrd="0" parTransId="{92051A9B-617C-4348-8697-5DC3F78BF68D}" sibTransId="{027BCA59-0C79-42E9-90BC-E2143DAE59CE}"/>
    <dgm:cxn modelId="{F4838C2E-B254-49EE-8486-32619A594510}" type="presOf" srcId="{9BBADF01-113C-467A-B4DC-E950A34918B1}" destId="{6AA09B05-B6B1-44D2-834A-D23654075E80}" srcOrd="0" destOrd="0" presId="urn:microsoft.com/office/officeart/2005/8/layout/cycle5"/>
    <dgm:cxn modelId="{8D19512D-C33C-480B-9DDB-C4374F2A8C63}" srcId="{56363E4E-885F-46C4-A0E9-E01A0C6785E6}" destId="{FD252C8F-CFC0-4622-958C-323021705A74}" srcOrd="1" destOrd="0" parTransId="{6343E4C3-9583-4E5F-860A-8CD5C90FF303}" sibTransId="{FD0D17BB-6C83-4BCC-AFD6-215704517345}"/>
    <dgm:cxn modelId="{4174B890-1D6C-4B3F-BDC4-E43C2519899B}" type="presOf" srcId="{3227A9EB-69B5-481E-89F4-8BFAAF9E31A5}" destId="{F18F486F-E943-4269-9F8A-7CD730F87ADD}" srcOrd="0" destOrd="0" presId="urn:microsoft.com/office/officeart/2005/8/layout/cycle5"/>
    <dgm:cxn modelId="{40BE7409-3EC9-47BE-B4EE-8457EDDC82F9}" type="presOf" srcId="{71922EEB-8951-4613-8B80-67BCDE5150E7}" destId="{DCE450DC-075D-4800-B1B3-4CDD0802EAA6}" srcOrd="0" destOrd="0" presId="urn:microsoft.com/office/officeart/2005/8/layout/cycle5"/>
    <dgm:cxn modelId="{8B28CC8B-32D5-4C45-BDA1-F401DC863F36}" type="presOf" srcId="{6AD48BF1-985D-4E6C-8133-BFF9BA5BDE0D}" destId="{8F689025-B867-42AE-9531-33DB20A6C3A5}" srcOrd="0" destOrd="0" presId="urn:microsoft.com/office/officeart/2005/8/layout/cycle5"/>
    <dgm:cxn modelId="{581A9C7C-6303-4FC8-8FFF-3CF21A6F0D74}" type="presOf" srcId="{027BCA59-0C79-42E9-90BC-E2143DAE59CE}" destId="{AB3EAF64-A96E-47AE-A168-2FBADECDA3A8}" srcOrd="0" destOrd="0" presId="urn:microsoft.com/office/officeart/2005/8/layout/cycle5"/>
    <dgm:cxn modelId="{C76BDD02-7ACB-4C49-8F28-F780E2DE8E49}" type="presOf" srcId="{FB6685F8-C964-4FB8-9029-75D2AB1F538C}" destId="{54D94A86-33D3-4689-BD12-3A42EBE61067}" srcOrd="0" destOrd="0" presId="urn:microsoft.com/office/officeart/2005/8/layout/cycle5"/>
    <dgm:cxn modelId="{2CC02BDA-A6CB-413E-A308-42E454E2AE85}" type="presOf" srcId="{FB740930-E894-465F-A6CD-FA1CEA706B89}" destId="{D880854A-AF27-4A38-8DB1-EAF9AD97448E}" srcOrd="0" destOrd="0" presId="urn:microsoft.com/office/officeart/2005/8/layout/cycle5"/>
    <dgm:cxn modelId="{162F99F2-01CB-437B-97B2-84B57E8E399E}" srcId="{56363E4E-885F-46C4-A0E9-E01A0C6785E6}" destId="{71922EEB-8951-4613-8B80-67BCDE5150E7}" srcOrd="3" destOrd="0" parTransId="{9824D77D-0EF1-442C-8C0F-EE22068B1582}" sibTransId="{70F93FD8-DFEC-49BD-9A74-D908D0185630}"/>
    <dgm:cxn modelId="{E9C4534D-5E7C-478F-9175-9DA772990CA5}" type="presOf" srcId="{FD0D17BB-6C83-4BCC-AFD6-215704517345}" destId="{78643BAC-5B2A-4281-8DFD-9912DDBD067A}" srcOrd="0" destOrd="0" presId="urn:microsoft.com/office/officeart/2005/8/layout/cycle5"/>
    <dgm:cxn modelId="{B8CE6342-6ABC-42D8-B05D-D78B084F2380}" type="presOf" srcId="{56363E4E-885F-46C4-A0E9-E01A0C6785E6}" destId="{187ADC7F-0783-4AAD-9BFA-5AB94CD3E2E5}" srcOrd="0" destOrd="0" presId="urn:microsoft.com/office/officeart/2005/8/layout/cycle5"/>
    <dgm:cxn modelId="{9728E14A-090B-4ECD-9D2C-DFF3F47F138D}" srcId="{56363E4E-885F-46C4-A0E9-E01A0C6785E6}" destId="{FB6685F8-C964-4FB8-9029-75D2AB1F538C}" srcOrd="6" destOrd="0" parTransId="{E464C486-5F6E-4036-B42E-B68D2D923E7A}" sibTransId="{FF3AED98-FF34-4338-BA23-E4F14C6A106B}"/>
    <dgm:cxn modelId="{D158900E-C1D1-406B-96DF-2596867F6F0E}" type="presOf" srcId="{EBF9F176-80E2-40F1-98B8-375BC3C663ED}" destId="{6F8B7423-3725-4547-940F-B946B8DCD0FD}" srcOrd="0" destOrd="0" presId="urn:microsoft.com/office/officeart/2005/8/layout/cycle5"/>
    <dgm:cxn modelId="{856815AB-7882-444E-8ADA-E28E077607DC}" type="presOf" srcId="{FD252C8F-CFC0-4622-958C-323021705A74}" destId="{2747A0B0-2606-42AA-B673-2585FD664FD1}" srcOrd="0" destOrd="0" presId="urn:microsoft.com/office/officeart/2005/8/layout/cycle5"/>
    <dgm:cxn modelId="{4840D003-1CF2-4927-832E-C0D01DC6DD45}" type="presOf" srcId="{70F93FD8-DFEC-49BD-9A74-D908D0185630}" destId="{EE6CFCF7-3009-4ED9-B464-EF08EBEA4BF2}" srcOrd="0" destOrd="0" presId="urn:microsoft.com/office/officeart/2005/8/layout/cycle5"/>
    <dgm:cxn modelId="{8B0F57FD-7943-421B-B2F7-A447DA283837}" type="presParOf" srcId="{187ADC7F-0783-4AAD-9BFA-5AB94CD3E2E5}" destId="{C885EC70-3487-4092-BF87-F8B62F2F9317}" srcOrd="0" destOrd="0" presId="urn:microsoft.com/office/officeart/2005/8/layout/cycle5"/>
    <dgm:cxn modelId="{D8E4A38A-86FB-496C-BB49-9CD168EE5944}" type="presParOf" srcId="{187ADC7F-0783-4AAD-9BFA-5AB94CD3E2E5}" destId="{E6394890-7204-4AEC-A67A-FC128C8B44B1}" srcOrd="1" destOrd="0" presId="urn:microsoft.com/office/officeart/2005/8/layout/cycle5"/>
    <dgm:cxn modelId="{23E3803E-2169-413E-9178-D29280A55D1F}" type="presParOf" srcId="{187ADC7F-0783-4AAD-9BFA-5AB94CD3E2E5}" destId="{AB3EAF64-A96E-47AE-A168-2FBADECDA3A8}" srcOrd="2" destOrd="0" presId="urn:microsoft.com/office/officeart/2005/8/layout/cycle5"/>
    <dgm:cxn modelId="{08A382DD-BDA6-43E8-B582-02032BE78607}" type="presParOf" srcId="{187ADC7F-0783-4AAD-9BFA-5AB94CD3E2E5}" destId="{2747A0B0-2606-42AA-B673-2585FD664FD1}" srcOrd="3" destOrd="0" presId="urn:microsoft.com/office/officeart/2005/8/layout/cycle5"/>
    <dgm:cxn modelId="{B3E9A5DE-8343-40BC-9BB5-CE8F25EFD963}" type="presParOf" srcId="{187ADC7F-0783-4AAD-9BFA-5AB94CD3E2E5}" destId="{254EEAA9-1CFA-45E0-BAB4-C93BDA6EC993}" srcOrd="4" destOrd="0" presId="urn:microsoft.com/office/officeart/2005/8/layout/cycle5"/>
    <dgm:cxn modelId="{6FECCE7F-ED8E-4E65-B1B9-FAA1BD2A7243}" type="presParOf" srcId="{187ADC7F-0783-4AAD-9BFA-5AB94CD3E2E5}" destId="{78643BAC-5B2A-4281-8DFD-9912DDBD067A}" srcOrd="5" destOrd="0" presId="urn:microsoft.com/office/officeart/2005/8/layout/cycle5"/>
    <dgm:cxn modelId="{5E76D141-4A6D-4DC6-8E25-AC6772AE0A02}" type="presParOf" srcId="{187ADC7F-0783-4AAD-9BFA-5AB94CD3E2E5}" destId="{F18F486F-E943-4269-9F8A-7CD730F87ADD}" srcOrd="6" destOrd="0" presId="urn:microsoft.com/office/officeart/2005/8/layout/cycle5"/>
    <dgm:cxn modelId="{EB32DF3B-491F-4E8A-8DF1-539291BC3484}" type="presParOf" srcId="{187ADC7F-0783-4AAD-9BFA-5AB94CD3E2E5}" destId="{F037DB1C-2FFE-40CC-9571-53C30EA8C107}" srcOrd="7" destOrd="0" presId="urn:microsoft.com/office/officeart/2005/8/layout/cycle5"/>
    <dgm:cxn modelId="{B24DBEBE-BD6A-4620-8619-3A05DBBB2A53}" type="presParOf" srcId="{187ADC7F-0783-4AAD-9BFA-5AB94CD3E2E5}" destId="{6AA09B05-B6B1-44D2-834A-D23654075E80}" srcOrd="8" destOrd="0" presId="urn:microsoft.com/office/officeart/2005/8/layout/cycle5"/>
    <dgm:cxn modelId="{73F1DA3B-E2E2-44AC-BE1F-AD024CE6EA4C}" type="presParOf" srcId="{187ADC7F-0783-4AAD-9BFA-5AB94CD3E2E5}" destId="{DCE450DC-075D-4800-B1B3-4CDD0802EAA6}" srcOrd="9" destOrd="0" presId="urn:microsoft.com/office/officeart/2005/8/layout/cycle5"/>
    <dgm:cxn modelId="{593F919C-0E53-4091-9ABF-C643C049AD49}" type="presParOf" srcId="{187ADC7F-0783-4AAD-9BFA-5AB94CD3E2E5}" destId="{526D2CF0-B74C-4EFA-8714-C734C799624C}" srcOrd="10" destOrd="0" presId="urn:microsoft.com/office/officeart/2005/8/layout/cycle5"/>
    <dgm:cxn modelId="{598AA212-77DB-4D68-980F-0C6E3860D1ED}" type="presParOf" srcId="{187ADC7F-0783-4AAD-9BFA-5AB94CD3E2E5}" destId="{EE6CFCF7-3009-4ED9-B464-EF08EBEA4BF2}" srcOrd="11" destOrd="0" presId="urn:microsoft.com/office/officeart/2005/8/layout/cycle5"/>
    <dgm:cxn modelId="{C8481488-E81C-4CD9-93DC-587506F8DA28}" type="presParOf" srcId="{187ADC7F-0783-4AAD-9BFA-5AB94CD3E2E5}" destId="{D880854A-AF27-4A38-8DB1-EAF9AD97448E}" srcOrd="12" destOrd="0" presId="urn:microsoft.com/office/officeart/2005/8/layout/cycle5"/>
    <dgm:cxn modelId="{CD7E14F9-681E-46F3-B882-3736DD403C82}" type="presParOf" srcId="{187ADC7F-0783-4AAD-9BFA-5AB94CD3E2E5}" destId="{5DE161AF-BD76-488C-85AD-3AB4B86994F0}" srcOrd="13" destOrd="0" presId="urn:microsoft.com/office/officeart/2005/8/layout/cycle5"/>
    <dgm:cxn modelId="{AD4802E1-5F70-4F28-81AA-EEA9121C3703}" type="presParOf" srcId="{187ADC7F-0783-4AAD-9BFA-5AB94CD3E2E5}" destId="{6F8B7423-3725-4547-940F-B946B8DCD0FD}" srcOrd="14" destOrd="0" presId="urn:microsoft.com/office/officeart/2005/8/layout/cycle5"/>
    <dgm:cxn modelId="{CD407A32-5EA0-49B3-9800-4A63F45AC00C}" type="presParOf" srcId="{187ADC7F-0783-4AAD-9BFA-5AB94CD3E2E5}" destId="{8F689025-B867-42AE-9531-33DB20A6C3A5}" srcOrd="15" destOrd="0" presId="urn:microsoft.com/office/officeart/2005/8/layout/cycle5"/>
    <dgm:cxn modelId="{DC0E73F9-B8A0-492D-968C-48B9EEC99F89}" type="presParOf" srcId="{187ADC7F-0783-4AAD-9BFA-5AB94CD3E2E5}" destId="{86D66C5C-2D21-46EF-B0E5-CF59641309D4}" srcOrd="16" destOrd="0" presId="urn:microsoft.com/office/officeart/2005/8/layout/cycle5"/>
    <dgm:cxn modelId="{B3B6DBFC-7414-47DF-99FD-DA1286DDCAE9}" type="presParOf" srcId="{187ADC7F-0783-4AAD-9BFA-5AB94CD3E2E5}" destId="{7C5BA10D-BAF1-4F6D-9C39-8F6FD9E9AB6B}" srcOrd="17" destOrd="0" presId="urn:microsoft.com/office/officeart/2005/8/layout/cycle5"/>
    <dgm:cxn modelId="{0163324E-A357-4420-9278-CB5601B2F347}" type="presParOf" srcId="{187ADC7F-0783-4AAD-9BFA-5AB94CD3E2E5}" destId="{54D94A86-33D3-4689-BD12-3A42EBE61067}" srcOrd="18" destOrd="0" presId="urn:microsoft.com/office/officeart/2005/8/layout/cycle5"/>
    <dgm:cxn modelId="{F9E62C56-86C4-4F68-BC84-0E45189717DF}" type="presParOf" srcId="{187ADC7F-0783-4AAD-9BFA-5AB94CD3E2E5}" destId="{16C6844E-0385-4302-9483-38CD32EFFA71}" srcOrd="19" destOrd="0" presId="urn:microsoft.com/office/officeart/2005/8/layout/cycle5"/>
    <dgm:cxn modelId="{9CCF4283-F814-4B16-A7B2-5375B916FC6C}" type="presParOf" srcId="{187ADC7F-0783-4AAD-9BFA-5AB94CD3E2E5}" destId="{6DEA5942-2340-4773-B852-92117FEC3249}" srcOrd="20" destOrd="0" presId="urn:microsoft.com/office/officeart/2005/8/layout/cycle5"/>
  </dgm:cxnLst>
  <dgm:bg>
    <a:noFill/>
  </dgm:bg>
  <dgm:whole>
    <a:ln>
      <a:noFill/>
    </a:ln>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6363E4E-885F-46C4-A0E9-E01A0C6785E6}"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FD252C8F-CFC0-4622-958C-323021705A74}">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Planning Assumptions &amp; Resource Alternatives</a:t>
          </a:r>
          <a:endParaRPr lang="en-US" sz="1000" dirty="0">
            <a:latin typeface="Arial" panose="020B0604020202020204" pitchFamily="34" charset="0"/>
            <a:cs typeface="Arial" panose="020B0604020202020204" pitchFamily="34" charset="0"/>
          </a:endParaRPr>
        </a:p>
      </dgm:t>
    </dgm:pt>
    <dgm:pt modelId="{6343E4C3-9583-4E5F-860A-8CD5C90FF303}" type="parTrans" cxnId="{8D19512D-C33C-480B-9DDB-C4374F2A8C63}">
      <dgm:prSet/>
      <dgm:spPr/>
      <dgm:t>
        <a:bodyPr/>
        <a:lstStyle/>
        <a:p>
          <a:endParaRPr lang="en-US"/>
        </a:p>
      </dgm:t>
    </dgm:pt>
    <dgm:pt modelId="{FD0D17BB-6C83-4BCC-AFD6-215704517345}" type="sibTrans" cxnId="{8D19512D-C33C-480B-9DDB-C4374F2A8C63}">
      <dgm:prSet/>
      <dgm:spPr>
        <a:solidFill>
          <a:srgbClr val="156570"/>
        </a:solidFill>
        <a:ln>
          <a:solidFill>
            <a:srgbClr val="156570"/>
          </a:solidFill>
        </a:ln>
      </dgm:spPr>
      <dgm:t>
        <a:bodyPr/>
        <a:lstStyle/>
        <a:p>
          <a:endParaRPr lang="en-US"/>
        </a:p>
      </dgm:t>
    </dgm:pt>
    <dgm:pt modelId="{6AD48BF1-985D-4E6C-8133-BFF9BA5BDE0D}">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Make Decisions</a:t>
          </a:r>
          <a:endParaRPr lang="en-US" sz="1000" dirty="0">
            <a:latin typeface="Arial" panose="020B0604020202020204" pitchFamily="34" charset="0"/>
            <a:cs typeface="Arial" panose="020B0604020202020204" pitchFamily="34" charset="0"/>
          </a:endParaRPr>
        </a:p>
      </dgm:t>
    </dgm:pt>
    <dgm:pt modelId="{68CA9A19-6026-4E22-984B-8940A7CE28DE}" type="parTrans" cxnId="{D510A552-7C5C-40F6-BEB0-C8C69AA069E8}">
      <dgm:prSet/>
      <dgm:spPr/>
      <dgm:t>
        <a:bodyPr/>
        <a:lstStyle/>
        <a:p>
          <a:endParaRPr lang="en-US"/>
        </a:p>
      </dgm:t>
    </dgm:pt>
    <dgm:pt modelId="{EBC809D7-A893-47AB-8357-4F94D1BE8561}" type="sibTrans" cxnId="{D510A552-7C5C-40F6-BEB0-C8C69AA069E8}">
      <dgm:prSet/>
      <dgm:spPr>
        <a:solidFill>
          <a:srgbClr val="156570"/>
        </a:solidFill>
        <a:ln>
          <a:solidFill>
            <a:srgbClr val="156570"/>
          </a:solidFill>
        </a:ln>
      </dgm:spPr>
      <dgm:t>
        <a:bodyPr/>
        <a:lstStyle/>
        <a:p>
          <a:endParaRPr lang="en-US"/>
        </a:p>
      </dgm:t>
    </dgm:pt>
    <dgm:pt modelId="{FB6685F8-C964-4FB8-9029-75D2AB1F538C}">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Commit to “Action”</a:t>
          </a:r>
          <a:endParaRPr lang="en-US" sz="1000" dirty="0">
            <a:latin typeface="Arial" panose="020B0604020202020204" pitchFamily="34" charset="0"/>
            <a:cs typeface="Arial" panose="020B0604020202020204" pitchFamily="34" charset="0"/>
          </a:endParaRPr>
        </a:p>
      </dgm:t>
    </dgm:pt>
    <dgm:pt modelId="{E464C486-5F6E-4036-B42E-B68D2D923E7A}" type="parTrans" cxnId="{9728E14A-090B-4ECD-9D2C-DFF3F47F138D}">
      <dgm:prSet/>
      <dgm:spPr/>
      <dgm:t>
        <a:bodyPr/>
        <a:lstStyle/>
        <a:p>
          <a:endParaRPr lang="en-US"/>
        </a:p>
      </dgm:t>
    </dgm:pt>
    <dgm:pt modelId="{FF3AED98-FF34-4338-BA23-E4F14C6A106B}" type="sibTrans" cxnId="{9728E14A-090B-4ECD-9D2C-DFF3F47F138D}">
      <dgm:prSet/>
      <dgm:spPr>
        <a:solidFill>
          <a:srgbClr val="156570"/>
        </a:solidFill>
        <a:ln>
          <a:solidFill>
            <a:srgbClr val="156570"/>
          </a:solidFill>
        </a:ln>
      </dgm:spPr>
      <dgm:t>
        <a:bodyPr/>
        <a:lstStyle/>
        <a:p>
          <a:endParaRPr lang="en-US"/>
        </a:p>
      </dgm:t>
    </dgm:pt>
    <dgm:pt modelId="{3227A9EB-69B5-481E-89F4-8BFAAF9E31A5}">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Analyze Alternatives  and Portfolios </a:t>
          </a:r>
          <a:endParaRPr lang="en-US" sz="1000" dirty="0">
            <a:latin typeface="Arial" panose="020B0604020202020204" pitchFamily="34" charset="0"/>
            <a:cs typeface="Arial" panose="020B0604020202020204" pitchFamily="34" charset="0"/>
          </a:endParaRPr>
        </a:p>
      </dgm:t>
    </dgm:pt>
    <dgm:pt modelId="{40D2A1DD-7E23-4470-8363-C421D6F40A77}" type="parTrans" cxnId="{D1BE2684-DB08-4717-AB97-4D8A9B8E4876}">
      <dgm:prSet/>
      <dgm:spPr/>
      <dgm:t>
        <a:bodyPr/>
        <a:lstStyle/>
        <a:p>
          <a:endParaRPr lang="en-US"/>
        </a:p>
      </dgm:t>
    </dgm:pt>
    <dgm:pt modelId="{9BBADF01-113C-467A-B4DC-E950A34918B1}" type="sibTrans" cxnId="{D1BE2684-DB08-4717-AB97-4D8A9B8E4876}">
      <dgm:prSet/>
      <dgm:spPr>
        <a:solidFill>
          <a:srgbClr val="156570"/>
        </a:solidFill>
        <a:ln>
          <a:solidFill>
            <a:srgbClr val="156570"/>
          </a:solidFill>
        </a:ln>
      </dgm:spPr>
      <dgm:t>
        <a:bodyPr/>
        <a:lstStyle/>
        <a:p>
          <a:endParaRPr lang="en-US"/>
        </a:p>
      </dgm:t>
    </dgm:pt>
    <dgm:pt modelId="{FB740930-E894-465F-A6CD-FA1CEA706B89}">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Analyze Results</a:t>
          </a:r>
          <a:endParaRPr lang="en-US" sz="1000" dirty="0">
            <a:latin typeface="Arial" panose="020B0604020202020204" pitchFamily="34" charset="0"/>
            <a:cs typeface="Arial" panose="020B0604020202020204" pitchFamily="34" charset="0"/>
          </a:endParaRPr>
        </a:p>
      </dgm:t>
    </dgm:pt>
    <dgm:pt modelId="{26342BE4-BE51-4CD0-AA92-A265C039B2CA}" type="parTrans" cxnId="{85626B45-8C37-4D2E-B369-F91559AAE28E}">
      <dgm:prSet/>
      <dgm:spPr/>
      <dgm:t>
        <a:bodyPr/>
        <a:lstStyle/>
        <a:p>
          <a:endParaRPr lang="en-US"/>
        </a:p>
      </dgm:t>
    </dgm:pt>
    <dgm:pt modelId="{EBF9F176-80E2-40F1-98B8-375BC3C663ED}" type="sibTrans" cxnId="{85626B45-8C37-4D2E-B369-F91559AAE28E}">
      <dgm:prSet/>
      <dgm:spPr>
        <a:solidFill>
          <a:srgbClr val="156570"/>
        </a:solidFill>
        <a:ln>
          <a:solidFill>
            <a:srgbClr val="156570"/>
          </a:solidFill>
        </a:ln>
      </dgm:spPr>
      <dgm:t>
        <a:bodyPr/>
        <a:lstStyle/>
        <a:p>
          <a:endParaRPr lang="en-US"/>
        </a:p>
      </dgm:t>
    </dgm:pt>
    <dgm:pt modelId="{71922EEB-8951-4613-8B80-67BCDE5150E7}">
      <dgm:prSet custT="1"/>
      <dgm:spPr>
        <a:solidFill>
          <a:srgbClr val="156570"/>
        </a:solidFill>
        <a:ln>
          <a:solidFill>
            <a:srgbClr val="156570"/>
          </a:solidFill>
        </a:ln>
      </dgm:spPr>
      <dgm:t>
        <a:bodyPr/>
        <a:lstStyle/>
        <a:p>
          <a:r>
            <a:rPr lang="en-US" sz="1000" dirty="0">
              <a:latin typeface="Arial" panose="020B0604020202020204" pitchFamily="34" charset="0"/>
              <a:cs typeface="Arial" panose="020B0604020202020204" pitchFamily="34" charset="0"/>
            </a:rPr>
            <a:t>Analyze Market Risk</a:t>
          </a:r>
        </a:p>
      </dgm:t>
    </dgm:pt>
    <dgm:pt modelId="{9824D77D-0EF1-442C-8C0F-EE22068B1582}" type="parTrans" cxnId="{162F99F2-01CB-437B-97B2-84B57E8E399E}">
      <dgm:prSet/>
      <dgm:spPr/>
      <dgm:t>
        <a:bodyPr/>
        <a:lstStyle/>
        <a:p>
          <a:endParaRPr lang="en-US"/>
        </a:p>
      </dgm:t>
    </dgm:pt>
    <dgm:pt modelId="{70F93FD8-DFEC-49BD-9A74-D908D0185630}" type="sibTrans" cxnId="{162F99F2-01CB-437B-97B2-84B57E8E399E}">
      <dgm:prSet/>
      <dgm:spPr>
        <a:solidFill>
          <a:srgbClr val="156570"/>
        </a:solidFill>
        <a:ln>
          <a:solidFill>
            <a:srgbClr val="156570"/>
          </a:solidFill>
        </a:ln>
      </dgm:spPr>
      <dgm:t>
        <a:bodyPr/>
        <a:lstStyle/>
        <a:p>
          <a:endParaRPr lang="en-US"/>
        </a:p>
      </dgm:t>
    </dgm:pt>
    <dgm:pt modelId="{C5458142-A79A-4533-8AEF-4ED85E57A472}">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Establish             Resource Needs</a:t>
          </a:r>
          <a:endParaRPr lang="en-US" sz="1000" dirty="0">
            <a:latin typeface="Arial" panose="020B0604020202020204" pitchFamily="34" charset="0"/>
            <a:cs typeface="Arial" panose="020B0604020202020204" pitchFamily="34" charset="0"/>
          </a:endParaRPr>
        </a:p>
      </dgm:t>
    </dgm:pt>
    <dgm:pt modelId="{027BCA59-0C79-42E9-90BC-E2143DAE59CE}" type="sibTrans" cxnId="{6C512B7D-89C8-4A8E-ACF7-1F98479DCA0E}">
      <dgm:prSet/>
      <dgm:spPr>
        <a:solidFill>
          <a:srgbClr val="156570"/>
        </a:solidFill>
        <a:ln>
          <a:solidFill>
            <a:srgbClr val="156570"/>
          </a:solidFill>
        </a:ln>
      </dgm:spPr>
      <dgm:t>
        <a:bodyPr/>
        <a:lstStyle/>
        <a:p>
          <a:endParaRPr lang="en-US"/>
        </a:p>
      </dgm:t>
    </dgm:pt>
    <dgm:pt modelId="{92051A9B-617C-4348-8697-5DC3F78BF68D}" type="parTrans" cxnId="{6C512B7D-89C8-4A8E-ACF7-1F98479DCA0E}">
      <dgm:prSet/>
      <dgm:spPr/>
      <dgm:t>
        <a:bodyPr/>
        <a:lstStyle/>
        <a:p>
          <a:endParaRPr lang="en-US"/>
        </a:p>
      </dgm:t>
    </dgm:pt>
    <dgm:pt modelId="{187ADC7F-0783-4AAD-9BFA-5AB94CD3E2E5}" type="pres">
      <dgm:prSet presAssocID="{56363E4E-885F-46C4-A0E9-E01A0C6785E6}" presName="cycle" presStyleCnt="0">
        <dgm:presLayoutVars>
          <dgm:dir/>
          <dgm:resizeHandles val="exact"/>
        </dgm:presLayoutVars>
      </dgm:prSet>
      <dgm:spPr/>
      <dgm:t>
        <a:bodyPr/>
        <a:lstStyle/>
        <a:p>
          <a:endParaRPr lang="en-US"/>
        </a:p>
      </dgm:t>
    </dgm:pt>
    <dgm:pt modelId="{C885EC70-3487-4092-BF87-F8B62F2F9317}" type="pres">
      <dgm:prSet presAssocID="{C5458142-A79A-4533-8AEF-4ED85E57A472}" presName="node" presStyleLbl="node1" presStyleIdx="0" presStyleCnt="7">
        <dgm:presLayoutVars>
          <dgm:bulletEnabled val="1"/>
        </dgm:presLayoutVars>
      </dgm:prSet>
      <dgm:spPr/>
      <dgm:t>
        <a:bodyPr/>
        <a:lstStyle/>
        <a:p>
          <a:endParaRPr lang="en-US"/>
        </a:p>
      </dgm:t>
    </dgm:pt>
    <dgm:pt modelId="{E6394890-7204-4AEC-A67A-FC128C8B44B1}" type="pres">
      <dgm:prSet presAssocID="{C5458142-A79A-4533-8AEF-4ED85E57A472}" presName="spNode" presStyleCnt="0"/>
      <dgm:spPr/>
      <dgm:t>
        <a:bodyPr/>
        <a:lstStyle/>
        <a:p>
          <a:endParaRPr lang="en-US"/>
        </a:p>
      </dgm:t>
    </dgm:pt>
    <dgm:pt modelId="{AB3EAF64-A96E-47AE-A168-2FBADECDA3A8}" type="pres">
      <dgm:prSet presAssocID="{027BCA59-0C79-42E9-90BC-E2143DAE59CE}" presName="sibTrans" presStyleLbl="sibTrans1D1" presStyleIdx="0" presStyleCnt="7"/>
      <dgm:spPr/>
      <dgm:t>
        <a:bodyPr/>
        <a:lstStyle/>
        <a:p>
          <a:endParaRPr lang="en-US"/>
        </a:p>
      </dgm:t>
    </dgm:pt>
    <dgm:pt modelId="{2747A0B0-2606-42AA-B673-2585FD664FD1}" type="pres">
      <dgm:prSet presAssocID="{FD252C8F-CFC0-4622-958C-323021705A74}" presName="node" presStyleLbl="node1" presStyleIdx="1" presStyleCnt="7">
        <dgm:presLayoutVars>
          <dgm:bulletEnabled val="1"/>
        </dgm:presLayoutVars>
      </dgm:prSet>
      <dgm:spPr/>
      <dgm:t>
        <a:bodyPr/>
        <a:lstStyle/>
        <a:p>
          <a:endParaRPr lang="en-US"/>
        </a:p>
      </dgm:t>
    </dgm:pt>
    <dgm:pt modelId="{254EEAA9-1CFA-45E0-BAB4-C93BDA6EC993}" type="pres">
      <dgm:prSet presAssocID="{FD252C8F-CFC0-4622-958C-323021705A74}" presName="spNode" presStyleCnt="0"/>
      <dgm:spPr/>
      <dgm:t>
        <a:bodyPr/>
        <a:lstStyle/>
        <a:p>
          <a:endParaRPr lang="en-US"/>
        </a:p>
      </dgm:t>
    </dgm:pt>
    <dgm:pt modelId="{78643BAC-5B2A-4281-8DFD-9912DDBD067A}" type="pres">
      <dgm:prSet presAssocID="{FD0D17BB-6C83-4BCC-AFD6-215704517345}" presName="sibTrans" presStyleLbl="sibTrans1D1" presStyleIdx="1" presStyleCnt="7"/>
      <dgm:spPr/>
      <dgm:t>
        <a:bodyPr/>
        <a:lstStyle/>
        <a:p>
          <a:endParaRPr lang="en-US"/>
        </a:p>
      </dgm:t>
    </dgm:pt>
    <dgm:pt modelId="{F18F486F-E943-4269-9F8A-7CD730F87ADD}" type="pres">
      <dgm:prSet presAssocID="{3227A9EB-69B5-481E-89F4-8BFAAF9E31A5}" presName="node" presStyleLbl="node1" presStyleIdx="2" presStyleCnt="7">
        <dgm:presLayoutVars>
          <dgm:bulletEnabled val="1"/>
        </dgm:presLayoutVars>
      </dgm:prSet>
      <dgm:spPr/>
      <dgm:t>
        <a:bodyPr/>
        <a:lstStyle/>
        <a:p>
          <a:endParaRPr lang="en-US"/>
        </a:p>
      </dgm:t>
    </dgm:pt>
    <dgm:pt modelId="{F037DB1C-2FFE-40CC-9571-53C30EA8C107}" type="pres">
      <dgm:prSet presAssocID="{3227A9EB-69B5-481E-89F4-8BFAAF9E31A5}" presName="spNode" presStyleCnt="0"/>
      <dgm:spPr/>
      <dgm:t>
        <a:bodyPr/>
        <a:lstStyle/>
        <a:p>
          <a:endParaRPr lang="en-US"/>
        </a:p>
      </dgm:t>
    </dgm:pt>
    <dgm:pt modelId="{6AA09B05-B6B1-44D2-834A-D23654075E80}" type="pres">
      <dgm:prSet presAssocID="{9BBADF01-113C-467A-B4DC-E950A34918B1}" presName="sibTrans" presStyleLbl="sibTrans1D1" presStyleIdx="2" presStyleCnt="7"/>
      <dgm:spPr/>
      <dgm:t>
        <a:bodyPr/>
        <a:lstStyle/>
        <a:p>
          <a:endParaRPr lang="en-US"/>
        </a:p>
      </dgm:t>
    </dgm:pt>
    <dgm:pt modelId="{DCE450DC-075D-4800-B1B3-4CDD0802EAA6}" type="pres">
      <dgm:prSet presAssocID="{71922EEB-8951-4613-8B80-67BCDE5150E7}" presName="node" presStyleLbl="node1" presStyleIdx="3" presStyleCnt="7">
        <dgm:presLayoutVars>
          <dgm:bulletEnabled val="1"/>
        </dgm:presLayoutVars>
      </dgm:prSet>
      <dgm:spPr/>
      <dgm:t>
        <a:bodyPr/>
        <a:lstStyle/>
        <a:p>
          <a:endParaRPr lang="en-US"/>
        </a:p>
      </dgm:t>
    </dgm:pt>
    <dgm:pt modelId="{526D2CF0-B74C-4EFA-8714-C734C799624C}" type="pres">
      <dgm:prSet presAssocID="{71922EEB-8951-4613-8B80-67BCDE5150E7}" presName="spNode" presStyleCnt="0"/>
      <dgm:spPr/>
      <dgm:t>
        <a:bodyPr/>
        <a:lstStyle/>
        <a:p>
          <a:endParaRPr lang="en-US"/>
        </a:p>
      </dgm:t>
    </dgm:pt>
    <dgm:pt modelId="{EE6CFCF7-3009-4ED9-B464-EF08EBEA4BF2}" type="pres">
      <dgm:prSet presAssocID="{70F93FD8-DFEC-49BD-9A74-D908D0185630}" presName="sibTrans" presStyleLbl="sibTrans1D1" presStyleIdx="3" presStyleCnt="7"/>
      <dgm:spPr/>
      <dgm:t>
        <a:bodyPr/>
        <a:lstStyle/>
        <a:p>
          <a:endParaRPr lang="en-US"/>
        </a:p>
      </dgm:t>
    </dgm:pt>
    <dgm:pt modelId="{D880854A-AF27-4A38-8DB1-EAF9AD97448E}" type="pres">
      <dgm:prSet presAssocID="{FB740930-E894-465F-A6CD-FA1CEA706B89}" presName="node" presStyleLbl="node1" presStyleIdx="4" presStyleCnt="7">
        <dgm:presLayoutVars>
          <dgm:bulletEnabled val="1"/>
        </dgm:presLayoutVars>
      </dgm:prSet>
      <dgm:spPr/>
      <dgm:t>
        <a:bodyPr/>
        <a:lstStyle/>
        <a:p>
          <a:endParaRPr lang="en-US"/>
        </a:p>
      </dgm:t>
    </dgm:pt>
    <dgm:pt modelId="{5DE161AF-BD76-488C-85AD-3AB4B86994F0}" type="pres">
      <dgm:prSet presAssocID="{FB740930-E894-465F-A6CD-FA1CEA706B89}" presName="spNode" presStyleCnt="0"/>
      <dgm:spPr/>
      <dgm:t>
        <a:bodyPr/>
        <a:lstStyle/>
        <a:p>
          <a:endParaRPr lang="en-US"/>
        </a:p>
      </dgm:t>
    </dgm:pt>
    <dgm:pt modelId="{6F8B7423-3725-4547-940F-B946B8DCD0FD}" type="pres">
      <dgm:prSet presAssocID="{EBF9F176-80E2-40F1-98B8-375BC3C663ED}" presName="sibTrans" presStyleLbl="sibTrans1D1" presStyleIdx="4" presStyleCnt="7"/>
      <dgm:spPr/>
      <dgm:t>
        <a:bodyPr/>
        <a:lstStyle/>
        <a:p>
          <a:endParaRPr lang="en-US"/>
        </a:p>
      </dgm:t>
    </dgm:pt>
    <dgm:pt modelId="{8F689025-B867-42AE-9531-33DB20A6C3A5}" type="pres">
      <dgm:prSet presAssocID="{6AD48BF1-985D-4E6C-8133-BFF9BA5BDE0D}" presName="node" presStyleLbl="node1" presStyleIdx="5" presStyleCnt="7">
        <dgm:presLayoutVars>
          <dgm:bulletEnabled val="1"/>
        </dgm:presLayoutVars>
      </dgm:prSet>
      <dgm:spPr/>
      <dgm:t>
        <a:bodyPr/>
        <a:lstStyle/>
        <a:p>
          <a:endParaRPr lang="en-US"/>
        </a:p>
      </dgm:t>
    </dgm:pt>
    <dgm:pt modelId="{86D66C5C-2D21-46EF-B0E5-CF59641309D4}" type="pres">
      <dgm:prSet presAssocID="{6AD48BF1-985D-4E6C-8133-BFF9BA5BDE0D}" presName="spNode" presStyleCnt="0"/>
      <dgm:spPr/>
      <dgm:t>
        <a:bodyPr/>
        <a:lstStyle/>
        <a:p>
          <a:endParaRPr lang="en-US"/>
        </a:p>
      </dgm:t>
    </dgm:pt>
    <dgm:pt modelId="{7C5BA10D-BAF1-4F6D-9C39-8F6FD9E9AB6B}" type="pres">
      <dgm:prSet presAssocID="{EBC809D7-A893-47AB-8357-4F94D1BE8561}" presName="sibTrans" presStyleLbl="sibTrans1D1" presStyleIdx="5" presStyleCnt="7"/>
      <dgm:spPr/>
      <dgm:t>
        <a:bodyPr/>
        <a:lstStyle/>
        <a:p>
          <a:endParaRPr lang="en-US"/>
        </a:p>
      </dgm:t>
    </dgm:pt>
    <dgm:pt modelId="{54D94A86-33D3-4689-BD12-3A42EBE61067}" type="pres">
      <dgm:prSet presAssocID="{FB6685F8-C964-4FB8-9029-75D2AB1F538C}" presName="node" presStyleLbl="node1" presStyleIdx="6" presStyleCnt="7">
        <dgm:presLayoutVars>
          <dgm:bulletEnabled val="1"/>
        </dgm:presLayoutVars>
      </dgm:prSet>
      <dgm:spPr/>
      <dgm:t>
        <a:bodyPr/>
        <a:lstStyle/>
        <a:p>
          <a:endParaRPr lang="en-US"/>
        </a:p>
      </dgm:t>
    </dgm:pt>
    <dgm:pt modelId="{16C6844E-0385-4302-9483-38CD32EFFA71}" type="pres">
      <dgm:prSet presAssocID="{FB6685F8-C964-4FB8-9029-75D2AB1F538C}" presName="spNode" presStyleCnt="0"/>
      <dgm:spPr/>
      <dgm:t>
        <a:bodyPr/>
        <a:lstStyle/>
        <a:p>
          <a:endParaRPr lang="en-US"/>
        </a:p>
      </dgm:t>
    </dgm:pt>
    <dgm:pt modelId="{6DEA5942-2340-4773-B852-92117FEC3249}" type="pres">
      <dgm:prSet presAssocID="{FF3AED98-FF34-4338-BA23-E4F14C6A106B}" presName="sibTrans" presStyleLbl="sibTrans1D1" presStyleIdx="6" presStyleCnt="7"/>
      <dgm:spPr/>
      <dgm:t>
        <a:bodyPr/>
        <a:lstStyle/>
        <a:p>
          <a:endParaRPr lang="en-US"/>
        </a:p>
      </dgm:t>
    </dgm:pt>
  </dgm:ptLst>
  <dgm:cxnLst>
    <dgm:cxn modelId="{85626B45-8C37-4D2E-B369-F91559AAE28E}" srcId="{56363E4E-885F-46C4-A0E9-E01A0C6785E6}" destId="{FB740930-E894-465F-A6CD-FA1CEA706B89}" srcOrd="4" destOrd="0" parTransId="{26342BE4-BE51-4CD0-AA92-A265C039B2CA}" sibTransId="{EBF9F176-80E2-40F1-98B8-375BC3C663ED}"/>
    <dgm:cxn modelId="{CCBB92E6-647B-4B0C-8023-6B1560A43B3A}" type="presOf" srcId="{027BCA59-0C79-42E9-90BC-E2143DAE59CE}" destId="{AB3EAF64-A96E-47AE-A168-2FBADECDA3A8}" srcOrd="0" destOrd="0" presId="urn:microsoft.com/office/officeart/2005/8/layout/cycle5"/>
    <dgm:cxn modelId="{FA3AC73B-0173-405C-9575-2593952EC139}" type="presOf" srcId="{EBF9F176-80E2-40F1-98B8-375BC3C663ED}" destId="{6F8B7423-3725-4547-940F-B946B8DCD0FD}" srcOrd="0" destOrd="0" presId="urn:microsoft.com/office/officeart/2005/8/layout/cycle5"/>
    <dgm:cxn modelId="{D510A552-7C5C-40F6-BEB0-C8C69AA069E8}" srcId="{56363E4E-885F-46C4-A0E9-E01A0C6785E6}" destId="{6AD48BF1-985D-4E6C-8133-BFF9BA5BDE0D}" srcOrd="5" destOrd="0" parTransId="{68CA9A19-6026-4E22-984B-8940A7CE28DE}" sibTransId="{EBC809D7-A893-47AB-8357-4F94D1BE8561}"/>
    <dgm:cxn modelId="{D1BE2684-DB08-4717-AB97-4D8A9B8E4876}" srcId="{56363E4E-885F-46C4-A0E9-E01A0C6785E6}" destId="{3227A9EB-69B5-481E-89F4-8BFAAF9E31A5}" srcOrd="2" destOrd="0" parTransId="{40D2A1DD-7E23-4470-8363-C421D6F40A77}" sibTransId="{9BBADF01-113C-467A-B4DC-E950A34918B1}"/>
    <dgm:cxn modelId="{ADE0B803-525C-46E2-9A27-632AA4ECACE0}" type="presOf" srcId="{71922EEB-8951-4613-8B80-67BCDE5150E7}" destId="{DCE450DC-075D-4800-B1B3-4CDD0802EAA6}" srcOrd="0" destOrd="0" presId="urn:microsoft.com/office/officeart/2005/8/layout/cycle5"/>
    <dgm:cxn modelId="{6C512B7D-89C8-4A8E-ACF7-1F98479DCA0E}" srcId="{56363E4E-885F-46C4-A0E9-E01A0C6785E6}" destId="{C5458142-A79A-4533-8AEF-4ED85E57A472}" srcOrd="0" destOrd="0" parTransId="{92051A9B-617C-4348-8697-5DC3F78BF68D}" sibTransId="{027BCA59-0C79-42E9-90BC-E2143DAE59CE}"/>
    <dgm:cxn modelId="{572F7DD6-F434-472A-BAF7-5CE58417F4CB}" type="presOf" srcId="{6AD48BF1-985D-4E6C-8133-BFF9BA5BDE0D}" destId="{8F689025-B867-42AE-9531-33DB20A6C3A5}" srcOrd="0" destOrd="0" presId="urn:microsoft.com/office/officeart/2005/8/layout/cycle5"/>
    <dgm:cxn modelId="{A1F88EFC-0C59-456D-B67C-002DA29DA24C}" type="presOf" srcId="{FF3AED98-FF34-4338-BA23-E4F14C6A106B}" destId="{6DEA5942-2340-4773-B852-92117FEC3249}" srcOrd="0" destOrd="0" presId="urn:microsoft.com/office/officeart/2005/8/layout/cycle5"/>
    <dgm:cxn modelId="{8D19512D-C33C-480B-9DDB-C4374F2A8C63}" srcId="{56363E4E-885F-46C4-A0E9-E01A0C6785E6}" destId="{FD252C8F-CFC0-4622-958C-323021705A74}" srcOrd="1" destOrd="0" parTransId="{6343E4C3-9583-4E5F-860A-8CD5C90FF303}" sibTransId="{FD0D17BB-6C83-4BCC-AFD6-215704517345}"/>
    <dgm:cxn modelId="{A2202004-61ED-4DD8-94C7-55D51B21E08C}" type="presOf" srcId="{C5458142-A79A-4533-8AEF-4ED85E57A472}" destId="{C885EC70-3487-4092-BF87-F8B62F2F9317}" srcOrd="0" destOrd="0" presId="urn:microsoft.com/office/officeart/2005/8/layout/cycle5"/>
    <dgm:cxn modelId="{5E2081AC-D1CA-4879-B8B7-9BC432970D5D}" type="presOf" srcId="{56363E4E-885F-46C4-A0E9-E01A0C6785E6}" destId="{187ADC7F-0783-4AAD-9BFA-5AB94CD3E2E5}" srcOrd="0" destOrd="0" presId="urn:microsoft.com/office/officeart/2005/8/layout/cycle5"/>
    <dgm:cxn modelId="{F1E77C1D-5BCE-4A90-AF3A-9C297CFBA06B}" type="presOf" srcId="{70F93FD8-DFEC-49BD-9A74-D908D0185630}" destId="{EE6CFCF7-3009-4ED9-B464-EF08EBEA4BF2}" srcOrd="0" destOrd="0" presId="urn:microsoft.com/office/officeart/2005/8/layout/cycle5"/>
    <dgm:cxn modelId="{B96020C4-4CC0-4652-9CD9-FC97AC953B2D}" type="presOf" srcId="{FD252C8F-CFC0-4622-958C-323021705A74}" destId="{2747A0B0-2606-42AA-B673-2585FD664FD1}" srcOrd="0" destOrd="0" presId="urn:microsoft.com/office/officeart/2005/8/layout/cycle5"/>
    <dgm:cxn modelId="{77E3847A-603C-4DAF-840C-07301B1ED325}" type="presOf" srcId="{FB6685F8-C964-4FB8-9029-75D2AB1F538C}" destId="{54D94A86-33D3-4689-BD12-3A42EBE61067}" srcOrd="0" destOrd="0" presId="urn:microsoft.com/office/officeart/2005/8/layout/cycle5"/>
    <dgm:cxn modelId="{56638EB4-5866-4221-B8AB-7A225D82621D}" type="presOf" srcId="{FB740930-E894-465F-A6CD-FA1CEA706B89}" destId="{D880854A-AF27-4A38-8DB1-EAF9AD97448E}" srcOrd="0" destOrd="0" presId="urn:microsoft.com/office/officeart/2005/8/layout/cycle5"/>
    <dgm:cxn modelId="{162F99F2-01CB-437B-97B2-84B57E8E399E}" srcId="{56363E4E-885F-46C4-A0E9-E01A0C6785E6}" destId="{71922EEB-8951-4613-8B80-67BCDE5150E7}" srcOrd="3" destOrd="0" parTransId="{9824D77D-0EF1-442C-8C0F-EE22068B1582}" sibTransId="{70F93FD8-DFEC-49BD-9A74-D908D0185630}"/>
    <dgm:cxn modelId="{75C3D030-2E32-41F9-ABA3-D446B7E2DDE4}" type="presOf" srcId="{3227A9EB-69B5-481E-89F4-8BFAAF9E31A5}" destId="{F18F486F-E943-4269-9F8A-7CD730F87ADD}" srcOrd="0" destOrd="0" presId="urn:microsoft.com/office/officeart/2005/8/layout/cycle5"/>
    <dgm:cxn modelId="{9728E14A-090B-4ECD-9D2C-DFF3F47F138D}" srcId="{56363E4E-885F-46C4-A0E9-E01A0C6785E6}" destId="{FB6685F8-C964-4FB8-9029-75D2AB1F538C}" srcOrd="6" destOrd="0" parTransId="{E464C486-5F6E-4036-B42E-B68D2D923E7A}" sibTransId="{FF3AED98-FF34-4338-BA23-E4F14C6A106B}"/>
    <dgm:cxn modelId="{63BDA3B9-6B4E-4891-807E-82B7D7B4CF45}" type="presOf" srcId="{FD0D17BB-6C83-4BCC-AFD6-215704517345}" destId="{78643BAC-5B2A-4281-8DFD-9912DDBD067A}" srcOrd="0" destOrd="0" presId="urn:microsoft.com/office/officeart/2005/8/layout/cycle5"/>
    <dgm:cxn modelId="{620DC5DC-13A7-4FCA-BE99-48349121581E}" type="presOf" srcId="{9BBADF01-113C-467A-B4DC-E950A34918B1}" destId="{6AA09B05-B6B1-44D2-834A-D23654075E80}" srcOrd="0" destOrd="0" presId="urn:microsoft.com/office/officeart/2005/8/layout/cycle5"/>
    <dgm:cxn modelId="{C051B5F0-1100-475A-8FA1-D1547E94E8DD}" type="presOf" srcId="{EBC809D7-A893-47AB-8357-4F94D1BE8561}" destId="{7C5BA10D-BAF1-4F6D-9C39-8F6FD9E9AB6B}" srcOrd="0" destOrd="0" presId="urn:microsoft.com/office/officeart/2005/8/layout/cycle5"/>
    <dgm:cxn modelId="{1B144E34-7CBB-4353-9250-B623055B5117}" type="presParOf" srcId="{187ADC7F-0783-4AAD-9BFA-5AB94CD3E2E5}" destId="{C885EC70-3487-4092-BF87-F8B62F2F9317}" srcOrd="0" destOrd="0" presId="urn:microsoft.com/office/officeart/2005/8/layout/cycle5"/>
    <dgm:cxn modelId="{092E4F34-1484-4806-A529-5C0C3038748D}" type="presParOf" srcId="{187ADC7F-0783-4AAD-9BFA-5AB94CD3E2E5}" destId="{E6394890-7204-4AEC-A67A-FC128C8B44B1}" srcOrd="1" destOrd="0" presId="urn:microsoft.com/office/officeart/2005/8/layout/cycle5"/>
    <dgm:cxn modelId="{EC9B7016-FE77-4FA9-879E-D6F61A5C1197}" type="presParOf" srcId="{187ADC7F-0783-4AAD-9BFA-5AB94CD3E2E5}" destId="{AB3EAF64-A96E-47AE-A168-2FBADECDA3A8}" srcOrd="2" destOrd="0" presId="urn:microsoft.com/office/officeart/2005/8/layout/cycle5"/>
    <dgm:cxn modelId="{B4E7E6FF-13A9-4613-970F-31B43B21B004}" type="presParOf" srcId="{187ADC7F-0783-4AAD-9BFA-5AB94CD3E2E5}" destId="{2747A0B0-2606-42AA-B673-2585FD664FD1}" srcOrd="3" destOrd="0" presId="urn:microsoft.com/office/officeart/2005/8/layout/cycle5"/>
    <dgm:cxn modelId="{C4F11322-6DB3-4D1A-9216-88A86BDCE53E}" type="presParOf" srcId="{187ADC7F-0783-4AAD-9BFA-5AB94CD3E2E5}" destId="{254EEAA9-1CFA-45E0-BAB4-C93BDA6EC993}" srcOrd="4" destOrd="0" presId="urn:microsoft.com/office/officeart/2005/8/layout/cycle5"/>
    <dgm:cxn modelId="{DE2054EF-E4D7-4697-95C4-9A38CF6A32E3}" type="presParOf" srcId="{187ADC7F-0783-4AAD-9BFA-5AB94CD3E2E5}" destId="{78643BAC-5B2A-4281-8DFD-9912DDBD067A}" srcOrd="5" destOrd="0" presId="urn:microsoft.com/office/officeart/2005/8/layout/cycle5"/>
    <dgm:cxn modelId="{A7305052-AD1F-4571-9544-68E2DDF82EF8}" type="presParOf" srcId="{187ADC7F-0783-4AAD-9BFA-5AB94CD3E2E5}" destId="{F18F486F-E943-4269-9F8A-7CD730F87ADD}" srcOrd="6" destOrd="0" presId="urn:microsoft.com/office/officeart/2005/8/layout/cycle5"/>
    <dgm:cxn modelId="{44DE49EF-3B9B-40F9-AE87-296163E1DB8A}" type="presParOf" srcId="{187ADC7F-0783-4AAD-9BFA-5AB94CD3E2E5}" destId="{F037DB1C-2FFE-40CC-9571-53C30EA8C107}" srcOrd="7" destOrd="0" presId="urn:microsoft.com/office/officeart/2005/8/layout/cycle5"/>
    <dgm:cxn modelId="{D4CA6493-7237-46D0-91E0-682D9046493D}" type="presParOf" srcId="{187ADC7F-0783-4AAD-9BFA-5AB94CD3E2E5}" destId="{6AA09B05-B6B1-44D2-834A-D23654075E80}" srcOrd="8" destOrd="0" presId="urn:microsoft.com/office/officeart/2005/8/layout/cycle5"/>
    <dgm:cxn modelId="{7FD5782C-71EE-4BA8-A4A2-EE5775A0511D}" type="presParOf" srcId="{187ADC7F-0783-4AAD-9BFA-5AB94CD3E2E5}" destId="{DCE450DC-075D-4800-B1B3-4CDD0802EAA6}" srcOrd="9" destOrd="0" presId="urn:microsoft.com/office/officeart/2005/8/layout/cycle5"/>
    <dgm:cxn modelId="{01F704CD-E33D-4576-A6B9-4792F39E2F8C}" type="presParOf" srcId="{187ADC7F-0783-4AAD-9BFA-5AB94CD3E2E5}" destId="{526D2CF0-B74C-4EFA-8714-C734C799624C}" srcOrd="10" destOrd="0" presId="urn:microsoft.com/office/officeart/2005/8/layout/cycle5"/>
    <dgm:cxn modelId="{A31FE107-0FD2-45CE-B9AC-F0F80879BC25}" type="presParOf" srcId="{187ADC7F-0783-4AAD-9BFA-5AB94CD3E2E5}" destId="{EE6CFCF7-3009-4ED9-B464-EF08EBEA4BF2}" srcOrd="11" destOrd="0" presId="urn:microsoft.com/office/officeart/2005/8/layout/cycle5"/>
    <dgm:cxn modelId="{381C11CE-F559-46FE-967F-F8007482E2EB}" type="presParOf" srcId="{187ADC7F-0783-4AAD-9BFA-5AB94CD3E2E5}" destId="{D880854A-AF27-4A38-8DB1-EAF9AD97448E}" srcOrd="12" destOrd="0" presId="urn:microsoft.com/office/officeart/2005/8/layout/cycle5"/>
    <dgm:cxn modelId="{8BA7371B-0ED2-4CE6-84CD-921D1B2B3746}" type="presParOf" srcId="{187ADC7F-0783-4AAD-9BFA-5AB94CD3E2E5}" destId="{5DE161AF-BD76-488C-85AD-3AB4B86994F0}" srcOrd="13" destOrd="0" presId="urn:microsoft.com/office/officeart/2005/8/layout/cycle5"/>
    <dgm:cxn modelId="{28A39A6A-4138-4868-8316-95E2A2B77FEC}" type="presParOf" srcId="{187ADC7F-0783-4AAD-9BFA-5AB94CD3E2E5}" destId="{6F8B7423-3725-4547-940F-B946B8DCD0FD}" srcOrd="14" destOrd="0" presId="urn:microsoft.com/office/officeart/2005/8/layout/cycle5"/>
    <dgm:cxn modelId="{873B62A9-D870-4697-8C56-BC4781971E4F}" type="presParOf" srcId="{187ADC7F-0783-4AAD-9BFA-5AB94CD3E2E5}" destId="{8F689025-B867-42AE-9531-33DB20A6C3A5}" srcOrd="15" destOrd="0" presId="urn:microsoft.com/office/officeart/2005/8/layout/cycle5"/>
    <dgm:cxn modelId="{0FD33DBD-2D1D-4D19-8394-D61037995F77}" type="presParOf" srcId="{187ADC7F-0783-4AAD-9BFA-5AB94CD3E2E5}" destId="{86D66C5C-2D21-46EF-B0E5-CF59641309D4}" srcOrd="16" destOrd="0" presId="urn:microsoft.com/office/officeart/2005/8/layout/cycle5"/>
    <dgm:cxn modelId="{EA5D9425-013C-4ED8-82CC-5F90B1FC38FD}" type="presParOf" srcId="{187ADC7F-0783-4AAD-9BFA-5AB94CD3E2E5}" destId="{7C5BA10D-BAF1-4F6D-9C39-8F6FD9E9AB6B}" srcOrd="17" destOrd="0" presId="urn:microsoft.com/office/officeart/2005/8/layout/cycle5"/>
    <dgm:cxn modelId="{C294C752-6D21-4077-889C-B04543433A3D}" type="presParOf" srcId="{187ADC7F-0783-4AAD-9BFA-5AB94CD3E2E5}" destId="{54D94A86-33D3-4689-BD12-3A42EBE61067}" srcOrd="18" destOrd="0" presId="urn:microsoft.com/office/officeart/2005/8/layout/cycle5"/>
    <dgm:cxn modelId="{9855CED3-6FF2-4F4F-B672-3D0F07D5FE87}" type="presParOf" srcId="{187ADC7F-0783-4AAD-9BFA-5AB94CD3E2E5}" destId="{16C6844E-0385-4302-9483-38CD32EFFA71}" srcOrd="19" destOrd="0" presId="urn:microsoft.com/office/officeart/2005/8/layout/cycle5"/>
    <dgm:cxn modelId="{41E25EAF-0D65-4DFC-9D94-F1D1401910FB}" type="presParOf" srcId="{187ADC7F-0783-4AAD-9BFA-5AB94CD3E2E5}" destId="{6DEA5942-2340-4773-B852-92117FEC3249}" srcOrd="20" destOrd="0" presId="urn:microsoft.com/office/officeart/2005/8/layout/cycle5"/>
  </dgm:cxnLst>
  <dgm:bg>
    <a:noFill/>
  </dgm:bg>
  <dgm:whole>
    <a:ln>
      <a:noFill/>
    </a:ln>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6363E4E-885F-46C4-A0E9-E01A0C6785E6}"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C5458142-A79A-4533-8AEF-4ED85E57A472}">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Establish             Resource Needs</a:t>
          </a:r>
          <a:endParaRPr lang="en-US" sz="1000" dirty="0">
            <a:latin typeface="Arial" panose="020B0604020202020204" pitchFamily="34" charset="0"/>
            <a:cs typeface="Arial" panose="020B0604020202020204" pitchFamily="34" charset="0"/>
          </a:endParaRPr>
        </a:p>
      </dgm:t>
    </dgm:pt>
    <dgm:pt modelId="{92051A9B-617C-4348-8697-5DC3F78BF68D}" type="parTrans" cxnId="{6C512B7D-89C8-4A8E-ACF7-1F98479DCA0E}">
      <dgm:prSet/>
      <dgm:spPr/>
      <dgm:t>
        <a:bodyPr/>
        <a:lstStyle/>
        <a:p>
          <a:endParaRPr lang="en-US"/>
        </a:p>
      </dgm:t>
    </dgm:pt>
    <dgm:pt modelId="{027BCA59-0C79-42E9-90BC-E2143DAE59CE}" type="sibTrans" cxnId="{6C512B7D-89C8-4A8E-ACF7-1F98479DCA0E}">
      <dgm:prSet/>
      <dgm:spPr>
        <a:solidFill>
          <a:srgbClr val="156570"/>
        </a:solidFill>
        <a:ln>
          <a:solidFill>
            <a:srgbClr val="156570"/>
          </a:solidFill>
        </a:ln>
      </dgm:spPr>
      <dgm:t>
        <a:bodyPr/>
        <a:lstStyle/>
        <a:p>
          <a:endParaRPr lang="en-US"/>
        </a:p>
      </dgm:t>
    </dgm:pt>
    <dgm:pt modelId="{FD252C8F-CFC0-4622-958C-323021705A74}">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Planning Assumptions &amp; Resource Alternatives</a:t>
          </a:r>
          <a:endParaRPr lang="en-US" sz="1000" dirty="0">
            <a:latin typeface="Arial" panose="020B0604020202020204" pitchFamily="34" charset="0"/>
            <a:cs typeface="Arial" panose="020B0604020202020204" pitchFamily="34" charset="0"/>
          </a:endParaRPr>
        </a:p>
      </dgm:t>
    </dgm:pt>
    <dgm:pt modelId="{6343E4C3-9583-4E5F-860A-8CD5C90FF303}" type="parTrans" cxnId="{8D19512D-C33C-480B-9DDB-C4374F2A8C63}">
      <dgm:prSet/>
      <dgm:spPr/>
      <dgm:t>
        <a:bodyPr/>
        <a:lstStyle/>
        <a:p>
          <a:endParaRPr lang="en-US"/>
        </a:p>
      </dgm:t>
    </dgm:pt>
    <dgm:pt modelId="{FD0D17BB-6C83-4BCC-AFD6-215704517345}" type="sibTrans" cxnId="{8D19512D-C33C-480B-9DDB-C4374F2A8C63}">
      <dgm:prSet/>
      <dgm:spPr>
        <a:solidFill>
          <a:srgbClr val="156570"/>
        </a:solidFill>
        <a:ln>
          <a:solidFill>
            <a:srgbClr val="156570"/>
          </a:solidFill>
        </a:ln>
      </dgm:spPr>
      <dgm:t>
        <a:bodyPr/>
        <a:lstStyle/>
        <a:p>
          <a:endParaRPr lang="en-US"/>
        </a:p>
      </dgm:t>
    </dgm:pt>
    <dgm:pt modelId="{6AD48BF1-985D-4E6C-8133-BFF9BA5BDE0D}">
      <dgm:prSet phldrT="[Tex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Make Decisions</a:t>
          </a:r>
          <a:endParaRPr lang="en-US" sz="1000" dirty="0">
            <a:latin typeface="Arial" panose="020B0604020202020204" pitchFamily="34" charset="0"/>
            <a:cs typeface="Arial" panose="020B0604020202020204" pitchFamily="34" charset="0"/>
          </a:endParaRPr>
        </a:p>
      </dgm:t>
    </dgm:pt>
    <dgm:pt modelId="{68CA9A19-6026-4E22-984B-8940A7CE28DE}" type="parTrans" cxnId="{D510A552-7C5C-40F6-BEB0-C8C69AA069E8}">
      <dgm:prSet/>
      <dgm:spPr/>
      <dgm:t>
        <a:bodyPr/>
        <a:lstStyle/>
        <a:p>
          <a:endParaRPr lang="en-US"/>
        </a:p>
      </dgm:t>
    </dgm:pt>
    <dgm:pt modelId="{EBC809D7-A893-47AB-8357-4F94D1BE8561}" type="sibTrans" cxnId="{D510A552-7C5C-40F6-BEB0-C8C69AA069E8}">
      <dgm:prSet/>
      <dgm:spPr>
        <a:solidFill>
          <a:srgbClr val="156570"/>
        </a:solidFill>
        <a:ln>
          <a:solidFill>
            <a:srgbClr val="156570"/>
          </a:solidFill>
        </a:ln>
      </dgm:spPr>
      <dgm:t>
        <a:bodyPr/>
        <a:lstStyle/>
        <a:p>
          <a:endParaRPr lang="en-US"/>
        </a:p>
      </dgm:t>
    </dgm:pt>
    <dgm:pt modelId="{FB6685F8-C964-4FB8-9029-75D2AB1F538C}">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Commit to “Action”</a:t>
          </a:r>
          <a:endParaRPr lang="en-US" sz="1000" dirty="0">
            <a:latin typeface="Arial" panose="020B0604020202020204" pitchFamily="34" charset="0"/>
            <a:cs typeface="Arial" panose="020B0604020202020204" pitchFamily="34" charset="0"/>
          </a:endParaRPr>
        </a:p>
      </dgm:t>
    </dgm:pt>
    <dgm:pt modelId="{E464C486-5F6E-4036-B42E-B68D2D923E7A}" type="parTrans" cxnId="{9728E14A-090B-4ECD-9D2C-DFF3F47F138D}">
      <dgm:prSet/>
      <dgm:spPr/>
      <dgm:t>
        <a:bodyPr/>
        <a:lstStyle/>
        <a:p>
          <a:endParaRPr lang="en-US"/>
        </a:p>
      </dgm:t>
    </dgm:pt>
    <dgm:pt modelId="{FF3AED98-FF34-4338-BA23-E4F14C6A106B}" type="sibTrans" cxnId="{9728E14A-090B-4ECD-9D2C-DFF3F47F138D}">
      <dgm:prSet/>
      <dgm:spPr>
        <a:solidFill>
          <a:srgbClr val="156570"/>
        </a:solidFill>
        <a:ln>
          <a:solidFill>
            <a:srgbClr val="156570"/>
          </a:solidFill>
        </a:ln>
      </dgm:spPr>
      <dgm:t>
        <a:bodyPr/>
        <a:lstStyle/>
        <a:p>
          <a:endParaRPr lang="en-US"/>
        </a:p>
      </dgm:t>
    </dgm:pt>
    <dgm:pt modelId="{3227A9EB-69B5-481E-89F4-8BFAAF9E31A5}">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Analyze Alternatives  and Portfolios </a:t>
          </a:r>
          <a:endParaRPr lang="en-US" sz="1000" dirty="0">
            <a:latin typeface="Arial" panose="020B0604020202020204" pitchFamily="34" charset="0"/>
            <a:cs typeface="Arial" panose="020B0604020202020204" pitchFamily="34" charset="0"/>
          </a:endParaRPr>
        </a:p>
      </dgm:t>
    </dgm:pt>
    <dgm:pt modelId="{40D2A1DD-7E23-4470-8363-C421D6F40A77}" type="parTrans" cxnId="{D1BE2684-DB08-4717-AB97-4D8A9B8E4876}">
      <dgm:prSet/>
      <dgm:spPr/>
      <dgm:t>
        <a:bodyPr/>
        <a:lstStyle/>
        <a:p>
          <a:endParaRPr lang="en-US"/>
        </a:p>
      </dgm:t>
    </dgm:pt>
    <dgm:pt modelId="{9BBADF01-113C-467A-B4DC-E950A34918B1}" type="sibTrans" cxnId="{D1BE2684-DB08-4717-AB97-4D8A9B8E4876}">
      <dgm:prSet/>
      <dgm:spPr>
        <a:solidFill>
          <a:srgbClr val="156570"/>
        </a:solidFill>
        <a:ln>
          <a:solidFill>
            <a:srgbClr val="156570"/>
          </a:solidFill>
        </a:ln>
      </dgm:spPr>
      <dgm:t>
        <a:bodyPr/>
        <a:lstStyle/>
        <a:p>
          <a:endParaRPr lang="en-US"/>
        </a:p>
      </dgm:t>
    </dgm:pt>
    <dgm:pt modelId="{FB740930-E894-465F-A6CD-FA1CEA706B89}">
      <dgm:prSet custT="1"/>
      <dgm:spPr>
        <a:solidFill>
          <a:srgbClr val="156570"/>
        </a:solidFill>
        <a:ln>
          <a:solidFill>
            <a:srgbClr val="156570"/>
          </a:solidFill>
        </a:ln>
      </dgm:spPr>
      <dgm:t>
        <a:bodyPr/>
        <a:lstStyle/>
        <a:p>
          <a:r>
            <a:rPr lang="en-US" sz="1000" dirty="0" smtClean="0">
              <a:latin typeface="Arial" panose="020B0604020202020204" pitchFamily="34" charset="0"/>
              <a:cs typeface="Arial" panose="020B0604020202020204" pitchFamily="34" charset="0"/>
            </a:rPr>
            <a:t>Analyze Results</a:t>
          </a:r>
          <a:endParaRPr lang="en-US" sz="1000" dirty="0">
            <a:latin typeface="Arial" panose="020B0604020202020204" pitchFamily="34" charset="0"/>
            <a:cs typeface="Arial" panose="020B0604020202020204" pitchFamily="34" charset="0"/>
          </a:endParaRPr>
        </a:p>
      </dgm:t>
    </dgm:pt>
    <dgm:pt modelId="{26342BE4-BE51-4CD0-AA92-A265C039B2CA}" type="parTrans" cxnId="{85626B45-8C37-4D2E-B369-F91559AAE28E}">
      <dgm:prSet/>
      <dgm:spPr/>
      <dgm:t>
        <a:bodyPr/>
        <a:lstStyle/>
        <a:p>
          <a:endParaRPr lang="en-US"/>
        </a:p>
      </dgm:t>
    </dgm:pt>
    <dgm:pt modelId="{EBF9F176-80E2-40F1-98B8-375BC3C663ED}" type="sibTrans" cxnId="{85626B45-8C37-4D2E-B369-F91559AAE28E}">
      <dgm:prSet/>
      <dgm:spPr>
        <a:solidFill>
          <a:srgbClr val="156570"/>
        </a:solidFill>
        <a:ln>
          <a:solidFill>
            <a:srgbClr val="156570"/>
          </a:solidFill>
        </a:ln>
      </dgm:spPr>
      <dgm:t>
        <a:bodyPr/>
        <a:lstStyle/>
        <a:p>
          <a:endParaRPr lang="en-US"/>
        </a:p>
      </dgm:t>
    </dgm:pt>
    <dgm:pt modelId="{71922EEB-8951-4613-8B80-67BCDE5150E7}">
      <dgm:prSet custT="1"/>
      <dgm:spPr>
        <a:solidFill>
          <a:srgbClr val="156570"/>
        </a:solidFill>
        <a:ln>
          <a:solidFill>
            <a:srgbClr val="156570"/>
          </a:solidFill>
        </a:ln>
      </dgm:spPr>
      <dgm:t>
        <a:bodyPr/>
        <a:lstStyle/>
        <a:p>
          <a:r>
            <a:rPr lang="en-US" sz="1000" dirty="0">
              <a:latin typeface="Arial" panose="020B0604020202020204" pitchFamily="34" charset="0"/>
              <a:cs typeface="Arial" panose="020B0604020202020204" pitchFamily="34" charset="0"/>
            </a:rPr>
            <a:t>Analyze Market Risk</a:t>
          </a:r>
        </a:p>
      </dgm:t>
    </dgm:pt>
    <dgm:pt modelId="{9824D77D-0EF1-442C-8C0F-EE22068B1582}" type="parTrans" cxnId="{162F99F2-01CB-437B-97B2-84B57E8E399E}">
      <dgm:prSet/>
      <dgm:spPr/>
      <dgm:t>
        <a:bodyPr/>
        <a:lstStyle/>
        <a:p>
          <a:endParaRPr lang="en-US"/>
        </a:p>
      </dgm:t>
    </dgm:pt>
    <dgm:pt modelId="{70F93FD8-DFEC-49BD-9A74-D908D0185630}" type="sibTrans" cxnId="{162F99F2-01CB-437B-97B2-84B57E8E399E}">
      <dgm:prSet/>
      <dgm:spPr>
        <a:solidFill>
          <a:srgbClr val="156570"/>
        </a:solidFill>
        <a:ln>
          <a:solidFill>
            <a:srgbClr val="156570"/>
          </a:solidFill>
        </a:ln>
      </dgm:spPr>
      <dgm:t>
        <a:bodyPr/>
        <a:lstStyle/>
        <a:p>
          <a:endParaRPr lang="en-US"/>
        </a:p>
      </dgm:t>
    </dgm:pt>
    <dgm:pt modelId="{187ADC7F-0783-4AAD-9BFA-5AB94CD3E2E5}" type="pres">
      <dgm:prSet presAssocID="{56363E4E-885F-46C4-A0E9-E01A0C6785E6}" presName="cycle" presStyleCnt="0">
        <dgm:presLayoutVars>
          <dgm:dir/>
          <dgm:resizeHandles val="exact"/>
        </dgm:presLayoutVars>
      </dgm:prSet>
      <dgm:spPr/>
      <dgm:t>
        <a:bodyPr/>
        <a:lstStyle/>
        <a:p>
          <a:endParaRPr lang="en-US"/>
        </a:p>
      </dgm:t>
    </dgm:pt>
    <dgm:pt modelId="{C885EC70-3487-4092-BF87-F8B62F2F9317}" type="pres">
      <dgm:prSet presAssocID="{C5458142-A79A-4533-8AEF-4ED85E57A472}" presName="node" presStyleLbl="node1" presStyleIdx="0" presStyleCnt="7">
        <dgm:presLayoutVars>
          <dgm:bulletEnabled val="1"/>
        </dgm:presLayoutVars>
      </dgm:prSet>
      <dgm:spPr/>
      <dgm:t>
        <a:bodyPr/>
        <a:lstStyle/>
        <a:p>
          <a:endParaRPr lang="en-US"/>
        </a:p>
      </dgm:t>
    </dgm:pt>
    <dgm:pt modelId="{E6394890-7204-4AEC-A67A-FC128C8B44B1}" type="pres">
      <dgm:prSet presAssocID="{C5458142-A79A-4533-8AEF-4ED85E57A472}" presName="spNode" presStyleCnt="0"/>
      <dgm:spPr/>
      <dgm:t>
        <a:bodyPr/>
        <a:lstStyle/>
        <a:p>
          <a:endParaRPr lang="en-US"/>
        </a:p>
      </dgm:t>
    </dgm:pt>
    <dgm:pt modelId="{AB3EAF64-A96E-47AE-A168-2FBADECDA3A8}" type="pres">
      <dgm:prSet presAssocID="{027BCA59-0C79-42E9-90BC-E2143DAE59CE}" presName="sibTrans" presStyleLbl="sibTrans1D1" presStyleIdx="0" presStyleCnt="7"/>
      <dgm:spPr/>
      <dgm:t>
        <a:bodyPr/>
        <a:lstStyle/>
        <a:p>
          <a:endParaRPr lang="en-US"/>
        </a:p>
      </dgm:t>
    </dgm:pt>
    <dgm:pt modelId="{2747A0B0-2606-42AA-B673-2585FD664FD1}" type="pres">
      <dgm:prSet presAssocID="{FD252C8F-CFC0-4622-958C-323021705A74}" presName="node" presStyleLbl="node1" presStyleIdx="1" presStyleCnt="7">
        <dgm:presLayoutVars>
          <dgm:bulletEnabled val="1"/>
        </dgm:presLayoutVars>
      </dgm:prSet>
      <dgm:spPr/>
      <dgm:t>
        <a:bodyPr/>
        <a:lstStyle/>
        <a:p>
          <a:endParaRPr lang="en-US"/>
        </a:p>
      </dgm:t>
    </dgm:pt>
    <dgm:pt modelId="{254EEAA9-1CFA-45E0-BAB4-C93BDA6EC993}" type="pres">
      <dgm:prSet presAssocID="{FD252C8F-CFC0-4622-958C-323021705A74}" presName="spNode" presStyleCnt="0"/>
      <dgm:spPr/>
      <dgm:t>
        <a:bodyPr/>
        <a:lstStyle/>
        <a:p>
          <a:endParaRPr lang="en-US"/>
        </a:p>
      </dgm:t>
    </dgm:pt>
    <dgm:pt modelId="{78643BAC-5B2A-4281-8DFD-9912DDBD067A}" type="pres">
      <dgm:prSet presAssocID="{FD0D17BB-6C83-4BCC-AFD6-215704517345}" presName="sibTrans" presStyleLbl="sibTrans1D1" presStyleIdx="1" presStyleCnt="7"/>
      <dgm:spPr/>
      <dgm:t>
        <a:bodyPr/>
        <a:lstStyle/>
        <a:p>
          <a:endParaRPr lang="en-US"/>
        </a:p>
      </dgm:t>
    </dgm:pt>
    <dgm:pt modelId="{F18F486F-E943-4269-9F8A-7CD730F87ADD}" type="pres">
      <dgm:prSet presAssocID="{3227A9EB-69B5-481E-89F4-8BFAAF9E31A5}" presName="node" presStyleLbl="node1" presStyleIdx="2" presStyleCnt="7">
        <dgm:presLayoutVars>
          <dgm:bulletEnabled val="1"/>
        </dgm:presLayoutVars>
      </dgm:prSet>
      <dgm:spPr/>
      <dgm:t>
        <a:bodyPr/>
        <a:lstStyle/>
        <a:p>
          <a:endParaRPr lang="en-US"/>
        </a:p>
      </dgm:t>
    </dgm:pt>
    <dgm:pt modelId="{F037DB1C-2FFE-40CC-9571-53C30EA8C107}" type="pres">
      <dgm:prSet presAssocID="{3227A9EB-69B5-481E-89F4-8BFAAF9E31A5}" presName="spNode" presStyleCnt="0"/>
      <dgm:spPr/>
      <dgm:t>
        <a:bodyPr/>
        <a:lstStyle/>
        <a:p>
          <a:endParaRPr lang="en-US"/>
        </a:p>
      </dgm:t>
    </dgm:pt>
    <dgm:pt modelId="{6AA09B05-B6B1-44D2-834A-D23654075E80}" type="pres">
      <dgm:prSet presAssocID="{9BBADF01-113C-467A-B4DC-E950A34918B1}" presName="sibTrans" presStyleLbl="sibTrans1D1" presStyleIdx="2" presStyleCnt="7"/>
      <dgm:spPr/>
      <dgm:t>
        <a:bodyPr/>
        <a:lstStyle/>
        <a:p>
          <a:endParaRPr lang="en-US"/>
        </a:p>
      </dgm:t>
    </dgm:pt>
    <dgm:pt modelId="{DCE450DC-075D-4800-B1B3-4CDD0802EAA6}" type="pres">
      <dgm:prSet presAssocID="{71922EEB-8951-4613-8B80-67BCDE5150E7}" presName="node" presStyleLbl="node1" presStyleIdx="3" presStyleCnt="7">
        <dgm:presLayoutVars>
          <dgm:bulletEnabled val="1"/>
        </dgm:presLayoutVars>
      </dgm:prSet>
      <dgm:spPr/>
      <dgm:t>
        <a:bodyPr/>
        <a:lstStyle/>
        <a:p>
          <a:endParaRPr lang="en-US"/>
        </a:p>
      </dgm:t>
    </dgm:pt>
    <dgm:pt modelId="{526D2CF0-B74C-4EFA-8714-C734C799624C}" type="pres">
      <dgm:prSet presAssocID="{71922EEB-8951-4613-8B80-67BCDE5150E7}" presName="spNode" presStyleCnt="0"/>
      <dgm:spPr/>
      <dgm:t>
        <a:bodyPr/>
        <a:lstStyle/>
        <a:p>
          <a:endParaRPr lang="en-US"/>
        </a:p>
      </dgm:t>
    </dgm:pt>
    <dgm:pt modelId="{EE6CFCF7-3009-4ED9-B464-EF08EBEA4BF2}" type="pres">
      <dgm:prSet presAssocID="{70F93FD8-DFEC-49BD-9A74-D908D0185630}" presName="sibTrans" presStyleLbl="sibTrans1D1" presStyleIdx="3" presStyleCnt="7"/>
      <dgm:spPr/>
      <dgm:t>
        <a:bodyPr/>
        <a:lstStyle/>
        <a:p>
          <a:endParaRPr lang="en-US"/>
        </a:p>
      </dgm:t>
    </dgm:pt>
    <dgm:pt modelId="{D880854A-AF27-4A38-8DB1-EAF9AD97448E}" type="pres">
      <dgm:prSet presAssocID="{FB740930-E894-465F-A6CD-FA1CEA706B89}" presName="node" presStyleLbl="node1" presStyleIdx="4" presStyleCnt="7">
        <dgm:presLayoutVars>
          <dgm:bulletEnabled val="1"/>
        </dgm:presLayoutVars>
      </dgm:prSet>
      <dgm:spPr/>
      <dgm:t>
        <a:bodyPr/>
        <a:lstStyle/>
        <a:p>
          <a:endParaRPr lang="en-US"/>
        </a:p>
      </dgm:t>
    </dgm:pt>
    <dgm:pt modelId="{5DE161AF-BD76-488C-85AD-3AB4B86994F0}" type="pres">
      <dgm:prSet presAssocID="{FB740930-E894-465F-A6CD-FA1CEA706B89}" presName="spNode" presStyleCnt="0"/>
      <dgm:spPr/>
      <dgm:t>
        <a:bodyPr/>
        <a:lstStyle/>
        <a:p>
          <a:endParaRPr lang="en-US"/>
        </a:p>
      </dgm:t>
    </dgm:pt>
    <dgm:pt modelId="{6F8B7423-3725-4547-940F-B946B8DCD0FD}" type="pres">
      <dgm:prSet presAssocID="{EBF9F176-80E2-40F1-98B8-375BC3C663ED}" presName="sibTrans" presStyleLbl="sibTrans1D1" presStyleIdx="4" presStyleCnt="7"/>
      <dgm:spPr/>
      <dgm:t>
        <a:bodyPr/>
        <a:lstStyle/>
        <a:p>
          <a:endParaRPr lang="en-US"/>
        </a:p>
      </dgm:t>
    </dgm:pt>
    <dgm:pt modelId="{8F689025-B867-42AE-9531-33DB20A6C3A5}" type="pres">
      <dgm:prSet presAssocID="{6AD48BF1-985D-4E6C-8133-BFF9BA5BDE0D}" presName="node" presStyleLbl="node1" presStyleIdx="5" presStyleCnt="7">
        <dgm:presLayoutVars>
          <dgm:bulletEnabled val="1"/>
        </dgm:presLayoutVars>
      </dgm:prSet>
      <dgm:spPr/>
      <dgm:t>
        <a:bodyPr/>
        <a:lstStyle/>
        <a:p>
          <a:endParaRPr lang="en-US"/>
        </a:p>
      </dgm:t>
    </dgm:pt>
    <dgm:pt modelId="{86D66C5C-2D21-46EF-B0E5-CF59641309D4}" type="pres">
      <dgm:prSet presAssocID="{6AD48BF1-985D-4E6C-8133-BFF9BA5BDE0D}" presName="spNode" presStyleCnt="0"/>
      <dgm:spPr/>
      <dgm:t>
        <a:bodyPr/>
        <a:lstStyle/>
        <a:p>
          <a:endParaRPr lang="en-US"/>
        </a:p>
      </dgm:t>
    </dgm:pt>
    <dgm:pt modelId="{7C5BA10D-BAF1-4F6D-9C39-8F6FD9E9AB6B}" type="pres">
      <dgm:prSet presAssocID="{EBC809D7-A893-47AB-8357-4F94D1BE8561}" presName="sibTrans" presStyleLbl="sibTrans1D1" presStyleIdx="5" presStyleCnt="7"/>
      <dgm:spPr/>
      <dgm:t>
        <a:bodyPr/>
        <a:lstStyle/>
        <a:p>
          <a:endParaRPr lang="en-US"/>
        </a:p>
      </dgm:t>
    </dgm:pt>
    <dgm:pt modelId="{54D94A86-33D3-4689-BD12-3A42EBE61067}" type="pres">
      <dgm:prSet presAssocID="{FB6685F8-C964-4FB8-9029-75D2AB1F538C}" presName="node" presStyleLbl="node1" presStyleIdx="6" presStyleCnt="7">
        <dgm:presLayoutVars>
          <dgm:bulletEnabled val="1"/>
        </dgm:presLayoutVars>
      </dgm:prSet>
      <dgm:spPr/>
      <dgm:t>
        <a:bodyPr/>
        <a:lstStyle/>
        <a:p>
          <a:endParaRPr lang="en-US"/>
        </a:p>
      </dgm:t>
    </dgm:pt>
    <dgm:pt modelId="{16C6844E-0385-4302-9483-38CD32EFFA71}" type="pres">
      <dgm:prSet presAssocID="{FB6685F8-C964-4FB8-9029-75D2AB1F538C}" presName="spNode" presStyleCnt="0"/>
      <dgm:spPr/>
      <dgm:t>
        <a:bodyPr/>
        <a:lstStyle/>
        <a:p>
          <a:endParaRPr lang="en-US"/>
        </a:p>
      </dgm:t>
    </dgm:pt>
    <dgm:pt modelId="{6DEA5942-2340-4773-B852-92117FEC3249}" type="pres">
      <dgm:prSet presAssocID="{FF3AED98-FF34-4338-BA23-E4F14C6A106B}" presName="sibTrans" presStyleLbl="sibTrans1D1" presStyleIdx="6" presStyleCnt="7"/>
      <dgm:spPr/>
      <dgm:t>
        <a:bodyPr/>
        <a:lstStyle/>
        <a:p>
          <a:endParaRPr lang="en-US"/>
        </a:p>
      </dgm:t>
    </dgm:pt>
  </dgm:ptLst>
  <dgm:cxnLst>
    <dgm:cxn modelId="{D1BE2684-DB08-4717-AB97-4D8A9B8E4876}" srcId="{56363E4E-885F-46C4-A0E9-E01A0C6785E6}" destId="{3227A9EB-69B5-481E-89F4-8BFAAF9E31A5}" srcOrd="2" destOrd="0" parTransId="{40D2A1DD-7E23-4470-8363-C421D6F40A77}" sibTransId="{9BBADF01-113C-467A-B4DC-E950A34918B1}"/>
    <dgm:cxn modelId="{822503B3-BA0B-4FFF-B60F-0D06F1B48154}" type="presOf" srcId="{FB740930-E894-465F-A6CD-FA1CEA706B89}" destId="{D880854A-AF27-4A38-8DB1-EAF9AD97448E}" srcOrd="0" destOrd="0" presId="urn:microsoft.com/office/officeart/2005/8/layout/cycle5"/>
    <dgm:cxn modelId="{C09ED8A7-E69E-4923-A4FC-02AEF6296341}" type="presOf" srcId="{027BCA59-0C79-42E9-90BC-E2143DAE59CE}" destId="{AB3EAF64-A96E-47AE-A168-2FBADECDA3A8}" srcOrd="0" destOrd="0" presId="urn:microsoft.com/office/officeart/2005/8/layout/cycle5"/>
    <dgm:cxn modelId="{22125393-8882-429B-811D-5BB47B2D6F5C}" type="presOf" srcId="{6AD48BF1-985D-4E6C-8133-BFF9BA5BDE0D}" destId="{8F689025-B867-42AE-9531-33DB20A6C3A5}" srcOrd="0" destOrd="0" presId="urn:microsoft.com/office/officeart/2005/8/layout/cycle5"/>
    <dgm:cxn modelId="{9728E14A-090B-4ECD-9D2C-DFF3F47F138D}" srcId="{56363E4E-885F-46C4-A0E9-E01A0C6785E6}" destId="{FB6685F8-C964-4FB8-9029-75D2AB1F538C}" srcOrd="6" destOrd="0" parTransId="{E464C486-5F6E-4036-B42E-B68D2D923E7A}" sibTransId="{FF3AED98-FF34-4338-BA23-E4F14C6A106B}"/>
    <dgm:cxn modelId="{D510A552-7C5C-40F6-BEB0-C8C69AA069E8}" srcId="{56363E4E-885F-46C4-A0E9-E01A0C6785E6}" destId="{6AD48BF1-985D-4E6C-8133-BFF9BA5BDE0D}" srcOrd="5" destOrd="0" parTransId="{68CA9A19-6026-4E22-984B-8940A7CE28DE}" sibTransId="{EBC809D7-A893-47AB-8357-4F94D1BE8561}"/>
    <dgm:cxn modelId="{38DC13F9-4B20-4C45-80DB-1BA8333ED476}" type="presOf" srcId="{FB6685F8-C964-4FB8-9029-75D2AB1F538C}" destId="{54D94A86-33D3-4689-BD12-3A42EBE61067}" srcOrd="0" destOrd="0" presId="urn:microsoft.com/office/officeart/2005/8/layout/cycle5"/>
    <dgm:cxn modelId="{81AFE4CA-1329-4D88-A06C-B8E8D2CDD168}" type="presOf" srcId="{C5458142-A79A-4533-8AEF-4ED85E57A472}" destId="{C885EC70-3487-4092-BF87-F8B62F2F9317}" srcOrd="0" destOrd="0" presId="urn:microsoft.com/office/officeart/2005/8/layout/cycle5"/>
    <dgm:cxn modelId="{785AAE1E-BC3B-4790-84C3-515090B83A28}" type="presOf" srcId="{FD252C8F-CFC0-4622-958C-323021705A74}" destId="{2747A0B0-2606-42AA-B673-2585FD664FD1}" srcOrd="0" destOrd="0" presId="urn:microsoft.com/office/officeart/2005/8/layout/cycle5"/>
    <dgm:cxn modelId="{8D19512D-C33C-480B-9DDB-C4374F2A8C63}" srcId="{56363E4E-885F-46C4-A0E9-E01A0C6785E6}" destId="{FD252C8F-CFC0-4622-958C-323021705A74}" srcOrd="1" destOrd="0" parTransId="{6343E4C3-9583-4E5F-860A-8CD5C90FF303}" sibTransId="{FD0D17BB-6C83-4BCC-AFD6-215704517345}"/>
    <dgm:cxn modelId="{F77ECEDB-A41B-485D-8091-81682487B162}" type="presOf" srcId="{EBF9F176-80E2-40F1-98B8-375BC3C663ED}" destId="{6F8B7423-3725-4547-940F-B946B8DCD0FD}" srcOrd="0" destOrd="0" presId="urn:microsoft.com/office/officeart/2005/8/layout/cycle5"/>
    <dgm:cxn modelId="{8BCF5898-DBDF-44C8-AB53-028950671D08}" type="presOf" srcId="{56363E4E-885F-46C4-A0E9-E01A0C6785E6}" destId="{187ADC7F-0783-4AAD-9BFA-5AB94CD3E2E5}" srcOrd="0" destOrd="0" presId="urn:microsoft.com/office/officeart/2005/8/layout/cycle5"/>
    <dgm:cxn modelId="{D7D8E2F8-5576-4F39-BF11-429FD15B6CF7}" type="presOf" srcId="{71922EEB-8951-4613-8B80-67BCDE5150E7}" destId="{DCE450DC-075D-4800-B1B3-4CDD0802EAA6}" srcOrd="0" destOrd="0" presId="urn:microsoft.com/office/officeart/2005/8/layout/cycle5"/>
    <dgm:cxn modelId="{5336E658-A33D-4FA6-9D2C-6E4DE6B493BB}" type="presOf" srcId="{FD0D17BB-6C83-4BCC-AFD6-215704517345}" destId="{78643BAC-5B2A-4281-8DFD-9912DDBD067A}" srcOrd="0" destOrd="0" presId="urn:microsoft.com/office/officeart/2005/8/layout/cycle5"/>
    <dgm:cxn modelId="{A49050BF-F575-418E-88E3-959BC1A57CF7}" type="presOf" srcId="{70F93FD8-DFEC-49BD-9A74-D908D0185630}" destId="{EE6CFCF7-3009-4ED9-B464-EF08EBEA4BF2}" srcOrd="0" destOrd="0" presId="urn:microsoft.com/office/officeart/2005/8/layout/cycle5"/>
    <dgm:cxn modelId="{7F0E0F7D-4ED4-4644-ADC4-287BEFE950F0}" type="presOf" srcId="{EBC809D7-A893-47AB-8357-4F94D1BE8561}" destId="{7C5BA10D-BAF1-4F6D-9C39-8F6FD9E9AB6B}" srcOrd="0" destOrd="0" presId="urn:microsoft.com/office/officeart/2005/8/layout/cycle5"/>
    <dgm:cxn modelId="{162F99F2-01CB-437B-97B2-84B57E8E399E}" srcId="{56363E4E-885F-46C4-A0E9-E01A0C6785E6}" destId="{71922EEB-8951-4613-8B80-67BCDE5150E7}" srcOrd="3" destOrd="0" parTransId="{9824D77D-0EF1-442C-8C0F-EE22068B1582}" sibTransId="{70F93FD8-DFEC-49BD-9A74-D908D0185630}"/>
    <dgm:cxn modelId="{15E9E53B-1F90-40ED-A1CA-91FE7755E95B}" type="presOf" srcId="{3227A9EB-69B5-481E-89F4-8BFAAF9E31A5}" destId="{F18F486F-E943-4269-9F8A-7CD730F87ADD}" srcOrd="0" destOrd="0" presId="urn:microsoft.com/office/officeart/2005/8/layout/cycle5"/>
    <dgm:cxn modelId="{06CF1812-CC96-456B-B8A3-526153389C35}" type="presOf" srcId="{FF3AED98-FF34-4338-BA23-E4F14C6A106B}" destId="{6DEA5942-2340-4773-B852-92117FEC3249}" srcOrd="0" destOrd="0" presId="urn:microsoft.com/office/officeart/2005/8/layout/cycle5"/>
    <dgm:cxn modelId="{85626B45-8C37-4D2E-B369-F91559AAE28E}" srcId="{56363E4E-885F-46C4-A0E9-E01A0C6785E6}" destId="{FB740930-E894-465F-A6CD-FA1CEA706B89}" srcOrd="4" destOrd="0" parTransId="{26342BE4-BE51-4CD0-AA92-A265C039B2CA}" sibTransId="{EBF9F176-80E2-40F1-98B8-375BC3C663ED}"/>
    <dgm:cxn modelId="{5D188BB5-0019-472A-A923-DC11534704A6}" type="presOf" srcId="{9BBADF01-113C-467A-B4DC-E950A34918B1}" destId="{6AA09B05-B6B1-44D2-834A-D23654075E80}" srcOrd="0" destOrd="0" presId="urn:microsoft.com/office/officeart/2005/8/layout/cycle5"/>
    <dgm:cxn modelId="{6C512B7D-89C8-4A8E-ACF7-1F98479DCA0E}" srcId="{56363E4E-885F-46C4-A0E9-E01A0C6785E6}" destId="{C5458142-A79A-4533-8AEF-4ED85E57A472}" srcOrd="0" destOrd="0" parTransId="{92051A9B-617C-4348-8697-5DC3F78BF68D}" sibTransId="{027BCA59-0C79-42E9-90BC-E2143DAE59CE}"/>
    <dgm:cxn modelId="{20009296-E86F-42C6-9905-A33BAF29387E}" type="presParOf" srcId="{187ADC7F-0783-4AAD-9BFA-5AB94CD3E2E5}" destId="{C885EC70-3487-4092-BF87-F8B62F2F9317}" srcOrd="0" destOrd="0" presId="urn:microsoft.com/office/officeart/2005/8/layout/cycle5"/>
    <dgm:cxn modelId="{BBE095E8-EB8A-44EF-B66D-FFBE3210BDA1}" type="presParOf" srcId="{187ADC7F-0783-4AAD-9BFA-5AB94CD3E2E5}" destId="{E6394890-7204-4AEC-A67A-FC128C8B44B1}" srcOrd="1" destOrd="0" presId="urn:microsoft.com/office/officeart/2005/8/layout/cycle5"/>
    <dgm:cxn modelId="{F3B70F4E-30A4-4057-AB1D-733945481CFC}" type="presParOf" srcId="{187ADC7F-0783-4AAD-9BFA-5AB94CD3E2E5}" destId="{AB3EAF64-A96E-47AE-A168-2FBADECDA3A8}" srcOrd="2" destOrd="0" presId="urn:microsoft.com/office/officeart/2005/8/layout/cycle5"/>
    <dgm:cxn modelId="{171A5481-1C2A-4F58-A143-A5BED6591672}" type="presParOf" srcId="{187ADC7F-0783-4AAD-9BFA-5AB94CD3E2E5}" destId="{2747A0B0-2606-42AA-B673-2585FD664FD1}" srcOrd="3" destOrd="0" presId="urn:microsoft.com/office/officeart/2005/8/layout/cycle5"/>
    <dgm:cxn modelId="{A953DCF4-ABC5-42D6-BB89-55DC765008D3}" type="presParOf" srcId="{187ADC7F-0783-4AAD-9BFA-5AB94CD3E2E5}" destId="{254EEAA9-1CFA-45E0-BAB4-C93BDA6EC993}" srcOrd="4" destOrd="0" presId="urn:microsoft.com/office/officeart/2005/8/layout/cycle5"/>
    <dgm:cxn modelId="{B4C21AE3-AF3F-4319-8199-0A069EBA2242}" type="presParOf" srcId="{187ADC7F-0783-4AAD-9BFA-5AB94CD3E2E5}" destId="{78643BAC-5B2A-4281-8DFD-9912DDBD067A}" srcOrd="5" destOrd="0" presId="urn:microsoft.com/office/officeart/2005/8/layout/cycle5"/>
    <dgm:cxn modelId="{F51C3677-2B6F-4834-9E48-4FBB9F5B1EA2}" type="presParOf" srcId="{187ADC7F-0783-4AAD-9BFA-5AB94CD3E2E5}" destId="{F18F486F-E943-4269-9F8A-7CD730F87ADD}" srcOrd="6" destOrd="0" presId="urn:microsoft.com/office/officeart/2005/8/layout/cycle5"/>
    <dgm:cxn modelId="{0A8273B8-1B5B-4DA6-9349-F57FBD8F52F8}" type="presParOf" srcId="{187ADC7F-0783-4AAD-9BFA-5AB94CD3E2E5}" destId="{F037DB1C-2FFE-40CC-9571-53C30EA8C107}" srcOrd="7" destOrd="0" presId="urn:microsoft.com/office/officeart/2005/8/layout/cycle5"/>
    <dgm:cxn modelId="{EBC6F20C-4A85-4AB6-B52F-E89C8049951E}" type="presParOf" srcId="{187ADC7F-0783-4AAD-9BFA-5AB94CD3E2E5}" destId="{6AA09B05-B6B1-44D2-834A-D23654075E80}" srcOrd="8" destOrd="0" presId="urn:microsoft.com/office/officeart/2005/8/layout/cycle5"/>
    <dgm:cxn modelId="{9D3CB2B5-E8C7-436B-80A1-808D324D0C8D}" type="presParOf" srcId="{187ADC7F-0783-4AAD-9BFA-5AB94CD3E2E5}" destId="{DCE450DC-075D-4800-B1B3-4CDD0802EAA6}" srcOrd="9" destOrd="0" presId="urn:microsoft.com/office/officeart/2005/8/layout/cycle5"/>
    <dgm:cxn modelId="{50B58627-E1F9-421F-B52C-605C16F4F80C}" type="presParOf" srcId="{187ADC7F-0783-4AAD-9BFA-5AB94CD3E2E5}" destId="{526D2CF0-B74C-4EFA-8714-C734C799624C}" srcOrd="10" destOrd="0" presId="urn:microsoft.com/office/officeart/2005/8/layout/cycle5"/>
    <dgm:cxn modelId="{82DC4D2D-C9DD-4343-AD96-47D62D79F623}" type="presParOf" srcId="{187ADC7F-0783-4AAD-9BFA-5AB94CD3E2E5}" destId="{EE6CFCF7-3009-4ED9-B464-EF08EBEA4BF2}" srcOrd="11" destOrd="0" presId="urn:microsoft.com/office/officeart/2005/8/layout/cycle5"/>
    <dgm:cxn modelId="{C85FCE48-B76F-4912-912E-6E3BB97F21E5}" type="presParOf" srcId="{187ADC7F-0783-4AAD-9BFA-5AB94CD3E2E5}" destId="{D880854A-AF27-4A38-8DB1-EAF9AD97448E}" srcOrd="12" destOrd="0" presId="urn:microsoft.com/office/officeart/2005/8/layout/cycle5"/>
    <dgm:cxn modelId="{B32F297D-B2A2-4B57-9F1F-585F26EB3B97}" type="presParOf" srcId="{187ADC7F-0783-4AAD-9BFA-5AB94CD3E2E5}" destId="{5DE161AF-BD76-488C-85AD-3AB4B86994F0}" srcOrd="13" destOrd="0" presId="urn:microsoft.com/office/officeart/2005/8/layout/cycle5"/>
    <dgm:cxn modelId="{5AC4B944-F3BA-40DC-808D-FAFA1396DE2D}" type="presParOf" srcId="{187ADC7F-0783-4AAD-9BFA-5AB94CD3E2E5}" destId="{6F8B7423-3725-4547-940F-B946B8DCD0FD}" srcOrd="14" destOrd="0" presId="urn:microsoft.com/office/officeart/2005/8/layout/cycle5"/>
    <dgm:cxn modelId="{2E4E4D68-3DA3-4940-93FD-EBD7150B2D97}" type="presParOf" srcId="{187ADC7F-0783-4AAD-9BFA-5AB94CD3E2E5}" destId="{8F689025-B867-42AE-9531-33DB20A6C3A5}" srcOrd="15" destOrd="0" presId="urn:microsoft.com/office/officeart/2005/8/layout/cycle5"/>
    <dgm:cxn modelId="{BAD85A1C-FC52-4055-8AAC-5BEF86841089}" type="presParOf" srcId="{187ADC7F-0783-4AAD-9BFA-5AB94CD3E2E5}" destId="{86D66C5C-2D21-46EF-B0E5-CF59641309D4}" srcOrd="16" destOrd="0" presId="urn:microsoft.com/office/officeart/2005/8/layout/cycle5"/>
    <dgm:cxn modelId="{03743BBB-EB4F-4640-82FB-E9B97EEC9CF5}" type="presParOf" srcId="{187ADC7F-0783-4AAD-9BFA-5AB94CD3E2E5}" destId="{7C5BA10D-BAF1-4F6D-9C39-8F6FD9E9AB6B}" srcOrd="17" destOrd="0" presId="urn:microsoft.com/office/officeart/2005/8/layout/cycle5"/>
    <dgm:cxn modelId="{2D88321A-57EE-46A9-9B8D-008D3CD806C6}" type="presParOf" srcId="{187ADC7F-0783-4AAD-9BFA-5AB94CD3E2E5}" destId="{54D94A86-33D3-4689-BD12-3A42EBE61067}" srcOrd="18" destOrd="0" presId="urn:microsoft.com/office/officeart/2005/8/layout/cycle5"/>
    <dgm:cxn modelId="{92746553-9969-4CF9-8FEC-7731F103B2E4}" type="presParOf" srcId="{187ADC7F-0783-4AAD-9BFA-5AB94CD3E2E5}" destId="{16C6844E-0385-4302-9483-38CD32EFFA71}" srcOrd="19" destOrd="0" presId="urn:microsoft.com/office/officeart/2005/8/layout/cycle5"/>
    <dgm:cxn modelId="{D2C3160A-7B4D-4A19-AAAB-E491B3D894C6}" type="presParOf" srcId="{187ADC7F-0783-4AAD-9BFA-5AB94CD3E2E5}" destId="{6DEA5942-2340-4773-B852-92117FEC3249}" srcOrd="20" destOrd="0" presId="urn:microsoft.com/office/officeart/2005/8/layout/cycle5"/>
  </dgm:cxnLst>
  <dgm:bg>
    <a:noFill/>
  </dgm:bg>
  <dgm:whole>
    <a:ln>
      <a:noFill/>
    </a:ln>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85EC70-3487-4092-BF87-F8B62F2F9317}">
      <dsp:nvSpPr>
        <dsp:cNvPr id="0" name=""/>
        <dsp:cNvSpPr/>
      </dsp:nvSpPr>
      <dsp:spPr>
        <a:xfrm>
          <a:off x="2067836" y="971"/>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Establish             Resource Needs</a:t>
          </a:r>
          <a:endParaRPr lang="en-US" sz="1000" kern="1200" dirty="0">
            <a:latin typeface="Arial" panose="020B0604020202020204" pitchFamily="34" charset="0"/>
            <a:cs typeface="Arial" panose="020B0604020202020204" pitchFamily="34" charset="0"/>
          </a:endParaRPr>
        </a:p>
      </dsp:txBody>
      <dsp:txXfrm>
        <a:off x="2098606" y="31741"/>
        <a:ext cx="908186" cy="568782"/>
      </dsp:txXfrm>
    </dsp:sp>
    <dsp:sp modelId="{AB3EAF64-A96E-47AE-A168-2FBADECDA3A8}">
      <dsp:nvSpPr>
        <dsp:cNvPr id="0" name=""/>
        <dsp:cNvSpPr/>
      </dsp:nvSpPr>
      <dsp:spPr>
        <a:xfrm>
          <a:off x="752788" y="316132"/>
          <a:ext cx="3599822" cy="3599822"/>
        </a:xfrm>
        <a:custGeom>
          <a:avLst/>
          <a:gdLst/>
          <a:ahLst/>
          <a:cxnLst/>
          <a:rect l="0" t="0" r="0" b="0"/>
          <a:pathLst>
            <a:path>
              <a:moveTo>
                <a:pt x="2411918" y="107242"/>
              </a:moveTo>
              <a:arcTo wR="1799911" hR="1799911" stAng="17392688" swAng="772544"/>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2747A0B0-2606-42AA-B673-2585FD664FD1}">
      <dsp:nvSpPr>
        <dsp:cNvPr id="0" name=""/>
        <dsp:cNvSpPr/>
      </dsp:nvSpPr>
      <dsp:spPr>
        <a:xfrm>
          <a:off x="3475063" y="67865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Planning Assumptions &amp; Resource Alternatives</a:t>
          </a:r>
          <a:endParaRPr lang="en-US" sz="1000" kern="1200" dirty="0">
            <a:latin typeface="Arial" panose="020B0604020202020204" pitchFamily="34" charset="0"/>
            <a:cs typeface="Arial" panose="020B0604020202020204" pitchFamily="34" charset="0"/>
          </a:endParaRPr>
        </a:p>
      </dsp:txBody>
      <dsp:txXfrm>
        <a:off x="3505833" y="709426"/>
        <a:ext cx="908186" cy="568782"/>
      </dsp:txXfrm>
    </dsp:sp>
    <dsp:sp modelId="{78643BAC-5B2A-4281-8DFD-9912DDBD067A}">
      <dsp:nvSpPr>
        <dsp:cNvPr id="0" name=""/>
        <dsp:cNvSpPr/>
      </dsp:nvSpPr>
      <dsp:spPr>
        <a:xfrm>
          <a:off x="752788" y="316132"/>
          <a:ext cx="3599822" cy="3599822"/>
        </a:xfrm>
        <a:custGeom>
          <a:avLst/>
          <a:gdLst/>
          <a:ahLst/>
          <a:cxnLst/>
          <a:rect l="0" t="0" r="0" b="0"/>
          <a:pathLst>
            <a:path>
              <a:moveTo>
                <a:pt x="3482147" y="1159786"/>
              </a:moveTo>
              <a:arcTo wR="1799911" hR="1799911" stAng="20350030" swAng="1064596"/>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F18F486F-E943-4269-9F8A-7CD730F87ADD}">
      <dsp:nvSpPr>
        <dsp:cNvPr id="0" name=""/>
        <dsp:cNvSpPr/>
      </dsp:nvSpPr>
      <dsp:spPr>
        <a:xfrm>
          <a:off x="3822620" y="2201400"/>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Analyze Alternatives  and Portfolios </a:t>
          </a:r>
          <a:endParaRPr lang="en-US" sz="1000" kern="1200" dirty="0">
            <a:latin typeface="Arial" panose="020B0604020202020204" pitchFamily="34" charset="0"/>
            <a:cs typeface="Arial" panose="020B0604020202020204" pitchFamily="34" charset="0"/>
          </a:endParaRPr>
        </a:p>
      </dsp:txBody>
      <dsp:txXfrm>
        <a:off x="3853390" y="2232170"/>
        <a:ext cx="908186" cy="568782"/>
      </dsp:txXfrm>
    </dsp:sp>
    <dsp:sp modelId="{6AA09B05-B6B1-44D2-834A-D23654075E80}">
      <dsp:nvSpPr>
        <dsp:cNvPr id="0" name=""/>
        <dsp:cNvSpPr/>
      </dsp:nvSpPr>
      <dsp:spPr>
        <a:xfrm>
          <a:off x="752788" y="316132"/>
          <a:ext cx="3599822" cy="3599822"/>
        </a:xfrm>
        <a:custGeom>
          <a:avLst/>
          <a:gdLst/>
          <a:ahLst/>
          <a:cxnLst/>
          <a:rect l="0" t="0" r="0" b="0"/>
          <a:pathLst>
            <a:path>
              <a:moveTo>
                <a:pt x="3388835" y="2645487"/>
              </a:moveTo>
              <a:arcTo wR="1799911" hR="1799911" stAng="1681232" swAng="835781"/>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DCE450DC-075D-4800-B1B3-4CDD0802EAA6}">
      <dsp:nvSpPr>
        <dsp:cNvPr id="0" name=""/>
        <dsp:cNvSpPr/>
      </dsp:nvSpPr>
      <dsp:spPr>
        <a:xfrm>
          <a:off x="2848788" y="342254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a:latin typeface="Arial" panose="020B0604020202020204" pitchFamily="34" charset="0"/>
              <a:cs typeface="Arial" panose="020B0604020202020204" pitchFamily="34" charset="0"/>
            </a:rPr>
            <a:t>Analyze Market Risk</a:t>
          </a:r>
        </a:p>
      </dsp:txBody>
      <dsp:txXfrm>
        <a:off x="2879558" y="3453316"/>
        <a:ext cx="908186" cy="568782"/>
      </dsp:txXfrm>
    </dsp:sp>
    <dsp:sp modelId="{EE6CFCF7-3009-4ED9-B464-EF08EBEA4BF2}">
      <dsp:nvSpPr>
        <dsp:cNvPr id="0" name=""/>
        <dsp:cNvSpPr/>
      </dsp:nvSpPr>
      <dsp:spPr>
        <a:xfrm>
          <a:off x="752788" y="316132"/>
          <a:ext cx="3599822" cy="3599822"/>
        </a:xfrm>
        <a:custGeom>
          <a:avLst/>
          <a:gdLst/>
          <a:ahLst/>
          <a:cxnLst/>
          <a:rect l="0" t="0" r="0" b="0"/>
          <a:pathLst>
            <a:path>
              <a:moveTo>
                <a:pt x="1978621" y="3590928"/>
              </a:moveTo>
              <a:arcTo wR="1799911" hR="1799911" stAng="5058108" swAng="683783"/>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D880854A-AF27-4A38-8DB1-EAF9AD97448E}">
      <dsp:nvSpPr>
        <dsp:cNvPr id="0" name=""/>
        <dsp:cNvSpPr/>
      </dsp:nvSpPr>
      <dsp:spPr>
        <a:xfrm>
          <a:off x="1286884" y="342254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Analyze Results</a:t>
          </a:r>
          <a:endParaRPr lang="en-US" sz="1000" kern="1200" dirty="0">
            <a:latin typeface="Arial" panose="020B0604020202020204" pitchFamily="34" charset="0"/>
            <a:cs typeface="Arial" panose="020B0604020202020204" pitchFamily="34" charset="0"/>
          </a:endParaRPr>
        </a:p>
      </dsp:txBody>
      <dsp:txXfrm>
        <a:off x="1317654" y="3453316"/>
        <a:ext cx="908186" cy="568782"/>
      </dsp:txXfrm>
    </dsp:sp>
    <dsp:sp modelId="{6F8B7423-3725-4547-940F-B946B8DCD0FD}">
      <dsp:nvSpPr>
        <dsp:cNvPr id="0" name=""/>
        <dsp:cNvSpPr/>
      </dsp:nvSpPr>
      <dsp:spPr>
        <a:xfrm>
          <a:off x="752788" y="316132"/>
          <a:ext cx="3599822" cy="3599822"/>
        </a:xfrm>
        <a:custGeom>
          <a:avLst/>
          <a:gdLst/>
          <a:ahLst/>
          <a:cxnLst/>
          <a:rect l="0" t="0" r="0" b="0"/>
          <a:pathLst>
            <a:path>
              <a:moveTo>
                <a:pt x="461270" y="3003124"/>
              </a:moveTo>
              <a:arcTo wR="1799911" hR="1799911" stAng="8282987" swAng="835781"/>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8F689025-B867-42AE-9531-33DB20A6C3A5}">
      <dsp:nvSpPr>
        <dsp:cNvPr id="0" name=""/>
        <dsp:cNvSpPr/>
      </dsp:nvSpPr>
      <dsp:spPr>
        <a:xfrm>
          <a:off x="313052" y="2201400"/>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Make Decisions</a:t>
          </a:r>
          <a:endParaRPr lang="en-US" sz="1000" kern="1200" dirty="0">
            <a:latin typeface="Arial" panose="020B0604020202020204" pitchFamily="34" charset="0"/>
            <a:cs typeface="Arial" panose="020B0604020202020204" pitchFamily="34" charset="0"/>
          </a:endParaRPr>
        </a:p>
      </dsp:txBody>
      <dsp:txXfrm>
        <a:off x="343822" y="2232170"/>
        <a:ext cx="908186" cy="568782"/>
      </dsp:txXfrm>
    </dsp:sp>
    <dsp:sp modelId="{7C5BA10D-BAF1-4F6D-9C39-8F6FD9E9AB6B}">
      <dsp:nvSpPr>
        <dsp:cNvPr id="0" name=""/>
        <dsp:cNvSpPr/>
      </dsp:nvSpPr>
      <dsp:spPr>
        <a:xfrm>
          <a:off x="752788" y="316132"/>
          <a:ext cx="3599822" cy="3599822"/>
        </a:xfrm>
        <a:custGeom>
          <a:avLst/>
          <a:gdLst/>
          <a:ahLst/>
          <a:cxnLst/>
          <a:rect l="0" t="0" r="0" b="0"/>
          <a:pathLst>
            <a:path>
              <a:moveTo>
                <a:pt x="2616" y="1702901"/>
              </a:moveTo>
              <a:arcTo wR="1799911" hR="1799911" stAng="10985374" swAng="1064596"/>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54D94A86-33D3-4689-BD12-3A42EBE61067}">
      <dsp:nvSpPr>
        <dsp:cNvPr id="0" name=""/>
        <dsp:cNvSpPr/>
      </dsp:nvSpPr>
      <dsp:spPr>
        <a:xfrm>
          <a:off x="660609" y="67865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Commit to “Action”</a:t>
          </a:r>
          <a:endParaRPr lang="en-US" sz="1000" kern="1200" dirty="0">
            <a:latin typeface="Arial" panose="020B0604020202020204" pitchFamily="34" charset="0"/>
            <a:cs typeface="Arial" panose="020B0604020202020204" pitchFamily="34" charset="0"/>
          </a:endParaRPr>
        </a:p>
      </dsp:txBody>
      <dsp:txXfrm>
        <a:off x="691379" y="709426"/>
        <a:ext cx="908186" cy="568782"/>
      </dsp:txXfrm>
    </dsp:sp>
    <dsp:sp modelId="{6DEA5942-2340-4773-B852-92117FEC3249}">
      <dsp:nvSpPr>
        <dsp:cNvPr id="0" name=""/>
        <dsp:cNvSpPr/>
      </dsp:nvSpPr>
      <dsp:spPr>
        <a:xfrm>
          <a:off x="752788" y="316132"/>
          <a:ext cx="3599822" cy="3599822"/>
        </a:xfrm>
        <a:custGeom>
          <a:avLst/>
          <a:gdLst/>
          <a:ahLst/>
          <a:cxnLst/>
          <a:rect l="0" t="0" r="0" b="0"/>
          <a:pathLst>
            <a:path>
              <a:moveTo>
                <a:pt x="826102" y="286181"/>
              </a:moveTo>
              <a:arcTo wR="1799911" hR="1799911" stAng="14234768" swAng="772544"/>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85EC70-3487-4092-BF87-F8B62F2F9317}">
      <dsp:nvSpPr>
        <dsp:cNvPr id="0" name=""/>
        <dsp:cNvSpPr/>
      </dsp:nvSpPr>
      <dsp:spPr>
        <a:xfrm>
          <a:off x="2067836" y="971"/>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Establish             Resource Needs</a:t>
          </a:r>
          <a:endParaRPr lang="en-US" sz="1000" kern="1200" dirty="0">
            <a:latin typeface="Arial" panose="020B0604020202020204" pitchFamily="34" charset="0"/>
            <a:cs typeface="Arial" panose="020B0604020202020204" pitchFamily="34" charset="0"/>
          </a:endParaRPr>
        </a:p>
      </dsp:txBody>
      <dsp:txXfrm>
        <a:off x="2098606" y="31741"/>
        <a:ext cx="908186" cy="568782"/>
      </dsp:txXfrm>
    </dsp:sp>
    <dsp:sp modelId="{AB3EAF64-A96E-47AE-A168-2FBADECDA3A8}">
      <dsp:nvSpPr>
        <dsp:cNvPr id="0" name=""/>
        <dsp:cNvSpPr/>
      </dsp:nvSpPr>
      <dsp:spPr>
        <a:xfrm>
          <a:off x="752788" y="316132"/>
          <a:ext cx="3599822" cy="3599822"/>
        </a:xfrm>
        <a:custGeom>
          <a:avLst/>
          <a:gdLst/>
          <a:ahLst/>
          <a:cxnLst/>
          <a:rect l="0" t="0" r="0" b="0"/>
          <a:pathLst>
            <a:path>
              <a:moveTo>
                <a:pt x="2411918" y="107242"/>
              </a:moveTo>
              <a:arcTo wR="1799911" hR="1799911" stAng="17392688" swAng="772544"/>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2747A0B0-2606-42AA-B673-2585FD664FD1}">
      <dsp:nvSpPr>
        <dsp:cNvPr id="0" name=""/>
        <dsp:cNvSpPr/>
      </dsp:nvSpPr>
      <dsp:spPr>
        <a:xfrm>
          <a:off x="3475063" y="67865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Planning Assumptions &amp; Resource Alternatives</a:t>
          </a:r>
          <a:endParaRPr lang="en-US" sz="1000" kern="1200" dirty="0">
            <a:latin typeface="Arial" panose="020B0604020202020204" pitchFamily="34" charset="0"/>
            <a:cs typeface="Arial" panose="020B0604020202020204" pitchFamily="34" charset="0"/>
          </a:endParaRPr>
        </a:p>
      </dsp:txBody>
      <dsp:txXfrm>
        <a:off x="3505833" y="709426"/>
        <a:ext cx="908186" cy="568782"/>
      </dsp:txXfrm>
    </dsp:sp>
    <dsp:sp modelId="{78643BAC-5B2A-4281-8DFD-9912DDBD067A}">
      <dsp:nvSpPr>
        <dsp:cNvPr id="0" name=""/>
        <dsp:cNvSpPr/>
      </dsp:nvSpPr>
      <dsp:spPr>
        <a:xfrm>
          <a:off x="752788" y="316132"/>
          <a:ext cx="3599822" cy="3599822"/>
        </a:xfrm>
        <a:custGeom>
          <a:avLst/>
          <a:gdLst/>
          <a:ahLst/>
          <a:cxnLst/>
          <a:rect l="0" t="0" r="0" b="0"/>
          <a:pathLst>
            <a:path>
              <a:moveTo>
                <a:pt x="3482147" y="1159786"/>
              </a:moveTo>
              <a:arcTo wR="1799911" hR="1799911" stAng="20350030" swAng="1064596"/>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F18F486F-E943-4269-9F8A-7CD730F87ADD}">
      <dsp:nvSpPr>
        <dsp:cNvPr id="0" name=""/>
        <dsp:cNvSpPr/>
      </dsp:nvSpPr>
      <dsp:spPr>
        <a:xfrm>
          <a:off x="3822620" y="2201400"/>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Analyze Alternatives  and Portfolios </a:t>
          </a:r>
          <a:endParaRPr lang="en-US" sz="1000" kern="1200" dirty="0">
            <a:latin typeface="Arial" panose="020B0604020202020204" pitchFamily="34" charset="0"/>
            <a:cs typeface="Arial" panose="020B0604020202020204" pitchFamily="34" charset="0"/>
          </a:endParaRPr>
        </a:p>
      </dsp:txBody>
      <dsp:txXfrm>
        <a:off x="3853390" y="2232170"/>
        <a:ext cx="908186" cy="568782"/>
      </dsp:txXfrm>
    </dsp:sp>
    <dsp:sp modelId="{6AA09B05-B6B1-44D2-834A-D23654075E80}">
      <dsp:nvSpPr>
        <dsp:cNvPr id="0" name=""/>
        <dsp:cNvSpPr/>
      </dsp:nvSpPr>
      <dsp:spPr>
        <a:xfrm>
          <a:off x="752788" y="316132"/>
          <a:ext cx="3599822" cy="3599822"/>
        </a:xfrm>
        <a:custGeom>
          <a:avLst/>
          <a:gdLst/>
          <a:ahLst/>
          <a:cxnLst/>
          <a:rect l="0" t="0" r="0" b="0"/>
          <a:pathLst>
            <a:path>
              <a:moveTo>
                <a:pt x="3388835" y="2645487"/>
              </a:moveTo>
              <a:arcTo wR="1799911" hR="1799911" stAng="1681232" swAng="835781"/>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DCE450DC-075D-4800-B1B3-4CDD0802EAA6}">
      <dsp:nvSpPr>
        <dsp:cNvPr id="0" name=""/>
        <dsp:cNvSpPr/>
      </dsp:nvSpPr>
      <dsp:spPr>
        <a:xfrm>
          <a:off x="2848788" y="342254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a:latin typeface="Arial" panose="020B0604020202020204" pitchFamily="34" charset="0"/>
              <a:cs typeface="Arial" panose="020B0604020202020204" pitchFamily="34" charset="0"/>
            </a:rPr>
            <a:t>Analyze Market Risk</a:t>
          </a:r>
        </a:p>
      </dsp:txBody>
      <dsp:txXfrm>
        <a:off x="2879558" y="3453316"/>
        <a:ext cx="908186" cy="568782"/>
      </dsp:txXfrm>
    </dsp:sp>
    <dsp:sp modelId="{EE6CFCF7-3009-4ED9-B464-EF08EBEA4BF2}">
      <dsp:nvSpPr>
        <dsp:cNvPr id="0" name=""/>
        <dsp:cNvSpPr/>
      </dsp:nvSpPr>
      <dsp:spPr>
        <a:xfrm>
          <a:off x="752788" y="316132"/>
          <a:ext cx="3599822" cy="3599822"/>
        </a:xfrm>
        <a:custGeom>
          <a:avLst/>
          <a:gdLst/>
          <a:ahLst/>
          <a:cxnLst/>
          <a:rect l="0" t="0" r="0" b="0"/>
          <a:pathLst>
            <a:path>
              <a:moveTo>
                <a:pt x="1978621" y="3590928"/>
              </a:moveTo>
              <a:arcTo wR="1799911" hR="1799911" stAng="5058108" swAng="683783"/>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D880854A-AF27-4A38-8DB1-EAF9AD97448E}">
      <dsp:nvSpPr>
        <dsp:cNvPr id="0" name=""/>
        <dsp:cNvSpPr/>
      </dsp:nvSpPr>
      <dsp:spPr>
        <a:xfrm>
          <a:off x="1286884" y="342254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Analyze Results</a:t>
          </a:r>
          <a:endParaRPr lang="en-US" sz="1000" kern="1200" dirty="0">
            <a:latin typeface="Arial" panose="020B0604020202020204" pitchFamily="34" charset="0"/>
            <a:cs typeface="Arial" panose="020B0604020202020204" pitchFamily="34" charset="0"/>
          </a:endParaRPr>
        </a:p>
      </dsp:txBody>
      <dsp:txXfrm>
        <a:off x="1317654" y="3453316"/>
        <a:ext cx="908186" cy="568782"/>
      </dsp:txXfrm>
    </dsp:sp>
    <dsp:sp modelId="{6F8B7423-3725-4547-940F-B946B8DCD0FD}">
      <dsp:nvSpPr>
        <dsp:cNvPr id="0" name=""/>
        <dsp:cNvSpPr/>
      </dsp:nvSpPr>
      <dsp:spPr>
        <a:xfrm>
          <a:off x="752788" y="316132"/>
          <a:ext cx="3599822" cy="3599822"/>
        </a:xfrm>
        <a:custGeom>
          <a:avLst/>
          <a:gdLst/>
          <a:ahLst/>
          <a:cxnLst/>
          <a:rect l="0" t="0" r="0" b="0"/>
          <a:pathLst>
            <a:path>
              <a:moveTo>
                <a:pt x="461270" y="3003124"/>
              </a:moveTo>
              <a:arcTo wR="1799911" hR="1799911" stAng="8282987" swAng="835781"/>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8F689025-B867-42AE-9531-33DB20A6C3A5}">
      <dsp:nvSpPr>
        <dsp:cNvPr id="0" name=""/>
        <dsp:cNvSpPr/>
      </dsp:nvSpPr>
      <dsp:spPr>
        <a:xfrm>
          <a:off x="313052" y="2201400"/>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Make Decisions</a:t>
          </a:r>
          <a:endParaRPr lang="en-US" sz="1000" kern="1200" dirty="0">
            <a:latin typeface="Arial" panose="020B0604020202020204" pitchFamily="34" charset="0"/>
            <a:cs typeface="Arial" panose="020B0604020202020204" pitchFamily="34" charset="0"/>
          </a:endParaRPr>
        </a:p>
      </dsp:txBody>
      <dsp:txXfrm>
        <a:off x="343822" y="2232170"/>
        <a:ext cx="908186" cy="568782"/>
      </dsp:txXfrm>
    </dsp:sp>
    <dsp:sp modelId="{7C5BA10D-BAF1-4F6D-9C39-8F6FD9E9AB6B}">
      <dsp:nvSpPr>
        <dsp:cNvPr id="0" name=""/>
        <dsp:cNvSpPr/>
      </dsp:nvSpPr>
      <dsp:spPr>
        <a:xfrm>
          <a:off x="752788" y="316132"/>
          <a:ext cx="3599822" cy="3599822"/>
        </a:xfrm>
        <a:custGeom>
          <a:avLst/>
          <a:gdLst/>
          <a:ahLst/>
          <a:cxnLst/>
          <a:rect l="0" t="0" r="0" b="0"/>
          <a:pathLst>
            <a:path>
              <a:moveTo>
                <a:pt x="2616" y="1702901"/>
              </a:moveTo>
              <a:arcTo wR="1799911" hR="1799911" stAng="10985374" swAng="1064596"/>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54D94A86-33D3-4689-BD12-3A42EBE61067}">
      <dsp:nvSpPr>
        <dsp:cNvPr id="0" name=""/>
        <dsp:cNvSpPr/>
      </dsp:nvSpPr>
      <dsp:spPr>
        <a:xfrm>
          <a:off x="660609" y="67865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Commit to “Action”</a:t>
          </a:r>
          <a:endParaRPr lang="en-US" sz="1000" kern="1200" dirty="0">
            <a:latin typeface="Arial" panose="020B0604020202020204" pitchFamily="34" charset="0"/>
            <a:cs typeface="Arial" panose="020B0604020202020204" pitchFamily="34" charset="0"/>
          </a:endParaRPr>
        </a:p>
      </dsp:txBody>
      <dsp:txXfrm>
        <a:off x="691379" y="709426"/>
        <a:ext cx="908186" cy="568782"/>
      </dsp:txXfrm>
    </dsp:sp>
    <dsp:sp modelId="{6DEA5942-2340-4773-B852-92117FEC3249}">
      <dsp:nvSpPr>
        <dsp:cNvPr id="0" name=""/>
        <dsp:cNvSpPr/>
      </dsp:nvSpPr>
      <dsp:spPr>
        <a:xfrm>
          <a:off x="752788" y="316132"/>
          <a:ext cx="3599822" cy="3599822"/>
        </a:xfrm>
        <a:custGeom>
          <a:avLst/>
          <a:gdLst/>
          <a:ahLst/>
          <a:cxnLst/>
          <a:rect l="0" t="0" r="0" b="0"/>
          <a:pathLst>
            <a:path>
              <a:moveTo>
                <a:pt x="826102" y="286181"/>
              </a:moveTo>
              <a:arcTo wR="1799911" hR="1799911" stAng="14234768" swAng="772544"/>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85EC70-3487-4092-BF87-F8B62F2F9317}">
      <dsp:nvSpPr>
        <dsp:cNvPr id="0" name=""/>
        <dsp:cNvSpPr/>
      </dsp:nvSpPr>
      <dsp:spPr>
        <a:xfrm>
          <a:off x="2067836" y="971"/>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Establish             Resource Needs</a:t>
          </a:r>
          <a:endParaRPr lang="en-US" sz="1000" kern="1200" dirty="0">
            <a:latin typeface="Arial" panose="020B0604020202020204" pitchFamily="34" charset="0"/>
            <a:cs typeface="Arial" panose="020B0604020202020204" pitchFamily="34" charset="0"/>
          </a:endParaRPr>
        </a:p>
      </dsp:txBody>
      <dsp:txXfrm>
        <a:off x="2098606" y="31741"/>
        <a:ext cx="908186" cy="568782"/>
      </dsp:txXfrm>
    </dsp:sp>
    <dsp:sp modelId="{AB3EAF64-A96E-47AE-A168-2FBADECDA3A8}">
      <dsp:nvSpPr>
        <dsp:cNvPr id="0" name=""/>
        <dsp:cNvSpPr/>
      </dsp:nvSpPr>
      <dsp:spPr>
        <a:xfrm>
          <a:off x="752788" y="316132"/>
          <a:ext cx="3599822" cy="3599822"/>
        </a:xfrm>
        <a:custGeom>
          <a:avLst/>
          <a:gdLst/>
          <a:ahLst/>
          <a:cxnLst/>
          <a:rect l="0" t="0" r="0" b="0"/>
          <a:pathLst>
            <a:path>
              <a:moveTo>
                <a:pt x="2411918" y="107242"/>
              </a:moveTo>
              <a:arcTo wR="1799911" hR="1799911" stAng="17392688" swAng="772544"/>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2747A0B0-2606-42AA-B673-2585FD664FD1}">
      <dsp:nvSpPr>
        <dsp:cNvPr id="0" name=""/>
        <dsp:cNvSpPr/>
      </dsp:nvSpPr>
      <dsp:spPr>
        <a:xfrm>
          <a:off x="3475063" y="67865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Planning Assumptions &amp; Resource Alternatives</a:t>
          </a:r>
          <a:endParaRPr lang="en-US" sz="1000" kern="1200" dirty="0">
            <a:latin typeface="Arial" panose="020B0604020202020204" pitchFamily="34" charset="0"/>
            <a:cs typeface="Arial" panose="020B0604020202020204" pitchFamily="34" charset="0"/>
          </a:endParaRPr>
        </a:p>
      </dsp:txBody>
      <dsp:txXfrm>
        <a:off x="3505833" y="709426"/>
        <a:ext cx="908186" cy="568782"/>
      </dsp:txXfrm>
    </dsp:sp>
    <dsp:sp modelId="{78643BAC-5B2A-4281-8DFD-9912DDBD067A}">
      <dsp:nvSpPr>
        <dsp:cNvPr id="0" name=""/>
        <dsp:cNvSpPr/>
      </dsp:nvSpPr>
      <dsp:spPr>
        <a:xfrm>
          <a:off x="752788" y="316132"/>
          <a:ext cx="3599822" cy="3599822"/>
        </a:xfrm>
        <a:custGeom>
          <a:avLst/>
          <a:gdLst/>
          <a:ahLst/>
          <a:cxnLst/>
          <a:rect l="0" t="0" r="0" b="0"/>
          <a:pathLst>
            <a:path>
              <a:moveTo>
                <a:pt x="3482147" y="1159786"/>
              </a:moveTo>
              <a:arcTo wR="1799911" hR="1799911" stAng="20350030" swAng="1064596"/>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F18F486F-E943-4269-9F8A-7CD730F87ADD}">
      <dsp:nvSpPr>
        <dsp:cNvPr id="0" name=""/>
        <dsp:cNvSpPr/>
      </dsp:nvSpPr>
      <dsp:spPr>
        <a:xfrm>
          <a:off x="3822620" y="2201400"/>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Analyze Alternatives  and Portfolios </a:t>
          </a:r>
          <a:endParaRPr lang="en-US" sz="1000" kern="1200" dirty="0">
            <a:latin typeface="Arial" panose="020B0604020202020204" pitchFamily="34" charset="0"/>
            <a:cs typeface="Arial" panose="020B0604020202020204" pitchFamily="34" charset="0"/>
          </a:endParaRPr>
        </a:p>
      </dsp:txBody>
      <dsp:txXfrm>
        <a:off x="3853390" y="2232170"/>
        <a:ext cx="908186" cy="568782"/>
      </dsp:txXfrm>
    </dsp:sp>
    <dsp:sp modelId="{6AA09B05-B6B1-44D2-834A-D23654075E80}">
      <dsp:nvSpPr>
        <dsp:cNvPr id="0" name=""/>
        <dsp:cNvSpPr/>
      </dsp:nvSpPr>
      <dsp:spPr>
        <a:xfrm>
          <a:off x="752788" y="316132"/>
          <a:ext cx="3599822" cy="3599822"/>
        </a:xfrm>
        <a:custGeom>
          <a:avLst/>
          <a:gdLst/>
          <a:ahLst/>
          <a:cxnLst/>
          <a:rect l="0" t="0" r="0" b="0"/>
          <a:pathLst>
            <a:path>
              <a:moveTo>
                <a:pt x="3388835" y="2645487"/>
              </a:moveTo>
              <a:arcTo wR="1799911" hR="1799911" stAng="1681232" swAng="835781"/>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DCE450DC-075D-4800-B1B3-4CDD0802EAA6}">
      <dsp:nvSpPr>
        <dsp:cNvPr id="0" name=""/>
        <dsp:cNvSpPr/>
      </dsp:nvSpPr>
      <dsp:spPr>
        <a:xfrm>
          <a:off x="2848788" y="342254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a:latin typeface="Arial" panose="020B0604020202020204" pitchFamily="34" charset="0"/>
              <a:cs typeface="Arial" panose="020B0604020202020204" pitchFamily="34" charset="0"/>
            </a:rPr>
            <a:t>Analyze Market Risk</a:t>
          </a:r>
        </a:p>
      </dsp:txBody>
      <dsp:txXfrm>
        <a:off x="2879558" y="3453316"/>
        <a:ext cx="908186" cy="568782"/>
      </dsp:txXfrm>
    </dsp:sp>
    <dsp:sp modelId="{EE6CFCF7-3009-4ED9-B464-EF08EBEA4BF2}">
      <dsp:nvSpPr>
        <dsp:cNvPr id="0" name=""/>
        <dsp:cNvSpPr/>
      </dsp:nvSpPr>
      <dsp:spPr>
        <a:xfrm>
          <a:off x="752788" y="316132"/>
          <a:ext cx="3599822" cy="3599822"/>
        </a:xfrm>
        <a:custGeom>
          <a:avLst/>
          <a:gdLst/>
          <a:ahLst/>
          <a:cxnLst/>
          <a:rect l="0" t="0" r="0" b="0"/>
          <a:pathLst>
            <a:path>
              <a:moveTo>
                <a:pt x="1978621" y="3590928"/>
              </a:moveTo>
              <a:arcTo wR="1799911" hR="1799911" stAng="5058108" swAng="683783"/>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D880854A-AF27-4A38-8DB1-EAF9AD97448E}">
      <dsp:nvSpPr>
        <dsp:cNvPr id="0" name=""/>
        <dsp:cNvSpPr/>
      </dsp:nvSpPr>
      <dsp:spPr>
        <a:xfrm>
          <a:off x="1286884" y="342254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Analyze Results</a:t>
          </a:r>
          <a:endParaRPr lang="en-US" sz="1000" kern="1200" dirty="0">
            <a:latin typeface="Arial" panose="020B0604020202020204" pitchFamily="34" charset="0"/>
            <a:cs typeface="Arial" panose="020B0604020202020204" pitchFamily="34" charset="0"/>
          </a:endParaRPr>
        </a:p>
      </dsp:txBody>
      <dsp:txXfrm>
        <a:off x="1317654" y="3453316"/>
        <a:ext cx="908186" cy="568782"/>
      </dsp:txXfrm>
    </dsp:sp>
    <dsp:sp modelId="{6F8B7423-3725-4547-940F-B946B8DCD0FD}">
      <dsp:nvSpPr>
        <dsp:cNvPr id="0" name=""/>
        <dsp:cNvSpPr/>
      </dsp:nvSpPr>
      <dsp:spPr>
        <a:xfrm>
          <a:off x="752788" y="316132"/>
          <a:ext cx="3599822" cy="3599822"/>
        </a:xfrm>
        <a:custGeom>
          <a:avLst/>
          <a:gdLst/>
          <a:ahLst/>
          <a:cxnLst/>
          <a:rect l="0" t="0" r="0" b="0"/>
          <a:pathLst>
            <a:path>
              <a:moveTo>
                <a:pt x="461270" y="3003124"/>
              </a:moveTo>
              <a:arcTo wR="1799911" hR="1799911" stAng="8282987" swAng="835781"/>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8F689025-B867-42AE-9531-33DB20A6C3A5}">
      <dsp:nvSpPr>
        <dsp:cNvPr id="0" name=""/>
        <dsp:cNvSpPr/>
      </dsp:nvSpPr>
      <dsp:spPr>
        <a:xfrm>
          <a:off x="313052" y="2201400"/>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Make Decisions</a:t>
          </a:r>
          <a:endParaRPr lang="en-US" sz="1000" kern="1200" dirty="0">
            <a:latin typeface="Arial" panose="020B0604020202020204" pitchFamily="34" charset="0"/>
            <a:cs typeface="Arial" panose="020B0604020202020204" pitchFamily="34" charset="0"/>
          </a:endParaRPr>
        </a:p>
      </dsp:txBody>
      <dsp:txXfrm>
        <a:off x="343822" y="2232170"/>
        <a:ext cx="908186" cy="568782"/>
      </dsp:txXfrm>
    </dsp:sp>
    <dsp:sp modelId="{7C5BA10D-BAF1-4F6D-9C39-8F6FD9E9AB6B}">
      <dsp:nvSpPr>
        <dsp:cNvPr id="0" name=""/>
        <dsp:cNvSpPr/>
      </dsp:nvSpPr>
      <dsp:spPr>
        <a:xfrm>
          <a:off x="752788" y="316132"/>
          <a:ext cx="3599822" cy="3599822"/>
        </a:xfrm>
        <a:custGeom>
          <a:avLst/>
          <a:gdLst/>
          <a:ahLst/>
          <a:cxnLst/>
          <a:rect l="0" t="0" r="0" b="0"/>
          <a:pathLst>
            <a:path>
              <a:moveTo>
                <a:pt x="2616" y="1702901"/>
              </a:moveTo>
              <a:arcTo wR="1799911" hR="1799911" stAng="10985374" swAng="1064596"/>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54D94A86-33D3-4689-BD12-3A42EBE61067}">
      <dsp:nvSpPr>
        <dsp:cNvPr id="0" name=""/>
        <dsp:cNvSpPr/>
      </dsp:nvSpPr>
      <dsp:spPr>
        <a:xfrm>
          <a:off x="660609" y="67865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Commit to “Action”</a:t>
          </a:r>
          <a:endParaRPr lang="en-US" sz="1000" kern="1200" dirty="0">
            <a:latin typeface="Arial" panose="020B0604020202020204" pitchFamily="34" charset="0"/>
            <a:cs typeface="Arial" panose="020B0604020202020204" pitchFamily="34" charset="0"/>
          </a:endParaRPr>
        </a:p>
      </dsp:txBody>
      <dsp:txXfrm>
        <a:off x="691379" y="709426"/>
        <a:ext cx="908186" cy="568782"/>
      </dsp:txXfrm>
    </dsp:sp>
    <dsp:sp modelId="{6DEA5942-2340-4773-B852-92117FEC3249}">
      <dsp:nvSpPr>
        <dsp:cNvPr id="0" name=""/>
        <dsp:cNvSpPr/>
      </dsp:nvSpPr>
      <dsp:spPr>
        <a:xfrm>
          <a:off x="752788" y="316132"/>
          <a:ext cx="3599822" cy="3599822"/>
        </a:xfrm>
        <a:custGeom>
          <a:avLst/>
          <a:gdLst/>
          <a:ahLst/>
          <a:cxnLst/>
          <a:rect l="0" t="0" r="0" b="0"/>
          <a:pathLst>
            <a:path>
              <a:moveTo>
                <a:pt x="826102" y="286181"/>
              </a:moveTo>
              <a:arcTo wR="1799911" hR="1799911" stAng="14234768" swAng="772544"/>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85EC70-3487-4092-BF87-F8B62F2F9317}">
      <dsp:nvSpPr>
        <dsp:cNvPr id="0" name=""/>
        <dsp:cNvSpPr/>
      </dsp:nvSpPr>
      <dsp:spPr>
        <a:xfrm>
          <a:off x="2067836" y="971"/>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Establish             Resource Needs</a:t>
          </a:r>
          <a:endParaRPr lang="en-US" sz="1000" kern="1200" dirty="0">
            <a:latin typeface="Arial" panose="020B0604020202020204" pitchFamily="34" charset="0"/>
            <a:cs typeface="Arial" panose="020B0604020202020204" pitchFamily="34" charset="0"/>
          </a:endParaRPr>
        </a:p>
      </dsp:txBody>
      <dsp:txXfrm>
        <a:off x="2098606" y="31741"/>
        <a:ext cx="908186" cy="568782"/>
      </dsp:txXfrm>
    </dsp:sp>
    <dsp:sp modelId="{AB3EAF64-A96E-47AE-A168-2FBADECDA3A8}">
      <dsp:nvSpPr>
        <dsp:cNvPr id="0" name=""/>
        <dsp:cNvSpPr/>
      </dsp:nvSpPr>
      <dsp:spPr>
        <a:xfrm>
          <a:off x="752788" y="316132"/>
          <a:ext cx="3599822" cy="3599822"/>
        </a:xfrm>
        <a:custGeom>
          <a:avLst/>
          <a:gdLst/>
          <a:ahLst/>
          <a:cxnLst/>
          <a:rect l="0" t="0" r="0" b="0"/>
          <a:pathLst>
            <a:path>
              <a:moveTo>
                <a:pt x="2411918" y="107242"/>
              </a:moveTo>
              <a:arcTo wR="1799911" hR="1799911" stAng="17392688" swAng="772544"/>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2747A0B0-2606-42AA-B673-2585FD664FD1}">
      <dsp:nvSpPr>
        <dsp:cNvPr id="0" name=""/>
        <dsp:cNvSpPr/>
      </dsp:nvSpPr>
      <dsp:spPr>
        <a:xfrm>
          <a:off x="3475063" y="67865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Planning Assumptions &amp; Resource Alternatives</a:t>
          </a:r>
          <a:endParaRPr lang="en-US" sz="1000" kern="1200" dirty="0">
            <a:latin typeface="Arial" panose="020B0604020202020204" pitchFamily="34" charset="0"/>
            <a:cs typeface="Arial" panose="020B0604020202020204" pitchFamily="34" charset="0"/>
          </a:endParaRPr>
        </a:p>
      </dsp:txBody>
      <dsp:txXfrm>
        <a:off x="3505833" y="709426"/>
        <a:ext cx="908186" cy="568782"/>
      </dsp:txXfrm>
    </dsp:sp>
    <dsp:sp modelId="{78643BAC-5B2A-4281-8DFD-9912DDBD067A}">
      <dsp:nvSpPr>
        <dsp:cNvPr id="0" name=""/>
        <dsp:cNvSpPr/>
      </dsp:nvSpPr>
      <dsp:spPr>
        <a:xfrm>
          <a:off x="752788" y="316132"/>
          <a:ext cx="3599822" cy="3599822"/>
        </a:xfrm>
        <a:custGeom>
          <a:avLst/>
          <a:gdLst/>
          <a:ahLst/>
          <a:cxnLst/>
          <a:rect l="0" t="0" r="0" b="0"/>
          <a:pathLst>
            <a:path>
              <a:moveTo>
                <a:pt x="3482147" y="1159786"/>
              </a:moveTo>
              <a:arcTo wR="1799911" hR="1799911" stAng="20350030" swAng="1064596"/>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F18F486F-E943-4269-9F8A-7CD730F87ADD}">
      <dsp:nvSpPr>
        <dsp:cNvPr id="0" name=""/>
        <dsp:cNvSpPr/>
      </dsp:nvSpPr>
      <dsp:spPr>
        <a:xfrm>
          <a:off x="3822620" y="2201400"/>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Deterministic Analystis of Scenarios and Sensitivities</a:t>
          </a:r>
          <a:endParaRPr lang="en-US" sz="1000" kern="1200" dirty="0">
            <a:latin typeface="Arial" panose="020B0604020202020204" pitchFamily="34" charset="0"/>
            <a:cs typeface="Arial" panose="020B0604020202020204" pitchFamily="34" charset="0"/>
          </a:endParaRPr>
        </a:p>
      </dsp:txBody>
      <dsp:txXfrm>
        <a:off x="3853390" y="2232170"/>
        <a:ext cx="908186" cy="568782"/>
      </dsp:txXfrm>
    </dsp:sp>
    <dsp:sp modelId="{6AA09B05-B6B1-44D2-834A-D23654075E80}">
      <dsp:nvSpPr>
        <dsp:cNvPr id="0" name=""/>
        <dsp:cNvSpPr/>
      </dsp:nvSpPr>
      <dsp:spPr>
        <a:xfrm>
          <a:off x="752788" y="316132"/>
          <a:ext cx="3599822" cy="3599822"/>
        </a:xfrm>
        <a:custGeom>
          <a:avLst/>
          <a:gdLst/>
          <a:ahLst/>
          <a:cxnLst/>
          <a:rect l="0" t="0" r="0" b="0"/>
          <a:pathLst>
            <a:path>
              <a:moveTo>
                <a:pt x="3388835" y="2645487"/>
              </a:moveTo>
              <a:arcTo wR="1799911" hR="1799911" stAng="1681232" swAng="835781"/>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DCE450DC-075D-4800-B1B3-4CDD0802EAA6}">
      <dsp:nvSpPr>
        <dsp:cNvPr id="0" name=""/>
        <dsp:cNvSpPr/>
      </dsp:nvSpPr>
      <dsp:spPr>
        <a:xfrm>
          <a:off x="2811585" y="3422546"/>
          <a:ext cx="1044133"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a:latin typeface="Arial" panose="020B0604020202020204" pitchFamily="34" charset="0"/>
              <a:cs typeface="Arial" panose="020B0604020202020204" pitchFamily="34" charset="0"/>
            </a:rPr>
            <a:t>Stochastic Risk Analysis of Candidate Resource Plans</a:t>
          </a:r>
        </a:p>
      </dsp:txBody>
      <dsp:txXfrm>
        <a:off x="2842355" y="3453316"/>
        <a:ext cx="982593" cy="568782"/>
      </dsp:txXfrm>
    </dsp:sp>
    <dsp:sp modelId="{EE6CFCF7-3009-4ED9-B464-EF08EBEA4BF2}">
      <dsp:nvSpPr>
        <dsp:cNvPr id="0" name=""/>
        <dsp:cNvSpPr/>
      </dsp:nvSpPr>
      <dsp:spPr>
        <a:xfrm>
          <a:off x="752788" y="316132"/>
          <a:ext cx="3599822" cy="3599822"/>
        </a:xfrm>
        <a:custGeom>
          <a:avLst/>
          <a:gdLst/>
          <a:ahLst/>
          <a:cxnLst/>
          <a:rect l="0" t="0" r="0" b="0"/>
          <a:pathLst>
            <a:path>
              <a:moveTo>
                <a:pt x="1948527" y="3593676"/>
              </a:moveTo>
              <a:arcTo wR="1799911" hR="1799911" stAng="5115827" swAng="640265"/>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D880854A-AF27-4A38-8DB1-EAF9AD97448E}">
      <dsp:nvSpPr>
        <dsp:cNvPr id="0" name=""/>
        <dsp:cNvSpPr/>
      </dsp:nvSpPr>
      <dsp:spPr>
        <a:xfrm>
          <a:off x="1286884" y="342254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Analyze Results</a:t>
          </a:r>
          <a:endParaRPr lang="en-US" sz="1000" kern="1200" dirty="0">
            <a:latin typeface="Arial" panose="020B0604020202020204" pitchFamily="34" charset="0"/>
            <a:cs typeface="Arial" panose="020B0604020202020204" pitchFamily="34" charset="0"/>
          </a:endParaRPr>
        </a:p>
      </dsp:txBody>
      <dsp:txXfrm>
        <a:off x="1317654" y="3453316"/>
        <a:ext cx="908186" cy="568782"/>
      </dsp:txXfrm>
    </dsp:sp>
    <dsp:sp modelId="{6F8B7423-3725-4547-940F-B946B8DCD0FD}">
      <dsp:nvSpPr>
        <dsp:cNvPr id="0" name=""/>
        <dsp:cNvSpPr/>
      </dsp:nvSpPr>
      <dsp:spPr>
        <a:xfrm>
          <a:off x="752788" y="316132"/>
          <a:ext cx="3599822" cy="3599822"/>
        </a:xfrm>
        <a:custGeom>
          <a:avLst/>
          <a:gdLst/>
          <a:ahLst/>
          <a:cxnLst/>
          <a:rect l="0" t="0" r="0" b="0"/>
          <a:pathLst>
            <a:path>
              <a:moveTo>
                <a:pt x="461270" y="3003124"/>
              </a:moveTo>
              <a:arcTo wR="1799911" hR="1799911" stAng="8282987" swAng="835781"/>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8F689025-B867-42AE-9531-33DB20A6C3A5}">
      <dsp:nvSpPr>
        <dsp:cNvPr id="0" name=""/>
        <dsp:cNvSpPr/>
      </dsp:nvSpPr>
      <dsp:spPr>
        <a:xfrm>
          <a:off x="313052" y="2201400"/>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Make Decisions</a:t>
          </a:r>
          <a:endParaRPr lang="en-US" sz="1000" kern="1200" dirty="0">
            <a:latin typeface="Arial" panose="020B0604020202020204" pitchFamily="34" charset="0"/>
            <a:cs typeface="Arial" panose="020B0604020202020204" pitchFamily="34" charset="0"/>
          </a:endParaRPr>
        </a:p>
      </dsp:txBody>
      <dsp:txXfrm>
        <a:off x="343822" y="2232170"/>
        <a:ext cx="908186" cy="568782"/>
      </dsp:txXfrm>
    </dsp:sp>
    <dsp:sp modelId="{7C5BA10D-BAF1-4F6D-9C39-8F6FD9E9AB6B}">
      <dsp:nvSpPr>
        <dsp:cNvPr id="0" name=""/>
        <dsp:cNvSpPr/>
      </dsp:nvSpPr>
      <dsp:spPr>
        <a:xfrm>
          <a:off x="752788" y="316132"/>
          <a:ext cx="3599822" cy="3599822"/>
        </a:xfrm>
        <a:custGeom>
          <a:avLst/>
          <a:gdLst/>
          <a:ahLst/>
          <a:cxnLst/>
          <a:rect l="0" t="0" r="0" b="0"/>
          <a:pathLst>
            <a:path>
              <a:moveTo>
                <a:pt x="2616" y="1702901"/>
              </a:moveTo>
              <a:arcTo wR="1799911" hR="1799911" stAng="10985374" swAng="1064596"/>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54D94A86-33D3-4689-BD12-3A42EBE61067}">
      <dsp:nvSpPr>
        <dsp:cNvPr id="0" name=""/>
        <dsp:cNvSpPr/>
      </dsp:nvSpPr>
      <dsp:spPr>
        <a:xfrm>
          <a:off x="660609" y="67865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Commit to "Action"</a:t>
          </a:r>
          <a:endParaRPr lang="en-US" sz="1000" kern="1200" dirty="0">
            <a:latin typeface="Arial" panose="020B0604020202020204" pitchFamily="34" charset="0"/>
            <a:cs typeface="Arial" panose="020B0604020202020204" pitchFamily="34" charset="0"/>
          </a:endParaRPr>
        </a:p>
      </dsp:txBody>
      <dsp:txXfrm>
        <a:off x="691379" y="709426"/>
        <a:ext cx="908186" cy="568782"/>
      </dsp:txXfrm>
    </dsp:sp>
    <dsp:sp modelId="{6DEA5942-2340-4773-B852-92117FEC3249}">
      <dsp:nvSpPr>
        <dsp:cNvPr id="0" name=""/>
        <dsp:cNvSpPr/>
      </dsp:nvSpPr>
      <dsp:spPr>
        <a:xfrm>
          <a:off x="752788" y="316132"/>
          <a:ext cx="3599822" cy="3599822"/>
        </a:xfrm>
        <a:custGeom>
          <a:avLst/>
          <a:gdLst/>
          <a:ahLst/>
          <a:cxnLst/>
          <a:rect l="0" t="0" r="0" b="0"/>
          <a:pathLst>
            <a:path>
              <a:moveTo>
                <a:pt x="826102" y="286181"/>
              </a:moveTo>
              <a:arcTo wR="1799911" hR="1799911" stAng="14234768" swAng="772544"/>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85EC70-3487-4092-BF87-F8B62F2F9317}">
      <dsp:nvSpPr>
        <dsp:cNvPr id="0" name=""/>
        <dsp:cNvSpPr/>
      </dsp:nvSpPr>
      <dsp:spPr>
        <a:xfrm>
          <a:off x="2067836" y="971"/>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Establish             Resource Needs</a:t>
          </a:r>
          <a:endParaRPr lang="en-US" sz="1000" kern="1200" dirty="0">
            <a:latin typeface="Arial" panose="020B0604020202020204" pitchFamily="34" charset="0"/>
            <a:cs typeface="Arial" panose="020B0604020202020204" pitchFamily="34" charset="0"/>
          </a:endParaRPr>
        </a:p>
      </dsp:txBody>
      <dsp:txXfrm>
        <a:off x="2098606" y="31741"/>
        <a:ext cx="908186" cy="568782"/>
      </dsp:txXfrm>
    </dsp:sp>
    <dsp:sp modelId="{AB3EAF64-A96E-47AE-A168-2FBADECDA3A8}">
      <dsp:nvSpPr>
        <dsp:cNvPr id="0" name=""/>
        <dsp:cNvSpPr/>
      </dsp:nvSpPr>
      <dsp:spPr>
        <a:xfrm>
          <a:off x="752788" y="316132"/>
          <a:ext cx="3599822" cy="3599822"/>
        </a:xfrm>
        <a:custGeom>
          <a:avLst/>
          <a:gdLst/>
          <a:ahLst/>
          <a:cxnLst/>
          <a:rect l="0" t="0" r="0" b="0"/>
          <a:pathLst>
            <a:path>
              <a:moveTo>
                <a:pt x="2411918" y="107242"/>
              </a:moveTo>
              <a:arcTo wR="1799911" hR="1799911" stAng="17392688" swAng="772544"/>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2747A0B0-2606-42AA-B673-2585FD664FD1}">
      <dsp:nvSpPr>
        <dsp:cNvPr id="0" name=""/>
        <dsp:cNvSpPr/>
      </dsp:nvSpPr>
      <dsp:spPr>
        <a:xfrm>
          <a:off x="3475063" y="67865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Planning Assumptions &amp; Resource Alternatives</a:t>
          </a:r>
          <a:endParaRPr lang="en-US" sz="1000" kern="1200" dirty="0">
            <a:latin typeface="Arial" panose="020B0604020202020204" pitchFamily="34" charset="0"/>
            <a:cs typeface="Arial" panose="020B0604020202020204" pitchFamily="34" charset="0"/>
          </a:endParaRPr>
        </a:p>
      </dsp:txBody>
      <dsp:txXfrm>
        <a:off x="3505833" y="709426"/>
        <a:ext cx="908186" cy="568782"/>
      </dsp:txXfrm>
    </dsp:sp>
    <dsp:sp modelId="{78643BAC-5B2A-4281-8DFD-9912DDBD067A}">
      <dsp:nvSpPr>
        <dsp:cNvPr id="0" name=""/>
        <dsp:cNvSpPr/>
      </dsp:nvSpPr>
      <dsp:spPr>
        <a:xfrm>
          <a:off x="752788" y="316132"/>
          <a:ext cx="3599822" cy="3599822"/>
        </a:xfrm>
        <a:custGeom>
          <a:avLst/>
          <a:gdLst/>
          <a:ahLst/>
          <a:cxnLst/>
          <a:rect l="0" t="0" r="0" b="0"/>
          <a:pathLst>
            <a:path>
              <a:moveTo>
                <a:pt x="3482147" y="1159786"/>
              </a:moveTo>
              <a:arcTo wR="1799911" hR="1799911" stAng="20350030" swAng="1064596"/>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F18F486F-E943-4269-9F8A-7CD730F87ADD}">
      <dsp:nvSpPr>
        <dsp:cNvPr id="0" name=""/>
        <dsp:cNvSpPr/>
      </dsp:nvSpPr>
      <dsp:spPr>
        <a:xfrm>
          <a:off x="3822620" y="2201400"/>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Analyze Alternatives  and Portfolios </a:t>
          </a:r>
          <a:endParaRPr lang="en-US" sz="1000" kern="1200" dirty="0">
            <a:latin typeface="Arial" panose="020B0604020202020204" pitchFamily="34" charset="0"/>
            <a:cs typeface="Arial" panose="020B0604020202020204" pitchFamily="34" charset="0"/>
          </a:endParaRPr>
        </a:p>
      </dsp:txBody>
      <dsp:txXfrm>
        <a:off x="3853390" y="2232170"/>
        <a:ext cx="908186" cy="568782"/>
      </dsp:txXfrm>
    </dsp:sp>
    <dsp:sp modelId="{6AA09B05-B6B1-44D2-834A-D23654075E80}">
      <dsp:nvSpPr>
        <dsp:cNvPr id="0" name=""/>
        <dsp:cNvSpPr/>
      </dsp:nvSpPr>
      <dsp:spPr>
        <a:xfrm>
          <a:off x="752788" y="316132"/>
          <a:ext cx="3599822" cy="3599822"/>
        </a:xfrm>
        <a:custGeom>
          <a:avLst/>
          <a:gdLst/>
          <a:ahLst/>
          <a:cxnLst/>
          <a:rect l="0" t="0" r="0" b="0"/>
          <a:pathLst>
            <a:path>
              <a:moveTo>
                <a:pt x="3388835" y="2645487"/>
              </a:moveTo>
              <a:arcTo wR="1799911" hR="1799911" stAng="1681232" swAng="835781"/>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DCE450DC-075D-4800-B1B3-4CDD0802EAA6}">
      <dsp:nvSpPr>
        <dsp:cNvPr id="0" name=""/>
        <dsp:cNvSpPr/>
      </dsp:nvSpPr>
      <dsp:spPr>
        <a:xfrm>
          <a:off x="2848788" y="342254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a:latin typeface="Arial" panose="020B0604020202020204" pitchFamily="34" charset="0"/>
              <a:cs typeface="Arial" panose="020B0604020202020204" pitchFamily="34" charset="0"/>
            </a:rPr>
            <a:t>Analyze Market Risk</a:t>
          </a:r>
        </a:p>
      </dsp:txBody>
      <dsp:txXfrm>
        <a:off x="2879558" y="3453316"/>
        <a:ext cx="908186" cy="568782"/>
      </dsp:txXfrm>
    </dsp:sp>
    <dsp:sp modelId="{EE6CFCF7-3009-4ED9-B464-EF08EBEA4BF2}">
      <dsp:nvSpPr>
        <dsp:cNvPr id="0" name=""/>
        <dsp:cNvSpPr/>
      </dsp:nvSpPr>
      <dsp:spPr>
        <a:xfrm>
          <a:off x="752788" y="316132"/>
          <a:ext cx="3599822" cy="3599822"/>
        </a:xfrm>
        <a:custGeom>
          <a:avLst/>
          <a:gdLst/>
          <a:ahLst/>
          <a:cxnLst/>
          <a:rect l="0" t="0" r="0" b="0"/>
          <a:pathLst>
            <a:path>
              <a:moveTo>
                <a:pt x="1978621" y="3590928"/>
              </a:moveTo>
              <a:arcTo wR="1799911" hR="1799911" stAng="5058108" swAng="683783"/>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D880854A-AF27-4A38-8DB1-EAF9AD97448E}">
      <dsp:nvSpPr>
        <dsp:cNvPr id="0" name=""/>
        <dsp:cNvSpPr/>
      </dsp:nvSpPr>
      <dsp:spPr>
        <a:xfrm>
          <a:off x="1286884" y="342254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Analyze Results</a:t>
          </a:r>
          <a:endParaRPr lang="en-US" sz="1000" kern="1200" dirty="0">
            <a:latin typeface="Arial" panose="020B0604020202020204" pitchFamily="34" charset="0"/>
            <a:cs typeface="Arial" panose="020B0604020202020204" pitchFamily="34" charset="0"/>
          </a:endParaRPr>
        </a:p>
      </dsp:txBody>
      <dsp:txXfrm>
        <a:off x="1317654" y="3453316"/>
        <a:ext cx="908186" cy="568782"/>
      </dsp:txXfrm>
    </dsp:sp>
    <dsp:sp modelId="{6F8B7423-3725-4547-940F-B946B8DCD0FD}">
      <dsp:nvSpPr>
        <dsp:cNvPr id="0" name=""/>
        <dsp:cNvSpPr/>
      </dsp:nvSpPr>
      <dsp:spPr>
        <a:xfrm>
          <a:off x="752788" y="316132"/>
          <a:ext cx="3599822" cy="3599822"/>
        </a:xfrm>
        <a:custGeom>
          <a:avLst/>
          <a:gdLst/>
          <a:ahLst/>
          <a:cxnLst/>
          <a:rect l="0" t="0" r="0" b="0"/>
          <a:pathLst>
            <a:path>
              <a:moveTo>
                <a:pt x="461270" y="3003124"/>
              </a:moveTo>
              <a:arcTo wR="1799911" hR="1799911" stAng="8282987" swAng="835781"/>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8F689025-B867-42AE-9531-33DB20A6C3A5}">
      <dsp:nvSpPr>
        <dsp:cNvPr id="0" name=""/>
        <dsp:cNvSpPr/>
      </dsp:nvSpPr>
      <dsp:spPr>
        <a:xfrm>
          <a:off x="313052" y="2201400"/>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Make Decisions</a:t>
          </a:r>
          <a:endParaRPr lang="en-US" sz="1000" kern="1200" dirty="0">
            <a:latin typeface="Arial" panose="020B0604020202020204" pitchFamily="34" charset="0"/>
            <a:cs typeface="Arial" panose="020B0604020202020204" pitchFamily="34" charset="0"/>
          </a:endParaRPr>
        </a:p>
      </dsp:txBody>
      <dsp:txXfrm>
        <a:off x="343822" y="2232170"/>
        <a:ext cx="908186" cy="568782"/>
      </dsp:txXfrm>
    </dsp:sp>
    <dsp:sp modelId="{7C5BA10D-BAF1-4F6D-9C39-8F6FD9E9AB6B}">
      <dsp:nvSpPr>
        <dsp:cNvPr id="0" name=""/>
        <dsp:cNvSpPr/>
      </dsp:nvSpPr>
      <dsp:spPr>
        <a:xfrm>
          <a:off x="752788" y="316132"/>
          <a:ext cx="3599822" cy="3599822"/>
        </a:xfrm>
        <a:custGeom>
          <a:avLst/>
          <a:gdLst/>
          <a:ahLst/>
          <a:cxnLst/>
          <a:rect l="0" t="0" r="0" b="0"/>
          <a:pathLst>
            <a:path>
              <a:moveTo>
                <a:pt x="2616" y="1702901"/>
              </a:moveTo>
              <a:arcTo wR="1799911" hR="1799911" stAng="10985374" swAng="1064596"/>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54D94A86-33D3-4689-BD12-3A42EBE61067}">
      <dsp:nvSpPr>
        <dsp:cNvPr id="0" name=""/>
        <dsp:cNvSpPr/>
      </dsp:nvSpPr>
      <dsp:spPr>
        <a:xfrm>
          <a:off x="660609" y="67865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Commit to “Action”</a:t>
          </a:r>
          <a:endParaRPr lang="en-US" sz="1000" kern="1200" dirty="0">
            <a:latin typeface="Arial" panose="020B0604020202020204" pitchFamily="34" charset="0"/>
            <a:cs typeface="Arial" panose="020B0604020202020204" pitchFamily="34" charset="0"/>
          </a:endParaRPr>
        </a:p>
      </dsp:txBody>
      <dsp:txXfrm>
        <a:off x="691379" y="709426"/>
        <a:ext cx="908186" cy="568782"/>
      </dsp:txXfrm>
    </dsp:sp>
    <dsp:sp modelId="{6DEA5942-2340-4773-B852-92117FEC3249}">
      <dsp:nvSpPr>
        <dsp:cNvPr id="0" name=""/>
        <dsp:cNvSpPr/>
      </dsp:nvSpPr>
      <dsp:spPr>
        <a:xfrm>
          <a:off x="752788" y="316132"/>
          <a:ext cx="3599822" cy="3599822"/>
        </a:xfrm>
        <a:custGeom>
          <a:avLst/>
          <a:gdLst/>
          <a:ahLst/>
          <a:cxnLst/>
          <a:rect l="0" t="0" r="0" b="0"/>
          <a:pathLst>
            <a:path>
              <a:moveTo>
                <a:pt x="826102" y="286181"/>
              </a:moveTo>
              <a:arcTo wR="1799911" hR="1799911" stAng="14234768" swAng="772544"/>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85EC70-3487-4092-BF87-F8B62F2F9317}">
      <dsp:nvSpPr>
        <dsp:cNvPr id="0" name=""/>
        <dsp:cNvSpPr/>
      </dsp:nvSpPr>
      <dsp:spPr>
        <a:xfrm>
          <a:off x="2067836" y="971"/>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Establish             Resource Needs</a:t>
          </a:r>
          <a:endParaRPr lang="en-US" sz="1000" kern="1200" dirty="0">
            <a:latin typeface="Arial" panose="020B0604020202020204" pitchFamily="34" charset="0"/>
            <a:cs typeface="Arial" panose="020B0604020202020204" pitchFamily="34" charset="0"/>
          </a:endParaRPr>
        </a:p>
      </dsp:txBody>
      <dsp:txXfrm>
        <a:off x="2098606" y="31741"/>
        <a:ext cx="908186" cy="568782"/>
      </dsp:txXfrm>
    </dsp:sp>
    <dsp:sp modelId="{AB3EAF64-A96E-47AE-A168-2FBADECDA3A8}">
      <dsp:nvSpPr>
        <dsp:cNvPr id="0" name=""/>
        <dsp:cNvSpPr/>
      </dsp:nvSpPr>
      <dsp:spPr>
        <a:xfrm>
          <a:off x="752788" y="316132"/>
          <a:ext cx="3599822" cy="3599822"/>
        </a:xfrm>
        <a:custGeom>
          <a:avLst/>
          <a:gdLst/>
          <a:ahLst/>
          <a:cxnLst/>
          <a:rect l="0" t="0" r="0" b="0"/>
          <a:pathLst>
            <a:path>
              <a:moveTo>
                <a:pt x="2411918" y="107242"/>
              </a:moveTo>
              <a:arcTo wR="1799911" hR="1799911" stAng="17392688" swAng="772544"/>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2747A0B0-2606-42AA-B673-2585FD664FD1}">
      <dsp:nvSpPr>
        <dsp:cNvPr id="0" name=""/>
        <dsp:cNvSpPr/>
      </dsp:nvSpPr>
      <dsp:spPr>
        <a:xfrm>
          <a:off x="3475063" y="67865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Planning Assumptions &amp; Resource Alternatives</a:t>
          </a:r>
          <a:endParaRPr lang="en-US" sz="1000" kern="1200" dirty="0">
            <a:latin typeface="Arial" panose="020B0604020202020204" pitchFamily="34" charset="0"/>
            <a:cs typeface="Arial" panose="020B0604020202020204" pitchFamily="34" charset="0"/>
          </a:endParaRPr>
        </a:p>
      </dsp:txBody>
      <dsp:txXfrm>
        <a:off x="3505833" y="709426"/>
        <a:ext cx="908186" cy="568782"/>
      </dsp:txXfrm>
    </dsp:sp>
    <dsp:sp modelId="{78643BAC-5B2A-4281-8DFD-9912DDBD067A}">
      <dsp:nvSpPr>
        <dsp:cNvPr id="0" name=""/>
        <dsp:cNvSpPr/>
      </dsp:nvSpPr>
      <dsp:spPr>
        <a:xfrm>
          <a:off x="752788" y="316132"/>
          <a:ext cx="3599822" cy="3599822"/>
        </a:xfrm>
        <a:custGeom>
          <a:avLst/>
          <a:gdLst/>
          <a:ahLst/>
          <a:cxnLst/>
          <a:rect l="0" t="0" r="0" b="0"/>
          <a:pathLst>
            <a:path>
              <a:moveTo>
                <a:pt x="3482147" y="1159786"/>
              </a:moveTo>
              <a:arcTo wR="1799911" hR="1799911" stAng="20350030" swAng="1064596"/>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F18F486F-E943-4269-9F8A-7CD730F87ADD}">
      <dsp:nvSpPr>
        <dsp:cNvPr id="0" name=""/>
        <dsp:cNvSpPr/>
      </dsp:nvSpPr>
      <dsp:spPr>
        <a:xfrm>
          <a:off x="3822620" y="2201400"/>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Analyze Alternatives  and Portfolios </a:t>
          </a:r>
          <a:endParaRPr lang="en-US" sz="1000" kern="1200" dirty="0">
            <a:latin typeface="Arial" panose="020B0604020202020204" pitchFamily="34" charset="0"/>
            <a:cs typeface="Arial" panose="020B0604020202020204" pitchFamily="34" charset="0"/>
          </a:endParaRPr>
        </a:p>
      </dsp:txBody>
      <dsp:txXfrm>
        <a:off x="3853390" y="2232170"/>
        <a:ext cx="908186" cy="568782"/>
      </dsp:txXfrm>
    </dsp:sp>
    <dsp:sp modelId="{6AA09B05-B6B1-44D2-834A-D23654075E80}">
      <dsp:nvSpPr>
        <dsp:cNvPr id="0" name=""/>
        <dsp:cNvSpPr/>
      </dsp:nvSpPr>
      <dsp:spPr>
        <a:xfrm>
          <a:off x="752788" y="316132"/>
          <a:ext cx="3599822" cy="3599822"/>
        </a:xfrm>
        <a:custGeom>
          <a:avLst/>
          <a:gdLst/>
          <a:ahLst/>
          <a:cxnLst/>
          <a:rect l="0" t="0" r="0" b="0"/>
          <a:pathLst>
            <a:path>
              <a:moveTo>
                <a:pt x="3388835" y="2645487"/>
              </a:moveTo>
              <a:arcTo wR="1799911" hR="1799911" stAng="1681232" swAng="835781"/>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DCE450DC-075D-4800-B1B3-4CDD0802EAA6}">
      <dsp:nvSpPr>
        <dsp:cNvPr id="0" name=""/>
        <dsp:cNvSpPr/>
      </dsp:nvSpPr>
      <dsp:spPr>
        <a:xfrm>
          <a:off x="2848788" y="342254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a:latin typeface="Arial" panose="020B0604020202020204" pitchFamily="34" charset="0"/>
              <a:cs typeface="Arial" panose="020B0604020202020204" pitchFamily="34" charset="0"/>
            </a:rPr>
            <a:t>Analyze Market Risk</a:t>
          </a:r>
        </a:p>
      </dsp:txBody>
      <dsp:txXfrm>
        <a:off x="2879558" y="3453316"/>
        <a:ext cx="908186" cy="568782"/>
      </dsp:txXfrm>
    </dsp:sp>
    <dsp:sp modelId="{EE6CFCF7-3009-4ED9-B464-EF08EBEA4BF2}">
      <dsp:nvSpPr>
        <dsp:cNvPr id="0" name=""/>
        <dsp:cNvSpPr/>
      </dsp:nvSpPr>
      <dsp:spPr>
        <a:xfrm>
          <a:off x="752788" y="316132"/>
          <a:ext cx="3599822" cy="3599822"/>
        </a:xfrm>
        <a:custGeom>
          <a:avLst/>
          <a:gdLst/>
          <a:ahLst/>
          <a:cxnLst/>
          <a:rect l="0" t="0" r="0" b="0"/>
          <a:pathLst>
            <a:path>
              <a:moveTo>
                <a:pt x="1978621" y="3590928"/>
              </a:moveTo>
              <a:arcTo wR="1799911" hR="1799911" stAng="5058108" swAng="683783"/>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D880854A-AF27-4A38-8DB1-EAF9AD97448E}">
      <dsp:nvSpPr>
        <dsp:cNvPr id="0" name=""/>
        <dsp:cNvSpPr/>
      </dsp:nvSpPr>
      <dsp:spPr>
        <a:xfrm>
          <a:off x="1286884" y="342254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Analyze Results</a:t>
          </a:r>
          <a:endParaRPr lang="en-US" sz="1000" kern="1200" dirty="0">
            <a:latin typeface="Arial" panose="020B0604020202020204" pitchFamily="34" charset="0"/>
            <a:cs typeface="Arial" panose="020B0604020202020204" pitchFamily="34" charset="0"/>
          </a:endParaRPr>
        </a:p>
      </dsp:txBody>
      <dsp:txXfrm>
        <a:off x="1317654" y="3453316"/>
        <a:ext cx="908186" cy="568782"/>
      </dsp:txXfrm>
    </dsp:sp>
    <dsp:sp modelId="{6F8B7423-3725-4547-940F-B946B8DCD0FD}">
      <dsp:nvSpPr>
        <dsp:cNvPr id="0" name=""/>
        <dsp:cNvSpPr/>
      </dsp:nvSpPr>
      <dsp:spPr>
        <a:xfrm>
          <a:off x="752788" y="316132"/>
          <a:ext cx="3599822" cy="3599822"/>
        </a:xfrm>
        <a:custGeom>
          <a:avLst/>
          <a:gdLst/>
          <a:ahLst/>
          <a:cxnLst/>
          <a:rect l="0" t="0" r="0" b="0"/>
          <a:pathLst>
            <a:path>
              <a:moveTo>
                <a:pt x="461270" y="3003124"/>
              </a:moveTo>
              <a:arcTo wR="1799911" hR="1799911" stAng="8282987" swAng="835781"/>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8F689025-B867-42AE-9531-33DB20A6C3A5}">
      <dsp:nvSpPr>
        <dsp:cNvPr id="0" name=""/>
        <dsp:cNvSpPr/>
      </dsp:nvSpPr>
      <dsp:spPr>
        <a:xfrm>
          <a:off x="313052" y="2201400"/>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Make Decisions</a:t>
          </a:r>
          <a:endParaRPr lang="en-US" sz="1000" kern="1200" dirty="0">
            <a:latin typeface="Arial" panose="020B0604020202020204" pitchFamily="34" charset="0"/>
            <a:cs typeface="Arial" panose="020B0604020202020204" pitchFamily="34" charset="0"/>
          </a:endParaRPr>
        </a:p>
      </dsp:txBody>
      <dsp:txXfrm>
        <a:off x="343822" y="2232170"/>
        <a:ext cx="908186" cy="568782"/>
      </dsp:txXfrm>
    </dsp:sp>
    <dsp:sp modelId="{7C5BA10D-BAF1-4F6D-9C39-8F6FD9E9AB6B}">
      <dsp:nvSpPr>
        <dsp:cNvPr id="0" name=""/>
        <dsp:cNvSpPr/>
      </dsp:nvSpPr>
      <dsp:spPr>
        <a:xfrm>
          <a:off x="752788" y="316132"/>
          <a:ext cx="3599822" cy="3599822"/>
        </a:xfrm>
        <a:custGeom>
          <a:avLst/>
          <a:gdLst/>
          <a:ahLst/>
          <a:cxnLst/>
          <a:rect l="0" t="0" r="0" b="0"/>
          <a:pathLst>
            <a:path>
              <a:moveTo>
                <a:pt x="2616" y="1702901"/>
              </a:moveTo>
              <a:arcTo wR="1799911" hR="1799911" stAng="10985374" swAng="1064596"/>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54D94A86-33D3-4689-BD12-3A42EBE61067}">
      <dsp:nvSpPr>
        <dsp:cNvPr id="0" name=""/>
        <dsp:cNvSpPr/>
      </dsp:nvSpPr>
      <dsp:spPr>
        <a:xfrm>
          <a:off x="660609" y="67865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Commit to “Action”</a:t>
          </a:r>
          <a:endParaRPr lang="en-US" sz="1000" kern="1200" dirty="0">
            <a:latin typeface="Arial" panose="020B0604020202020204" pitchFamily="34" charset="0"/>
            <a:cs typeface="Arial" panose="020B0604020202020204" pitchFamily="34" charset="0"/>
          </a:endParaRPr>
        </a:p>
      </dsp:txBody>
      <dsp:txXfrm>
        <a:off x="691379" y="709426"/>
        <a:ext cx="908186" cy="568782"/>
      </dsp:txXfrm>
    </dsp:sp>
    <dsp:sp modelId="{6DEA5942-2340-4773-B852-92117FEC3249}">
      <dsp:nvSpPr>
        <dsp:cNvPr id="0" name=""/>
        <dsp:cNvSpPr/>
      </dsp:nvSpPr>
      <dsp:spPr>
        <a:xfrm>
          <a:off x="752788" y="316132"/>
          <a:ext cx="3599822" cy="3599822"/>
        </a:xfrm>
        <a:custGeom>
          <a:avLst/>
          <a:gdLst/>
          <a:ahLst/>
          <a:cxnLst/>
          <a:rect l="0" t="0" r="0" b="0"/>
          <a:pathLst>
            <a:path>
              <a:moveTo>
                <a:pt x="826102" y="286181"/>
              </a:moveTo>
              <a:arcTo wR="1799911" hR="1799911" stAng="14234768" swAng="772544"/>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85EC70-3487-4092-BF87-F8B62F2F9317}">
      <dsp:nvSpPr>
        <dsp:cNvPr id="0" name=""/>
        <dsp:cNvSpPr/>
      </dsp:nvSpPr>
      <dsp:spPr>
        <a:xfrm>
          <a:off x="2067836" y="971"/>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Establish             Resource Needs</a:t>
          </a:r>
          <a:endParaRPr lang="en-US" sz="1000" kern="1200" dirty="0">
            <a:latin typeface="Arial" panose="020B0604020202020204" pitchFamily="34" charset="0"/>
            <a:cs typeface="Arial" panose="020B0604020202020204" pitchFamily="34" charset="0"/>
          </a:endParaRPr>
        </a:p>
      </dsp:txBody>
      <dsp:txXfrm>
        <a:off x="2098606" y="31741"/>
        <a:ext cx="908186" cy="568782"/>
      </dsp:txXfrm>
    </dsp:sp>
    <dsp:sp modelId="{AB3EAF64-A96E-47AE-A168-2FBADECDA3A8}">
      <dsp:nvSpPr>
        <dsp:cNvPr id="0" name=""/>
        <dsp:cNvSpPr/>
      </dsp:nvSpPr>
      <dsp:spPr>
        <a:xfrm>
          <a:off x="752788" y="316132"/>
          <a:ext cx="3599822" cy="3599822"/>
        </a:xfrm>
        <a:custGeom>
          <a:avLst/>
          <a:gdLst/>
          <a:ahLst/>
          <a:cxnLst/>
          <a:rect l="0" t="0" r="0" b="0"/>
          <a:pathLst>
            <a:path>
              <a:moveTo>
                <a:pt x="2411918" y="107242"/>
              </a:moveTo>
              <a:arcTo wR="1799911" hR="1799911" stAng="17392688" swAng="772544"/>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2747A0B0-2606-42AA-B673-2585FD664FD1}">
      <dsp:nvSpPr>
        <dsp:cNvPr id="0" name=""/>
        <dsp:cNvSpPr/>
      </dsp:nvSpPr>
      <dsp:spPr>
        <a:xfrm>
          <a:off x="3475063" y="67865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Planning Assumptions &amp; Resource Alternatives</a:t>
          </a:r>
          <a:endParaRPr lang="en-US" sz="1000" kern="1200" dirty="0">
            <a:latin typeface="Arial" panose="020B0604020202020204" pitchFamily="34" charset="0"/>
            <a:cs typeface="Arial" panose="020B0604020202020204" pitchFamily="34" charset="0"/>
          </a:endParaRPr>
        </a:p>
      </dsp:txBody>
      <dsp:txXfrm>
        <a:off x="3505833" y="709426"/>
        <a:ext cx="908186" cy="568782"/>
      </dsp:txXfrm>
    </dsp:sp>
    <dsp:sp modelId="{78643BAC-5B2A-4281-8DFD-9912DDBD067A}">
      <dsp:nvSpPr>
        <dsp:cNvPr id="0" name=""/>
        <dsp:cNvSpPr/>
      </dsp:nvSpPr>
      <dsp:spPr>
        <a:xfrm>
          <a:off x="752788" y="316132"/>
          <a:ext cx="3599822" cy="3599822"/>
        </a:xfrm>
        <a:custGeom>
          <a:avLst/>
          <a:gdLst/>
          <a:ahLst/>
          <a:cxnLst/>
          <a:rect l="0" t="0" r="0" b="0"/>
          <a:pathLst>
            <a:path>
              <a:moveTo>
                <a:pt x="3482147" y="1159786"/>
              </a:moveTo>
              <a:arcTo wR="1799911" hR="1799911" stAng="20350030" swAng="1064596"/>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F18F486F-E943-4269-9F8A-7CD730F87ADD}">
      <dsp:nvSpPr>
        <dsp:cNvPr id="0" name=""/>
        <dsp:cNvSpPr/>
      </dsp:nvSpPr>
      <dsp:spPr>
        <a:xfrm>
          <a:off x="3822620" y="2201400"/>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Analyze Alternatives  and Portfolios </a:t>
          </a:r>
          <a:endParaRPr lang="en-US" sz="1000" kern="1200" dirty="0">
            <a:latin typeface="Arial" panose="020B0604020202020204" pitchFamily="34" charset="0"/>
            <a:cs typeface="Arial" panose="020B0604020202020204" pitchFamily="34" charset="0"/>
          </a:endParaRPr>
        </a:p>
      </dsp:txBody>
      <dsp:txXfrm>
        <a:off x="3853390" y="2232170"/>
        <a:ext cx="908186" cy="568782"/>
      </dsp:txXfrm>
    </dsp:sp>
    <dsp:sp modelId="{6AA09B05-B6B1-44D2-834A-D23654075E80}">
      <dsp:nvSpPr>
        <dsp:cNvPr id="0" name=""/>
        <dsp:cNvSpPr/>
      </dsp:nvSpPr>
      <dsp:spPr>
        <a:xfrm>
          <a:off x="752788" y="316132"/>
          <a:ext cx="3599822" cy="3599822"/>
        </a:xfrm>
        <a:custGeom>
          <a:avLst/>
          <a:gdLst/>
          <a:ahLst/>
          <a:cxnLst/>
          <a:rect l="0" t="0" r="0" b="0"/>
          <a:pathLst>
            <a:path>
              <a:moveTo>
                <a:pt x="3388835" y="2645487"/>
              </a:moveTo>
              <a:arcTo wR="1799911" hR="1799911" stAng="1681232" swAng="835781"/>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DCE450DC-075D-4800-B1B3-4CDD0802EAA6}">
      <dsp:nvSpPr>
        <dsp:cNvPr id="0" name=""/>
        <dsp:cNvSpPr/>
      </dsp:nvSpPr>
      <dsp:spPr>
        <a:xfrm>
          <a:off x="2848788" y="342254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a:latin typeface="Arial" panose="020B0604020202020204" pitchFamily="34" charset="0"/>
              <a:cs typeface="Arial" panose="020B0604020202020204" pitchFamily="34" charset="0"/>
            </a:rPr>
            <a:t>Analyze Market Risk</a:t>
          </a:r>
        </a:p>
      </dsp:txBody>
      <dsp:txXfrm>
        <a:off x="2879558" y="3453316"/>
        <a:ext cx="908186" cy="568782"/>
      </dsp:txXfrm>
    </dsp:sp>
    <dsp:sp modelId="{EE6CFCF7-3009-4ED9-B464-EF08EBEA4BF2}">
      <dsp:nvSpPr>
        <dsp:cNvPr id="0" name=""/>
        <dsp:cNvSpPr/>
      </dsp:nvSpPr>
      <dsp:spPr>
        <a:xfrm>
          <a:off x="752788" y="316132"/>
          <a:ext cx="3599822" cy="3599822"/>
        </a:xfrm>
        <a:custGeom>
          <a:avLst/>
          <a:gdLst/>
          <a:ahLst/>
          <a:cxnLst/>
          <a:rect l="0" t="0" r="0" b="0"/>
          <a:pathLst>
            <a:path>
              <a:moveTo>
                <a:pt x="1978621" y="3590928"/>
              </a:moveTo>
              <a:arcTo wR="1799911" hR="1799911" stAng="5058108" swAng="683783"/>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D880854A-AF27-4A38-8DB1-EAF9AD97448E}">
      <dsp:nvSpPr>
        <dsp:cNvPr id="0" name=""/>
        <dsp:cNvSpPr/>
      </dsp:nvSpPr>
      <dsp:spPr>
        <a:xfrm>
          <a:off x="1286884" y="342254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Analyze Results</a:t>
          </a:r>
          <a:endParaRPr lang="en-US" sz="1000" kern="1200" dirty="0">
            <a:latin typeface="Arial" panose="020B0604020202020204" pitchFamily="34" charset="0"/>
            <a:cs typeface="Arial" panose="020B0604020202020204" pitchFamily="34" charset="0"/>
          </a:endParaRPr>
        </a:p>
      </dsp:txBody>
      <dsp:txXfrm>
        <a:off x="1317654" y="3453316"/>
        <a:ext cx="908186" cy="568782"/>
      </dsp:txXfrm>
    </dsp:sp>
    <dsp:sp modelId="{6F8B7423-3725-4547-940F-B946B8DCD0FD}">
      <dsp:nvSpPr>
        <dsp:cNvPr id="0" name=""/>
        <dsp:cNvSpPr/>
      </dsp:nvSpPr>
      <dsp:spPr>
        <a:xfrm>
          <a:off x="752788" y="316132"/>
          <a:ext cx="3599822" cy="3599822"/>
        </a:xfrm>
        <a:custGeom>
          <a:avLst/>
          <a:gdLst/>
          <a:ahLst/>
          <a:cxnLst/>
          <a:rect l="0" t="0" r="0" b="0"/>
          <a:pathLst>
            <a:path>
              <a:moveTo>
                <a:pt x="461270" y="3003124"/>
              </a:moveTo>
              <a:arcTo wR="1799911" hR="1799911" stAng="8282987" swAng="835781"/>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8F689025-B867-42AE-9531-33DB20A6C3A5}">
      <dsp:nvSpPr>
        <dsp:cNvPr id="0" name=""/>
        <dsp:cNvSpPr/>
      </dsp:nvSpPr>
      <dsp:spPr>
        <a:xfrm>
          <a:off x="313052" y="2201400"/>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Make Decisions</a:t>
          </a:r>
          <a:endParaRPr lang="en-US" sz="1000" kern="1200" dirty="0">
            <a:latin typeface="Arial" panose="020B0604020202020204" pitchFamily="34" charset="0"/>
            <a:cs typeface="Arial" panose="020B0604020202020204" pitchFamily="34" charset="0"/>
          </a:endParaRPr>
        </a:p>
      </dsp:txBody>
      <dsp:txXfrm>
        <a:off x="343822" y="2232170"/>
        <a:ext cx="908186" cy="568782"/>
      </dsp:txXfrm>
    </dsp:sp>
    <dsp:sp modelId="{7C5BA10D-BAF1-4F6D-9C39-8F6FD9E9AB6B}">
      <dsp:nvSpPr>
        <dsp:cNvPr id="0" name=""/>
        <dsp:cNvSpPr/>
      </dsp:nvSpPr>
      <dsp:spPr>
        <a:xfrm>
          <a:off x="752788" y="316132"/>
          <a:ext cx="3599822" cy="3599822"/>
        </a:xfrm>
        <a:custGeom>
          <a:avLst/>
          <a:gdLst/>
          <a:ahLst/>
          <a:cxnLst/>
          <a:rect l="0" t="0" r="0" b="0"/>
          <a:pathLst>
            <a:path>
              <a:moveTo>
                <a:pt x="2616" y="1702901"/>
              </a:moveTo>
              <a:arcTo wR="1799911" hR="1799911" stAng="10985374" swAng="1064596"/>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 modelId="{54D94A86-33D3-4689-BD12-3A42EBE61067}">
      <dsp:nvSpPr>
        <dsp:cNvPr id="0" name=""/>
        <dsp:cNvSpPr/>
      </dsp:nvSpPr>
      <dsp:spPr>
        <a:xfrm>
          <a:off x="660609" y="678656"/>
          <a:ext cx="969726" cy="630322"/>
        </a:xfrm>
        <a:prstGeom prst="roundRect">
          <a:avLst/>
        </a:prstGeom>
        <a:solidFill>
          <a:srgbClr val="156570"/>
        </a:solidFill>
        <a:ln w="25400" cap="flat" cmpd="sng" algn="ctr">
          <a:solidFill>
            <a:srgbClr val="15657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latin typeface="Arial" panose="020B0604020202020204" pitchFamily="34" charset="0"/>
              <a:cs typeface="Arial" panose="020B0604020202020204" pitchFamily="34" charset="0"/>
            </a:rPr>
            <a:t>Commit to “Action”</a:t>
          </a:r>
          <a:endParaRPr lang="en-US" sz="1000" kern="1200" dirty="0">
            <a:latin typeface="Arial" panose="020B0604020202020204" pitchFamily="34" charset="0"/>
            <a:cs typeface="Arial" panose="020B0604020202020204" pitchFamily="34" charset="0"/>
          </a:endParaRPr>
        </a:p>
      </dsp:txBody>
      <dsp:txXfrm>
        <a:off x="691379" y="709426"/>
        <a:ext cx="908186" cy="568782"/>
      </dsp:txXfrm>
    </dsp:sp>
    <dsp:sp modelId="{6DEA5942-2340-4773-B852-92117FEC3249}">
      <dsp:nvSpPr>
        <dsp:cNvPr id="0" name=""/>
        <dsp:cNvSpPr/>
      </dsp:nvSpPr>
      <dsp:spPr>
        <a:xfrm>
          <a:off x="752788" y="316132"/>
          <a:ext cx="3599822" cy="3599822"/>
        </a:xfrm>
        <a:custGeom>
          <a:avLst/>
          <a:gdLst/>
          <a:ahLst/>
          <a:cxnLst/>
          <a:rect l="0" t="0" r="0" b="0"/>
          <a:pathLst>
            <a:path>
              <a:moveTo>
                <a:pt x="826102" y="286181"/>
              </a:moveTo>
              <a:arcTo wR="1799911" hR="1799911" stAng="14234768" swAng="772544"/>
            </a:path>
          </a:pathLst>
        </a:custGeom>
        <a:noFill/>
        <a:ln w="9525" cap="flat" cmpd="sng" algn="ctr">
          <a:solidFill>
            <a:srgbClr val="156570"/>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D7830C01A199B4B9669B9266D9E57D0" ma:contentTypeVersion="175" ma:contentTypeDescription="" ma:contentTypeScope="" ma:versionID="267235b268ef2103aa72b6bb0c12b36a">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Plan</DocumentSetType>
    <IsConfidential xmlns="dc463f71-b30c-4ab2-9473-d307f9d35888">false</IsConfidential>
    <AgendaOrder xmlns="dc463f71-b30c-4ab2-9473-d307f9d35888">false</AgendaOrder>
    <CaseType xmlns="dc463f71-b30c-4ab2-9473-d307f9d35888">Staff Investigation</CaseType>
    <IndustryCode xmlns="dc463f71-b30c-4ab2-9473-d307f9d35888">150</IndustryCode>
    <CaseStatus xmlns="dc463f71-b30c-4ab2-9473-d307f9d35888">Closed</CaseStatus>
    <OpenedDate xmlns="dc463f71-b30c-4ab2-9473-d307f9d35888">2014-05-29T07:00:00+00:00</OpenedDate>
    <Date1 xmlns="dc463f71-b30c-4ab2-9473-d307f9d35888">2015-11-25T08:00:00+00:00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141169</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E9B3D07C-298A-4273-9BA1-2C94FD4DDE11}"/>
</file>

<file path=customXml/itemProps2.xml><?xml version="1.0" encoding="utf-8"?>
<ds:datastoreItem xmlns:ds="http://schemas.openxmlformats.org/officeDocument/2006/customXml" ds:itemID="{A06CE7E8-CC7C-440F-BF38-476EFDD74CB9}"/>
</file>

<file path=customXml/itemProps3.xml><?xml version="1.0" encoding="utf-8"?>
<ds:datastoreItem xmlns:ds="http://schemas.openxmlformats.org/officeDocument/2006/customXml" ds:itemID="{16922D47-89D1-4CF1-8B51-2B9552FE0076}"/>
</file>

<file path=customXml/itemProps4.xml><?xml version="1.0" encoding="utf-8"?>
<ds:datastoreItem xmlns:ds="http://schemas.openxmlformats.org/officeDocument/2006/customXml" ds:itemID="{D935A5AA-213A-2048-A7F2-5F883346EBDB}"/>
</file>

<file path=customXml/itemProps5.xml><?xml version="1.0" encoding="utf-8"?>
<ds:datastoreItem xmlns:ds="http://schemas.openxmlformats.org/officeDocument/2006/customXml" ds:itemID="{601AFCDD-4958-42AC-9106-81295DBB909C}"/>
</file>

<file path=docProps/app.xml><?xml version="1.0" encoding="utf-8"?>
<Properties xmlns="http://schemas.openxmlformats.org/officeDocument/2006/extended-properties" xmlns:vt="http://schemas.openxmlformats.org/officeDocument/2006/docPropsVTypes">
  <Template>Normal.dotm</Template>
  <TotalTime>0</TotalTime>
  <Pages>64</Pages>
  <Words>19275</Words>
  <Characters>109870</Characters>
  <Application>Microsoft Macintosh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128888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Rhodes User</dc:creator>
  <cp:lastModifiedBy>Ann Rhodes</cp:lastModifiedBy>
  <cp:revision>2</cp:revision>
  <cp:lastPrinted>2015-11-10T18:05:00Z</cp:lastPrinted>
  <dcterms:created xsi:type="dcterms:W3CDTF">2015-11-10T19:42:00Z</dcterms:created>
  <dcterms:modified xsi:type="dcterms:W3CDTF">2015-11-10T19:42:00Z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0x0101006E56B4D1795A2E4DB2F0B01679ED314A00CD7830C01A199B4B9669B9266D9E57D0</vt:lpwstr>
  </property>
  <property fmtid="{D5CDD505-2E9C-101B-9397-08002B2CF9AE}" pid="3" name="_docset_NoMedatataSyncRequired">
    <vt:lpwstr>False</vt:lpwstr>
  </property>
</Properties>
</file>