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E54726"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7EA08B74" wp14:editId="7012E46A">
                <wp:simplePos x="0" y="0"/>
                <wp:positionH relativeFrom="column">
                  <wp:posOffset>6381750</wp:posOffset>
                </wp:positionH>
                <wp:positionV relativeFrom="paragraph">
                  <wp:posOffset>-1239520</wp:posOffset>
                </wp:positionV>
                <wp:extent cx="0" cy="8924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892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97.6pt" to="502.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" strokecolor="black [3213]"/>
            </w:pict>
          </mc:Fallback>
        </mc:AlternateContent>
      </w:r>
      <w:r>
        <w:rPr>
          <w:noProof/>
          <w:u w:val="single"/>
          <w:lang w:eastAsia="en-US"/>
        </w:rPr>
        <mc:AlternateContent>
          <mc:Choice Requires="wps">
            <w:drawing>
              <wp:anchor distT="0" distB="0" distL="114300" distR="114300" simplePos="0" relativeHeight="251662336" behindDoc="0" locked="0" layoutInCell="1" allowOverlap="1" wp14:anchorId="3176FEF3" wp14:editId="3D1F8E3D">
                <wp:simplePos x="0" y="0"/>
                <wp:positionH relativeFrom="column">
                  <wp:posOffset>6200775</wp:posOffset>
                </wp:positionH>
                <wp:positionV relativeFrom="paragraph">
                  <wp:posOffset>-1572895</wp:posOffset>
                </wp:positionV>
                <wp:extent cx="838200" cy="977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977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8.25pt;margin-top:-123.85pt;width:66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9yew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" filled="f" stroked="f" strokeweight=".5pt">
                <v:textbo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v:textbox>
              </v:shape>
            </w:pict>
          </mc:Fallback>
        </mc:AlternateContent>
      </w:r>
    </w:p>
    <w:p w:rsidR="00E74A2C" w:rsidRPr="003761BF" w:rsidRDefault="003761BF" w:rsidP="00E74A2C">
      <w:pPr>
        <w:jc w:val="both"/>
        <w:rPr>
          <w:rFonts w:ascii="Arial" w:hAnsi="Arial" w:cs="Arial"/>
          <w:b/>
          <w:sz w:val="20"/>
          <w:u w:val="single"/>
        </w:rPr>
      </w:pPr>
      <w:r w:rsidRPr="003761BF">
        <w:rPr>
          <w:rFonts w:ascii="Arial" w:hAnsi="Arial" w:cs="Arial"/>
          <w:b/>
          <w:sz w:val="20"/>
          <w:u w:val="single"/>
        </w:rPr>
        <w:t xml:space="preserve">D.  </w:t>
      </w:r>
      <w:r w:rsidR="00991342">
        <w:rPr>
          <w:rFonts w:ascii="Arial" w:hAnsi="Arial" w:cs="Arial"/>
          <w:b/>
          <w:sz w:val="20"/>
          <w:u w:val="single"/>
        </w:rPr>
        <w:t>General Conditions:</w:t>
      </w:r>
      <w:r w:rsidR="00C742EF" w:rsidRPr="003761BF">
        <w:rPr>
          <w:rFonts w:ascii="Arial" w:hAnsi="Arial" w:cs="Arial"/>
          <w:b/>
          <w:sz w:val="20"/>
          <w:u w:val="single"/>
        </w:rPr>
        <w:t xml:space="preserve"> </w:t>
      </w:r>
    </w:p>
    <w:p w:rsidR="00C742EF" w:rsidRDefault="00C742EF" w:rsidP="00E74A2C">
      <w:pPr>
        <w:pStyle w:val="ListParagraph"/>
        <w:tabs>
          <w:tab w:val="left" w:pos="-1170"/>
          <w:tab w:val="left" w:pos="360"/>
        </w:tabs>
        <w:ind w:left="360"/>
        <w:jc w:val="both"/>
        <w:rPr>
          <w:rFonts w:ascii="Arial" w:hAnsi="Arial" w:cs="Arial"/>
          <w:b/>
          <w:sz w:val="20"/>
          <w:u w:val="single"/>
        </w:rPr>
      </w:pPr>
    </w:p>
    <w:p w:rsidR="00C742EF" w:rsidRDefault="00991342" w:rsidP="00991342">
      <w:pPr>
        <w:pStyle w:val="ListParagraph"/>
        <w:ind w:hanging="360"/>
        <w:jc w:val="both"/>
        <w:rPr>
          <w:rFonts w:ascii="Arial" w:hAnsi="Arial" w:cs="Arial"/>
          <w:sz w:val="20"/>
        </w:rPr>
      </w:pPr>
      <w:r w:rsidRPr="00991342">
        <w:rPr>
          <w:rFonts w:ascii="Arial" w:hAnsi="Arial" w:cs="Arial"/>
          <w:sz w:val="20"/>
        </w:rPr>
        <w:t>a)</w:t>
      </w:r>
      <w:r w:rsidRPr="00991342">
        <w:rPr>
          <w:rFonts w:ascii="Arial" w:hAnsi="Arial" w:cs="Arial"/>
          <w:sz w:val="20"/>
        </w:rPr>
        <w:tab/>
      </w:r>
      <w:r w:rsidR="00C742EF">
        <w:rPr>
          <w:rFonts w:ascii="Arial" w:hAnsi="Arial" w:cs="Arial"/>
          <w:sz w:val="20"/>
        </w:rPr>
        <w:t>The terms, conditions, and technical requirements in this section apply to the interconnection customer and generating facility throughout the generating facility’s installation, testing, commissioning, operation, maintenance, decommissioning and removal. The Company may verify compliance at any time, with reasonable notice.</w:t>
      </w:r>
    </w:p>
    <w:p w:rsidR="00C742EF" w:rsidRPr="009976C8" w:rsidRDefault="00C742EF" w:rsidP="00991342">
      <w:pPr>
        <w:pStyle w:val="ListParagraph"/>
        <w:ind w:hanging="360"/>
        <w:jc w:val="both"/>
        <w:rPr>
          <w:rFonts w:ascii="Arial" w:hAnsi="Arial" w:cs="Arial"/>
          <w:b/>
          <w:sz w:val="20"/>
        </w:rPr>
      </w:pPr>
    </w:p>
    <w:p w:rsidR="00C742EF" w:rsidRPr="00991342" w:rsidRDefault="00991342" w:rsidP="009976C8">
      <w:pPr>
        <w:pStyle w:val="ListParagraph"/>
        <w:ind w:hanging="360"/>
        <w:jc w:val="both"/>
        <w:rPr>
          <w:rFonts w:ascii="Arial" w:hAnsi="Arial" w:cs="Arial"/>
          <w:sz w:val="20"/>
        </w:rPr>
      </w:pPr>
      <w:r>
        <w:rPr>
          <w:rFonts w:ascii="Arial" w:hAnsi="Arial" w:cs="Arial"/>
          <w:sz w:val="20"/>
        </w:rPr>
        <w:t>b)</w:t>
      </w:r>
      <w:r w:rsidR="009976C8" w:rsidRPr="00991342">
        <w:rPr>
          <w:rFonts w:ascii="Arial" w:hAnsi="Arial" w:cs="Arial"/>
          <w:sz w:val="20"/>
        </w:rPr>
        <w:tab/>
      </w:r>
      <w:r w:rsidR="00C742EF" w:rsidRPr="00991342">
        <w:rPr>
          <w:rFonts w:ascii="Arial" w:hAnsi="Arial" w:cs="Arial"/>
          <w:sz w:val="20"/>
        </w:rPr>
        <w:t xml:space="preserve">Any generating facility proposing to be interconnected with the electric system or any proposed change to a generating facility that requires modification of an existing interconnection agreement must meet all applicable terms, conditions, and technical requirements set forth in this section, including the regulations and standards adopted by reference in WAC 480-108-999. </w:t>
      </w:r>
    </w:p>
    <w:p w:rsidR="00C742EF" w:rsidRPr="00991342" w:rsidRDefault="00C742EF" w:rsidP="009976C8">
      <w:pPr>
        <w:pStyle w:val="ListParagraph"/>
        <w:ind w:hanging="360"/>
        <w:jc w:val="both"/>
        <w:rPr>
          <w:rFonts w:ascii="Arial" w:hAnsi="Arial" w:cs="Arial"/>
          <w:sz w:val="20"/>
        </w:rPr>
      </w:pPr>
    </w:p>
    <w:p w:rsidR="00C742EF" w:rsidRPr="00991342" w:rsidRDefault="00991342" w:rsidP="009976C8">
      <w:pPr>
        <w:pStyle w:val="ListParagraph"/>
        <w:ind w:hanging="360"/>
        <w:jc w:val="both"/>
        <w:rPr>
          <w:rFonts w:ascii="Arial" w:hAnsi="Arial" w:cs="Arial"/>
          <w:sz w:val="20"/>
        </w:rPr>
      </w:pPr>
      <w:r>
        <w:rPr>
          <w:rFonts w:ascii="Arial" w:hAnsi="Arial" w:cs="Arial"/>
          <w:sz w:val="20"/>
        </w:rPr>
        <w:t>c)</w:t>
      </w:r>
      <w:r w:rsidR="009976C8" w:rsidRPr="00991342">
        <w:rPr>
          <w:rFonts w:ascii="Arial" w:hAnsi="Arial" w:cs="Arial"/>
          <w:sz w:val="20"/>
        </w:rPr>
        <w:tab/>
      </w:r>
      <w:r w:rsidR="00C742EF" w:rsidRPr="00991342">
        <w:rPr>
          <w:rFonts w:ascii="Arial" w:hAnsi="Arial" w:cs="Arial"/>
          <w:sz w:val="20"/>
        </w:rPr>
        <w:t>The terms, conditions, and technical requirements in this section are intended to mitigate possible adverse impacts caused by the generating facility on the Company’s equipment and personnel and on other customers of the Company.  They are not intended to address protection of the generating facility itself, generating facility personnel, or its internal load. It is the responsibility of the generating facility to comply with the requirements of all appropriate standards, codes, statutes, and authorities to protect its own facilities, personnel, and load.</w:t>
      </w:r>
    </w:p>
    <w:p w:rsidR="00C742EF" w:rsidRPr="00991342" w:rsidRDefault="00C742EF" w:rsidP="009976C8">
      <w:pPr>
        <w:pStyle w:val="ListParagraph"/>
        <w:ind w:hanging="360"/>
        <w:jc w:val="both"/>
        <w:rPr>
          <w:rFonts w:ascii="Arial" w:hAnsi="Arial" w:cs="Arial"/>
          <w:sz w:val="20"/>
        </w:rPr>
      </w:pPr>
    </w:p>
    <w:p w:rsidR="00C742EF" w:rsidRPr="00991342" w:rsidRDefault="00991342" w:rsidP="009976C8">
      <w:pPr>
        <w:pStyle w:val="ListParagraph"/>
        <w:ind w:hanging="360"/>
        <w:jc w:val="both"/>
        <w:rPr>
          <w:rFonts w:ascii="Arial" w:hAnsi="Arial" w:cs="Arial"/>
          <w:sz w:val="20"/>
        </w:rPr>
      </w:pPr>
      <w:r>
        <w:rPr>
          <w:rFonts w:ascii="Arial" w:hAnsi="Arial" w:cs="Arial"/>
          <w:sz w:val="20"/>
        </w:rPr>
        <w:t>d)</w:t>
      </w:r>
      <w:r w:rsidR="009976C8" w:rsidRPr="00991342">
        <w:rPr>
          <w:rFonts w:ascii="Arial" w:hAnsi="Arial" w:cs="Arial"/>
          <w:sz w:val="20"/>
        </w:rPr>
        <w:tab/>
      </w:r>
      <w:r w:rsidR="00C742EF" w:rsidRPr="00991342">
        <w:rPr>
          <w:rFonts w:ascii="Arial" w:hAnsi="Arial" w:cs="Arial"/>
          <w:sz w:val="20"/>
        </w:rPr>
        <w:t>The interconnection customer shall comply with and must ensure its generating facil</w:t>
      </w:r>
      <w:r w:rsidR="007B2E2D">
        <w:rPr>
          <w:rFonts w:ascii="Arial" w:hAnsi="Arial" w:cs="Arial"/>
          <w:sz w:val="20"/>
        </w:rPr>
        <w:t>ity meets the requirements in (i</w:t>
      </w:r>
      <w:r w:rsidR="00C742EF" w:rsidRPr="00991342">
        <w:rPr>
          <w:rFonts w:ascii="Arial" w:hAnsi="Arial" w:cs="Arial"/>
          <w:sz w:val="20"/>
        </w:rPr>
        <w:t>), (</w:t>
      </w:r>
      <w:r w:rsidR="007B2E2D">
        <w:rPr>
          <w:rFonts w:ascii="Arial" w:hAnsi="Arial" w:cs="Arial"/>
          <w:sz w:val="20"/>
        </w:rPr>
        <w:t>ii</w:t>
      </w:r>
      <w:r w:rsidR="00C742EF" w:rsidRPr="00991342">
        <w:rPr>
          <w:rFonts w:ascii="Arial" w:hAnsi="Arial" w:cs="Arial"/>
          <w:sz w:val="20"/>
        </w:rPr>
        <w:t>), and (</w:t>
      </w:r>
      <w:r w:rsidR="007B2E2D">
        <w:rPr>
          <w:rFonts w:ascii="Arial" w:hAnsi="Arial" w:cs="Arial"/>
          <w:sz w:val="20"/>
        </w:rPr>
        <w:t>iii</w:t>
      </w:r>
      <w:r w:rsidR="00C742EF" w:rsidRPr="00991342">
        <w:rPr>
          <w:rFonts w:ascii="Arial" w:hAnsi="Arial" w:cs="Arial"/>
          <w:sz w:val="20"/>
        </w:rPr>
        <w:t>) of this subsection. However, at its sole discretion, the Company may approve, in writing, alternatives that satisfy the intent of, or waive compliance with, any specific elements of these requirements except local, state and federal building codes.</w:t>
      </w:r>
    </w:p>
    <w:p w:rsidR="009976C8" w:rsidRPr="00991342" w:rsidRDefault="00991342" w:rsidP="00991342">
      <w:pPr>
        <w:pStyle w:val="ListParagraph"/>
        <w:ind w:left="1440" w:hanging="360"/>
        <w:jc w:val="both"/>
        <w:rPr>
          <w:rFonts w:ascii="Arial" w:hAnsi="Arial" w:cs="Arial"/>
          <w:sz w:val="20"/>
        </w:rPr>
      </w:pPr>
      <w:r>
        <w:rPr>
          <w:rFonts w:ascii="Arial" w:hAnsi="Arial" w:cs="Arial"/>
          <w:sz w:val="20"/>
        </w:rPr>
        <w:t>(i</w:t>
      </w:r>
      <w:r w:rsidR="00011CB6">
        <w:rPr>
          <w:rFonts w:ascii="Arial" w:hAnsi="Arial" w:cs="Arial"/>
          <w:sz w:val="20"/>
        </w:rPr>
        <w:t>)</w:t>
      </w:r>
      <w:r w:rsidR="00011CB6">
        <w:rPr>
          <w:rFonts w:ascii="Arial" w:hAnsi="Arial" w:cs="Arial"/>
          <w:sz w:val="20"/>
        </w:rPr>
        <w:tab/>
      </w:r>
      <w:r w:rsidR="00C742EF">
        <w:rPr>
          <w:rFonts w:ascii="Arial" w:hAnsi="Arial" w:cs="Arial"/>
          <w:b/>
          <w:sz w:val="20"/>
        </w:rPr>
        <w:t>Codes and Standards.</w:t>
      </w:r>
      <w:r w:rsidR="00C742EF">
        <w:rPr>
          <w:rFonts w:ascii="Arial" w:hAnsi="Arial" w:cs="Arial"/>
          <w:sz w:val="20"/>
        </w:rPr>
        <w:t xml:space="preserve"> These include the National Electric Code (NEC), National Electric Safety Code (NESC), the Institute of Electrical and Electronics Engineers (IEEE), American National Standards Institute (ANSI), and Underwriters Laboratories (UL) standards, and local, state, and federal building codes. The interconnection customer shall be responsible for obtaining all applicable permit(s) for the equipment installations on its property.</w:t>
      </w:r>
    </w:p>
    <w:p w:rsidR="00C742EF" w:rsidRPr="008C532E" w:rsidRDefault="00991342" w:rsidP="00991342">
      <w:pPr>
        <w:pStyle w:val="ListParagraph"/>
        <w:ind w:left="1440" w:hanging="360"/>
        <w:jc w:val="both"/>
        <w:rPr>
          <w:rFonts w:ascii="Arial" w:hAnsi="Arial" w:cs="Arial"/>
          <w:b/>
          <w:sz w:val="20"/>
        </w:rPr>
      </w:pPr>
      <w:r>
        <w:rPr>
          <w:rFonts w:ascii="Arial" w:hAnsi="Arial" w:cs="Arial"/>
          <w:sz w:val="20"/>
        </w:rPr>
        <w:t>(ii</w:t>
      </w:r>
      <w:r w:rsidR="009976C8">
        <w:rPr>
          <w:rFonts w:ascii="Arial" w:hAnsi="Arial" w:cs="Arial"/>
          <w:sz w:val="20"/>
        </w:rPr>
        <w:t>)</w:t>
      </w:r>
      <w:r w:rsidR="009976C8">
        <w:rPr>
          <w:rFonts w:ascii="Arial" w:hAnsi="Arial" w:cs="Arial"/>
          <w:sz w:val="20"/>
        </w:rPr>
        <w:tab/>
      </w:r>
      <w:r w:rsidR="00C742EF">
        <w:rPr>
          <w:rFonts w:ascii="Arial" w:hAnsi="Arial" w:cs="Arial"/>
          <w:b/>
          <w:sz w:val="20"/>
        </w:rPr>
        <w:t>Safety.</w:t>
      </w:r>
      <w:r w:rsidR="00C742EF">
        <w:rPr>
          <w:rFonts w:ascii="Arial" w:hAnsi="Arial" w:cs="Arial"/>
          <w:sz w:val="20"/>
        </w:rPr>
        <w:t xml:space="preserve"> All safety and operating procedures for joint use equipment shall be in compliance with the Occupational Safety and Health Administration (OSHA) standard at 29 C.F.R. 1910.269, the NEC, Washington Administrative Code (WAC) rules, the Washington division of occupational safety and health (DOSH) standard, and equipment manufacturer’s safety and operating manuals.</w:t>
      </w:r>
    </w:p>
    <w:p w:rsidR="00C742EF" w:rsidRDefault="00991342" w:rsidP="00991342">
      <w:pPr>
        <w:pStyle w:val="ListParagraph"/>
        <w:ind w:left="1440" w:hanging="360"/>
        <w:jc w:val="both"/>
        <w:rPr>
          <w:rFonts w:ascii="Arial" w:hAnsi="Arial" w:cs="Arial"/>
          <w:sz w:val="20"/>
        </w:rPr>
      </w:pPr>
      <w:r>
        <w:rPr>
          <w:rFonts w:ascii="Arial" w:hAnsi="Arial" w:cs="Arial"/>
          <w:sz w:val="20"/>
        </w:rPr>
        <w:t>(iii</w:t>
      </w:r>
      <w:r w:rsidR="009976C8">
        <w:rPr>
          <w:rFonts w:ascii="Arial" w:hAnsi="Arial" w:cs="Arial"/>
          <w:sz w:val="20"/>
        </w:rPr>
        <w:t>)</w:t>
      </w:r>
      <w:r w:rsidR="009976C8">
        <w:rPr>
          <w:rFonts w:ascii="Arial" w:hAnsi="Arial" w:cs="Arial"/>
          <w:b/>
          <w:sz w:val="20"/>
        </w:rPr>
        <w:tab/>
      </w:r>
      <w:r w:rsidR="00C742EF">
        <w:rPr>
          <w:rFonts w:ascii="Arial" w:hAnsi="Arial" w:cs="Arial"/>
          <w:b/>
          <w:sz w:val="20"/>
        </w:rPr>
        <w:t xml:space="preserve">Power Quality. </w:t>
      </w:r>
      <w:r w:rsidR="00C742EF">
        <w:rPr>
          <w:rFonts w:ascii="Arial" w:hAnsi="Arial" w:cs="Arial"/>
          <w:sz w:val="20"/>
        </w:rPr>
        <w:t>Installations will be in compliance with all applicable standards including IEEE standard 519 Harmonic Limits, or more stringent harmonic requirements of the Company that have been approved by the Commission.</w:t>
      </w:r>
    </w:p>
    <w:p w:rsidR="00C742EF" w:rsidRDefault="00C742EF" w:rsidP="00C742EF">
      <w:pPr>
        <w:pStyle w:val="ListParagraph"/>
        <w:ind w:hanging="360"/>
        <w:jc w:val="both"/>
        <w:rPr>
          <w:rFonts w:ascii="Arial" w:hAnsi="Arial" w:cs="Arial"/>
          <w:b/>
          <w:sz w:val="20"/>
        </w:rPr>
      </w:pPr>
    </w:p>
    <w:p w:rsidR="00E01B74" w:rsidRPr="00A61BE9" w:rsidRDefault="00991342" w:rsidP="00D151AA">
      <w:pPr>
        <w:pStyle w:val="ListParagraph"/>
        <w:ind w:hanging="360"/>
        <w:jc w:val="both"/>
        <w:rPr>
          <w:rFonts w:ascii="Arial" w:hAnsi="Arial" w:cs="Arial"/>
          <w:b/>
          <w:sz w:val="20"/>
        </w:rPr>
      </w:pPr>
      <w:r w:rsidRPr="00991342">
        <w:rPr>
          <w:rFonts w:ascii="Arial" w:hAnsi="Arial" w:cs="Arial"/>
          <w:sz w:val="20"/>
        </w:rPr>
        <w:t>e)</w:t>
      </w:r>
      <w:r w:rsidR="009976C8" w:rsidRPr="00991342">
        <w:rPr>
          <w:rFonts w:ascii="Arial" w:hAnsi="Arial" w:cs="Arial"/>
          <w:sz w:val="20"/>
        </w:rPr>
        <w:tab/>
      </w:r>
      <w:r w:rsidR="00C742EF" w:rsidRPr="00991342">
        <w:rPr>
          <w:rFonts w:ascii="Arial" w:hAnsi="Arial" w:cs="Arial"/>
          <w:sz w:val="20"/>
        </w:rPr>
        <w:t>Any electrical</w:t>
      </w:r>
      <w:r w:rsidR="00C742EF">
        <w:rPr>
          <w:rFonts w:ascii="Arial" w:hAnsi="Arial" w:cs="Arial"/>
          <w:sz w:val="20"/>
        </w:rPr>
        <w:t xml:space="preserve"> generating facility must comply with this section to be eligible to interconnect and operate in parallel with the electric system. These specifications and standards shall apply to all interconnecting generating facilities that are intended to operate in parallel with the electric system regardless of whether the interconnection customer intends to generate energy to serve all or a part of the interconnection customer’s load; or to sell the output to the Company or any third party purchaser.</w:t>
      </w:r>
    </w:p>
    <w:sectPr w:rsidR="00E01B74"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B" w:rsidRDefault="00537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0B" w:rsidRDefault="00BF7800"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 xml:space="preserve">(Continued) </w:t>
    </w:r>
  </w:p>
  <w:p w:rsidR="005378EB" w:rsidRDefault="005378EB" w:rsidP="005378E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5B1EE1">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5378EB" w:rsidRDefault="005378EB" w:rsidP="005378E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5378EB" w:rsidRDefault="005378EB" w:rsidP="005378EB">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7E118409" wp14:editId="01034E60">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5378EB" w:rsidRDefault="005378EB" w:rsidP="005378EB">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76E26B26" wp14:editId="67358C6F">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5378EB" w:rsidRDefault="005378EB" w:rsidP="005378EB">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0C597ED4" wp14:editId="60635232">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B" w:rsidRDefault="00537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B" w:rsidRDefault="00537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22422A" w:rsidRDefault="0022422A"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22422A">
      <w:rPr>
        <w:rFonts w:ascii="Arial" w:hAnsi="Arial" w:cs="Arial"/>
        <w:sz w:val="20"/>
      </w:rPr>
      <w:t>1</w:t>
    </w:r>
    <w:r w:rsidR="00354820">
      <w:rPr>
        <w:rFonts w:ascii="Arial" w:hAnsi="Arial" w:cs="Arial"/>
        <w:sz w:val="20"/>
      </w:rPr>
      <w:t>3</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EB" w:rsidRDefault="00537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ED7C3F30"/>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4"/>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1CB6"/>
    <w:rsid w:val="00013419"/>
    <w:rsid w:val="0002777F"/>
    <w:rsid w:val="000760A1"/>
    <w:rsid w:val="0008276C"/>
    <w:rsid w:val="00084A66"/>
    <w:rsid w:val="00087CF7"/>
    <w:rsid w:val="00087F71"/>
    <w:rsid w:val="00093361"/>
    <w:rsid w:val="000A0FF1"/>
    <w:rsid w:val="000B36F4"/>
    <w:rsid w:val="000C75B6"/>
    <w:rsid w:val="000E3B96"/>
    <w:rsid w:val="000F29F0"/>
    <w:rsid w:val="00113567"/>
    <w:rsid w:val="00135716"/>
    <w:rsid w:val="001360F4"/>
    <w:rsid w:val="001522E7"/>
    <w:rsid w:val="001620F1"/>
    <w:rsid w:val="00162DE3"/>
    <w:rsid w:val="00172D01"/>
    <w:rsid w:val="001801E7"/>
    <w:rsid w:val="001A2436"/>
    <w:rsid w:val="001A77E1"/>
    <w:rsid w:val="001C0F5B"/>
    <w:rsid w:val="001D4F15"/>
    <w:rsid w:val="001D5191"/>
    <w:rsid w:val="001F19AC"/>
    <w:rsid w:val="001F372F"/>
    <w:rsid w:val="002020DC"/>
    <w:rsid w:val="00204381"/>
    <w:rsid w:val="00205735"/>
    <w:rsid w:val="0022422A"/>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54820"/>
    <w:rsid w:val="003761BF"/>
    <w:rsid w:val="00380A16"/>
    <w:rsid w:val="003960AD"/>
    <w:rsid w:val="0039748F"/>
    <w:rsid w:val="003C2525"/>
    <w:rsid w:val="003D72FC"/>
    <w:rsid w:val="003F4AC2"/>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FE8"/>
    <w:rsid w:val="004E27B9"/>
    <w:rsid w:val="00534D32"/>
    <w:rsid w:val="005369F8"/>
    <w:rsid w:val="005378EB"/>
    <w:rsid w:val="00546A05"/>
    <w:rsid w:val="00555712"/>
    <w:rsid w:val="00564506"/>
    <w:rsid w:val="00574FF6"/>
    <w:rsid w:val="00577682"/>
    <w:rsid w:val="00580EC3"/>
    <w:rsid w:val="00583749"/>
    <w:rsid w:val="00590227"/>
    <w:rsid w:val="00595BAA"/>
    <w:rsid w:val="005A1156"/>
    <w:rsid w:val="005B1EE1"/>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140B"/>
    <w:rsid w:val="00746611"/>
    <w:rsid w:val="007504BF"/>
    <w:rsid w:val="0077488B"/>
    <w:rsid w:val="007854E0"/>
    <w:rsid w:val="0079024E"/>
    <w:rsid w:val="00790CE2"/>
    <w:rsid w:val="007B01F4"/>
    <w:rsid w:val="007B1728"/>
    <w:rsid w:val="007B2E2D"/>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2421B"/>
    <w:rsid w:val="009421D3"/>
    <w:rsid w:val="00952A4F"/>
    <w:rsid w:val="009703D2"/>
    <w:rsid w:val="00975D61"/>
    <w:rsid w:val="00991342"/>
    <w:rsid w:val="009976C8"/>
    <w:rsid w:val="009B13B6"/>
    <w:rsid w:val="009B1635"/>
    <w:rsid w:val="009B59D6"/>
    <w:rsid w:val="009B779C"/>
    <w:rsid w:val="009E0C82"/>
    <w:rsid w:val="009F44CB"/>
    <w:rsid w:val="00A261ED"/>
    <w:rsid w:val="00A43A23"/>
    <w:rsid w:val="00A61BE9"/>
    <w:rsid w:val="00A65596"/>
    <w:rsid w:val="00A661A7"/>
    <w:rsid w:val="00A84ABB"/>
    <w:rsid w:val="00A91A21"/>
    <w:rsid w:val="00A9698A"/>
    <w:rsid w:val="00AA4FC3"/>
    <w:rsid w:val="00AA6EAF"/>
    <w:rsid w:val="00AC2412"/>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BE240A"/>
    <w:rsid w:val="00BF7800"/>
    <w:rsid w:val="00C0493E"/>
    <w:rsid w:val="00C16EA7"/>
    <w:rsid w:val="00C210FD"/>
    <w:rsid w:val="00C2540C"/>
    <w:rsid w:val="00C31B67"/>
    <w:rsid w:val="00C36075"/>
    <w:rsid w:val="00C41C7D"/>
    <w:rsid w:val="00C4223A"/>
    <w:rsid w:val="00C461AA"/>
    <w:rsid w:val="00C60F7D"/>
    <w:rsid w:val="00C742EF"/>
    <w:rsid w:val="00C84F36"/>
    <w:rsid w:val="00C91131"/>
    <w:rsid w:val="00CB159E"/>
    <w:rsid w:val="00CC1A53"/>
    <w:rsid w:val="00CC7B43"/>
    <w:rsid w:val="00CD01ED"/>
    <w:rsid w:val="00CE6692"/>
    <w:rsid w:val="00CF4970"/>
    <w:rsid w:val="00CF64E6"/>
    <w:rsid w:val="00D151AA"/>
    <w:rsid w:val="00D23AB3"/>
    <w:rsid w:val="00D313E0"/>
    <w:rsid w:val="00D45A57"/>
    <w:rsid w:val="00D60206"/>
    <w:rsid w:val="00D9021F"/>
    <w:rsid w:val="00D932B5"/>
    <w:rsid w:val="00DA1394"/>
    <w:rsid w:val="00DB2070"/>
    <w:rsid w:val="00DE1F3B"/>
    <w:rsid w:val="00DE2657"/>
    <w:rsid w:val="00DE409D"/>
    <w:rsid w:val="00DF0EB8"/>
    <w:rsid w:val="00E01B74"/>
    <w:rsid w:val="00E13A5F"/>
    <w:rsid w:val="00E44254"/>
    <w:rsid w:val="00E44810"/>
    <w:rsid w:val="00E52C0F"/>
    <w:rsid w:val="00E53EC5"/>
    <w:rsid w:val="00E54726"/>
    <w:rsid w:val="00E70392"/>
    <w:rsid w:val="00E74A2C"/>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2E1DCE-D90B-4517-879D-5A6823431440}"/>
</file>

<file path=customXml/itemProps2.xml><?xml version="1.0" encoding="utf-8"?>
<ds:datastoreItem xmlns:ds="http://schemas.openxmlformats.org/officeDocument/2006/customXml" ds:itemID="{4BED6C7E-C597-45E0-A31F-38ED51D3E17B}"/>
</file>

<file path=customXml/itemProps3.xml><?xml version="1.0" encoding="utf-8"?>
<ds:datastoreItem xmlns:ds="http://schemas.openxmlformats.org/officeDocument/2006/customXml" ds:itemID="{526AEF2F-0D7C-4A82-A11E-63E32A5A945C}"/>
</file>

<file path=customXml/itemProps4.xml><?xml version="1.0" encoding="utf-8"?>
<ds:datastoreItem xmlns:ds="http://schemas.openxmlformats.org/officeDocument/2006/customXml" ds:itemID="{202346DD-27D8-4780-873E-054605A2AD53}"/>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2013-12-12T19:04:00Z</dcterms:created>
  <dcterms:modified xsi:type="dcterms:W3CDTF">2013-12-12T19:04:00Z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