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66D5" w:rsidRDefault="002266D5" w:rsidP="001075FC">
      <w:pPr>
        <w:rPr>
          <w:sz w:val="72"/>
          <w:szCs w:val="72"/>
        </w:rPr>
      </w:pPr>
    </w:p>
    <w:p w:rsidR="002266D5" w:rsidRDefault="002266D5" w:rsidP="001075FC">
      <w:pPr>
        <w:rPr>
          <w:sz w:val="72"/>
          <w:szCs w:val="72"/>
        </w:rPr>
      </w:pPr>
    </w:p>
    <w:sdt>
      <w:sdtPr>
        <w:rPr>
          <w:sz w:val="72"/>
          <w:szCs w:val="72"/>
        </w:rPr>
        <w:id w:val="886682731"/>
        <w:docPartObj>
          <w:docPartGallery w:val="Cover Pages"/>
          <w:docPartUnique/>
        </w:docPartObj>
      </w:sdtPr>
      <w:sdtEndPr>
        <w:rPr>
          <w:sz w:val="25"/>
          <w:szCs w:val="22"/>
        </w:rPr>
      </w:sdtEndPr>
      <w:sdtContent>
        <w:p w:rsidR="004941C8" w:rsidRDefault="00367B5F">
          <w:r w:rsidRPr="008F22A4">
            <w:rPr>
              <w:rFonts w:asciiTheme="minorHAnsi" w:hAnsiTheme="minorHAnsi"/>
              <w:noProof/>
              <w:sz w:val="72"/>
              <w:szCs w:val="72"/>
            </w:rPr>
            <mc:AlternateContent>
              <mc:Choice Requires="wps">
                <w:drawing>
                  <wp:anchor distT="0" distB="0" distL="114300" distR="114300" simplePos="0" relativeHeight="251660288" behindDoc="0" locked="0" layoutInCell="1" allowOverlap="1" wp14:anchorId="2560BAAC" wp14:editId="0AE631BA">
                    <wp:simplePos x="0" y="0"/>
                    <wp:positionH relativeFrom="page">
                      <wp:posOffset>580292</wp:posOffset>
                    </wp:positionH>
                    <wp:positionV relativeFrom="paragraph">
                      <wp:posOffset>-240323</wp:posOffset>
                    </wp:positionV>
                    <wp:extent cx="7198360" cy="6863715"/>
                    <wp:effectExtent l="0" t="0" r="2540" b="0"/>
                    <wp:wrapNone/>
                    <wp:docPr id="138" name="Text Box 138"/>
                    <wp:cNvGraphicFramePr/>
                    <a:graphic xmlns:a="http://schemas.openxmlformats.org/drawingml/2006/main">
                      <a:graphicData uri="http://schemas.microsoft.com/office/word/2010/wordprocessingShape">
                        <wps:wsp>
                          <wps:cNvSpPr txBox="1"/>
                          <wps:spPr>
                            <a:xfrm>
                              <a:off x="0" y="0"/>
                              <a:ext cx="7198360" cy="6863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jc w:val="center"/>
                                  <w:tblBorders>
                                    <w:insideV w:val="single" w:sz="12" w:space="0" w:color="548DD4" w:themeColor="text2" w:themeTint="99"/>
                                  </w:tblBorders>
                                  <w:tblCellMar>
                                    <w:top w:w="1296" w:type="dxa"/>
                                    <w:left w:w="360" w:type="dxa"/>
                                    <w:bottom w:w="1498" w:type="dxa"/>
                                    <w:right w:w="360" w:type="dxa"/>
                                  </w:tblCellMar>
                                  <w:tblLook w:val="04A0" w:firstRow="1" w:lastRow="0" w:firstColumn="1" w:lastColumn="0" w:noHBand="0" w:noVBand="1"/>
                                </w:tblPr>
                                <w:tblGrid>
                                  <w:gridCol w:w="7380"/>
                                  <w:gridCol w:w="3946"/>
                                </w:tblGrid>
                                <w:tr w:rsidR="00496501" w:rsidTr="00D1638E">
                                  <w:trPr>
                                    <w:jc w:val="center"/>
                                  </w:trPr>
                                  <w:tc>
                                    <w:tcPr>
                                      <w:tcW w:w="7380" w:type="dxa"/>
                                      <w:vAlign w:val="center"/>
                                    </w:tcPr>
                                    <w:p w:rsidR="00496501" w:rsidRDefault="00496501" w:rsidP="0012233C">
                                      <w:pPr>
                                        <w:pStyle w:val="NoSpacing"/>
                                        <w:spacing w:line="312" w:lineRule="auto"/>
                                        <w:rPr>
                                          <w:caps/>
                                          <w:color w:val="191919" w:themeColor="text1" w:themeTint="E6"/>
                                          <w:sz w:val="72"/>
                                          <w:szCs w:val="72"/>
                                        </w:rPr>
                                      </w:pPr>
                                      <w:r>
                                        <w:rPr>
                                          <w:caps/>
                                          <w:color w:val="191919" w:themeColor="text1" w:themeTint="E6"/>
                                          <w:sz w:val="72"/>
                                          <w:szCs w:val="72"/>
                                        </w:rPr>
                                        <w:t>natural gas</w:t>
                                      </w:r>
                                      <w:r w:rsidRPr="001661F6">
                                        <w:rPr>
                                          <w:caps/>
                                          <w:color w:val="191919" w:themeColor="text1" w:themeTint="E6"/>
                                          <w:sz w:val="72"/>
                                          <w:szCs w:val="72"/>
                                        </w:rPr>
                                        <w:t xml:space="preserve"> Utility Hedging </w:t>
                                      </w:r>
                                      <w:r>
                                        <w:rPr>
                                          <w:caps/>
                                          <w:color w:val="191919" w:themeColor="text1" w:themeTint="E6"/>
                                          <w:sz w:val="72"/>
                                          <w:szCs w:val="72"/>
                                        </w:rPr>
                                        <w:t xml:space="preserve">practices and </w:t>
                                      </w:r>
                                      <w:r w:rsidRPr="001661F6">
                                        <w:rPr>
                                          <w:caps/>
                                          <w:color w:val="191919" w:themeColor="text1" w:themeTint="E6"/>
                                          <w:sz w:val="72"/>
                                          <w:szCs w:val="72"/>
                                        </w:rPr>
                                        <w:t>Regulat</w:t>
                                      </w:r>
                                      <w:r>
                                        <w:rPr>
                                          <w:caps/>
                                          <w:color w:val="191919" w:themeColor="text1" w:themeTint="E6"/>
                                          <w:sz w:val="72"/>
                                          <w:szCs w:val="72"/>
                                        </w:rPr>
                                        <w:t>ory oversight</w:t>
                                      </w:r>
                                    </w:p>
                                    <w:p w:rsidR="00496501" w:rsidRDefault="00496501" w:rsidP="00EB520E">
                                      <w:pPr>
                                        <w:spacing w:after="0"/>
                                        <w:rPr>
                                          <w:rFonts w:ascii="Verdana" w:hAnsi="Verdana"/>
                                          <w:color w:val="000000"/>
                                          <w:sz w:val="24"/>
                                          <w:szCs w:val="18"/>
                                        </w:rPr>
                                      </w:pPr>
                                    </w:p>
                                    <w:p w:rsidR="00496501" w:rsidRPr="00180870" w:rsidRDefault="00496501" w:rsidP="00EB520E">
                                      <w:pPr>
                                        <w:spacing w:after="0"/>
                                        <w:rPr>
                                          <w:rFonts w:asciiTheme="minorHAnsi" w:hAnsiTheme="minorHAnsi" w:cstheme="minorHAnsi"/>
                                          <w:color w:val="000000"/>
                                          <w:sz w:val="32"/>
                                          <w:szCs w:val="32"/>
                                        </w:rPr>
                                      </w:pPr>
                                      <w:r w:rsidRPr="008F22A4">
                                        <w:rPr>
                                          <w:rFonts w:asciiTheme="minorHAnsi" w:hAnsiTheme="minorHAnsi"/>
                                          <w:color w:val="000000"/>
                                          <w:sz w:val="32"/>
                                          <w:szCs w:val="32"/>
                                        </w:rPr>
                                        <w:t>An Inquiry into</w:t>
                                      </w:r>
                                      <w:r>
                                        <w:rPr>
                                          <w:rFonts w:asciiTheme="minorHAnsi" w:hAnsiTheme="minorHAnsi"/>
                                          <w:color w:val="000000"/>
                                          <w:sz w:val="32"/>
                                          <w:szCs w:val="32"/>
                                        </w:rPr>
                                        <w:t xml:space="preserve"> </w:t>
                                      </w:r>
                                      <w:r w:rsidRPr="008F22A4">
                                        <w:rPr>
                                          <w:rFonts w:asciiTheme="minorHAnsi" w:hAnsiTheme="minorHAnsi"/>
                                          <w:color w:val="000000"/>
                                          <w:sz w:val="32"/>
                                          <w:szCs w:val="32"/>
                                        </w:rPr>
                                        <w:t>Local</w:t>
                                      </w:r>
                                      <w:r>
                                        <w:rPr>
                                          <w:rFonts w:asciiTheme="minorHAnsi" w:hAnsiTheme="minorHAnsi"/>
                                          <w:color w:val="000000"/>
                                          <w:sz w:val="32"/>
                                          <w:szCs w:val="32"/>
                                        </w:rPr>
                                        <w:t xml:space="preserve"> </w:t>
                                      </w:r>
                                      <w:r w:rsidRPr="008F22A4">
                                        <w:rPr>
                                          <w:rFonts w:asciiTheme="minorHAnsi" w:hAnsiTheme="minorHAnsi"/>
                                          <w:color w:val="000000"/>
                                          <w:sz w:val="32"/>
                                          <w:szCs w:val="32"/>
                                        </w:rPr>
                                        <w:t>Natural Gas Distribution Companies' Hedging Practices and Transaction Reporting</w:t>
                                      </w:r>
                                    </w:p>
                                    <w:p w:rsidR="00496501" w:rsidRDefault="00496501" w:rsidP="00EB520E">
                                      <w:pPr>
                                        <w:spacing w:after="0"/>
                                        <w:rPr>
                                          <w:rFonts w:asciiTheme="minorHAnsi" w:hAnsiTheme="minorHAnsi" w:cstheme="minorHAnsi"/>
                                          <w:color w:val="000000"/>
                                          <w:sz w:val="32"/>
                                          <w:szCs w:val="18"/>
                                        </w:rPr>
                                      </w:pPr>
                                    </w:p>
                                    <w:p w:rsidR="00496501" w:rsidRPr="009A293E" w:rsidRDefault="00496501" w:rsidP="00EB520E">
                                      <w:pPr>
                                        <w:spacing w:after="0"/>
                                        <w:rPr>
                                          <w:rFonts w:asciiTheme="minorHAnsi" w:hAnsiTheme="minorHAnsi" w:cstheme="minorHAnsi"/>
                                          <w:color w:val="000000"/>
                                          <w:sz w:val="32"/>
                                          <w:szCs w:val="18"/>
                                        </w:rPr>
                                      </w:pPr>
                                      <w:r>
                                        <w:rPr>
                                          <w:rFonts w:asciiTheme="minorHAnsi" w:hAnsiTheme="minorHAnsi" w:cstheme="minorHAnsi"/>
                                          <w:color w:val="000000"/>
                                          <w:sz w:val="32"/>
                                          <w:szCs w:val="18"/>
                                        </w:rPr>
                                        <w:t xml:space="preserve">July </w:t>
                                      </w:r>
                                      <w:r w:rsidRPr="009A293E">
                                        <w:rPr>
                                          <w:rFonts w:asciiTheme="minorHAnsi" w:hAnsiTheme="minorHAnsi" w:cstheme="minorHAnsi"/>
                                          <w:color w:val="000000"/>
                                          <w:sz w:val="32"/>
                                          <w:szCs w:val="18"/>
                                        </w:rPr>
                                        <w:t>2015</w:t>
                                      </w:r>
                                    </w:p>
                                    <w:p w:rsidR="00496501" w:rsidRDefault="00496501" w:rsidP="00EB520E">
                                      <w:pPr>
                                        <w:spacing w:after="0"/>
                                        <w:rPr>
                                          <w:rFonts w:ascii="Verdana" w:hAnsi="Verdana"/>
                                          <w:color w:val="000000"/>
                                          <w:sz w:val="24"/>
                                          <w:szCs w:val="18"/>
                                        </w:rPr>
                                      </w:pPr>
                                    </w:p>
                                    <w:p w:rsidR="00496501" w:rsidRDefault="00496501" w:rsidP="00EB520E">
                                      <w:pPr>
                                        <w:spacing w:after="0"/>
                                        <w:rPr>
                                          <w:rFonts w:ascii="Verdana" w:hAnsi="Verdana"/>
                                          <w:color w:val="000000"/>
                                          <w:sz w:val="24"/>
                                          <w:szCs w:val="18"/>
                                        </w:rPr>
                                      </w:pPr>
                                    </w:p>
                                    <w:p w:rsidR="00496501" w:rsidRDefault="00496501" w:rsidP="00EB520E">
                                      <w:pPr>
                                        <w:spacing w:after="0"/>
                                        <w:rPr>
                                          <w:rFonts w:ascii="Verdana" w:hAnsi="Verdana"/>
                                          <w:color w:val="000000"/>
                                          <w:sz w:val="24"/>
                                          <w:szCs w:val="18"/>
                                        </w:rPr>
                                      </w:pPr>
                                    </w:p>
                                    <w:p w:rsidR="00496501" w:rsidRDefault="00496501" w:rsidP="00EB520E">
                                      <w:pPr>
                                        <w:spacing w:after="0"/>
                                        <w:rPr>
                                          <w:rFonts w:ascii="Verdana" w:hAnsi="Verdana"/>
                                          <w:color w:val="000000"/>
                                          <w:sz w:val="24"/>
                                          <w:szCs w:val="18"/>
                                        </w:rPr>
                                      </w:pPr>
                                    </w:p>
                                    <w:p w:rsidR="00496501" w:rsidRDefault="00496501" w:rsidP="00EB520E">
                                      <w:pPr>
                                        <w:spacing w:after="0"/>
                                        <w:rPr>
                                          <w:rFonts w:ascii="Verdana" w:hAnsi="Verdana"/>
                                          <w:color w:val="000000"/>
                                          <w:sz w:val="24"/>
                                          <w:szCs w:val="18"/>
                                        </w:rPr>
                                      </w:pPr>
                                      <w:r w:rsidRPr="002906D2">
                                        <w:rPr>
                                          <w:rFonts w:ascii="Verdana" w:hAnsi="Verdana"/>
                                          <w:color w:val="000000"/>
                                          <w:sz w:val="24"/>
                                          <w:szCs w:val="18"/>
                                        </w:rPr>
                                        <w:t>Docket UG-132019</w:t>
                                      </w:r>
                                    </w:p>
                                    <w:p w:rsidR="00496501" w:rsidRDefault="00496501" w:rsidP="00EB520E">
                                      <w:pPr>
                                        <w:spacing w:after="240"/>
                                        <w:rPr>
                                          <w:sz w:val="24"/>
                                          <w:szCs w:val="24"/>
                                        </w:rPr>
                                      </w:pPr>
                                      <w:r>
                                        <w:rPr>
                                          <w:rFonts w:ascii="Verdana" w:hAnsi="Verdana"/>
                                          <w:color w:val="000000"/>
                                          <w:sz w:val="24"/>
                                          <w:szCs w:val="18"/>
                                        </w:rPr>
                                        <w:t xml:space="preserve">  </w:t>
                                      </w:r>
                                    </w:p>
                                  </w:tc>
                                  <w:tc>
                                    <w:tcPr>
                                      <w:tcW w:w="0" w:type="auto"/>
                                      <w:vAlign w:val="center"/>
                                    </w:tcPr>
                                    <w:p w:rsidR="00496501" w:rsidRDefault="00496501" w:rsidP="00EB520E">
                                      <w:pPr>
                                        <w:spacing w:after="0"/>
                                        <w:ind w:right="349"/>
                                        <w:rPr>
                                          <w:rFonts w:ascii="Verdana" w:hAnsi="Verdana"/>
                                          <w:color w:val="000000" w:themeColor="text1"/>
                                          <w:sz w:val="28"/>
                                          <w:szCs w:val="24"/>
                                        </w:rPr>
                                      </w:pPr>
                                      <w:r w:rsidRPr="0012233C">
                                        <w:rPr>
                                          <w:rFonts w:ascii="Verdana" w:hAnsi="Verdana"/>
                                          <w:color w:val="000000" w:themeColor="text1"/>
                                          <w:sz w:val="28"/>
                                          <w:szCs w:val="24"/>
                                        </w:rPr>
                                        <w:t>Prepared for</w:t>
                                      </w:r>
                                    </w:p>
                                    <w:p w:rsidR="00496501" w:rsidRDefault="00496501" w:rsidP="00EB520E">
                                      <w:pPr>
                                        <w:spacing w:after="120"/>
                                        <w:ind w:right="349"/>
                                        <w:rPr>
                                          <w:rFonts w:ascii="Verdana" w:hAnsi="Verdana"/>
                                          <w:color w:val="000000" w:themeColor="text1"/>
                                          <w:sz w:val="28"/>
                                          <w:szCs w:val="24"/>
                                        </w:rPr>
                                      </w:pPr>
                                      <w:r w:rsidRPr="0012233C">
                                        <w:rPr>
                                          <w:rFonts w:ascii="Verdana" w:hAnsi="Verdana"/>
                                          <w:color w:val="000000" w:themeColor="text1"/>
                                          <w:sz w:val="28"/>
                                          <w:szCs w:val="24"/>
                                        </w:rPr>
                                        <w:t>The Washington Utilities and Transportation</w:t>
                                      </w:r>
                                      <w:r>
                                        <w:rPr>
                                          <w:rFonts w:ascii="Verdana" w:hAnsi="Verdana"/>
                                          <w:color w:val="000000" w:themeColor="text1"/>
                                          <w:sz w:val="28"/>
                                          <w:szCs w:val="24"/>
                                        </w:rPr>
                                        <w:t xml:space="preserve"> Commission</w:t>
                                      </w:r>
                                    </w:p>
                                    <w:p w:rsidR="00496501" w:rsidRPr="00845B9D" w:rsidRDefault="00496501">
                                      <w:pPr>
                                        <w:pStyle w:val="NoSpacing"/>
                                        <w:rPr>
                                          <w:color w:val="548DD4" w:themeColor="text2" w:themeTint="99"/>
                                          <w:sz w:val="28"/>
                                          <w:szCs w:val="26"/>
                                        </w:rPr>
                                      </w:pPr>
                                      <w:r w:rsidRPr="00845B9D">
                                        <w:rPr>
                                          <w:color w:val="548DD4" w:themeColor="text2" w:themeTint="99"/>
                                          <w:sz w:val="28"/>
                                          <w:szCs w:val="26"/>
                                        </w:rPr>
                                        <w:t>By</w:t>
                                      </w:r>
                                      <w:r w:rsidRPr="00845B9D">
                                        <w:rPr>
                                          <w:color w:val="548DD4" w:themeColor="text2" w:themeTint="99"/>
                                          <w:sz w:val="28"/>
                                          <w:szCs w:val="26"/>
                                        </w:rPr>
                                        <w:br/>
                                        <w:t>Michael Gettings</w:t>
                                      </w:r>
                                    </w:p>
                                    <w:p w:rsidR="00496501" w:rsidRPr="00845B9D" w:rsidRDefault="00496501" w:rsidP="003B46A8">
                                      <w:pPr>
                                        <w:pStyle w:val="NoSpacing"/>
                                        <w:rPr>
                                          <w:color w:val="548DD4" w:themeColor="text2" w:themeTint="99"/>
                                          <w:sz w:val="28"/>
                                          <w:szCs w:val="26"/>
                                        </w:rPr>
                                      </w:pPr>
                                      <w:r w:rsidRPr="00845B9D">
                                        <w:rPr>
                                          <w:color w:val="548DD4" w:themeColor="text2" w:themeTint="99"/>
                                          <w:sz w:val="28"/>
                                          <w:szCs w:val="26"/>
                                        </w:rPr>
                                        <w:t>Senior Partner</w:t>
                                      </w:r>
                                    </w:p>
                                    <w:p w:rsidR="00496501" w:rsidRPr="00845B9D" w:rsidRDefault="00496501" w:rsidP="003B46A8">
                                      <w:pPr>
                                        <w:pStyle w:val="NoSpacing"/>
                                        <w:rPr>
                                          <w:color w:val="548DD4" w:themeColor="text2" w:themeTint="99"/>
                                          <w:sz w:val="28"/>
                                          <w:szCs w:val="26"/>
                                        </w:rPr>
                                      </w:pPr>
                                      <w:r w:rsidRPr="00845B9D">
                                        <w:rPr>
                                          <w:color w:val="548DD4" w:themeColor="text2" w:themeTint="99"/>
                                          <w:sz w:val="28"/>
                                          <w:szCs w:val="26"/>
                                        </w:rPr>
                                        <w:t>RiskCentrix, LLC</w:t>
                                      </w:r>
                                    </w:p>
                                    <w:p w:rsidR="00496501" w:rsidRDefault="00496501" w:rsidP="001661F6">
                                      <w:pPr>
                                        <w:pStyle w:val="NoSpacing"/>
                                        <w:rPr>
                                          <w:sz w:val="28"/>
                                        </w:rPr>
                                      </w:pPr>
                                    </w:p>
                                    <w:p w:rsidR="00496501" w:rsidRDefault="00496501" w:rsidP="001661F6">
                                      <w:pPr>
                                        <w:pStyle w:val="NoSpacing"/>
                                        <w:rPr>
                                          <w:sz w:val="28"/>
                                        </w:rPr>
                                      </w:pPr>
                                    </w:p>
                                    <w:p w:rsidR="00496501" w:rsidRDefault="00496501" w:rsidP="001661F6">
                                      <w:pPr>
                                        <w:pStyle w:val="NoSpacing"/>
                                        <w:rPr>
                                          <w:sz w:val="28"/>
                                        </w:rPr>
                                      </w:pPr>
                                    </w:p>
                                    <w:p w:rsidR="00496501" w:rsidRDefault="00496501" w:rsidP="001661F6">
                                      <w:pPr>
                                        <w:pStyle w:val="NoSpacing"/>
                                        <w:rPr>
                                          <w:sz w:val="28"/>
                                        </w:rPr>
                                      </w:pPr>
                                    </w:p>
                                    <w:p w:rsidR="00496501" w:rsidRDefault="00496501" w:rsidP="001661F6">
                                      <w:pPr>
                                        <w:pStyle w:val="NoSpacing"/>
                                        <w:rPr>
                                          <w:sz w:val="28"/>
                                        </w:rPr>
                                      </w:pPr>
                                    </w:p>
                                    <w:p w:rsidR="00496501" w:rsidRDefault="00496501" w:rsidP="001661F6">
                                      <w:pPr>
                                        <w:pStyle w:val="NoSpacing"/>
                                        <w:rPr>
                                          <w:sz w:val="28"/>
                                        </w:rPr>
                                      </w:pPr>
                                    </w:p>
                                    <w:p w:rsidR="00496501" w:rsidRDefault="00496501" w:rsidP="001661F6">
                                      <w:pPr>
                                        <w:pStyle w:val="NoSpacing"/>
                                        <w:rPr>
                                          <w:sz w:val="28"/>
                                        </w:rPr>
                                      </w:pPr>
                                    </w:p>
                                    <w:p w:rsidR="00496501" w:rsidRDefault="00496501" w:rsidP="001661F6">
                                      <w:pPr>
                                        <w:pStyle w:val="NoSpacing"/>
                                        <w:rPr>
                                          <w:sz w:val="28"/>
                                        </w:rPr>
                                      </w:pPr>
                                    </w:p>
                                    <w:p w:rsidR="00496501" w:rsidRPr="0012233C" w:rsidRDefault="00496501" w:rsidP="003B46A8">
                                      <w:pPr>
                                        <w:pStyle w:val="NoSpacing"/>
                                        <w:rPr>
                                          <w:sz w:val="28"/>
                                        </w:rPr>
                                      </w:pPr>
                                    </w:p>
                                  </w:tc>
                                </w:tr>
                                <w:tr w:rsidR="00496501" w:rsidTr="00D1638E">
                                  <w:trPr>
                                    <w:jc w:val="center"/>
                                  </w:trPr>
                                  <w:tc>
                                    <w:tcPr>
                                      <w:tcW w:w="7380" w:type="dxa"/>
                                      <w:vAlign w:val="center"/>
                                    </w:tcPr>
                                    <w:p w:rsidR="00496501" w:rsidRDefault="00496501">
                                      <w:pPr>
                                        <w:jc w:val="right"/>
                                      </w:pPr>
                                    </w:p>
                                  </w:tc>
                                  <w:tc>
                                    <w:tcPr>
                                      <w:tcW w:w="0" w:type="auto"/>
                                      <w:vAlign w:val="center"/>
                                    </w:tcPr>
                                    <w:p w:rsidR="00496501" w:rsidRPr="00C95D22" w:rsidRDefault="00496501">
                                      <w:pPr>
                                        <w:rPr>
                                          <w:rFonts w:ascii="Verdana" w:hAnsi="Verdana"/>
                                          <w:color w:val="000000" w:themeColor="text1"/>
                                          <w:sz w:val="24"/>
                                          <w:szCs w:val="24"/>
                                        </w:rPr>
                                      </w:pPr>
                                    </w:p>
                                  </w:tc>
                                </w:tr>
                              </w:tbl>
                              <w:p w:rsidR="00496501" w:rsidRDefault="00496501"/>
                              <w:p w:rsidR="00496501" w:rsidRDefault="00496501"/>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560BAAC" id="_x0000_t202" coordsize="21600,21600" o:spt="202" path="m,l,21600r21600,l21600,xe">
                    <v:stroke joinstyle="miter"/>
                    <v:path gradientshapeok="t" o:connecttype="rect"/>
                  </v:shapetype>
                  <v:shape id="Text Box 138" o:spid="_x0000_s1026" type="#_x0000_t202" style="position:absolute;margin-left:45.7pt;margin-top:-18.9pt;width:566.8pt;height:540.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" fillcolor="#a0f894 [3201]" stroked="f" strokeweight=".5pt">
                    <v:textbox inset="0,0,0,0">
                      <w:txbxContent>
                        <w:tbl>
                          <w:tblPr>
                            <w:tblW w:w="0" w:type="auto"/>
                            <w:jc w:val="center"/>
                            <w:tblBorders>
                              <w:insideV w:val="single" w:sz="12" w:space="0" w:color="548DD4" w:themeColor="text2" w:themeTint="99"/>
                            </w:tblBorders>
                            <w:tblCellMar>
                              <w:top w:w="1296" w:type="dxa"/>
                              <w:left w:w="360" w:type="dxa"/>
                              <w:bottom w:w="1498" w:type="dxa"/>
                              <w:right w:w="360" w:type="dxa"/>
                            </w:tblCellMar>
                            <w:tblLook w:val="04A0" w:firstRow="1" w:lastRow="0" w:firstColumn="1" w:lastColumn="0" w:noHBand="0" w:noVBand="1"/>
                          </w:tblPr>
                          <w:tblGrid>
                            <w:gridCol w:w="7380"/>
                            <w:gridCol w:w="3946"/>
                          </w:tblGrid>
                          <w:tr w:rsidR="00496501" w:rsidTr="00D1638E">
                            <w:trPr>
                              <w:jc w:val="center"/>
                            </w:trPr>
                            <w:tc>
                              <w:tcPr>
                                <w:tcW w:w="7380" w:type="dxa"/>
                                <w:vAlign w:val="center"/>
                              </w:tcPr>
                              <w:p w:rsidR="00496501" w:rsidRDefault="00496501" w:rsidP="0012233C">
                                <w:pPr>
                                  <w:pStyle w:val="NoSpacing"/>
                                  <w:spacing w:line="312" w:lineRule="auto"/>
                                  <w:rPr>
                                    <w:caps/>
                                    <w:color w:val="191919" w:themeColor="text1" w:themeTint="E6"/>
                                    <w:sz w:val="72"/>
                                    <w:szCs w:val="72"/>
                                  </w:rPr>
                                </w:pPr>
                                <w:r>
                                  <w:rPr>
                                    <w:caps/>
                                    <w:color w:val="191919" w:themeColor="text1" w:themeTint="E6"/>
                                    <w:sz w:val="72"/>
                                    <w:szCs w:val="72"/>
                                  </w:rPr>
                                  <w:t>natural gas</w:t>
                                </w:r>
                                <w:r w:rsidRPr="001661F6">
                                  <w:rPr>
                                    <w:caps/>
                                    <w:color w:val="191919" w:themeColor="text1" w:themeTint="E6"/>
                                    <w:sz w:val="72"/>
                                    <w:szCs w:val="72"/>
                                  </w:rPr>
                                  <w:t xml:space="preserve"> Utility Hedging </w:t>
                                </w:r>
                                <w:r>
                                  <w:rPr>
                                    <w:caps/>
                                    <w:color w:val="191919" w:themeColor="text1" w:themeTint="E6"/>
                                    <w:sz w:val="72"/>
                                    <w:szCs w:val="72"/>
                                  </w:rPr>
                                  <w:t xml:space="preserve">practices and </w:t>
                                </w:r>
                                <w:r w:rsidRPr="001661F6">
                                  <w:rPr>
                                    <w:caps/>
                                    <w:color w:val="191919" w:themeColor="text1" w:themeTint="E6"/>
                                    <w:sz w:val="72"/>
                                    <w:szCs w:val="72"/>
                                  </w:rPr>
                                  <w:t>Regulat</w:t>
                                </w:r>
                                <w:r>
                                  <w:rPr>
                                    <w:caps/>
                                    <w:color w:val="191919" w:themeColor="text1" w:themeTint="E6"/>
                                    <w:sz w:val="72"/>
                                    <w:szCs w:val="72"/>
                                  </w:rPr>
                                  <w:t>ory oversight</w:t>
                                </w:r>
                              </w:p>
                              <w:p w:rsidR="00496501" w:rsidRDefault="00496501" w:rsidP="00EB520E">
                                <w:pPr>
                                  <w:spacing w:after="0"/>
                                  <w:rPr>
                                    <w:rFonts w:ascii="Verdana" w:hAnsi="Verdana"/>
                                    <w:color w:val="000000"/>
                                    <w:sz w:val="24"/>
                                    <w:szCs w:val="18"/>
                                  </w:rPr>
                                </w:pPr>
                              </w:p>
                              <w:p w:rsidR="00496501" w:rsidRPr="00180870" w:rsidRDefault="00496501" w:rsidP="00EB520E">
                                <w:pPr>
                                  <w:spacing w:after="0"/>
                                  <w:rPr>
                                    <w:rFonts w:asciiTheme="minorHAnsi" w:hAnsiTheme="minorHAnsi" w:cstheme="minorHAnsi"/>
                                    <w:color w:val="000000"/>
                                    <w:sz w:val="32"/>
                                    <w:szCs w:val="32"/>
                                  </w:rPr>
                                </w:pPr>
                                <w:r w:rsidRPr="008F22A4">
                                  <w:rPr>
                                    <w:rFonts w:asciiTheme="minorHAnsi" w:hAnsiTheme="minorHAnsi"/>
                                    <w:color w:val="000000"/>
                                    <w:sz w:val="32"/>
                                    <w:szCs w:val="32"/>
                                  </w:rPr>
                                  <w:t>An Inquiry into</w:t>
                                </w:r>
                                <w:r>
                                  <w:rPr>
                                    <w:rFonts w:asciiTheme="minorHAnsi" w:hAnsiTheme="minorHAnsi"/>
                                    <w:color w:val="000000"/>
                                    <w:sz w:val="32"/>
                                    <w:szCs w:val="32"/>
                                  </w:rPr>
                                  <w:t xml:space="preserve"> </w:t>
                                </w:r>
                                <w:r w:rsidRPr="008F22A4">
                                  <w:rPr>
                                    <w:rFonts w:asciiTheme="minorHAnsi" w:hAnsiTheme="minorHAnsi"/>
                                    <w:color w:val="000000"/>
                                    <w:sz w:val="32"/>
                                    <w:szCs w:val="32"/>
                                  </w:rPr>
                                  <w:t>Local</w:t>
                                </w:r>
                                <w:r>
                                  <w:rPr>
                                    <w:rFonts w:asciiTheme="minorHAnsi" w:hAnsiTheme="minorHAnsi"/>
                                    <w:color w:val="000000"/>
                                    <w:sz w:val="32"/>
                                    <w:szCs w:val="32"/>
                                  </w:rPr>
                                  <w:t xml:space="preserve"> </w:t>
                                </w:r>
                                <w:r w:rsidRPr="008F22A4">
                                  <w:rPr>
                                    <w:rFonts w:asciiTheme="minorHAnsi" w:hAnsiTheme="minorHAnsi"/>
                                    <w:color w:val="000000"/>
                                    <w:sz w:val="32"/>
                                    <w:szCs w:val="32"/>
                                  </w:rPr>
                                  <w:t>Natural Gas Distribution Companies' Hedging Practices and Transaction Reporting</w:t>
                                </w:r>
                              </w:p>
                              <w:p w:rsidR="00496501" w:rsidRDefault="00496501" w:rsidP="00EB520E">
                                <w:pPr>
                                  <w:spacing w:after="0"/>
                                  <w:rPr>
                                    <w:rFonts w:asciiTheme="minorHAnsi" w:hAnsiTheme="minorHAnsi" w:cstheme="minorHAnsi"/>
                                    <w:color w:val="000000"/>
                                    <w:sz w:val="32"/>
                                    <w:szCs w:val="18"/>
                                  </w:rPr>
                                </w:pPr>
                              </w:p>
                              <w:p w:rsidR="00496501" w:rsidRPr="009A293E" w:rsidRDefault="00496501" w:rsidP="00EB520E">
                                <w:pPr>
                                  <w:spacing w:after="0"/>
                                  <w:rPr>
                                    <w:rFonts w:asciiTheme="minorHAnsi" w:hAnsiTheme="minorHAnsi" w:cstheme="minorHAnsi"/>
                                    <w:color w:val="000000"/>
                                    <w:sz w:val="32"/>
                                    <w:szCs w:val="18"/>
                                  </w:rPr>
                                </w:pPr>
                                <w:r>
                                  <w:rPr>
                                    <w:rFonts w:asciiTheme="minorHAnsi" w:hAnsiTheme="minorHAnsi" w:cstheme="minorHAnsi"/>
                                    <w:color w:val="000000"/>
                                    <w:sz w:val="32"/>
                                    <w:szCs w:val="18"/>
                                  </w:rPr>
                                  <w:t xml:space="preserve">July </w:t>
                                </w:r>
                                <w:r w:rsidRPr="009A293E">
                                  <w:rPr>
                                    <w:rFonts w:asciiTheme="minorHAnsi" w:hAnsiTheme="minorHAnsi" w:cstheme="minorHAnsi"/>
                                    <w:color w:val="000000"/>
                                    <w:sz w:val="32"/>
                                    <w:szCs w:val="18"/>
                                  </w:rPr>
                                  <w:t>2015</w:t>
                                </w:r>
                              </w:p>
                              <w:p w:rsidR="00496501" w:rsidRDefault="00496501" w:rsidP="00EB520E">
                                <w:pPr>
                                  <w:spacing w:after="0"/>
                                  <w:rPr>
                                    <w:rFonts w:ascii="Verdana" w:hAnsi="Verdana"/>
                                    <w:color w:val="000000"/>
                                    <w:sz w:val="24"/>
                                    <w:szCs w:val="18"/>
                                  </w:rPr>
                                </w:pPr>
                              </w:p>
                              <w:p w:rsidR="00496501" w:rsidRDefault="00496501" w:rsidP="00EB520E">
                                <w:pPr>
                                  <w:spacing w:after="0"/>
                                  <w:rPr>
                                    <w:rFonts w:ascii="Verdana" w:hAnsi="Verdana"/>
                                    <w:color w:val="000000"/>
                                    <w:sz w:val="24"/>
                                    <w:szCs w:val="18"/>
                                  </w:rPr>
                                </w:pPr>
                              </w:p>
                              <w:p w:rsidR="00496501" w:rsidRDefault="00496501" w:rsidP="00EB520E">
                                <w:pPr>
                                  <w:spacing w:after="0"/>
                                  <w:rPr>
                                    <w:rFonts w:ascii="Verdana" w:hAnsi="Verdana"/>
                                    <w:color w:val="000000"/>
                                    <w:sz w:val="24"/>
                                    <w:szCs w:val="18"/>
                                  </w:rPr>
                                </w:pPr>
                              </w:p>
                              <w:p w:rsidR="00496501" w:rsidRDefault="00496501" w:rsidP="00EB520E">
                                <w:pPr>
                                  <w:spacing w:after="0"/>
                                  <w:rPr>
                                    <w:rFonts w:ascii="Verdana" w:hAnsi="Verdana"/>
                                    <w:color w:val="000000"/>
                                    <w:sz w:val="24"/>
                                    <w:szCs w:val="18"/>
                                  </w:rPr>
                                </w:pPr>
                              </w:p>
                              <w:p w:rsidR="00496501" w:rsidRDefault="00496501" w:rsidP="00EB520E">
                                <w:pPr>
                                  <w:spacing w:after="0"/>
                                  <w:rPr>
                                    <w:rFonts w:ascii="Verdana" w:hAnsi="Verdana"/>
                                    <w:color w:val="000000"/>
                                    <w:sz w:val="24"/>
                                    <w:szCs w:val="18"/>
                                  </w:rPr>
                                </w:pPr>
                                <w:r w:rsidRPr="002906D2">
                                  <w:rPr>
                                    <w:rFonts w:ascii="Verdana" w:hAnsi="Verdana"/>
                                    <w:color w:val="000000"/>
                                    <w:sz w:val="24"/>
                                    <w:szCs w:val="18"/>
                                  </w:rPr>
                                  <w:t>Docket UG-132019</w:t>
                                </w:r>
                              </w:p>
                              <w:p w:rsidR="00496501" w:rsidRDefault="00496501" w:rsidP="00EB520E">
                                <w:pPr>
                                  <w:spacing w:after="240"/>
                                  <w:rPr>
                                    <w:sz w:val="24"/>
                                    <w:szCs w:val="24"/>
                                  </w:rPr>
                                </w:pPr>
                                <w:r>
                                  <w:rPr>
                                    <w:rFonts w:ascii="Verdana" w:hAnsi="Verdana"/>
                                    <w:color w:val="000000"/>
                                    <w:sz w:val="24"/>
                                    <w:szCs w:val="18"/>
                                  </w:rPr>
                                  <w:t xml:space="preserve">  </w:t>
                                </w:r>
                              </w:p>
                            </w:tc>
                            <w:tc>
                              <w:tcPr>
                                <w:tcW w:w="0" w:type="auto"/>
                                <w:vAlign w:val="center"/>
                              </w:tcPr>
                              <w:p w:rsidR="00496501" w:rsidRDefault="00496501" w:rsidP="00EB520E">
                                <w:pPr>
                                  <w:spacing w:after="0"/>
                                  <w:ind w:right="349"/>
                                  <w:rPr>
                                    <w:rFonts w:ascii="Verdana" w:hAnsi="Verdana"/>
                                    <w:color w:val="000000" w:themeColor="text1"/>
                                    <w:sz w:val="28"/>
                                    <w:szCs w:val="24"/>
                                  </w:rPr>
                                </w:pPr>
                                <w:r w:rsidRPr="0012233C">
                                  <w:rPr>
                                    <w:rFonts w:ascii="Verdana" w:hAnsi="Verdana"/>
                                    <w:color w:val="000000" w:themeColor="text1"/>
                                    <w:sz w:val="28"/>
                                    <w:szCs w:val="24"/>
                                  </w:rPr>
                                  <w:t>Prepared for</w:t>
                                </w:r>
                              </w:p>
                              <w:p w:rsidR="00496501" w:rsidRDefault="00496501" w:rsidP="00EB520E">
                                <w:pPr>
                                  <w:spacing w:after="120"/>
                                  <w:ind w:right="349"/>
                                  <w:rPr>
                                    <w:rFonts w:ascii="Verdana" w:hAnsi="Verdana"/>
                                    <w:color w:val="000000" w:themeColor="text1"/>
                                    <w:sz w:val="28"/>
                                    <w:szCs w:val="24"/>
                                  </w:rPr>
                                </w:pPr>
                                <w:r w:rsidRPr="0012233C">
                                  <w:rPr>
                                    <w:rFonts w:ascii="Verdana" w:hAnsi="Verdana"/>
                                    <w:color w:val="000000" w:themeColor="text1"/>
                                    <w:sz w:val="28"/>
                                    <w:szCs w:val="24"/>
                                  </w:rPr>
                                  <w:t>The Washington Utilities and Transportation</w:t>
                                </w:r>
                                <w:r>
                                  <w:rPr>
                                    <w:rFonts w:ascii="Verdana" w:hAnsi="Verdana"/>
                                    <w:color w:val="000000" w:themeColor="text1"/>
                                    <w:sz w:val="28"/>
                                    <w:szCs w:val="24"/>
                                  </w:rPr>
                                  <w:t xml:space="preserve"> Commission</w:t>
                                </w:r>
                              </w:p>
                              <w:p w:rsidR="00496501" w:rsidRPr="00845B9D" w:rsidRDefault="00496501">
                                <w:pPr>
                                  <w:pStyle w:val="NoSpacing"/>
                                  <w:rPr>
                                    <w:color w:val="548DD4" w:themeColor="text2" w:themeTint="99"/>
                                    <w:sz w:val="28"/>
                                    <w:szCs w:val="26"/>
                                  </w:rPr>
                                </w:pPr>
                                <w:r w:rsidRPr="00845B9D">
                                  <w:rPr>
                                    <w:color w:val="548DD4" w:themeColor="text2" w:themeTint="99"/>
                                    <w:sz w:val="28"/>
                                    <w:szCs w:val="26"/>
                                  </w:rPr>
                                  <w:t>By</w:t>
                                </w:r>
                                <w:r w:rsidRPr="00845B9D">
                                  <w:rPr>
                                    <w:color w:val="548DD4" w:themeColor="text2" w:themeTint="99"/>
                                    <w:sz w:val="28"/>
                                    <w:szCs w:val="26"/>
                                  </w:rPr>
                                  <w:br/>
                                  <w:t>Michael Gettings</w:t>
                                </w:r>
                              </w:p>
                              <w:p w:rsidR="00496501" w:rsidRPr="00845B9D" w:rsidRDefault="00496501" w:rsidP="003B46A8">
                                <w:pPr>
                                  <w:pStyle w:val="NoSpacing"/>
                                  <w:rPr>
                                    <w:color w:val="548DD4" w:themeColor="text2" w:themeTint="99"/>
                                    <w:sz w:val="28"/>
                                    <w:szCs w:val="26"/>
                                  </w:rPr>
                                </w:pPr>
                                <w:r w:rsidRPr="00845B9D">
                                  <w:rPr>
                                    <w:color w:val="548DD4" w:themeColor="text2" w:themeTint="99"/>
                                    <w:sz w:val="28"/>
                                    <w:szCs w:val="26"/>
                                  </w:rPr>
                                  <w:t>Senior Partner</w:t>
                                </w:r>
                              </w:p>
                              <w:p w:rsidR="00496501" w:rsidRPr="00845B9D" w:rsidRDefault="00496501" w:rsidP="003B46A8">
                                <w:pPr>
                                  <w:pStyle w:val="NoSpacing"/>
                                  <w:rPr>
                                    <w:color w:val="548DD4" w:themeColor="text2" w:themeTint="99"/>
                                    <w:sz w:val="28"/>
                                    <w:szCs w:val="26"/>
                                  </w:rPr>
                                </w:pPr>
                                <w:r w:rsidRPr="00845B9D">
                                  <w:rPr>
                                    <w:color w:val="548DD4" w:themeColor="text2" w:themeTint="99"/>
                                    <w:sz w:val="28"/>
                                    <w:szCs w:val="26"/>
                                  </w:rPr>
                                  <w:t>RiskCentrix, LLC</w:t>
                                </w:r>
                              </w:p>
                              <w:p w:rsidR="00496501" w:rsidRDefault="00496501" w:rsidP="001661F6">
                                <w:pPr>
                                  <w:pStyle w:val="NoSpacing"/>
                                  <w:rPr>
                                    <w:sz w:val="28"/>
                                  </w:rPr>
                                </w:pPr>
                              </w:p>
                              <w:p w:rsidR="00496501" w:rsidRDefault="00496501" w:rsidP="001661F6">
                                <w:pPr>
                                  <w:pStyle w:val="NoSpacing"/>
                                  <w:rPr>
                                    <w:sz w:val="28"/>
                                  </w:rPr>
                                </w:pPr>
                              </w:p>
                              <w:p w:rsidR="00496501" w:rsidRDefault="00496501" w:rsidP="001661F6">
                                <w:pPr>
                                  <w:pStyle w:val="NoSpacing"/>
                                  <w:rPr>
                                    <w:sz w:val="28"/>
                                  </w:rPr>
                                </w:pPr>
                              </w:p>
                              <w:p w:rsidR="00496501" w:rsidRDefault="00496501" w:rsidP="001661F6">
                                <w:pPr>
                                  <w:pStyle w:val="NoSpacing"/>
                                  <w:rPr>
                                    <w:sz w:val="28"/>
                                  </w:rPr>
                                </w:pPr>
                              </w:p>
                              <w:p w:rsidR="00496501" w:rsidRDefault="00496501" w:rsidP="001661F6">
                                <w:pPr>
                                  <w:pStyle w:val="NoSpacing"/>
                                  <w:rPr>
                                    <w:sz w:val="28"/>
                                  </w:rPr>
                                </w:pPr>
                              </w:p>
                              <w:p w:rsidR="00496501" w:rsidRDefault="00496501" w:rsidP="001661F6">
                                <w:pPr>
                                  <w:pStyle w:val="NoSpacing"/>
                                  <w:rPr>
                                    <w:sz w:val="28"/>
                                  </w:rPr>
                                </w:pPr>
                              </w:p>
                              <w:p w:rsidR="00496501" w:rsidRDefault="00496501" w:rsidP="001661F6">
                                <w:pPr>
                                  <w:pStyle w:val="NoSpacing"/>
                                  <w:rPr>
                                    <w:sz w:val="28"/>
                                  </w:rPr>
                                </w:pPr>
                              </w:p>
                              <w:p w:rsidR="00496501" w:rsidRDefault="00496501" w:rsidP="001661F6">
                                <w:pPr>
                                  <w:pStyle w:val="NoSpacing"/>
                                  <w:rPr>
                                    <w:sz w:val="28"/>
                                  </w:rPr>
                                </w:pPr>
                              </w:p>
                              <w:p w:rsidR="00496501" w:rsidRPr="0012233C" w:rsidRDefault="00496501" w:rsidP="003B46A8">
                                <w:pPr>
                                  <w:pStyle w:val="NoSpacing"/>
                                  <w:rPr>
                                    <w:sz w:val="28"/>
                                  </w:rPr>
                                </w:pPr>
                              </w:p>
                            </w:tc>
                          </w:tr>
                          <w:tr w:rsidR="00496501" w:rsidTr="00D1638E">
                            <w:trPr>
                              <w:jc w:val="center"/>
                            </w:trPr>
                            <w:tc>
                              <w:tcPr>
                                <w:tcW w:w="7380" w:type="dxa"/>
                                <w:vAlign w:val="center"/>
                              </w:tcPr>
                              <w:p w:rsidR="00496501" w:rsidRDefault="00496501">
                                <w:pPr>
                                  <w:jc w:val="right"/>
                                </w:pPr>
                              </w:p>
                            </w:tc>
                            <w:tc>
                              <w:tcPr>
                                <w:tcW w:w="0" w:type="auto"/>
                                <w:vAlign w:val="center"/>
                              </w:tcPr>
                              <w:p w:rsidR="00496501" w:rsidRPr="00C95D22" w:rsidRDefault="00496501">
                                <w:pPr>
                                  <w:rPr>
                                    <w:rFonts w:ascii="Verdana" w:hAnsi="Verdana"/>
                                    <w:color w:val="000000" w:themeColor="text1"/>
                                    <w:sz w:val="24"/>
                                    <w:szCs w:val="24"/>
                                  </w:rPr>
                                </w:pPr>
                              </w:p>
                            </w:tc>
                          </w:tr>
                        </w:tbl>
                        <w:p w:rsidR="00496501" w:rsidRDefault="00496501"/>
                        <w:p w:rsidR="00496501" w:rsidRDefault="00496501"/>
                      </w:txbxContent>
                    </v:textbox>
                    <w10:wrap anchorx="page"/>
                  </v:shape>
                </w:pict>
              </mc:Fallback>
            </mc:AlternateContent>
          </w:r>
          <w:r>
            <w:br w:type="page"/>
          </w:r>
        </w:p>
        <w:p w:rsidR="004941C8" w:rsidRDefault="004941C8">
          <w:pPr>
            <w:rPr>
              <w:rFonts w:eastAsiaTheme="majorEastAsia" w:cstheme="majorBidi"/>
              <w:color w:val="008080"/>
              <w:sz w:val="28"/>
              <w:szCs w:val="32"/>
            </w:rPr>
            <w:sectPr w:rsidR="004941C8" w:rsidSect="00D1638E">
              <w:headerReference w:type="default" r:id="rId9"/>
              <w:footerReference w:type="default" r:id="rId10"/>
              <w:pgSz w:w="12240" w:h="15840"/>
              <w:pgMar w:top="1440" w:right="1440" w:bottom="1440" w:left="1440" w:header="720" w:footer="720" w:gutter="0"/>
              <w:pgNumType w:start="0"/>
              <w:cols w:space="720"/>
              <w:titlePg/>
              <w:docGrid w:linePitch="360"/>
            </w:sectPr>
          </w:pPr>
        </w:p>
        <w:p w:rsidR="004941C8" w:rsidRDefault="004941C8">
          <w:pPr>
            <w:rPr>
              <w:rFonts w:eastAsiaTheme="majorEastAsia" w:cstheme="majorBidi"/>
              <w:color w:val="008080"/>
              <w:sz w:val="28"/>
              <w:szCs w:val="32"/>
            </w:rPr>
          </w:pPr>
        </w:p>
        <w:p w:rsidR="004941C8" w:rsidRDefault="004941C8">
          <w:pPr>
            <w:rPr>
              <w:rFonts w:eastAsiaTheme="majorEastAsia" w:cstheme="majorBidi"/>
              <w:color w:val="008080"/>
              <w:sz w:val="28"/>
              <w:szCs w:val="32"/>
            </w:rPr>
          </w:pPr>
        </w:p>
        <w:p w:rsidR="004941C8" w:rsidRDefault="004941C8">
          <w:pPr>
            <w:rPr>
              <w:rFonts w:eastAsiaTheme="majorEastAsia" w:cstheme="majorBidi"/>
              <w:color w:val="008080"/>
              <w:sz w:val="28"/>
              <w:szCs w:val="32"/>
            </w:rPr>
          </w:pPr>
        </w:p>
        <w:p w:rsidR="00367B5F" w:rsidRDefault="00496501">
          <w:pPr>
            <w:rPr>
              <w:rFonts w:eastAsiaTheme="majorEastAsia" w:cstheme="majorBidi"/>
              <w:color w:val="008080"/>
              <w:sz w:val="28"/>
              <w:szCs w:val="32"/>
            </w:rPr>
          </w:pPr>
        </w:p>
      </w:sdtContent>
    </w:sdt>
    <w:p w:rsidR="003C392E" w:rsidRPr="000269F1" w:rsidRDefault="003C392E" w:rsidP="003C392E">
      <w:pPr>
        <w:spacing w:after="120"/>
      </w:pPr>
    </w:p>
    <w:p w:rsidR="00D4073B" w:rsidRPr="000269F1" w:rsidRDefault="00D4073B" w:rsidP="003C392E">
      <w:pPr>
        <w:spacing w:after="120"/>
      </w:pPr>
    </w:p>
    <w:p w:rsidR="00D4073B" w:rsidRPr="000269F1" w:rsidRDefault="00D4073B" w:rsidP="003C392E">
      <w:pPr>
        <w:spacing w:after="120"/>
      </w:pPr>
    </w:p>
    <w:p w:rsidR="00BF3D8D" w:rsidRDefault="00BF3D8D" w:rsidP="00332F77">
      <w:pPr>
        <w:spacing w:after="120"/>
        <w:rPr>
          <w:b/>
        </w:rPr>
      </w:pPr>
    </w:p>
    <w:p w:rsidR="00BF3D8D" w:rsidRDefault="00BF3D8D" w:rsidP="00332F77">
      <w:pPr>
        <w:spacing w:after="120"/>
        <w:rPr>
          <w:b/>
        </w:rPr>
      </w:pPr>
    </w:p>
    <w:p w:rsidR="00BF3D8D" w:rsidRDefault="00BF3D8D" w:rsidP="00332F77">
      <w:pPr>
        <w:spacing w:after="120"/>
        <w:rPr>
          <w:b/>
        </w:rPr>
      </w:pPr>
    </w:p>
    <w:p w:rsidR="00BF3D8D" w:rsidRDefault="00BF3D8D" w:rsidP="00332F77">
      <w:pPr>
        <w:spacing w:after="120"/>
        <w:rPr>
          <w:b/>
        </w:rPr>
      </w:pPr>
    </w:p>
    <w:p w:rsidR="00BF3D8D" w:rsidRDefault="00BF3D8D" w:rsidP="00332F77">
      <w:pPr>
        <w:spacing w:after="120"/>
        <w:rPr>
          <w:b/>
        </w:rPr>
      </w:pPr>
    </w:p>
    <w:p w:rsidR="00BF3D8D" w:rsidRDefault="00BF3D8D" w:rsidP="00332F77">
      <w:pPr>
        <w:spacing w:after="120"/>
        <w:rPr>
          <w:b/>
        </w:rPr>
      </w:pPr>
    </w:p>
    <w:p w:rsidR="00BF3D8D" w:rsidRDefault="00BF3D8D" w:rsidP="00332F77">
      <w:pPr>
        <w:spacing w:after="120"/>
        <w:rPr>
          <w:b/>
        </w:rPr>
      </w:pPr>
    </w:p>
    <w:p w:rsidR="00BF3D8D" w:rsidRDefault="00BF3D8D" w:rsidP="00332F77">
      <w:pPr>
        <w:spacing w:after="120"/>
        <w:rPr>
          <w:b/>
        </w:rPr>
      </w:pPr>
    </w:p>
    <w:p w:rsidR="00BF3D8D" w:rsidRDefault="00BF3D8D" w:rsidP="00332F77">
      <w:pPr>
        <w:spacing w:after="120"/>
        <w:rPr>
          <w:b/>
        </w:rPr>
      </w:pPr>
    </w:p>
    <w:p w:rsidR="00BF3D8D" w:rsidRDefault="00BF3D8D" w:rsidP="00332F77">
      <w:pPr>
        <w:spacing w:after="120"/>
        <w:rPr>
          <w:b/>
        </w:rPr>
      </w:pPr>
    </w:p>
    <w:p w:rsidR="00BF3D8D" w:rsidRDefault="00BF3D8D" w:rsidP="00332F77">
      <w:pPr>
        <w:spacing w:after="120"/>
        <w:rPr>
          <w:b/>
        </w:rPr>
      </w:pPr>
    </w:p>
    <w:p w:rsidR="00BF3D8D" w:rsidRDefault="00BF3D8D" w:rsidP="00332F77">
      <w:pPr>
        <w:spacing w:after="120"/>
        <w:rPr>
          <w:b/>
        </w:rPr>
      </w:pPr>
    </w:p>
    <w:p w:rsidR="003C392E" w:rsidRPr="000269F1" w:rsidRDefault="00D4073B" w:rsidP="00332F77">
      <w:pPr>
        <w:spacing w:after="120"/>
        <w:rPr>
          <w:b/>
        </w:rPr>
      </w:pPr>
      <w:r w:rsidRPr="000269F1">
        <w:rPr>
          <w:b/>
        </w:rPr>
        <w:t>Author</w:t>
      </w:r>
    </w:p>
    <w:p w:rsidR="00D4073B" w:rsidRPr="000269F1" w:rsidRDefault="00D4073B" w:rsidP="00332F77">
      <w:pPr>
        <w:spacing w:after="0"/>
      </w:pPr>
      <w:r w:rsidRPr="000269F1">
        <w:t>Mi</w:t>
      </w:r>
      <w:r w:rsidR="00383634">
        <w:t>chael</w:t>
      </w:r>
      <w:r w:rsidRPr="000269F1">
        <w:t xml:space="preserve"> Gettings</w:t>
      </w:r>
      <w:r w:rsidR="00EF2BFC">
        <w:t xml:space="preserve">, </w:t>
      </w:r>
      <w:r w:rsidRPr="000269F1">
        <w:t>Senior Partner</w:t>
      </w:r>
    </w:p>
    <w:p w:rsidR="00D4073B" w:rsidRDefault="00D4073B" w:rsidP="00332F77">
      <w:pPr>
        <w:spacing w:after="0"/>
      </w:pPr>
      <w:r w:rsidRPr="000269F1">
        <w:t>RiskCentrix, LLC</w:t>
      </w:r>
    </w:p>
    <w:p w:rsidR="00A77866" w:rsidRDefault="00A77866" w:rsidP="00332F77">
      <w:pPr>
        <w:spacing w:after="0"/>
      </w:pPr>
    </w:p>
    <w:p w:rsidR="00A77866" w:rsidRDefault="00A77866" w:rsidP="00332F77">
      <w:pPr>
        <w:spacing w:after="0"/>
      </w:pPr>
    </w:p>
    <w:p w:rsidR="00A77866" w:rsidRDefault="00A77866" w:rsidP="00332F77">
      <w:pPr>
        <w:spacing w:after="0"/>
      </w:pPr>
    </w:p>
    <w:p w:rsidR="00A77866" w:rsidRPr="006558ED" w:rsidRDefault="00EF2BFC" w:rsidP="00332F77">
      <w:pPr>
        <w:spacing w:after="0"/>
        <w:rPr>
          <w:b/>
        </w:rPr>
      </w:pPr>
      <w:r>
        <w:rPr>
          <w:b/>
        </w:rPr>
        <w:t>Collaborative Partners</w:t>
      </w:r>
    </w:p>
    <w:p w:rsidR="00B20F42" w:rsidRDefault="00B20F42" w:rsidP="009737C1">
      <w:pPr>
        <w:spacing w:after="0"/>
      </w:pPr>
      <w:r>
        <w:t>Danny Kermode</w:t>
      </w:r>
      <w:r w:rsidR="00EF2BFC">
        <w:t>,</w:t>
      </w:r>
      <w:r>
        <w:t xml:space="preserve"> CPA, Senior Energy Policy Advisor</w:t>
      </w:r>
    </w:p>
    <w:p w:rsidR="00EF2BFC" w:rsidRDefault="00EF2BFC" w:rsidP="009737C1">
      <w:pPr>
        <w:spacing w:after="0"/>
      </w:pPr>
      <w:r>
        <w:t>Washington Utilities and Transportation Commission</w:t>
      </w:r>
    </w:p>
    <w:p w:rsidR="00A77866" w:rsidRDefault="00A77866" w:rsidP="009737C1">
      <w:pPr>
        <w:spacing w:after="0"/>
      </w:pPr>
    </w:p>
    <w:p w:rsidR="00EF2BFC" w:rsidRDefault="00EF2BFC" w:rsidP="00EF2BFC">
      <w:pPr>
        <w:spacing w:after="0"/>
      </w:pPr>
      <w:r>
        <w:t xml:space="preserve">Lisa </w:t>
      </w:r>
      <w:r w:rsidR="006959DA">
        <w:t>W.</w:t>
      </w:r>
      <w:r w:rsidR="00213EC6">
        <w:t xml:space="preserve"> </w:t>
      </w:r>
      <w:r>
        <w:t>Gafken, Assistant Attorney General</w:t>
      </w:r>
    </w:p>
    <w:p w:rsidR="00EF2BFC" w:rsidRDefault="00EF2BFC" w:rsidP="00EF2BFC">
      <w:pPr>
        <w:spacing w:after="0"/>
      </w:pPr>
      <w:r>
        <w:t xml:space="preserve">Mary </w:t>
      </w:r>
      <w:r w:rsidR="006959DA">
        <w:t>M.</w:t>
      </w:r>
      <w:r w:rsidR="00213EC6">
        <w:t xml:space="preserve"> </w:t>
      </w:r>
      <w:r>
        <w:t>Kimball,</w:t>
      </w:r>
      <w:r w:rsidR="00842EBA">
        <w:t xml:space="preserve"> MPP,</w:t>
      </w:r>
      <w:r>
        <w:t xml:space="preserve"> Senior Regulatory Analyst</w:t>
      </w:r>
    </w:p>
    <w:p w:rsidR="00A77866" w:rsidRPr="000269F1" w:rsidRDefault="00A77866" w:rsidP="003A0AAB">
      <w:pPr>
        <w:spacing w:after="0"/>
      </w:pPr>
      <w:r>
        <w:t>Washington State Office of the Attorney General</w:t>
      </w:r>
      <w:r w:rsidR="00FB1496">
        <w:t xml:space="preserve">, </w:t>
      </w:r>
      <w:r>
        <w:t>Public Counsel Unit</w:t>
      </w:r>
    </w:p>
    <w:p w:rsidR="002266D5" w:rsidRDefault="002266D5">
      <w:r>
        <w:br w:type="page"/>
      </w:r>
    </w:p>
    <w:sdt>
      <w:sdtPr>
        <w:rPr>
          <w:rFonts w:asciiTheme="minorHAnsi" w:eastAsiaTheme="majorEastAsia" w:hAnsiTheme="minorHAnsi" w:cstheme="majorBidi"/>
          <w:color w:val="auto"/>
          <w:sz w:val="25"/>
          <w:szCs w:val="32"/>
        </w:rPr>
        <w:id w:val="1216469614"/>
        <w:docPartObj>
          <w:docPartGallery w:val="Table of Contents"/>
          <w:docPartUnique/>
        </w:docPartObj>
      </w:sdtPr>
      <w:sdtEndPr>
        <w:rPr>
          <w:rFonts w:ascii="Times New Roman" w:eastAsiaTheme="minorHAnsi" w:hAnsi="Times New Roman" w:cstheme="minorBidi"/>
          <w:b/>
          <w:bCs/>
          <w:noProof/>
          <w:szCs w:val="22"/>
        </w:rPr>
      </w:sdtEndPr>
      <w:sdtContent>
        <w:p w:rsidR="00E07AE7" w:rsidRPr="008F22A4" w:rsidRDefault="00E07AE7" w:rsidP="008F22A4">
          <w:pPr>
            <w:pStyle w:val="TOCHeading"/>
            <w:ind w:left="0"/>
            <w:rPr>
              <w:rFonts w:asciiTheme="minorHAnsi" w:hAnsiTheme="minorHAnsi"/>
            </w:rPr>
          </w:pPr>
          <w:r w:rsidRPr="008F22A4">
            <w:rPr>
              <w:rFonts w:asciiTheme="minorHAnsi" w:hAnsiTheme="minorHAnsi"/>
            </w:rPr>
            <w:t>Table of Contents</w:t>
          </w:r>
        </w:p>
        <w:p w:rsidR="00B460FC" w:rsidRPr="00D109BB" w:rsidRDefault="00E07AE7">
          <w:pPr>
            <w:pStyle w:val="TOC1"/>
            <w:rPr>
              <w:rFonts w:asciiTheme="minorHAnsi" w:eastAsiaTheme="minorEastAsia" w:hAnsiTheme="minorHAnsi"/>
              <w:noProof/>
              <w:sz w:val="22"/>
            </w:rPr>
          </w:pPr>
          <w:r>
            <w:fldChar w:fldCharType="begin"/>
          </w:r>
          <w:r>
            <w:instrText xml:space="preserve"> TOC \o "1-3" \h \z \u </w:instrText>
          </w:r>
          <w:r>
            <w:fldChar w:fldCharType="separate"/>
          </w:r>
          <w:hyperlink w:anchor="_Toc424039075" w:history="1">
            <w:r w:rsidR="00B460FC" w:rsidRPr="00D109BB">
              <w:rPr>
                <w:rStyle w:val="Hyperlink"/>
                <w:noProof/>
              </w:rPr>
              <w:t>Executive Summary</w:t>
            </w:r>
            <w:r w:rsidR="00B460FC" w:rsidRPr="00D109BB">
              <w:rPr>
                <w:noProof/>
                <w:webHidden/>
              </w:rPr>
              <w:tab/>
            </w:r>
            <w:r w:rsidR="00B460FC" w:rsidRPr="00D109BB">
              <w:rPr>
                <w:noProof/>
                <w:webHidden/>
              </w:rPr>
              <w:fldChar w:fldCharType="begin"/>
            </w:r>
            <w:r w:rsidR="00B460FC" w:rsidRPr="00D109BB">
              <w:rPr>
                <w:noProof/>
                <w:webHidden/>
              </w:rPr>
              <w:instrText xml:space="preserve"> PAGEREF _Toc424039075 \h </w:instrText>
            </w:r>
            <w:r w:rsidR="00B460FC" w:rsidRPr="00D109BB">
              <w:rPr>
                <w:noProof/>
                <w:webHidden/>
              </w:rPr>
            </w:r>
            <w:r w:rsidR="00B460FC" w:rsidRPr="00D109BB">
              <w:rPr>
                <w:noProof/>
                <w:webHidden/>
              </w:rPr>
              <w:fldChar w:fldCharType="separate"/>
            </w:r>
            <w:r w:rsidR="00750DDD">
              <w:rPr>
                <w:noProof/>
                <w:webHidden/>
              </w:rPr>
              <w:t>2</w:t>
            </w:r>
            <w:r w:rsidR="00B460FC" w:rsidRPr="00D109BB">
              <w:rPr>
                <w:noProof/>
                <w:webHidden/>
              </w:rPr>
              <w:fldChar w:fldCharType="end"/>
            </w:r>
          </w:hyperlink>
        </w:p>
        <w:p w:rsidR="00B460FC" w:rsidRDefault="00496501">
          <w:pPr>
            <w:pStyle w:val="TOC1"/>
            <w:rPr>
              <w:rFonts w:asciiTheme="minorHAnsi" w:eastAsiaTheme="minorEastAsia" w:hAnsiTheme="minorHAnsi"/>
              <w:noProof/>
              <w:sz w:val="22"/>
            </w:rPr>
          </w:pPr>
          <w:hyperlink w:anchor="_Toc424039076" w:history="1">
            <w:r w:rsidR="00B460FC" w:rsidRPr="00D109BB">
              <w:rPr>
                <w:rStyle w:val="Hyperlink"/>
                <w:noProof/>
              </w:rPr>
              <w:t>Introduction</w:t>
            </w:r>
            <w:r w:rsidR="00B460FC" w:rsidRPr="00D109BB">
              <w:rPr>
                <w:noProof/>
                <w:webHidden/>
              </w:rPr>
              <w:tab/>
            </w:r>
            <w:r w:rsidR="00B460FC" w:rsidRPr="00D109BB">
              <w:rPr>
                <w:noProof/>
                <w:webHidden/>
              </w:rPr>
              <w:fldChar w:fldCharType="begin"/>
            </w:r>
            <w:r w:rsidR="00B460FC" w:rsidRPr="00D109BB">
              <w:rPr>
                <w:noProof/>
                <w:webHidden/>
              </w:rPr>
              <w:instrText xml:space="preserve"> PAGEREF _Toc424039076 \h </w:instrText>
            </w:r>
            <w:r w:rsidR="00B460FC" w:rsidRPr="00D109BB">
              <w:rPr>
                <w:noProof/>
                <w:webHidden/>
              </w:rPr>
            </w:r>
            <w:r w:rsidR="00B460FC" w:rsidRPr="00D109BB">
              <w:rPr>
                <w:noProof/>
                <w:webHidden/>
              </w:rPr>
              <w:fldChar w:fldCharType="separate"/>
            </w:r>
            <w:r w:rsidR="00750DDD">
              <w:rPr>
                <w:noProof/>
                <w:webHidden/>
              </w:rPr>
              <w:t>5</w:t>
            </w:r>
            <w:r w:rsidR="00B460FC" w:rsidRPr="00D109BB">
              <w:rPr>
                <w:noProof/>
                <w:webHidden/>
              </w:rPr>
              <w:fldChar w:fldCharType="end"/>
            </w:r>
          </w:hyperlink>
        </w:p>
        <w:p w:rsidR="00B460FC" w:rsidRDefault="00496501">
          <w:pPr>
            <w:pStyle w:val="TOC1"/>
            <w:rPr>
              <w:rFonts w:asciiTheme="minorHAnsi" w:eastAsiaTheme="minorEastAsia" w:hAnsiTheme="minorHAnsi"/>
              <w:noProof/>
              <w:sz w:val="22"/>
            </w:rPr>
          </w:pPr>
          <w:hyperlink w:anchor="_Toc424039077" w:history="1">
            <w:r w:rsidR="00B460FC" w:rsidRPr="005567A6">
              <w:rPr>
                <w:rStyle w:val="Hyperlink"/>
                <w:noProof/>
              </w:rPr>
              <w:t>Background</w:t>
            </w:r>
            <w:r w:rsidR="00B460FC">
              <w:rPr>
                <w:noProof/>
                <w:webHidden/>
              </w:rPr>
              <w:tab/>
            </w:r>
            <w:r w:rsidR="00B460FC">
              <w:rPr>
                <w:noProof/>
                <w:webHidden/>
              </w:rPr>
              <w:fldChar w:fldCharType="begin"/>
            </w:r>
            <w:r w:rsidR="00B460FC">
              <w:rPr>
                <w:noProof/>
                <w:webHidden/>
              </w:rPr>
              <w:instrText xml:space="preserve"> PAGEREF _Toc424039077 \h </w:instrText>
            </w:r>
            <w:r w:rsidR="00B460FC">
              <w:rPr>
                <w:noProof/>
                <w:webHidden/>
              </w:rPr>
            </w:r>
            <w:r w:rsidR="00B460FC">
              <w:rPr>
                <w:noProof/>
                <w:webHidden/>
              </w:rPr>
              <w:fldChar w:fldCharType="separate"/>
            </w:r>
            <w:r w:rsidR="00750DDD">
              <w:rPr>
                <w:noProof/>
                <w:webHidden/>
              </w:rPr>
              <w:t>6</w:t>
            </w:r>
            <w:r w:rsidR="00B460FC">
              <w:rPr>
                <w:noProof/>
                <w:webHidden/>
              </w:rPr>
              <w:fldChar w:fldCharType="end"/>
            </w:r>
          </w:hyperlink>
        </w:p>
        <w:p w:rsidR="00B460FC" w:rsidRDefault="00496501">
          <w:pPr>
            <w:pStyle w:val="TOC1"/>
            <w:rPr>
              <w:rFonts w:asciiTheme="minorHAnsi" w:eastAsiaTheme="minorEastAsia" w:hAnsiTheme="minorHAnsi"/>
              <w:noProof/>
              <w:sz w:val="22"/>
            </w:rPr>
          </w:pPr>
          <w:hyperlink w:anchor="_Toc424039078" w:history="1">
            <w:r w:rsidR="00B460FC" w:rsidRPr="005567A6">
              <w:rPr>
                <w:rStyle w:val="Hyperlink"/>
                <w:noProof/>
              </w:rPr>
              <w:t>Quantitative Finance, Overview and Origins</w:t>
            </w:r>
            <w:r w:rsidR="00B460FC">
              <w:rPr>
                <w:noProof/>
                <w:webHidden/>
              </w:rPr>
              <w:tab/>
            </w:r>
            <w:r w:rsidR="00B460FC">
              <w:rPr>
                <w:noProof/>
                <w:webHidden/>
              </w:rPr>
              <w:fldChar w:fldCharType="begin"/>
            </w:r>
            <w:r w:rsidR="00B460FC">
              <w:rPr>
                <w:noProof/>
                <w:webHidden/>
              </w:rPr>
              <w:instrText xml:space="preserve"> PAGEREF _Toc424039078 \h </w:instrText>
            </w:r>
            <w:r w:rsidR="00B460FC">
              <w:rPr>
                <w:noProof/>
                <w:webHidden/>
              </w:rPr>
            </w:r>
            <w:r w:rsidR="00B460FC">
              <w:rPr>
                <w:noProof/>
                <w:webHidden/>
              </w:rPr>
              <w:fldChar w:fldCharType="separate"/>
            </w:r>
            <w:r w:rsidR="00750DDD">
              <w:rPr>
                <w:noProof/>
                <w:webHidden/>
              </w:rPr>
              <w:t>8</w:t>
            </w:r>
            <w:r w:rsidR="00B460FC">
              <w:rPr>
                <w:noProof/>
                <w:webHidden/>
              </w:rPr>
              <w:fldChar w:fldCharType="end"/>
            </w:r>
          </w:hyperlink>
        </w:p>
        <w:p w:rsidR="00B460FC" w:rsidRDefault="00496501">
          <w:pPr>
            <w:pStyle w:val="TOC1"/>
            <w:rPr>
              <w:rFonts w:asciiTheme="minorHAnsi" w:eastAsiaTheme="minorEastAsia" w:hAnsiTheme="minorHAnsi"/>
              <w:noProof/>
              <w:sz w:val="22"/>
            </w:rPr>
          </w:pPr>
          <w:hyperlink w:anchor="_Toc424039079" w:history="1">
            <w:r w:rsidR="00B460FC" w:rsidRPr="005567A6">
              <w:rPr>
                <w:rStyle w:val="Hyperlink"/>
                <w:noProof/>
              </w:rPr>
              <w:t>Overview of Energy Hedging Approaches</w:t>
            </w:r>
            <w:r w:rsidR="00B460FC">
              <w:rPr>
                <w:noProof/>
                <w:webHidden/>
              </w:rPr>
              <w:tab/>
            </w:r>
            <w:r w:rsidR="00B460FC">
              <w:rPr>
                <w:noProof/>
                <w:webHidden/>
              </w:rPr>
              <w:fldChar w:fldCharType="begin"/>
            </w:r>
            <w:r w:rsidR="00B460FC">
              <w:rPr>
                <w:noProof/>
                <w:webHidden/>
              </w:rPr>
              <w:instrText xml:space="preserve"> PAGEREF _Toc424039079 \h </w:instrText>
            </w:r>
            <w:r w:rsidR="00B460FC">
              <w:rPr>
                <w:noProof/>
                <w:webHidden/>
              </w:rPr>
            </w:r>
            <w:r w:rsidR="00B460FC">
              <w:rPr>
                <w:noProof/>
                <w:webHidden/>
              </w:rPr>
              <w:fldChar w:fldCharType="separate"/>
            </w:r>
            <w:r w:rsidR="00750DDD">
              <w:rPr>
                <w:noProof/>
                <w:webHidden/>
              </w:rPr>
              <w:t>9</w:t>
            </w:r>
            <w:r w:rsidR="00B460FC">
              <w:rPr>
                <w:noProof/>
                <w:webHidden/>
              </w:rPr>
              <w:fldChar w:fldCharType="end"/>
            </w:r>
          </w:hyperlink>
        </w:p>
        <w:p w:rsidR="00B460FC" w:rsidRDefault="00496501">
          <w:pPr>
            <w:pStyle w:val="TOC1"/>
            <w:rPr>
              <w:rFonts w:asciiTheme="minorHAnsi" w:eastAsiaTheme="minorEastAsia" w:hAnsiTheme="minorHAnsi"/>
              <w:noProof/>
              <w:sz w:val="22"/>
            </w:rPr>
          </w:pPr>
          <w:hyperlink w:anchor="_Toc424039080" w:history="1">
            <w:r w:rsidR="00B460FC" w:rsidRPr="005567A6">
              <w:rPr>
                <w:rStyle w:val="Hyperlink"/>
                <w:noProof/>
              </w:rPr>
              <w:t>Essential Questions</w:t>
            </w:r>
            <w:r w:rsidR="00B460FC">
              <w:rPr>
                <w:noProof/>
                <w:webHidden/>
              </w:rPr>
              <w:tab/>
            </w:r>
            <w:r w:rsidR="00B460FC">
              <w:rPr>
                <w:noProof/>
                <w:webHidden/>
              </w:rPr>
              <w:fldChar w:fldCharType="begin"/>
            </w:r>
            <w:r w:rsidR="00B460FC">
              <w:rPr>
                <w:noProof/>
                <w:webHidden/>
              </w:rPr>
              <w:instrText xml:space="preserve"> PAGEREF _Toc424039080 \h </w:instrText>
            </w:r>
            <w:r w:rsidR="00B460FC">
              <w:rPr>
                <w:noProof/>
                <w:webHidden/>
              </w:rPr>
            </w:r>
            <w:r w:rsidR="00B460FC">
              <w:rPr>
                <w:noProof/>
                <w:webHidden/>
              </w:rPr>
              <w:fldChar w:fldCharType="separate"/>
            </w:r>
            <w:r w:rsidR="00750DDD">
              <w:rPr>
                <w:noProof/>
                <w:webHidden/>
              </w:rPr>
              <w:t>10</w:t>
            </w:r>
            <w:r w:rsidR="00B460FC">
              <w:rPr>
                <w:noProof/>
                <w:webHidden/>
              </w:rPr>
              <w:fldChar w:fldCharType="end"/>
            </w:r>
          </w:hyperlink>
        </w:p>
        <w:p w:rsidR="00B460FC" w:rsidRDefault="00496501">
          <w:pPr>
            <w:pStyle w:val="TOC2"/>
            <w:rPr>
              <w:rFonts w:asciiTheme="minorHAnsi" w:eastAsiaTheme="minorEastAsia" w:hAnsiTheme="minorHAnsi"/>
              <w:noProof/>
              <w:sz w:val="22"/>
            </w:rPr>
          </w:pPr>
          <w:hyperlink w:anchor="_Toc424039081" w:history="1">
            <w:r w:rsidR="00B460FC" w:rsidRPr="005567A6">
              <w:rPr>
                <w:rStyle w:val="Hyperlink"/>
                <w:noProof/>
              </w:rPr>
              <w:t>Why Hedge?</w:t>
            </w:r>
            <w:r w:rsidR="00B460FC">
              <w:rPr>
                <w:noProof/>
                <w:webHidden/>
              </w:rPr>
              <w:tab/>
            </w:r>
            <w:r w:rsidR="00B460FC">
              <w:rPr>
                <w:noProof/>
                <w:webHidden/>
              </w:rPr>
              <w:fldChar w:fldCharType="begin"/>
            </w:r>
            <w:r w:rsidR="00B460FC">
              <w:rPr>
                <w:noProof/>
                <w:webHidden/>
              </w:rPr>
              <w:instrText xml:space="preserve"> PAGEREF _Toc424039081 \h </w:instrText>
            </w:r>
            <w:r w:rsidR="00B460FC">
              <w:rPr>
                <w:noProof/>
                <w:webHidden/>
              </w:rPr>
            </w:r>
            <w:r w:rsidR="00B460FC">
              <w:rPr>
                <w:noProof/>
                <w:webHidden/>
              </w:rPr>
              <w:fldChar w:fldCharType="separate"/>
            </w:r>
            <w:r w:rsidR="00750DDD">
              <w:rPr>
                <w:noProof/>
                <w:webHidden/>
              </w:rPr>
              <w:t>10</w:t>
            </w:r>
            <w:r w:rsidR="00B460FC">
              <w:rPr>
                <w:noProof/>
                <w:webHidden/>
              </w:rPr>
              <w:fldChar w:fldCharType="end"/>
            </w:r>
          </w:hyperlink>
        </w:p>
        <w:p w:rsidR="00B460FC" w:rsidRDefault="00496501">
          <w:pPr>
            <w:pStyle w:val="TOC2"/>
            <w:rPr>
              <w:rFonts w:asciiTheme="minorHAnsi" w:eastAsiaTheme="minorEastAsia" w:hAnsiTheme="minorHAnsi"/>
              <w:noProof/>
              <w:sz w:val="22"/>
            </w:rPr>
          </w:pPr>
          <w:hyperlink w:anchor="_Toc424039082" w:history="1">
            <w:r w:rsidR="00B460FC" w:rsidRPr="005567A6">
              <w:rPr>
                <w:rStyle w:val="Hyperlink"/>
                <w:noProof/>
              </w:rPr>
              <w:t>What Objectives?</w:t>
            </w:r>
            <w:r w:rsidR="00B460FC">
              <w:rPr>
                <w:noProof/>
                <w:webHidden/>
              </w:rPr>
              <w:tab/>
            </w:r>
            <w:r w:rsidR="00B460FC">
              <w:rPr>
                <w:noProof/>
                <w:webHidden/>
              </w:rPr>
              <w:fldChar w:fldCharType="begin"/>
            </w:r>
            <w:r w:rsidR="00B460FC">
              <w:rPr>
                <w:noProof/>
                <w:webHidden/>
              </w:rPr>
              <w:instrText xml:space="preserve"> PAGEREF _Toc424039082 \h </w:instrText>
            </w:r>
            <w:r w:rsidR="00B460FC">
              <w:rPr>
                <w:noProof/>
                <w:webHidden/>
              </w:rPr>
            </w:r>
            <w:r w:rsidR="00B460FC">
              <w:rPr>
                <w:noProof/>
                <w:webHidden/>
              </w:rPr>
              <w:fldChar w:fldCharType="separate"/>
            </w:r>
            <w:r w:rsidR="00750DDD">
              <w:rPr>
                <w:noProof/>
                <w:webHidden/>
              </w:rPr>
              <w:t>11</w:t>
            </w:r>
            <w:r w:rsidR="00B460FC">
              <w:rPr>
                <w:noProof/>
                <w:webHidden/>
              </w:rPr>
              <w:fldChar w:fldCharType="end"/>
            </w:r>
          </w:hyperlink>
        </w:p>
        <w:p w:rsidR="00B460FC" w:rsidRDefault="00496501">
          <w:pPr>
            <w:pStyle w:val="TOC2"/>
            <w:rPr>
              <w:rFonts w:asciiTheme="minorHAnsi" w:eastAsiaTheme="minorEastAsia" w:hAnsiTheme="minorHAnsi"/>
              <w:noProof/>
              <w:sz w:val="22"/>
            </w:rPr>
          </w:pPr>
          <w:hyperlink w:anchor="_Toc424039083" w:history="1">
            <w:r w:rsidR="00B460FC" w:rsidRPr="005567A6">
              <w:rPr>
                <w:rStyle w:val="Hyperlink"/>
                <w:noProof/>
              </w:rPr>
              <w:t>Economic Effectiveness</w:t>
            </w:r>
            <w:r w:rsidR="00B460FC">
              <w:rPr>
                <w:noProof/>
                <w:webHidden/>
              </w:rPr>
              <w:tab/>
            </w:r>
            <w:r w:rsidR="00B460FC">
              <w:rPr>
                <w:noProof/>
                <w:webHidden/>
              </w:rPr>
              <w:fldChar w:fldCharType="begin"/>
            </w:r>
            <w:r w:rsidR="00B460FC">
              <w:rPr>
                <w:noProof/>
                <w:webHidden/>
              </w:rPr>
              <w:instrText xml:space="preserve"> PAGEREF _Toc424039083 \h </w:instrText>
            </w:r>
            <w:r w:rsidR="00B460FC">
              <w:rPr>
                <w:noProof/>
                <w:webHidden/>
              </w:rPr>
            </w:r>
            <w:r w:rsidR="00B460FC">
              <w:rPr>
                <w:noProof/>
                <w:webHidden/>
              </w:rPr>
              <w:fldChar w:fldCharType="separate"/>
            </w:r>
            <w:r w:rsidR="00750DDD">
              <w:rPr>
                <w:noProof/>
                <w:webHidden/>
              </w:rPr>
              <w:t>15</w:t>
            </w:r>
            <w:r w:rsidR="00B460FC">
              <w:rPr>
                <w:noProof/>
                <w:webHidden/>
              </w:rPr>
              <w:fldChar w:fldCharType="end"/>
            </w:r>
          </w:hyperlink>
        </w:p>
        <w:p w:rsidR="00B460FC" w:rsidRDefault="00496501">
          <w:pPr>
            <w:pStyle w:val="TOC2"/>
            <w:rPr>
              <w:rFonts w:asciiTheme="minorHAnsi" w:eastAsiaTheme="minorEastAsia" w:hAnsiTheme="minorHAnsi"/>
              <w:noProof/>
              <w:sz w:val="22"/>
            </w:rPr>
          </w:pPr>
          <w:hyperlink w:anchor="_Toc424039084" w:history="1">
            <w:r w:rsidR="00B460FC" w:rsidRPr="005567A6">
              <w:rPr>
                <w:rStyle w:val="Hyperlink"/>
                <w:noProof/>
              </w:rPr>
              <w:t>Regulatory Framework</w:t>
            </w:r>
            <w:r w:rsidR="00B460FC">
              <w:rPr>
                <w:noProof/>
                <w:webHidden/>
              </w:rPr>
              <w:tab/>
            </w:r>
            <w:r w:rsidR="00B460FC">
              <w:rPr>
                <w:noProof/>
                <w:webHidden/>
              </w:rPr>
              <w:fldChar w:fldCharType="begin"/>
            </w:r>
            <w:r w:rsidR="00B460FC">
              <w:rPr>
                <w:noProof/>
                <w:webHidden/>
              </w:rPr>
              <w:instrText xml:space="preserve"> PAGEREF _Toc424039084 \h </w:instrText>
            </w:r>
            <w:r w:rsidR="00B460FC">
              <w:rPr>
                <w:noProof/>
                <w:webHidden/>
              </w:rPr>
            </w:r>
            <w:r w:rsidR="00B460FC">
              <w:rPr>
                <w:noProof/>
                <w:webHidden/>
              </w:rPr>
              <w:fldChar w:fldCharType="separate"/>
            </w:r>
            <w:r w:rsidR="00750DDD">
              <w:rPr>
                <w:noProof/>
                <w:webHidden/>
              </w:rPr>
              <w:t>15</w:t>
            </w:r>
            <w:r w:rsidR="00B460FC">
              <w:rPr>
                <w:noProof/>
                <w:webHidden/>
              </w:rPr>
              <w:fldChar w:fldCharType="end"/>
            </w:r>
          </w:hyperlink>
        </w:p>
        <w:p w:rsidR="00B460FC" w:rsidRDefault="00496501">
          <w:pPr>
            <w:pStyle w:val="TOC1"/>
            <w:rPr>
              <w:rFonts w:asciiTheme="minorHAnsi" w:eastAsiaTheme="minorEastAsia" w:hAnsiTheme="minorHAnsi"/>
              <w:noProof/>
              <w:sz w:val="22"/>
            </w:rPr>
          </w:pPr>
          <w:hyperlink w:anchor="_Toc424039085" w:history="1">
            <w:r w:rsidR="00B460FC" w:rsidRPr="005567A6">
              <w:rPr>
                <w:rStyle w:val="Hyperlink"/>
                <w:noProof/>
              </w:rPr>
              <w:t>Contrasting Approaches</w:t>
            </w:r>
            <w:r w:rsidR="00B460FC">
              <w:rPr>
                <w:noProof/>
                <w:webHidden/>
              </w:rPr>
              <w:tab/>
            </w:r>
            <w:r w:rsidR="00B460FC">
              <w:rPr>
                <w:noProof/>
                <w:webHidden/>
              </w:rPr>
              <w:fldChar w:fldCharType="begin"/>
            </w:r>
            <w:r w:rsidR="00B460FC">
              <w:rPr>
                <w:noProof/>
                <w:webHidden/>
              </w:rPr>
              <w:instrText xml:space="preserve"> PAGEREF _Toc424039085 \h </w:instrText>
            </w:r>
            <w:r w:rsidR="00B460FC">
              <w:rPr>
                <w:noProof/>
                <w:webHidden/>
              </w:rPr>
            </w:r>
            <w:r w:rsidR="00B460FC">
              <w:rPr>
                <w:noProof/>
                <w:webHidden/>
              </w:rPr>
              <w:fldChar w:fldCharType="separate"/>
            </w:r>
            <w:r w:rsidR="00750DDD">
              <w:rPr>
                <w:noProof/>
                <w:webHidden/>
              </w:rPr>
              <w:t>16</w:t>
            </w:r>
            <w:r w:rsidR="00B460FC">
              <w:rPr>
                <w:noProof/>
                <w:webHidden/>
              </w:rPr>
              <w:fldChar w:fldCharType="end"/>
            </w:r>
          </w:hyperlink>
        </w:p>
        <w:p w:rsidR="00B460FC" w:rsidRDefault="00496501">
          <w:pPr>
            <w:pStyle w:val="TOC2"/>
            <w:rPr>
              <w:rFonts w:asciiTheme="minorHAnsi" w:eastAsiaTheme="minorEastAsia" w:hAnsiTheme="minorHAnsi"/>
              <w:noProof/>
              <w:sz w:val="22"/>
            </w:rPr>
          </w:pPr>
          <w:hyperlink w:anchor="_Toc424039086" w:history="1">
            <w:r w:rsidR="00B460FC" w:rsidRPr="005567A6">
              <w:rPr>
                <w:rStyle w:val="Hyperlink"/>
                <w:noProof/>
              </w:rPr>
              <w:t>Fixed Ratio</w:t>
            </w:r>
            <w:r w:rsidR="00B460FC">
              <w:rPr>
                <w:noProof/>
                <w:webHidden/>
              </w:rPr>
              <w:tab/>
            </w:r>
            <w:r w:rsidR="00B460FC">
              <w:rPr>
                <w:noProof/>
                <w:webHidden/>
              </w:rPr>
              <w:fldChar w:fldCharType="begin"/>
            </w:r>
            <w:r w:rsidR="00B460FC">
              <w:rPr>
                <w:noProof/>
                <w:webHidden/>
              </w:rPr>
              <w:instrText xml:space="preserve"> PAGEREF _Toc424039086 \h </w:instrText>
            </w:r>
            <w:r w:rsidR="00B460FC">
              <w:rPr>
                <w:noProof/>
                <w:webHidden/>
              </w:rPr>
            </w:r>
            <w:r w:rsidR="00B460FC">
              <w:rPr>
                <w:noProof/>
                <w:webHidden/>
              </w:rPr>
              <w:fldChar w:fldCharType="separate"/>
            </w:r>
            <w:r w:rsidR="00750DDD">
              <w:rPr>
                <w:noProof/>
                <w:webHidden/>
              </w:rPr>
              <w:t>16</w:t>
            </w:r>
            <w:r w:rsidR="00B460FC">
              <w:rPr>
                <w:noProof/>
                <w:webHidden/>
              </w:rPr>
              <w:fldChar w:fldCharType="end"/>
            </w:r>
          </w:hyperlink>
        </w:p>
        <w:p w:rsidR="00B460FC" w:rsidRDefault="00496501">
          <w:pPr>
            <w:pStyle w:val="TOC2"/>
            <w:rPr>
              <w:rFonts w:asciiTheme="minorHAnsi" w:eastAsiaTheme="minorEastAsia" w:hAnsiTheme="minorHAnsi"/>
              <w:noProof/>
              <w:sz w:val="22"/>
            </w:rPr>
          </w:pPr>
          <w:hyperlink w:anchor="_Toc424039087" w:history="1">
            <w:r w:rsidR="00B460FC" w:rsidRPr="005567A6">
              <w:rPr>
                <w:rStyle w:val="Hyperlink"/>
                <w:noProof/>
              </w:rPr>
              <w:t>Risk</w:t>
            </w:r>
            <w:r w:rsidR="00B460FC" w:rsidRPr="005567A6">
              <w:rPr>
                <w:rStyle w:val="Hyperlink"/>
                <w:noProof/>
              </w:rPr>
              <w:noBreakHyphen/>
              <w:t>Responsive Hedging</w:t>
            </w:r>
            <w:r w:rsidR="00B460FC">
              <w:rPr>
                <w:noProof/>
                <w:webHidden/>
              </w:rPr>
              <w:tab/>
            </w:r>
            <w:r w:rsidR="00B460FC">
              <w:rPr>
                <w:noProof/>
                <w:webHidden/>
              </w:rPr>
              <w:fldChar w:fldCharType="begin"/>
            </w:r>
            <w:r w:rsidR="00B460FC">
              <w:rPr>
                <w:noProof/>
                <w:webHidden/>
              </w:rPr>
              <w:instrText xml:space="preserve"> PAGEREF _Toc424039087 \h </w:instrText>
            </w:r>
            <w:r w:rsidR="00B460FC">
              <w:rPr>
                <w:noProof/>
                <w:webHidden/>
              </w:rPr>
            </w:r>
            <w:r w:rsidR="00B460FC">
              <w:rPr>
                <w:noProof/>
                <w:webHidden/>
              </w:rPr>
              <w:fldChar w:fldCharType="separate"/>
            </w:r>
            <w:r w:rsidR="00750DDD">
              <w:rPr>
                <w:noProof/>
                <w:webHidden/>
              </w:rPr>
              <w:t>16</w:t>
            </w:r>
            <w:r w:rsidR="00B460FC">
              <w:rPr>
                <w:noProof/>
                <w:webHidden/>
              </w:rPr>
              <w:fldChar w:fldCharType="end"/>
            </w:r>
          </w:hyperlink>
        </w:p>
        <w:p w:rsidR="00B460FC" w:rsidRDefault="00496501">
          <w:pPr>
            <w:pStyle w:val="TOC2"/>
            <w:rPr>
              <w:rFonts w:asciiTheme="minorHAnsi" w:eastAsiaTheme="minorEastAsia" w:hAnsiTheme="minorHAnsi"/>
              <w:noProof/>
              <w:sz w:val="22"/>
            </w:rPr>
          </w:pPr>
          <w:hyperlink w:anchor="_Toc424039088" w:history="1">
            <w:r w:rsidR="00B460FC" w:rsidRPr="005567A6">
              <w:rPr>
                <w:rStyle w:val="Hyperlink"/>
                <w:noProof/>
              </w:rPr>
              <w:t>Clear Understanding of the Nature of Risk and Risk Assessment</w:t>
            </w:r>
            <w:r w:rsidR="00B460FC">
              <w:rPr>
                <w:noProof/>
                <w:webHidden/>
              </w:rPr>
              <w:tab/>
            </w:r>
            <w:r w:rsidR="00B460FC">
              <w:rPr>
                <w:noProof/>
                <w:webHidden/>
              </w:rPr>
              <w:fldChar w:fldCharType="begin"/>
            </w:r>
            <w:r w:rsidR="00B460FC">
              <w:rPr>
                <w:noProof/>
                <w:webHidden/>
              </w:rPr>
              <w:instrText xml:space="preserve"> PAGEREF _Toc424039088 \h </w:instrText>
            </w:r>
            <w:r w:rsidR="00B460FC">
              <w:rPr>
                <w:noProof/>
                <w:webHidden/>
              </w:rPr>
            </w:r>
            <w:r w:rsidR="00B460FC">
              <w:rPr>
                <w:noProof/>
                <w:webHidden/>
              </w:rPr>
              <w:fldChar w:fldCharType="separate"/>
            </w:r>
            <w:r w:rsidR="00750DDD">
              <w:rPr>
                <w:noProof/>
                <w:webHidden/>
              </w:rPr>
              <w:t>17</w:t>
            </w:r>
            <w:r w:rsidR="00B460FC">
              <w:rPr>
                <w:noProof/>
                <w:webHidden/>
              </w:rPr>
              <w:fldChar w:fldCharType="end"/>
            </w:r>
          </w:hyperlink>
        </w:p>
        <w:p w:rsidR="00B460FC" w:rsidRDefault="00496501">
          <w:pPr>
            <w:pStyle w:val="TOC1"/>
            <w:rPr>
              <w:rFonts w:asciiTheme="minorHAnsi" w:eastAsiaTheme="minorEastAsia" w:hAnsiTheme="minorHAnsi"/>
              <w:noProof/>
              <w:sz w:val="22"/>
            </w:rPr>
          </w:pPr>
          <w:hyperlink w:anchor="_Toc424039089" w:history="1">
            <w:r w:rsidR="00B460FC" w:rsidRPr="005567A6">
              <w:rPr>
                <w:rStyle w:val="Hyperlink"/>
                <w:noProof/>
              </w:rPr>
              <w:t>Strategy Development</w:t>
            </w:r>
            <w:r w:rsidR="00B460FC">
              <w:rPr>
                <w:noProof/>
                <w:webHidden/>
              </w:rPr>
              <w:tab/>
            </w:r>
            <w:r w:rsidR="00B460FC">
              <w:rPr>
                <w:noProof/>
                <w:webHidden/>
              </w:rPr>
              <w:fldChar w:fldCharType="begin"/>
            </w:r>
            <w:r w:rsidR="00B460FC">
              <w:rPr>
                <w:noProof/>
                <w:webHidden/>
              </w:rPr>
              <w:instrText xml:space="preserve"> PAGEREF _Toc424039089 \h </w:instrText>
            </w:r>
            <w:r w:rsidR="00B460FC">
              <w:rPr>
                <w:noProof/>
                <w:webHidden/>
              </w:rPr>
            </w:r>
            <w:r w:rsidR="00B460FC">
              <w:rPr>
                <w:noProof/>
                <w:webHidden/>
              </w:rPr>
              <w:fldChar w:fldCharType="separate"/>
            </w:r>
            <w:r w:rsidR="00750DDD">
              <w:rPr>
                <w:noProof/>
                <w:webHidden/>
              </w:rPr>
              <w:t>19</w:t>
            </w:r>
            <w:r w:rsidR="00B460FC">
              <w:rPr>
                <w:noProof/>
                <w:webHidden/>
              </w:rPr>
              <w:fldChar w:fldCharType="end"/>
            </w:r>
          </w:hyperlink>
        </w:p>
        <w:p w:rsidR="00B460FC" w:rsidRDefault="00496501">
          <w:pPr>
            <w:pStyle w:val="TOC1"/>
            <w:rPr>
              <w:rFonts w:asciiTheme="minorHAnsi" w:eastAsiaTheme="minorEastAsia" w:hAnsiTheme="minorHAnsi"/>
              <w:noProof/>
              <w:sz w:val="22"/>
            </w:rPr>
          </w:pPr>
          <w:hyperlink w:anchor="_Toc424039090" w:history="1">
            <w:r w:rsidR="00B460FC" w:rsidRPr="005567A6">
              <w:rPr>
                <w:rStyle w:val="Hyperlink"/>
                <w:noProof/>
              </w:rPr>
              <w:t>Illustrative Strategy Comparisons</w:t>
            </w:r>
            <w:r w:rsidR="00B460FC">
              <w:rPr>
                <w:noProof/>
                <w:webHidden/>
              </w:rPr>
              <w:tab/>
            </w:r>
            <w:r w:rsidR="00B460FC">
              <w:rPr>
                <w:noProof/>
                <w:webHidden/>
              </w:rPr>
              <w:fldChar w:fldCharType="begin"/>
            </w:r>
            <w:r w:rsidR="00B460FC">
              <w:rPr>
                <w:noProof/>
                <w:webHidden/>
              </w:rPr>
              <w:instrText xml:space="preserve"> PAGEREF _Toc424039090 \h </w:instrText>
            </w:r>
            <w:r w:rsidR="00B460FC">
              <w:rPr>
                <w:noProof/>
                <w:webHidden/>
              </w:rPr>
            </w:r>
            <w:r w:rsidR="00B460FC">
              <w:rPr>
                <w:noProof/>
                <w:webHidden/>
              </w:rPr>
              <w:fldChar w:fldCharType="separate"/>
            </w:r>
            <w:r w:rsidR="00750DDD">
              <w:rPr>
                <w:noProof/>
                <w:webHidden/>
              </w:rPr>
              <w:t>23</w:t>
            </w:r>
            <w:r w:rsidR="00B460FC">
              <w:rPr>
                <w:noProof/>
                <w:webHidden/>
              </w:rPr>
              <w:fldChar w:fldCharType="end"/>
            </w:r>
          </w:hyperlink>
        </w:p>
        <w:p w:rsidR="00B460FC" w:rsidRDefault="00496501">
          <w:pPr>
            <w:pStyle w:val="TOC2"/>
            <w:rPr>
              <w:rFonts w:asciiTheme="minorHAnsi" w:eastAsiaTheme="minorEastAsia" w:hAnsiTheme="minorHAnsi"/>
              <w:noProof/>
              <w:sz w:val="22"/>
            </w:rPr>
          </w:pPr>
          <w:hyperlink w:anchor="_Toc424039091" w:history="1">
            <w:r w:rsidR="00B460FC" w:rsidRPr="005567A6">
              <w:rPr>
                <w:rStyle w:val="Hyperlink"/>
                <w:noProof/>
              </w:rPr>
              <w:t>Simulation Clarifications</w:t>
            </w:r>
            <w:r w:rsidR="00B460FC">
              <w:rPr>
                <w:noProof/>
                <w:webHidden/>
              </w:rPr>
              <w:tab/>
            </w:r>
            <w:r w:rsidR="00B460FC">
              <w:rPr>
                <w:noProof/>
                <w:webHidden/>
              </w:rPr>
              <w:fldChar w:fldCharType="begin"/>
            </w:r>
            <w:r w:rsidR="00B460FC">
              <w:rPr>
                <w:noProof/>
                <w:webHidden/>
              </w:rPr>
              <w:instrText xml:space="preserve"> PAGEREF _Toc424039091 \h </w:instrText>
            </w:r>
            <w:r w:rsidR="00B460FC">
              <w:rPr>
                <w:noProof/>
                <w:webHidden/>
              </w:rPr>
            </w:r>
            <w:r w:rsidR="00B460FC">
              <w:rPr>
                <w:noProof/>
                <w:webHidden/>
              </w:rPr>
              <w:fldChar w:fldCharType="separate"/>
            </w:r>
            <w:r w:rsidR="00750DDD">
              <w:rPr>
                <w:noProof/>
                <w:webHidden/>
              </w:rPr>
              <w:t>26</w:t>
            </w:r>
            <w:r w:rsidR="00B460FC">
              <w:rPr>
                <w:noProof/>
                <w:webHidden/>
              </w:rPr>
              <w:fldChar w:fldCharType="end"/>
            </w:r>
          </w:hyperlink>
        </w:p>
        <w:p w:rsidR="00B460FC" w:rsidRDefault="00496501">
          <w:pPr>
            <w:pStyle w:val="TOC2"/>
            <w:rPr>
              <w:rFonts w:asciiTheme="minorHAnsi" w:eastAsiaTheme="minorEastAsia" w:hAnsiTheme="minorHAnsi"/>
              <w:noProof/>
              <w:sz w:val="22"/>
            </w:rPr>
          </w:pPr>
          <w:hyperlink w:anchor="_Toc424039092" w:history="1">
            <w:r w:rsidR="00B460FC" w:rsidRPr="005567A6">
              <w:rPr>
                <w:rStyle w:val="Hyperlink"/>
                <w:noProof/>
              </w:rPr>
              <w:t>Simulation Results</w:t>
            </w:r>
            <w:r w:rsidR="00B460FC">
              <w:rPr>
                <w:noProof/>
                <w:webHidden/>
              </w:rPr>
              <w:tab/>
            </w:r>
            <w:r w:rsidR="00B460FC">
              <w:rPr>
                <w:noProof/>
                <w:webHidden/>
              </w:rPr>
              <w:fldChar w:fldCharType="begin"/>
            </w:r>
            <w:r w:rsidR="00B460FC">
              <w:rPr>
                <w:noProof/>
                <w:webHidden/>
              </w:rPr>
              <w:instrText xml:space="preserve"> PAGEREF _Toc424039092 \h </w:instrText>
            </w:r>
            <w:r w:rsidR="00B460FC">
              <w:rPr>
                <w:noProof/>
                <w:webHidden/>
              </w:rPr>
            </w:r>
            <w:r w:rsidR="00B460FC">
              <w:rPr>
                <w:noProof/>
                <w:webHidden/>
              </w:rPr>
              <w:fldChar w:fldCharType="separate"/>
            </w:r>
            <w:r w:rsidR="00750DDD">
              <w:rPr>
                <w:noProof/>
                <w:webHidden/>
              </w:rPr>
              <w:t>26</w:t>
            </w:r>
            <w:r w:rsidR="00B460FC">
              <w:rPr>
                <w:noProof/>
                <w:webHidden/>
              </w:rPr>
              <w:fldChar w:fldCharType="end"/>
            </w:r>
          </w:hyperlink>
        </w:p>
        <w:p w:rsidR="00B460FC" w:rsidRDefault="00496501">
          <w:pPr>
            <w:pStyle w:val="TOC1"/>
            <w:rPr>
              <w:rFonts w:asciiTheme="minorHAnsi" w:eastAsiaTheme="minorEastAsia" w:hAnsiTheme="minorHAnsi"/>
              <w:noProof/>
              <w:sz w:val="22"/>
            </w:rPr>
          </w:pPr>
          <w:hyperlink w:anchor="_Toc424039093" w:history="1">
            <w:r w:rsidR="00B460FC" w:rsidRPr="005567A6">
              <w:rPr>
                <w:rStyle w:val="Hyperlink"/>
                <w:noProof/>
              </w:rPr>
              <w:t>Regulatory Choices</w:t>
            </w:r>
            <w:r w:rsidR="00B460FC">
              <w:rPr>
                <w:noProof/>
                <w:webHidden/>
              </w:rPr>
              <w:tab/>
            </w:r>
            <w:r w:rsidR="00B460FC">
              <w:rPr>
                <w:noProof/>
                <w:webHidden/>
              </w:rPr>
              <w:fldChar w:fldCharType="begin"/>
            </w:r>
            <w:r w:rsidR="00B460FC">
              <w:rPr>
                <w:noProof/>
                <w:webHidden/>
              </w:rPr>
              <w:instrText xml:space="preserve"> PAGEREF _Toc424039093 \h </w:instrText>
            </w:r>
            <w:r w:rsidR="00B460FC">
              <w:rPr>
                <w:noProof/>
                <w:webHidden/>
              </w:rPr>
            </w:r>
            <w:r w:rsidR="00B460FC">
              <w:rPr>
                <w:noProof/>
                <w:webHidden/>
              </w:rPr>
              <w:fldChar w:fldCharType="separate"/>
            </w:r>
            <w:r w:rsidR="00750DDD">
              <w:rPr>
                <w:noProof/>
                <w:webHidden/>
              </w:rPr>
              <w:t>29</w:t>
            </w:r>
            <w:r w:rsidR="00B460FC">
              <w:rPr>
                <w:noProof/>
                <w:webHidden/>
              </w:rPr>
              <w:fldChar w:fldCharType="end"/>
            </w:r>
          </w:hyperlink>
        </w:p>
        <w:p w:rsidR="00B460FC" w:rsidRDefault="00496501">
          <w:pPr>
            <w:pStyle w:val="TOC2"/>
            <w:rPr>
              <w:rFonts w:asciiTheme="minorHAnsi" w:eastAsiaTheme="minorEastAsia" w:hAnsiTheme="minorHAnsi"/>
              <w:noProof/>
              <w:sz w:val="22"/>
            </w:rPr>
          </w:pPr>
          <w:hyperlink w:anchor="_Toc424039094" w:history="1">
            <w:r w:rsidR="00B460FC" w:rsidRPr="005567A6">
              <w:rPr>
                <w:rStyle w:val="Hyperlink"/>
                <w:noProof/>
              </w:rPr>
              <w:t>Supportive Regulatory Environment</w:t>
            </w:r>
            <w:r w:rsidR="00B460FC">
              <w:rPr>
                <w:noProof/>
                <w:webHidden/>
              </w:rPr>
              <w:tab/>
            </w:r>
            <w:r w:rsidR="00B460FC">
              <w:rPr>
                <w:noProof/>
                <w:webHidden/>
              </w:rPr>
              <w:fldChar w:fldCharType="begin"/>
            </w:r>
            <w:r w:rsidR="00B460FC">
              <w:rPr>
                <w:noProof/>
                <w:webHidden/>
              </w:rPr>
              <w:instrText xml:space="preserve"> PAGEREF _Toc424039094 \h </w:instrText>
            </w:r>
            <w:r w:rsidR="00B460FC">
              <w:rPr>
                <w:noProof/>
                <w:webHidden/>
              </w:rPr>
            </w:r>
            <w:r w:rsidR="00B460FC">
              <w:rPr>
                <w:noProof/>
                <w:webHidden/>
              </w:rPr>
              <w:fldChar w:fldCharType="separate"/>
            </w:r>
            <w:r w:rsidR="00750DDD">
              <w:rPr>
                <w:noProof/>
                <w:webHidden/>
              </w:rPr>
              <w:t>29</w:t>
            </w:r>
            <w:r w:rsidR="00B460FC">
              <w:rPr>
                <w:noProof/>
                <w:webHidden/>
              </w:rPr>
              <w:fldChar w:fldCharType="end"/>
            </w:r>
          </w:hyperlink>
        </w:p>
        <w:p w:rsidR="00B460FC" w:rsidRDefault="00496501">
          <w:pPr>
            <w:pStyle w:val="TOC1"/>
            <w:rPr>
              <w:rFonts w:asciiTheme="minorHAnsi" w:eastAsiaTheme="minorEastAsia" w:hAnsiTheme="minorHAnsi"/>
              <w:noProof/>
              <w:sz w:val="22"/>
            </w:rPr>
          </w:pPr>
          <w:hyperlink w:anchor="_Toc424039095" w:history="1">
            <w:r w:rsidR="00B460FC" w:rsidRPr="005567A6">
              <w:rPr>
                <w:rStyle w:val="Hyperlink"/>
                <w:noProof/>
              </w:rPr>
              <w:t>Prudence Standards and Reporting Needs</w:t>
            </w:r>
            <w:r w:rsidR="00B460FC">
              <w:rPr>
                <w:noProof/>
                <w:webHidden/>
              </w:rPr>
              <w:tab/>
            </w:r>
            <w:r w:rsidR="00B460FC">
              <w:rPr>
                <w:noProof/>
                <w:webHidden/>
              </w:rPr>
              <w:fldChar w:fldCharType="begin"/>
            </w:r>
            <w:r w:rsidR="00B460FC">
              <w:rPr>
                <w:noProof/>
                <w:webHidden/>
              </w:rPr>
              <w:instrText xml:space="preserve"> PAGEREF _Toc424039095 \h </w:instrText>
            </w:r>
            <w:r w:rsidR="00B460FC">
              <w:rPr>
                <w:noProof/>
                <w:webHidden/>
              </w:rPr>
            </w:r>
            <w:r w:rsidR="00B460FC">
              <w:rPr>
                <w:noProof/>
                <w:webHidden/>
              </w:rPr>
              <w:fldChar w:fldCharType="separate"/>
            </w:r>
            <w:r w:rsidR="00750DDD">
              <w:rPr>
                <w:noProof/>
                <w:webHidden/>
              </w:rPr>
              <w:t>30</w:t>
            </w:r>
            <w:r w:rsidR="00B460FC">
              <w:rPr>
                <w:noProof/>
                <w:webHidden/>
              </w:rPr>
              <w:fldChar w:fldCharType="end"/>
            </w:r>
          </w:hyperlink>
        </w:p>
        <w:p w:rsidR="00B460FC" w:rsidRDefault="00496501">
          <w:pPr>
            <w:pStyle w:val="TOC2"/>
            <w:rPr>
              <w:rFonts w:asciiTheme="minorHAnsi" w:eastAsiaTheme="minorEastAsia" w:hAnsiTheme="minorHAnsi"/>
              <w:noProof/>
              <w:sz w:val="22"/>
            </w:rPr>
          </w:pPr>
          <w:hyperlink w:anchor="_Toc424039096" w:history="1">
            <w:r w:rsidR="00B460FC" w:rsidRPr="005567A6">
              <w:rPr>
                <w:rStyle w:val="Hyperlink"/>
                <w:noProof/>
              </w:rPr>
              <w:t>Standards for Review</w:t>
            </w:r>
            <w:r w:rsidR="00B460FC">
              <w:rPr>
                <w:noProof/>
                <w:webHidden/>
              </w:rPr>
              <w:tab/>
            </w:r>
            <w:r w:rsidR="00B460FC">
              <w:rPr>
                <w:noProof/>
                <w:webHidden/>
              </w:rPr>
              <w:fldChar w:fldCharType="begin"/>
            </w:r>
            <w:r w:rsidR="00B460FC">
              <w:rPr>
                <w:noProof/>
                <w:webHidden/>
              </w:rPr>
              <w:instrText xml:space="preserve"> PAGEREF _Toc424039096 \h </w:instrText>
            </w:r>
            <w:r w:rsidR="00B460FC">
              <w:rPr>
                <w:noProof/>
                <w:webHidden/>
              </w:rPr>
            </w:r>
            <w:r w:rsidR="00B460FC">
              <w:rPr>
                <w:noProof/>
                <w:webHidden/>
              </w:rPr>
              <w:fldChar w:fldCharType="separate"/>
            </w:r>
            <w:r w:rsidR="00750DDD">
              <w:rPr>
                <w:noProof/>
                <w:webHidden/>
              </w:rPr>
              <w:t>33</w:t>
            </w:r>
            <w:r w:rsidR="00B460FC">
              <w:rPr>
                <w:noProof/>
                <w:webHidden/>
              </w:rPr>
              <w:fldChar w:fldCharType="end"/>
            </w:r>
          </w:hyperlink>
        </w:p>
        <w:p w:rsidR="00B460FC" w:rsidRDefault="00496501">
          <w:pPr>
            <w:pStyle w:val="TOC2"/>
            <w:rPr>
              <w:rFonts w:asciiTheme="minorHAnsi" w:eastAsiaTheme="minorEastAsia" w:hAnsiTheme="minorHAnsi"/>
              <w:noProof/>
              <w:sz w:val="22"/>
            </w:rPr>
          </w:pPr>
          <w:hyperlink w:anchor="_Toc424039097" w:history="1">
            <w:r w:rsidR="00B460FC" w:rsidRPr="005567A6">
              <w:rPr>
                <w:rStyle w:val="Hyperlink"/>
                <w:noProof/>
              </w:rPr>
              <w:t>Schedule of Adoption</w:t>
            </w:r>
            <w:r w:rsidR="00B460FC">
              <w:rPr>
                <w:noProof/>
                <w:webHidden/>
              </w:rPr>
              <w:tab/>
            </w:r>
            <w:r w:rsidR="00B460FC">
              <w:rPr>
                <w:noProof/>
                <w:webHidden/>
              </w:rPr>
              <w:fldChar w:fldCharType="begin"/>
            </w:r>
            <w:r w:rsidR="00B460FC">
              <w:rPr>
                <w:noProof/>
                <w:webHidden/>
              </w:rPr>
              <w:instrText xml:space="preserve"> PAGEREF _Toc424039097 \h </w:instrText>
            </w:r>
            <w:r w:rsidR="00B460FC">
              <w:rPr>
                <w:noProof/>
                <w:webHidden/>
              </w:rPr>
            </w:r>
            <w:r w:rsidR="00B460FC">
              <w:rPr>
                <w:noProof/>
                <w:webHidden/>
              </w:rPr>
              <w:fldChar w:fldCharType="separate"/>
            </w:r>
            <w:r w:rsidR="00750DDD">
              <w:rPr>
                <w:noProof/>
                <w:webHidden/>
              </w:rPr>
              <w:t>35</w:t>
            </w:r>
            <w:r w:rsidR="00B460FC">
              <w:rPr>
                <w:noProof/>
                <w:webHidden/>
              </w:rPr>
              <w:fldChar w:fldCharType="end"/>
            </w:r>
          </w:hyperlink>
        </w:p>
        <w:p w:rsidR="00B460FC" w:rsidRDefault="00496501">
          <w:pPr>
            <w:pStyle w:val="TOC1"/>
            <w:rPr>
              <w:rFonts w:asciiTheme="minorHAnsi" w:eastAsiaTheme="minorEastAsia" w:hAnsiTheme="minorHAnsi"/>
              <w:noProof/>
              <w:sz w:val="22"/>
            </w:rPr>
          </w:pPr>
          <w:hyperlink w:anchor="_Toc424039098" w:history="1">
            <w:r w:rsidR="00B460FC" w:rsidRPr="005567A6">
              <w:rPr>
                <w:rStyle w:val="Hyperlink"/>
                <w:noProof/>
              </w:rPr>
              <w:t>Closing Comments</w:t>
            </w:r>
            <w:r w:rsidR="00B460FC">
              <w:rPr>
                <w:noProof/>
                <w:webHidden/>
              </w:rPr>
              <w:tab/>
            </w:r>
            <w:r w:rsidR="00B460FC">
              <w:rPr>
                <w:noProof/>
                <w:webHidden/>
              </w:rPr>
              <w:fldChar w:fldCharType="begin"/>
            </w:r>
            <w:r w:rsidR="00B460FC">
              <w:rPr>
                <w:noProof/>
                <w:webHidden/>
              </w:rPr>
              <w:instrText xml:space="preserve"> PAGEREF _Toc424039098 \h </w:instrText>
            </w:r>
            <w:r w:rsidR="00B460FC">
              <w:rPr>
                <w:noProof/>
                <w:webHidden/>
              </w:rPr>
            </w:r>
            <w:r w:rsidR="00B460FC">
              <w:rPr>
                <w:noProof/>
                <w:webHidden/>
              </w:rPr>
              <w:fldChar w:fldCharType="separate"/>
            </w:r>
            <w:r w:rsidR="00750DDD">
              <w:rPr>
                <w:noProof/>
                <w:webHidden/>
              </w:rPr>
              <w:t>35</w:t>
            </w:r>
            <w:r w:rsidR="00B460FC">
              <w:rPr>
                <w:noProof/>
                <w:webHidden/>
              </w:rPr>
              <w:fldChar w:fldCharType="end"/>
            </w:r>
          </w:hyperlink>
        </w:p>
        <w:p w:rsidR="006F3C3D" w:rsidRDefault="00E07AE7" w:rsidP="003B3AD7">
          <w:pPr>
            <w:pStyle w:val="TOC1"/>
            <w:rPr>
              <w:b/>
              <w:bCs/>
              <w:noProof/>
            </w:rPr>
          </w:pPr>
          <w:r>
            <w:rPr>
              <w:b/>
              <w:bCs/>
              <w:noProof/>
            </w:rPr>
            <w:fldChar w:fldCharType="end"/>
          </w:r>
        </w:p>
      </w:sdtContent>
    </w:sdt>
    <w:bookmarkStart w:id="0" w:name="_Toc411341367" w:displacedByCustomXml="prev"/>
    <w:p w:rsidR="003B3AD7" w:rsidRPr="00845B9D" w:rsidRDefault="003B3AD7" w:rsidP="00845B9D">
      <w:pPr>
        <w:pStyle w:val="Heading1"/>
        <w:spacing w:before="0" w:after="120" w:line="240" w:lineRule="auto"/>
        <w:rPr>
          <w:rFonts w:asciiTheme="minorHAnsi" w:hAnsiTheme="minorHAnsi"/>
          <w:b/>
        </w:rPr>
      </w:pPr>
      <w:bookmarkStart w:id="1" w:name="_Toc424039075"/>
      <w:r>
        <w:rPr>
          <w:rFonts w:asciiTheme="minorHAnsi" w:hAnsiTheme="minorHAnsi"/>
          <w:b/>
        </w:rPr>
        <w:br w:type="page"/>
      </w:r>
      <w:r w:rsidR="00BD1A64" w:rsidRPr="00845B9D">
        <w:rPr>
          <w:rFonts w:asciiTheme="minorHAnsi" w:hAnsiTheme="minorHAnsi"/>
          <w:b/>
        </w:rPr>
        <w:t>Appendix</w:t>
      </w:r>
    </w:p>
    <w:p w:rsidR="003B3AD7" w:rsidRDefault="000F1CEA" w:rsidP="00F24A82">
      <w:pPr>
        <w:spacing w:after="40"/>
      </w:pPr>
      <w:r>
        <w:t xml:space="preserve">Appendix A: </w:t>
      </w:r>
      <w:r w:rsidR="003B3AD7">
        <w:t xml:space="preserve">Commission Staff Report </w:t>
      </w:r>
      <w:r>
        <w:t xml:space="preserve">- </w:t>
      </w:r>
      <w:r w:rsidR="003B3AD7">
        <w:t>Attachment B (March 1, 2013)</w:t>
      </w:r>
      <w:r>
        <w:t>.</w:t>
      </w:r>
      <w:r w:rsidR="003B3AD7">
        <w:tab/>
      </w:r>
    </w:p>
    <w:p w:rsidR="003B3AD7" w:rsidRDefault="003B3AD7" w:rsidP="00F24A82">
      <w:pPr>
        <w:spacing w:after="40"/>
      </w:pPr>
      <w:r>
        <w:t>Appendix B: Notice of Opportunity to File Written Comments</w:t>
      </w:r>
      <w:r w:rsidR="000F1CEA" w:rsidRPr="000F1CEA">
        <w:t xml:space="preserve"> </w:t>
      </w:r>
      <w:r w:rsidR="000F1CEA">
        <w:t>(December 18, 2013).</w:t>
      </w:r>
    </w:p>
    <w:p w:rsidR="003B3AD7" w:rsidRDefault="000F1CEA" w:rsidP="00F24A82">
      <w:pPr>
        <w:spacing w:after="40"/>
      </w:pPr>
      <w:r>
        <w:t xml:space="preserve">Appendix C: </w:t>
      </w:r>
      <w:r w:rsidR="003B3AD7">
        <w:t>Comments of Michael A. Gettings, RiskCentrix</w:t>
      </w:r>
      <w:r w:rsidRPr="000F1CEA">
        <w:t xml:space="preserve"> </w:t>
      </w:r>
      <w:r>
        <w:t>(January 13, 2014).</w:t>
      </w:r>
      <w:r w:rsidR="003B3AD7">
        <w:br/>
      </w:r>
    </w:p>
    <w:p w:rsidR="003B3AD7" w:rsidRDefault="003B3AD7">
      <w:pPr>
        <w:rPr>
          <w:rFonts w:asciiTheme="minorHAnsi" w:eastAsiaTheme="majorEastAsia" w:hAnsiTheme="minorHAnsi" w:cstheme="majorBidi"/>
          <w:b/>
          <w:color w:val="008080"/>
          <w:sz w:val="28"/>
          <w:szCs w:val="32"/>
        </w:rPr>
      </w:pPr>
      <w:r>
        <w:rPr>
          <w:rFonts w:asciiTheme="minorHAnsi" w:hAnsiTheme="minorHAnsi"/>
          <w:b/>
        </w:rPr>
        <w:br w:type="page"/>
      </w:r>
    </w:p>
    <w:p w:rsidR="003B3AD7" w:rsidRDefault="003B3AD7" w:rsidP="008F22A4">
      <w:pPr>
        <w:pStyle w:val="Heading1"/>
        <w:spacing w:before="0" w:line="240" w:lineRule="auto"/>
        <w:rPr>
          <w:rFonts w:asciiTheme="minorHAnsi" w:hAnsiTheme="minorHAnsi"/>
          <w:b/>
        </w:rPr>
      </w:pPr>
    </w:p>
    <w:p w:rsidR="00BA319B" w:rsidRPr="00213EC6" w:rsidRDefault="00367B5F" w:rsidP="008F22A4">
      <w:pPr>
        <w:pStyle w:val="Heading1"/>
        <w:spacing w:before="0" w:line="240" w:lineRule="auto"/>
        <w:rPr>
          <w:rFonts w:asciiTheme="minorHAnsi" w:hAnsiTheme="minorHAnsi"/>
          <w:b/>
        </w:rPr>
      </w:pPr>
      <w:r w:rsidRPr="00213EC6">
        <w:rPr>
          <w:rFonts w:asciiTheme="minorHAnsi" w:hAnsiTheme="minorHAnsi"/>
          <w:b/>
        </w:rPr>
        <w:t>Executive Summary</w:t>
      </w:r>
      <w:bookmarkEnd w:id="1"/>
    </w:p>
    <w:p w:rsidR="007315E3" w:rsidRPr="00213EC6" w:rsidRDefault="007A338B" w:rsidP="00213EC6">
      <w:pPr>
        <w:keepNext/>
        <w:keepLines/>
        <w:rPr>
          <w:sz w:val="24"/>
          <w:szCs w:val="24"/>
        </w:rPr>
      </w:pPr>
      <w:r w:rsidRPr="00213EC6">
        <w:rPr>
          <w:sz w:val="24"/>
          <w:szCs w:val="24"/>
        </w:rPr>
        <w:t xml:space="preserve">In January 2014, the Washington Utilities and Transportation Commission </w:t>
      </w:r>
      <w:r w:rsidR="0061353D">
        <w:rPr>
          <w:sz w:val="24"/>
          <w:szCs w:val="24"/>
        </w:rPr>
        <w:t xml:space="preserve">(commission) </w:t>
      </w:r>
      <w:r w:rsidRPr="00213EC6">
        <w:rPr>
          <w:sz w:val="24"/>
          <w:szCs w:val="24"/>
        </w:rPr>
        <w:t xml:space="preserve">held a workshop to discuss with stakeholders the hedging practices of natural gas </w:t>
      </w:r>
      <w:r w:rsidR="00213EC6" w:rsidRPr="00213EC6">
        <w:rPr>
          <w:sz w:val="24"/>
          <w:szCs w:val="24"/>
        </w:rPr>
        <w:t xml:space="preserve">local distribution </w:t>
      </w:r>
      <w:r w:rsidRPr="00213EC6">
        <w:rPr>
          <w:sz w:val="24"/>
          <w:szCs w:val="24"/>
        </w:rPr>
        <w:t xml:space="preserve">companies </w:t>
      </w:r>
      <w:r w:rsidR="0061353D">
        <w:rPr>
          <w:sz w:val="24"/>
          <w:szCs w:val="24"/>
        </w:rPr>
        <w:t xml:space="preserve">(LDCs) </w:t>
      </w:r>
      <w:r w:rsidRPr="00213EC6">
        <w:rPr>
          <w:sz w:val="24"/>
          <w:szCs w:val="24"/>
        </w:rPr>
        <w:t xml:space="preserve">and the regulation of those hedging practices. </w:t>
      </w:r>
      <w:r w:rsidR="00D561F7" w:rsidRPr="00213EC6">
        <w:rPr>
          <w:sz w:val="24"/>
          <w:szCs w:val="24"/>
        </w:rPr>
        <w:t xml:space="preserve">While there seems to be consensus </w:t>
      </w:r>
      <w:r w:rsidR="00030151" w:rsidRPr="00213EC6">
        <w:rPr>
          <w:sz w:val="24"/>
          <w:szCs w:val="24"/>
        </w:rPr>
        <w:t>in this docket</w:t>
      </w:r>
      <w:r w:rsidR="00D561F7" w:rsidRPr="00213EC6">
        <w:rPr>
          <w:sz w:val="24"/>
          <w:szCs w:val="24"/>
        </w:rPr>
        <w:t xml:space="preserve"> </w:t>
      </w:r>
      <w:r w:rsidR="002266D5" w:rsidRPr="00213EC6">
        <w:rPr>
          <w:sz w:val="24"/>
          <w:szCs w:val="24"/>
        </w:rPr>
        <w:t xml:space="preserve">about </w:t>
      </w:r>
      <w:r w:rsidR="00D561F7" w:rsidRPr="00213EC6">
        <w:rPr>
          <w:sz w:val="24"/>
          <w:szCs w:val="24"/>
        </w:rPr>
        <w:t xml:space="preserve">whether utilities should hedge, further discussion is necessary regarding regulatory policies and effective frameworks for </w:t>
      </w:r>
      <w:r w:rsidR="007315E3" w:rsidRPr="00213EC6">
        <w:rPr>
          <w:sz w:val="24"/>
          <w:szCs w:val="24"/>
        </w:rPr>
        <w:t>robust hedge practices. This white paper provides a</w:t>
      </w:r>
      <w:r w:rsidR="00935128" w:rsidRPr="00213EC6">
        <w:rPr>
          <w:sz w:val="24"/>
          <w:szCs w:val="24"/>
        </w:rPr>
        <w:t>n exploration of key issues</w:t>
      </w:r>
      <w:r w:rsidR="007315E3" w:rsidRPr="00213EC6">
        <w:rPr>
          <w:sz w:val="24"/>
          <w:szCs w:val="24"/>
        </w:rPr>
        <w:t xml:space="preserve"> geared toward stimulating that discussion.</w:t>
      </w:r>
    </w:p>
    <w:p w:rsidR="00961576" w:rsidRDefault="007315E3" w:rsidP="00213EC6">
      <w:pPr>
        <w:keepNext/>
        <w:keepLines/>
        <w:spacing w:after="0"/>
        <w:rPr>
          <w:sz w:val="24"/>
          <w:szCs w:val="24"/>
        </w:rPr>
      </w:pPr>
      <w:r w:rsidRPr="00213EC6">
        <w:rPr>
          <w:sz w:val="24"/>
          <w:szCs w:val="24"/>
        </w:rPr>
        <w:t>T</w:t>
      </w:r>
      <w:r w:rsidR="00961576" w:rsidRPr="00213EC6">
        <w:rPr>
          <w:sz w:val="24"/>
          <w:szCs w:val="24"/>
        </w:rPr>
        <w:t xml:space="preserve">here are three issues that will </w:t>
      </w:r>
      <w:r w:rsidR="00B20F42" w:rsidRPr="00213EC6">
        <w:rPr>
          <w:sz w:val="24"/>
          <w:szCs w:val="24"/>
        </w:rPr>
        <w:t xml:space="preserve">likely </w:t>
      </w:r>
      <w:r w:rsidR="00961576" w:rsidRPr="00213EC6">
        <w:rPr>
          <w:sz w:val="24"/>
          <w:szCs w:val="24"/>
        </w:rPr>
        <w:t>determine the course of hedging programs and regulatory treatment in the future,</w:t>
      </w:r>
      <w:r w:rsidR="00F9793D">
        <w:rPr>
          <w:sz w:val="24"/>
          <w:szCs w:val="24"/>
        </w:rPr>
        <w:t xml:space="preserve"> and</w:t>
      </w:r>
      <w:r w:rsidR="00961576" w:rsidRPr="00213EC6">
        <w:rPr>
          <w:sz w:val="24"/>
          <w:szCs w:val="24"/>
        </w:rPr>
        <w:t xml:space="preserve"> this paper </w:t>
      </w:r>
      <w:r w:rsidR="00213EC6">
        <w:rPr>
          <w:sz w:val="24"/>
          <w:szCs w:val="24"/>
        </w:rPr>
        <w:t>offers</w:t>
      </w:r>
      <w:r w:rsidR="00961576" w:rsidRPr="00213EC6">
        <w:rPr>
          <w:sz w:val="24"/>
          <w:szCs w:val="24"/>
        </w:rPr>
        <w:t xml:space="preserve"> approaches to each. A brief synopsis of each </w:t>
      </w:r>
      <w:r w:rsidR="00EB4EE7" w:rsidRPr="00213EC6">
        <w:rPr>
          <w:sz w:val="24"/>
          <w:szCs w:val="24"/>
        </w:rPr>
        <w:t>issue</w:t>
      </w:r>
      <w:r w:rsidR="00961576" w:rsidRPr="00213EC6">
        <w:rPr>
          <w:sz w:val="24"/>
          <w:szCs w:val="24"/>
        </w:rPr>
        <w:t xml:space="preserve"> is presented below.  </w:t>
      </w:r>
    </w:p>
    <w:p w:rsidR="00BA5252" w:rsidRPr="00213EC6" w:rsidRDefault="00BA5252" w:rsidP="00213EC6">
      <w:pPr>
        <w:keepNext/>
        <w:keepLines/>
        <w:spacing w:after="0"/>
        <w:rPr>
          <w:sz w:val="24"/>
          <w:szCs w:val="24"/>
        </w:rPr>
      </w:pPr>
    </w:p>
    <w:p w:rsidR="00961576" w:rsidRPr="00213EC6" w:rsidRDefault="006B37E7" w:rsidP="00213EC6">
      <w:pPr>
        <w:keepNext/>
        <w:keepLines/>
        <w:spacing w:after="0"/>
        <w:rPr>
          <w:rFonts w:asciiTheme="minorHAnsi" w:hAnsiTheme="minorHAnsi"/>
          <w:b/>
          <w:sz w:val="24"/>
          <w:szCs w:val="24"/>
        </w:rPr>
      </w:pPr>
      <w:r>
        <w:rPr>
          <w:rFonts w:asciiTheme="minorHAnsi" w:hAnsiTheme="minorHAnsi"/>
          <w:b/>
          <w:sz w:val="24"/>
          <w:szCs w:val="24"/>
        </w:rPr>
        <w:t>H</w:t>
      </w:r>
      <w:r w:rsidR="00961576" w:rsidRPr="00213EC6">
        <w:rPr>
          <w:rFonts w:asciiTheme="minorHAnsi" w:hAnsiTheme="minorHAnsi"/>
          <w:b/>
          <w:sz w:val="24"/>
          <w:szCs w:val="24"/>
        </w:rPr>
        <w:t>edge-strategy objectives</w:t>
      </w:r>
    </w:p>
    <w:p w:rsidR="00961576" w:rsidRPr="003E4E92" w:rsidRDefault="00961576" w:rsidP="00213EC6">
      <w:pPr>
        <w:spacing w:after="0"/>
        <w:rPr>
          <w:rFonts w:cs="Times New Roman"/>
          <w:sz w:val="24"/>
          <w:szCs w:val="24"/>
        </w:rPr>
      </w:pPr>
      <w:r w:rsidRPr="00213EC6">
        <w:rPr>
          <w:rFonts w:cs="Times New Roman"/>
          <w:sz w:val="24"/>
          <w:szCs w:val="24"/>
        </w:rPr>
        <w:t xml:space="preserve">Any risk management program’s objective is, by definition, to manage risk. </w:t>
      </w:r>
      <w:r w:rsidR="006C49C9" w:rsidRPr="00213EC6">
        <w:rPr>
          <w:rFonts w:cs="Times New Roman"/>
          <w:sz w:val="24"/>
          <w:szCs w:val="24"/>
        </w:rPr>
        <w:t>When managing commodity price risk, efforts to constrain</w:t>
      </w:r>
      <w:r w:rsidR="00030151" w:rsidRPr="00213EC6">
        <w:rPr>
          <w:rFonts w:cs="Times New Roman"/>
          <w:sz w:val="24"/>
          <w:szCs w:val="24"/>
        </w:rPr>
        <w:t xml:space="preserve"> only</w:t>
      </w:r>
      <w:r w:rsidR="006C49C9" w:rsidRPr="00213EC6">
        <w:rPr>
          <w:rFonts w:cs="Times New Roman"/>
          <w:sz w:val="24"/>
          <w:szCs w:val="24"/>
        </w:rPr>
        <w:t xml:space="preserve"> cost outcomes typically increase the risk of hedge losses.</w:t>
      </w:r>
      <w:r w:rsidR="006A5FE2" w:rsidRPr="00213EC6">
        <w:rPr>
          <w:rStyle w:val="FootnoteReference"/>
          <w:rFonts w:ascii="Times New Roman" w:hAnsi="Times New Roman" w:cs="Times New Roman"/>
          <w:sz w:val="24"/>
          <w:szCs w:val="24"/>
        </w:rPr>
        <w:footnoteReference w:id="2"/>
      </w:r>
      <w:r w:rsidR="006C49C9" w:rsidRPr="00213EC6">
        <w:rPr>
          <w:rFonts w:cs="Times New Roman"/>
          <w:sz w:val="24"/>
          <w:szCs w:val="24"/>
        </w:rPr>
        <w:t xml:space="preserve"> In other words, risk is polar</w:t>
      </w:r>
      <w:r w:rsidR="00EB4EE7" w:rsidRPr="00213EC6">
        <w:rPr>
          <w:rFonts w:cs="Times New Roman"/>
          <w:sz w:val="24"/>
          <w:szCs w:val="24"/>
        </w:rPr>
        <w:t xml:space="preserve">, presenting both the risk of upside cost movement and the risk of </w:t>
      </w:r>
      <w:r w:rsidR="003F3154" w:rsidRPr="00213EC6">
        <w:rPr>
          <w:rFonts w:cs="Times New Roman"/>
          <w:sz w:val="24"/>
          <w:szCs w:val="24"/>
        </w:rPr>
        <w:t xml:space="preserve">a </w:t>
      </w:r>
      <w:r w:rsidR="00EB4EE7" w:rsidRPr="00213EC6">
        <w:rPr>
          <w:rFonts w:cs="Times New Roman"/>
          <w:sz w:val="24"/>
          <w:szCs w:val="24"/>
        </w:rPr>
        <w:t xml:space="preserve">downside </w:t>
      </w:r>
      <w:r w:rsidR="003F3154" w:rsidRPr="00213EC6">
        <w:rPr>
          <w:rFonts w:cs="Times New Roman"/>
          <w:sz w:val="24"/>
          <w:szCs w:val="24"/>
        </w:rPr>
        <w:t>hedging loss</w:t>
      </w:r>
      <w:r w:rsidR="006C49C9" w:rsidRPr="00213EC6">
        <w:rPr>
          <w:rFonts w:cs="Times New Roman"/>
          <w:sz w:val="24"/>
          <w:szCs w:val="24"/>
        </w:rPr>
        <w:t xml:space="preserve">. </w:t>
      </w:r>
      <w:r w:rsidRPr="00213EC6">
        <w:rPr>
          <w:rFonts w:cs="Times New Roman"/>
          <w:sz w:val="24"/>
          <w:szCs w:val="24"/>
        </w:rPr>
        <w:t>Since risk is polar, objectives should balance the mitigation of potential costs against hedge</w:t>
      </w:r>
      <w:r w:rsidRPr="00213EC6">
        <w:rPr>
          <w:rFonts w:cs="Times New Roman"/>
          <w:sz w:val="24"/>
          <w:szCs w:val="24"/>
        </w:rPr>
        <w:noBreakHyphen/>
        <w:t>loss potential</w:t>
      </w:r>
      <w:r w:rsidR="00EB4EE7" w:rsidRPr="00213EC6">
        <w:rPr>
          <w:rFonts w:cs="Times New Roman"/>
          <w:sz w:val="24"/>
          <w:szCs w:val="24"/>
        </w:rPr>
        <w:t xml:space="preserve"> by identifying a company’s upside cost tolerance as well as its hedge-loss tolerance</w:t>
      </w:r>
      <w:r w:rsidRPr="00213EC6">
        <w:rPr>
          <w:rFonts w:cs="Times New Roman"/>
          <w:sz w:val="24"/>
          <w:szCs w:val="24"/>
        </w:rPr>
        <w:t xml:space="preserve">. Further, </w:t>
      </w:r>
      <w:r w:rsidR="002266D5">
        <w:rPr>
          <w:rFonts w:cs="Times New Roman"/>
          <w:sz w:val="24"/>
          <w:szCs w:val="24"/>
        </w:rPr>
        <w:t>because</w:t>
      </w:r>
      <w:r w:rsidR="002266D5" w:rsidRPr="00213EC6">
        <w:rPr>
          <w:rFonts w:cs="Times New Roman"/>
          <w:sz w:val="24"/>
          <w:szCs w:val="24"/>
        </w:rPr>
        <w:t xml:space="preserve"> </w:t>
      </w:r>
      <w:r w:rsidRPr="00213EC6">
        <w:rPr>
          <w:rFonts w:cs="Times New Roman"/>
          <w:sz w:val="24"/>
          <w:szCs w:val="24"/>
        </w:rPr>
        <w:t>risk conditions vary radically and continuously</w:t>
      </w:r>
      <w:r w:rsidR="00360D7B" w:rsidRPr="00213EC6">
        <w:rPr>
          <w:rFonts w:cs="Times New Roman"/>
          <w:sz w:val="24"/>
          <w:szCs w:val="24"/>
        </w:rPr>
        <w:t>,</w:t>
      </w:r>
      <w:r w:rsidRPr="00213EC6">
        <w:rPr>
          <w:rFonts w:cs="Times New Roman"/>
          <w:sz w:val="24"/>
          <w:szCs w:val="24"/>
        </w:rPr>
        <w:t xml:space="preserve"> objectives must be monitored routinely to ensure high confidence in tolerable </w:t>
      </w:r>
      <w:r w:rsidR="00360D7B" w:rsidRPr="00213EC6">
        <w:rPr>
          <w:rFonts w:cs="Times New Roman"/>
          <w:sz w:val="24"/>
          <w:szCs w:val="24"/>
        </w:rPr>
        <w:t xml:space="preserve">cost and loss </w:t>
      </w:r>
      <w:r w:rsidRPr="00213EC6">
        <w:rPr>
          <w:rFonts w:cs="Times New Roman"/>
          <w:sz w:val="24"/>
          <w:szCs w:val="24"/>
        </w:rPr>
        <w:t xml:space="preserve">outcomes. </w:t>
      </w:r>
      <w:r w:rsidR="00C34564" w:rsidRPr="00213EC6">
        <w:rPr>
          <w:rFonts w:cs="Times New Roman"/>
          <w:sz w:val="24"/>
          <w:szCs w:val="24"/>
        </w:rPr>
        <w:t>Historically, investor</w:t>
      </w:r>
      <w:r w:rsidR="00780B94" w:rsidRPr="00213EC6">
        <w:rPr>
          <w:rFonts w:cs="Times New Roman"/>
          <w:sz w:val="24"/>
          <w:szCs w:val="24"/>
        </w:rPr>
        <w:t>-</w:t>
      </w:r>
      <w:r w:rsidR="00C34564" w:rsidRPr="00213EC6">
        <w:rPr>
          <w:rFonts w:cs="Times New Roman"/>
          <w:sz w:val="24"/>
          <w:szCs w:val="24"/>
        </w:rPr>
        <w:t xml:space="preserve">owned utilities have chosen to implement “lock-and-leave” hedging programs that identify the percentage of purchases to be hedged, but </w:t>
      </w:r>
      <w:r w:rsidR="00AC6871" w:rsidRPr="00213EC6">
        <w:rPr>
          <w:rFonts w:cs="Times New Roman"/>
          <w:sz w:val="24"/>
          <w:szCs w:val="24"/>
        </w:rPr>
        <w:t xml:space="preserve">do </w:t>
      </w:r>
      <w:r w:rsidR="00C34564" w:rsidRPr="00213EC6">
        <w:rPr>
          <w:rFonts w:cs="Times New Roman"/>
          <w:sz w:val="24"/>
          <w:szCs w:val="24"/>
        </w:rPr>
        <w:t>not identify cost or loss tolerances.</w:t>
      </w:r>
      <w:r w:rsidR="003E4E92">
        <w:rPr>
          <w:rFonts w:cs="Times New Roman"/>
          <w:sz w:val="24"/>
          <w:szCs w:val="24"/>
        </w:rPr>
        <w:t xml:space="preserve"> T</w:t>
      </w:r>
      <w:r w:rsidRPr="00213EC6">
        <w:rPr>
          <w:rFonts w:cs="Times New Roman"/>
          <w:sz w:val="24"/>
          <w:szCs w:val="24"/>
        </w:rPr>
        <w:t xml:space="preserve">he management of dual, competing tolerances </w:t>
      </w:r>
      <w:r w:rsidR="003E4E92">
        <w:rPr>
          <w:rFonts w:cs="Times New Roman"/>
          <w:sz w:val="24"/>
          <w:szCs w:val="24"/>
        </w:rPr>
        <w:t xml:space="preserve">discussed in this paper </w:t>
      </w:r>
      <w:r w:rsidRPr="00213EC6">
        <w:rPr>
          <w:rFonts w:cs="Times New Roman"/>
          <w:sz w:val="24"/>
          <w:szCs w:val="24"/>
        </w:rPr>
        <w:t>constitute</w:t>
      </w:r>
      <w:r w:rsidR="007315E3" w:rsidRPr="00213EC6">
        <w:rPr>
          <w:rFonts w:cs="Times New Roman"/>
          <w:sz w:val="24"/>
          <w:szCs w:val="24"/>
        </w:rPr>
        <w:t>s</w:t>
      </w:r>
      <w:r w:rsidRPr="00213EC6">
        <w:rPr>
          <w:rFonts w:cs="Times New Roman"/>
          <w:sz w:val="24"/>
          <w:szCs w:val="24"/>
        </w:rPr>
        <w:t xml:space="preserve"> a major change from simple volatility</w:t>
      </w:r>
      <w:r w:rsidRPr="00213EC6">
        <w:rPr>
          <w:rFonts w:cs="Times New Roman"/>
          <w:sz w:val="24"/>
          <w:szCs w:val="24"/>
        </w:rPr>
        <w:noBreakHyphen/>
        <w:t>reduction objectives that are prevalent today</w:t>
      </w:r>
      <w:r w:rsidR="00F9793D">
        <w:rPr>
          <w:rFonts w:cs="Times New Roman"/>
          <w:sz w:val="24"/>
          <w:szCs w:val="24"/>
        </w:rPr>
        <w:t>,</w:t>
      </w:r>
      <w:r w:rsidRPr="00213EC6">
        <w:rPr>
          <w:rFonts w:cs="Times New Roman"/>
          <w:sz w:val="24"/>
          <w:szCs w:val="24"/>
        </w:rPr>
        <w:t xml:space="preserve"> and</w:t>
      </w:r>
      <w:r w:rsidR="003E4E92">
        <w:rPr>
          <w:rFonts w:cs="Times New Roman"/>
          <w:sz w:val="24"/>
          <w:szCs w:val="24"/>
        </w:rPr>
        <w:t xml:space="preserve"> therefore</w:t>
      </w:r>
      <w:r w:rsidR="00F9793D">
        <w:rPr>
          <w:rFonts w:cs="Times New Roman"/>
          <w:sz w:val="24"/>
          <w:szCs w:val="24"/>
        </w:rPr>
        <w:t>,</w:t>
      </w:r>
      <w:r w:rsidRPr="00213EC6">
        <w:rPr>
          <w:rFonts w:cs="Times New Roman"/>
          <w:sz w:val="24"/>
          <w:szCs w:val="24"/>
        </w:rPr>
        <w:t xml:space="preserve"> hedging methodologies </w:t>
      </w:r>
      <w:r w:rsidR="002266D5">
        <w:rPr>
          <w:rFonts w:cs="Times New Roman"/>
          <w:sz w:val="24"/>
          <w:szCs w:val="24"/>
        </w:rPr>
        <w:t>must</w:t>
      </w:r>
      <w:r w:rsidRPr="003E4E92">
        <w:rPr>
          <w:rFonts w:cs="Times New Roman"/>
          <w:sz w:val="24"/>
          <w:szCs w:val="24"/>
        </w:rPr>
        <w:t xml:space="preserve"> </w:t>
      </w:r>
      <w:r w:rsidR="003E4E92">
        <w:rPr>
          <w:rFonts w:cs="Times New Roman"/>
          <w:sz w:val="24"/>
          <w:szCs w:val="24"/>
        </w:rPr>
        <w:t>change</w:t>
      </w:r>
      <w:r w:rsidRPr="003E4E92">
        <w:rPr>
          <w:rFonts w:cs="Times New Roman"/>
          <w:sz w:val="24"/>
          <w:szCs w:val="24"/>
        </w:rPr>
        <w:t xml:space="preserve"> accordingly.</w:t>
      </w:r>
    </w:p>
    <w:p w:rsidR="002266D5" w:rsidRDefault="002266D5" w:rsidP="008F22A4">
      <w:pPr>
        <w:spacing w:after="120"/>
        <w:rPr>
          <w:rFonts w:asciiTheme="minorHAnsi" w:hAnsiTheme="minorHAnsi"/>
          <w:b/>
          <w:sz w:val="24"/>
          <w:szCs w:val="24"/>
        </w:rPr>
      </w:pPr>
    </w:p>
    <w:p w:rsidR="00961576" w:rsidRPr="003E4E92" w:rsidRDefault="006B37E7" w:rsidP="003E4E92">
      <w:pPr>
        <w:spacing w:after="0"/>
        <w:rPr>
          <w:rFonts w:asciiTheme="minorHAnsi" w:hAnsiTheme="minorHAnsi"/>
          <w:b/>
          <w:sz w:val="24"/>
          <w:szCs w:val="24"/>
        </w:rPr>
      </w:pPr>
      <w:r>
        <w:rPr>
          <w:rFonts w:asciiTheme="minorHAnsi" w:hAnsiTheme="minorHAnsi"/>
          <w:b/>
          <w:sz w:val="24"/>
          <w:szCs w:val="24"/>
        </w:rPr>
        <w:t>E</w:t>
      </w:r>
      <w:r w:rsidR="00961576" w:rsidRPr="003E4E92">
        <w:rPr>
          <w:rFonts w:asciiTheme="minorHAnsi" w:hAnsiTheme="minorHAnsi"/>
          <w:b/>
          <w:sz w:val="24"/>
          <w:szCs w:val="24"/>
        </w:rPr>
        <w:t>ffective framework</w:t>
      </w:r>
      <w:r>
        <w:rPr>
          <w:rFonts w:asciiTheme="minorHAnsi" w:hAnsiTheme="minorHAnsi"/>
          <w:b/>
          <w:sz w:val="24"/>
          <w:szCs w:val="24"/>
        </w:rPr>
        <w:t>s</w:t>
      </w:r>
      <w:r w:rsidR="00961576" w:rsidRPr="003E4E92">
        <w:rPr>
          <w:rFonts w:asciiTheme="minorHAnsi" w:hAnsiTheme="minorHAnsi"/>
          <w:b/>
          <w:sz w:val="24"/>
          <w:szCs w:val="24"/>
        </w:rPr>
        <w:t xml:space="preserve"> </w:t>
      </w:r>
    </w:p>
    <w:p w:rsidR="00961576" w:rsidRPr="003E4E92" w:rsidRDefault="00C34564" w:rsidP="003E4E92">
      <w:pPr>
        <w:spacing w:after="0"/>
        <w:rPr>
          <w:sz w:val="24"/>
          <w:szCs w:val="24"/>
        </w:rPr>
      </w:pPr>
      <w:r w:rsidRPr="003E4E92">
        <w:rPr>
          <w:sz w:val="24"/>
          <w:szCs w:val="24"/>
        </w:rPr>
        <w:t xml:space="preserve">To move toward a more robust approach, it is important to measure risk. By measuring risk, </w:t>
      </w:r>
      <w:r w:rsidR="00180870" w:rsidRPr="003E4E92">
        <w:rPr>
          <w:sz w:val="24"/>
          <w:szCs w:val="24"/>
        </w:rPr>
        <w:t xml:space="preserve">a </w:t>
      </w:r>
      <w:r w:rsidRPr="003E4E92">
        <w:rPr>
          <w:sz w:val="24"/>
          <w:szCs w:val="24"/>
        </w:rPr>
        <w:t>utilit</w:t>
      </w:r>
      <w:r w:rsidR="00180870" w:rsidRPr="003E4E92">
        <w:rPr>
          <w:sz w:val="24"/>
          <w:szCs w:val="24"/>
        </w:rPr>
        <w:t>y</w:t>
      </w:r>
      <w:r w:rsidRPr="003E4E92">
        <w:rPr>
          <w:sz w:val="24"/>
          <w:szCs w:val="24"/>
        </w:rPr>
        <w:t xml:space="preserve"> will know when </w:t>
      </w:r>
      <w:r w:rsidR="00180870" w:rsidRPr="003E4E92">
        <w:rPr>
          <w:sz w:val="24"/>
          <w:szCs w:val="24"/>
        </w:rPr>
        <w:t xml:space="preserve">its </w:t>
      </w:r>
      <w:r w:rsidRPr="003E4E92">
        <w:rPr>
          <w:sz w:val="24"/>
          <w:szCs w:val="24"/>
        </w:rPr>
        <w:t>cost</w:t>
      </w:r>
      <w:r w:rsidR="000F67DD" w:rsidRPr="003E4E92">
        <w:rPr>
          <w:sz w:val="24"/>
          <w:szCs w:val="24"/>
        </w:rPr>
        <w:t>-</w:t>
      </w:r>
      <w:r w:rsidRPr="003E4E92">
        <w:rPr>
          <w:sz w:val="24"/>
          <w:szCs w:val="24"/>
        </w:rPr>
        <w:t>tolerance and loss</w:t>
      </w:r>
      <w:r w:rsidR="000F67DD" w:rsidRPr="003E4E92">
        <w:rPr>
          <w:sz w:val="24"/>
          <w:szCs w:val="24"/>
        </w:rPr>
        <w:t>-</w:t>
      </w:r>
      <w:r w:rsidRPr="003E4E92">
        <w:rPr>
          <w:sz w:val="24"/>
          <w:szCs w:val="24"/>
        </w:rPr>
        <w:t>tolerance are in danger of being breached</w:t>
      </w:r>
      <w:r w:rsidR="00180870" w:rsidRPr="003E4E92">
        <w:rPr>
          <w:sz w:val="24"/>
          <w:szCs w:val="24"/>
        </w:rPr>
        <w:t xml:space="preserve"> and </w:t>
      </w:r>
      <w:r w:rsidR="00F9793D">
        <w:rPr>
          <w:sz w:val="24"/>
          <w:szCs w:val="24"/>
        </w:rPr>
        <w:t xml:space="preserve">may </w:t>
      </w:r>
      <w:r w:rsidRPr="003E4E92">
        <w:rPr>
          <w:sz w:val="24"/>
          <w:szCs w:val="24"/>
        </w:rPr>
        <w:t>react accordingly</w:t>
      </w:r>
      <w:r w:rsidR="00583443" w:rsidRPr="003E4E92">
        <w:rPr>
          <w:sz w:val="24"/>
          <w:szCs w:val="24"/>
        </w:rPr>
        <w:t xml:space="preserve">. </w:t>
      </w:r>
      <w:r w:rsidR="00961576" w:rsidRPr="003E4E92">
        <w:rPr>
          <w:sz w:val="24"/>
          <w:szCs w:val="24"/>
        </w:rPr>
        <w:t xml:space="preserve">The principles of quantitative finance offer the ability to quantify and monitor risk on a daily or weekly basis. Value at Risk (VaR) is an effective tool that </w:t>
      </w:r>
      <w:r w:rsidR="00E3460D">
        <w:rPr>
          <w:sz w:val="24"/>
          <w:szCs w:val="24"/>
        </w:rPr>
        <w:t xml:space="preserve">companies </w:t>
      </w:r>
      <w:r w:rsidR="00180870" w:rsidRPr="003E4E92">
        <w:rPr>
          <w:sz w:val="24"/>
          <w:szCs w:val="24"/>
        </w:rPr>
        <w:t xml:space="preserve">may </w:t>
      </w:r>
      <w:r w:rsidR="00961576" w:rsidRPr="003E4E92">
        <w:rPr>
          <w:sz w:val="24"/>
          <w:szCs w:val="24"/>
        </w:rPr>
        <w:t xml:space="preserve">deploy to measure the risk of breaching cost boundaries or hedge-loss boundaries. A framework for the deployment of VaR metrics, and the development of risk-responsive hedge strategies </w:t>
      </w:r>
      <w:r w:rsidR="00360D7B" w:rsidRPr="003E4E92">
        <w:rPr>
          <w:sz w:val="24"/>
          <w:szCs w:val="24"/>
        </w:rPr>
        <w:t>will be</w:t>
      </w:r>
      <w:r w:rsidR="00961576" w:rsidRPr="003E4E92">
        <w:rPr>
          <w:sz w:val="24"/>
          <w:szCs w:val="24"/>
        </w:rPr>
        <w:t xml:space="preserve"> described in some detail </w:t>
      </w:r>
      <w:r w:rsidR="006C49C9" w:rsidRPr="003E4E92">
        <w:rPr>
          <w:sz w:val="24"/>
          <w:szCs w:val="24"/>
        </w:rPr>
        <w:t>in this paper</w:t>
      </w:r>
      <w:r w:rsidR="00E3460D">
        <w:rPr>
          <w:sz w:val="24"/>
          <w:szCs w:val="24"/>
        </w:rPr>
        <w:t xml:space="preserve">, including </w:t>
      </w:r>
      <w:r w:rsidR="00D663C0">
        <w:rPr>
          <w:sz w:val="24"/>
          <w:szCs w:val="24"/>
        </w:rPr>
        <w:t xml:space="preserve">the </w:t>
      </w:r>
      <w:r w:rsidR="00E3460D">
        <w:rPr>
          <w:sz w:val="24"/>
          <w:szCs w:val="24"/>
        </w:rPr>
        <w:t>us</w:t>
      </w:r>
      <w:r w:rsidR="00D663C0">
        <w:rPr>
          <w:sz w:val="24"/>
          <w:szCs w:val="24"/>
        </w:rPr>
        <w:t>e of</w:t>
      </w:r>
      <w:r w:rsidR="00583443" w:rsidRPr="003E4E92">
        <w:rPr>
          <w:sz w:val="24"/>
          <w:szCs w:val="24"/>
        </w:rPr>
        <w:t xml:space="preserve"> a simulation to demonstrate how the strategies would work</w:t>
      </w:r>
      <w:r w:rsidR="00D663C0">
        <w:rPr>
          <w:sz w:val="24"/>
          <w:szCs w:val="24"/>
        </w:rPr>
        <w:t xml:space="preserve"> under certain market scenarios</w:t>
      </w:r>
      <w:r w:rsidR="00961576" w:rsidRPr="003E4E92">
        <w:rPr>
          <w:sz w:val="24"/>
          <w:szCs w:val="24"/>
        </w:rPr>
        <w:t>.</w:t>
      </w:r>
    </w:p>
    <w:p w:rsidR="00A123C3" w:rsidRDefault="00A123C3" w:rsidP="003E4E92">
      <w:pPr>
        <w:spacing w:after="0"/>
      </w:pPr>
    </w:p>
    <w:p w:rsidR="00961576" w:rsidRPr="00D663C0" w:rsidRDefault="00842EBA" w:rsidP="003E4E92">
      <w:pPr>
        <w:keepNext/>
        <w:keepLines/>
        <w:spacing w:after="0"/>
        <w:rPr>
          <w:rFonts w:asciiTheme="minorHAnsi" w:hAnsiTheme="minorHAnsi"/>
          <w:b/>
        </w:rPr>
      </w:pPr>
      <w:r>
        <w:rPr>
          <w:rFonts w:asciiTheme="minorHAnsi" w:hAnsiTheme="minorHAnsi"/>
          <w:b/>
        </w:rPr>
        <w:t>Regulatory Policies and h</w:t>
      </w:r>
      <w:r w:rsidR="00561AE0">
        <w:rPr>
          <w:rFonts w:asciiTheme="minorHAnsi" w:hAnsiTheme="minorHAnsi"/>
          <w:b/>
        </w:rPr>
        <w:t>edging strategies</w:t>
      </w:r>
    </w:p>
    <w:p w:rsidR="005E18AE" w:rsidRPr="00D663C0" w:rsidRDefault="00961576" w:rsidP="006339CE">
      <w:pPr>
        <w:rPr>
          <w:sz w:val="24"/>
          <w:szCs w:val="24"/>
        </w:rPr>
      </w:pPr>
      <w:r w:rsidRPr="00D663C0">
        <w:rPr>
          <w:sz w:val="24"/>
          <w:szCs w:val="24"/>
        </w:rPr>
        <w:t>Prudence</w:t>
      </w:r>
      <w:r w:rsidR="00E25F52" w:rsidRPr="003A0AAB">
        <w:rPr>
          <w:sz w:val="24"/>
          <w:szCs w:val="24"/>
        </w:rPr>
        <w:t>-</w:t>
      </w:r>
      <w:r w:rsidRPr="00D663C0">
        <w:rPr>
          <w:sz w:val="24"/>
          <w:szCs w:val="24"/>
        </w:rPr>
        <w:t>risk</w:t>
      </w:r>
      <w:r w:rsidR="00E25F52" w:rsidRPr="003A0AAB">
        <w:rPr>
          <w:sz w:val="24"/>
          <w:szCs w:val="24"/>
        </w:rPr>
        <w:t xml:space="preserve"> – t</w:t>
      </w:r>
      <w:r w:rsidR="00583443" w:rsidRPr="00D663C0">
        <w:rPr>
          <w:sz w:val="24"/>
          <w:szCs w:val="24"/>
        </w:rPr>
        <w:t>he risk incurred by regulated utilities that costs may be found imprudent and not allowed for recovery from ratepayers</w:t>
      </w:r>
      <w:r w:rsidR="00E25F52" w:rsidRPr="003A0AAB">
        <w:rPr>
          <w:sz w:val="24"/>
          <w:szCs w:val="24"/>
        </w:rPr>
        <w:t xml:space="preserve"> – is </w:t>
      </w:r>
      <w:r w:rsidR="00583443" w:rsidRPr="00D663C0">
        <w:rPr>
          <w:sz w:val="24"/>
          <w:szCs w:val="24"/>
        </w:rPr>
        <w:t>a necessary component of economic regulation. Prudence</w:t>
      </w:r>
      <w:r w:rsidR="00E25F52" w:rsidRPr="003A0AAB">
        <w:rPr>
          <w:sz w:val="24"/>
          <w:szCs w:val="24"/>
        </w:rPr>
        <w:t>-</w:t>
      </w:r>
      <w:r w:rsidR="00583443" w:rsidRPr="00D663C0">
        <w:rPr>
          <w:sz w:val="24"/>
          <w:szCs w:val="24"/>
        </w:rPr>
        <w:t>risk is reasonable and nece</w:t>
      </w:r>
      <w:r w:rsidR="004552BE" w:rsidRPr="00D663C0">
        <w:rPr>
          <w:sz w:val="24"/>
          <w:szCs w:val="24"/>
        </w:rPr>
        <w:t xml:space="preserve">ssary to protect ratepayers because </w:t>
      </w:r>
      <w:r w:rsidR="00D663C0">
        <w:rPr>
          <w:sz w:val="24"/>
          <w:szCs w:val="24"/>
        </w:rPr>
        <w:t xml:space="preserve">regulated </w:t>
      </w:r>
      <w:r w:rsidR="004552BE" w:rsidRPr="00D663C0">
        <w:rPr>
          <w:sz w:val="24"/>
          <w:szCs w:val="24"/>
        </w:rPr>
        <w:t xml:space="preserve">utilities operate in </w:t>
      </w:r>
      <w:r w:rsidR="00D663C0">
        <w:rPr>
          <w:sz w:val="24"/>
          <w:szCs w:val="24"/>
        </w:rPr>
        <w:t xml:space="preserve">monopoly </w:t>
      </w:r>
      <w:r w:rsidR="004552BE" w:rsidRPr="00D663C0">
        <w:rPr>
          <w:sz w:val="24"/>
          <w:szCs w:val="24"/>
        </w:rPr>
        <w:t>markets that do not provide competitive checks and balances. However, prudence</w:t>
      </w:r>
      <w:r w:rsidR="00E25F52" w:rsidRPr="003A0AAB">
        <w:rPr>
          <w:sz w:val="24"/>
          <w:szCs w:val="24"/>
        </w:rPr>
        <w:t>-</w:t>
      </w:r>
      <w:r w:rsidR="004552BE" w:rsidRPr="00D663C0">
        <w:rPr>
          <w:sz w:val="24"/>
          <w:szCs w:val="24"/>
        </w:rPr>
        <w:t xml:space="preserve">risk </w:t>
      </w:r>
      <w:r w:rsidR="007315E3" w:rsidRPr="00D663C0">
        <w:rPr>
          <w:sz w:val="24"/>
          <w:szCs w:val="24"/>
        </w:rPr>
        <w:t>may be</w:t>
      </w:r>
      <w:r w:rsidRPr="00D663C0">
        <w:rPr>
          <w:sz w:val="24"/>
          <w:szCs w:val="24"/>
        </w:rPr>
        <w:t xml:space="preserve"> the princip</w:t>
      </w:r>
      <w:r w:rsidR="00AC6871" w:rsidRPr="00D663C0">
        <w:rPr>
          <w:sz w:val="24"/>
          <w:szCs w:val="24"/>
        </w:rPr>
        <w:t>al</w:t>
      </w:r>
      <w:r w:rsidRPr="00D663C0">
        <w:rPr>
          <w:sz w:val="24"/>
          <w:szCs w:val="24"/>
        </w:rPr>
        <w:t xml:space="preserve"> reason that investor</w:t>
      </w:r>
      <w:r w:rsidR="00780B94" w:rsidRPr="00D663C0">
        <w:rPr>
          <w:sz w:val="24"/>
          <w:szCs w:val="24"/>
        </w:rPr>
        <w:t>-</w:t>
      </w:r>
      <w:r w:rsidRPr="00D663C0">
        <w:rPr>
          <w:sz w:val="24"/>
          <w:szCs w:val="24"/>
        </w:rPr>
        <w:t>owned utilities have been slow to adopt quantitative finance methodologies</w:t>
      </w:r>
      <w:r w:rsidR="0061353D">
        <w:rPr>
          <w:sz w:val="24"/>
          <w:szCs w:val="24"/>
        </w:rPr>
        <w:t>. Specifically,</w:t>
      </w:r>
      <w:r w:rsidR="004552BE" w:rsidRPr="00D663C0">
        <w:rPr>
          <w:sz w:val="24"/>
          <w:szCs w:val="24"/>
        </w:rPr>
        <w:t xml:space="preserve"> </w:t>
      </w:r>
      <w:r w:rsidR="00D663C0">
        <w:rPr>
          <w:sz w:val="24"/>
          <w:szCs w:val="24"/>
        </w:rPr>
        <w:t xml:space="preserve">these utilities </w:t>
      </w:r>
      <w:r w:rsidR="004552BE" w:rsidRPr="00D663C0">
        <w:rPr>
          <w:sz w:val="24"/>
          <w:szCs w:val="24"/>
        </w:rPr>
        <w:t>protect their shareholders from undue prudence</w:t>
      </w:r>
      <w:r w:rsidR="00E25F52" w:rsidRPr="003A0AAB">
        <w:rPr>
          <w:sz w:val="24"/>
          <w:szCs w:val="24"/>
        </w:rPr>
        <w:t>-</w:t>
      </w:r>
      <w:r w:rsidR="004552BE" w:rsidRPr="00D663C0">
        <w:rPr>
          <w:sz w:val="24"/>
          <w:szCs w:val="24"/>
        </w:rPr>
        <w:t>risk</w:t>
      </w:r>
      <w:r w:rsidR="00D663C0">
        <w:rPr>
          <w:sz w:val="24"/>
          <w:szCs w:val="24"/>
        </w:rPr>
        <w:t xml:space="preserve"> by using programmatic lock-and-leave hedging </w:t>
      </w:r>
      <w:r w:rsidR="006D7050">
        <w:rPr>
          <w:sz w:val="24"/>
          <w:szCs w:val="24"/>
        </w:rPr>
        <w:t>techniques</w:t>
      </w:r>
      <w:r w:rsidR="00D663C0">
        <w:rPr>
          <w:sz w:val="24"/>
          <w:szCs w:val="24"/>
        </w:rPr>
        <w:t>.</w:t>
      </w:r>
      <w:r w:rsidRPr="00D663C0">
        <w:rPr>
          <w:sz w:val="24"/>
          <w:szCs w:val="24"/>
        </w:rPr>
        <w:t xml:space="preserve"> </w:t>
      </w:r>
    </w:p>
    <w:p w:rsidR="004552BE" w:rsidRPr="006D7050" w:rsidRDefault="005E18AE" w:rsidP="006339CE">
      <w:pPr>
        <w:rPr>
          <w:sz w:val="24"/>
          <w:szCs w:val="24"/>
        </w:rPr>
      </w:pPr>
      <w:r w:rsidRPr="00D663C0">
        <w:rPr>
          <w:sz w:val="24"/>
          <w:szCs w:val="24"/>
        </w:rPr>
        <w:t>The development of</w:t>
      </w:r>
      <w:r w:rsidR="00961576" w:rsidRPr="00D663C0">
        <w:rPr>
          <w:sz w:val="24"/>
          <w:szCs w:val="24"/>
        </w:rPr>
        <w:t xml:space="preserve"> regulatory </w:t>
      </w:r>
      <w:r w:rsidRPr="00D663C0">
        <w:rPr>
          <w:sz w:val="24"/>
          <w:szCs w:val="24"/>
        </w:rPr>
        <w:t>policy</w:t>
      </w:r>
      <w:r w:rsidR="00E25F52">
        <w:rPr>
          <w:sz w:val="24"/>
          <w:szCs w:val="24"/>
        </w:rPr>
        <w:t>, which</w:t>
      </w:r>
      <w:r w:rsidR="00961576" w:rsidRPr="001B321F">
        <w:rPr>
          <w:sz w:val="24"/>
          <w:szCs w:val="24"/>
        </w:rPr>
        <w:t xml:space="preserve"> defin</w:t>
      </w:r>
      <w:r w:rsidR="00E25F52">
        <w:rPr>
          <w:sz w:val="24"/>
          <w:szCs w:val="24"/>
        </w:rPr>
        <w:t>es</w:t>
      </w:r>
      <w:r w:rsidR="00961576" w:rsidRPr="001B321F">
        <w:rPr>
          <w:sz w:val="24"/>
          <w:szCs w:val="24"/>
        </w:rPr>
        <w:t xml:space="preserve"> </w:t>
      </w:r>
      <w:r w:rsidR="00A513A8" w:rsidRPr="001B321F">
        <w:rPr>
          <w:sz w:val="24"/>
          <w:szCs w:val="24"/>
        </w:rPr>
        <w:t xml:space="preserve">a </w:t>
      </w:r>
      <w:r w:rsidR="00961576" w:rsidRPr="001B321F">
        <w:rPr>
          <w:sz w:val="24"/>
          <w:szCs w:val="24"/>
        </w:rPr>
        <w:t>framework</w:t>
      </w:r>
      <w:r w:rsidRPr="001B321F">
        <w:rPr>
          <w:sz w:val="24"/>
          <w:szCs w:val="24"/>
        </w:rPr>
        <w:t xml:space="preserve"> and</w:t>
      </w:r>
      <w:r w:rsidR="0021393D">
        <w:rPr>
          <w:sz w:val="24"/>
          <w:szCs w:val="24"/>
        </w:rPr>
        <w:t xml:space="preserve"> </w:t>
      </w:r>
      <w:r w:rsidR="00961576" w:rsidRPr="006D7050">
        <w:rPr>
          <w:sz w:val="24"/>
          <w:szCs w:val="24"/>
        </w:rPr>
        <w:t xml:space="preserve">assessment criteria for </w:t>
      </w:r>
      <w:r w:rsidR="00A513A8" w:rsidRPr="006D7050">
        <w:rPr>
          <w:sz w:val="24"/>
          <w:szCs w:val="24"/>
        </w:rPr>
        <w:t xml:space="preserve">utility hedge </w:t>
      </w:r>
      <w:r w:rsidR="00961576" w:rsidRPr="006D7050">
        <w:rPr>
          <w:sz w:val="24"/>
          <w:szCs w:val="24"/>
        </w:rPr>
        <w:t>strategies</w:t>
      </w:r>
      <w:r w:rsidR="00E25F52">
        <w:rPr>
          <w:sz w:val="24"/>
          <w:szCs w:val="24"/>
        </w:rPr>
        <w:t>,</w:t>
      </w:r>
      <w:r w:rsidR="00961576" w:rsidRPr="006D7050">
        <w:rPr>
          <w:sz w:val="24"/>
          <w:szCs w:val="24"/>
        </w:rPr>
        <w:t xml:space="preserve"> </w:t>
      </w:r>
      <w:r w:rsidRPr="006D7050">
        <w:rPr>
          <w:sz w:val="24"/>
          <w:szCs w:val="24"/>
        </w:rPr>
        <w:t xml:space="preserve">would provide </w:t>
      </w:r>
      <w:r w:rsidR="00A513A8" w:rsidRPr="006D7050">
        <w:rPr>
          <w:sz w:val="24"/>
          <w:szCs w:val="24"/>
        </w:rPr>
        <w:t xml:space="preserve">greater clarity as to </w:t>
      </w:r>
      <w:r w:rsidR="00E31C5A" w:rsidRPr="006D7050">
        <w:rPr>
          <w:sz w:val="24"/>
          <w:szCs w:val="24"/>
        </w:rPr>
        <w:t xml:space="preserve">fair and predictable </w:t>
      </w:r>
      <w:r w:rsidR="00A513A8" w:rsidRPr="006D7050">
        <w:rPr>
          <w:sz w:val="24"/>
          <w:szCs w:val="24"/>
        </w:rPr>
        <w:t>prudence</w:t>
      </w:r>
      <w:r w:rsidR="00FD4002" w:rsidRPr="006D7050">
        <w:rPr>
          <w:sz w:val="24"/>
          <w:szCs w:val="24"/>
        </w:rPr>
        <w:t xml:space="preserve"> standards</w:t>
      </w:r>
      <w:r w:rsidR="00A513A8" w:rsidRPr="006D7050">
        <w:rPr>
          <w:sz w:val="24"/>
          <w:szCs w:val="24"/>
        </w:rPr>
        <w:t xml:space="preserve">. Further, </w:t>
      </w:r>
      <w:r w:rsidR="003945C4" w:rsidRPr="006D7050">
        <w:rPr>
          <w:sz w:val="24"/>
          <w:szCs w:val="24"/>
        </w:rPr>
        <w:t xml:space="preserve">establishing a process </w:t>
      </w:r>
      <w:r w:rsidR="00FD4002" w:rsidRPr="006D7050">
        <w:rPr>
          <w:sz w:val="24"/>
          <w:szCs w:val="24"/>
        </w:rPr>
        <w:t xml:space="preserve">by </w:t>
      </w:r>
      <w:r w:rsidR="003945C4" w:rsidRPr="006D7050">
        <w:rPr>
          <w:sz w:val="24"/>
          <w:szCs w:val="24"/>
        </w:rPr>
        <w:t xml:space="preserve">which </w:t>
      </w:r>
      <w:r w:rsidR="00FD4002" w:rsidRPr="006D7050">
        <w:rPr>
          <w:sz w:val="24"/>
          <w:szCs w:val="24"/>
        </w:rPr>
        <w:t xml:space="preserve">each </w:t>
      </w:r>
      <w:r w:rsidR="003945C4" w:rsidRPr="006D7050">
        <w:rPr>
          <w:sz w:val="24"/>
          <w:szCs w:val="24"/>
        </w:rPr>
        <w:t>utilit</w:t>
      </w:r>
      <w:r w:rsidR="00FD4002" w:rsidRPr="006D7050">
        <w:rPr>
          <w:sz w:val="24"/>
          <w:szCs w:val="24"/>
        </w:rPr>
        <w:t>y</w:t>
      </w:r>
      <w:r w:rsidR="003945C4" w:rsidRPr="006D7050">
        <w:rPr>
          <w:sz w:val="24"/>
          <w:szCs w:val="24"/>
        </w:rPr>
        <w:t xml:space="preserve"> would articulate </w:t>
      </w:r>
      <w:r w:rsidR="00FD4002" w:rsidRPr="006D7050">
        <w:rPr>
          <w:sz w:val="24"/>
          <w:szCs w:val="24"/>
        </w:rPr>
        <w:t xml:space="preserve">its </w:t>
      </w:r>
      <w:r w:rsidR="003945C4" w:rsidRPr="006D7050">
        <w:rPr>
          <w:sz w:val="24"/>
          <w:szCs w:val="24"/>
        </w:rPr>
        <w:t xml:space="preserve">risk management strategies to the regulator, </w:t>
      </w:r>
      <w:r w:rsidR="00FD4002" w:rsidRPr="006D7050">
        <w:rPr>
          <w:sz w:val="24"/>
          <w:szCs w:val="24"/>
        </w:rPr>
        <w:t>and</w:t>
      </w:r>
      <w:r w:rsidRPr="006D7050">
        <w:rPr>
          <w:sz w:val="24"/>
          <w:szCs w:val="24"/>
        </w:rPr>
        <w:t xml:space="preserve"> </w:t>
      </w:r>
      <w:r w:rsidR="00961576" w:rsidRPr="006D7050">
        <w:rPr>
          <w:sz w:val="24"/>
          <w:szCs w:val="24"/>
        </w:rPr>
        <w:t xml:space="preserve">establishing reporting requirements to facilitate </w:t>
      </w:r>
      <w:r w:rsidR="00FD4002" w:rsidRPr="006D7050">
        <w:rPr>
          <w:sz w:val="24"/>
          <w:szCs w:val="24"/>
        </w:rPr>
        <w:t xml:space="preserve">regulatory </w:t>
      </w:r>
      <w:r w:rsidR="00961576" w:rsidRPr="006D7050">
        <w:rPr>
          <w:sz w:val="24"/>
          <w:szCs w:val="24"/>
        </w:rPr>
        <w:t xml:space="preserve">review </w:t>
      </w:r>
      <w:r w:rsidR="00FD4002" w:rsidRPr="006D7050">
        <w:rPr>
          <w:sz w:val="24"/>
          <w:szCs w:val="24"/>
        </w:rPr>
        <w:t>of the execution of those strategies</w:t>
      </w:r>
      <w:r w:rsidR="0021393D">
        <w:rPr>
          <w:sz w:val="24"/>
          <w:szCs w:val="24"/>
        </w:rPr>
        <w:t>,</w:t>
      </w:r>
      <w:r w:rsidR="00FD4002" w:rsidRPr="006D7050">
        <w:rPr>
          <w:sz w:val="24"/>
          <w:szCs w:val="24"/>
        </w:rPr>
        <w:t xml:space="preserve"> </w:t>
      </w:r>
      <w:r w:rsidR="00390082" w:rsidRPr="006D7050">
        <w:rPr>
          <w:sz w:val="24"/>
          <w:szCs w:val="24"/>
        </w:rPr>
        <w:t>w</w:t>
      </w:r>
      <w:r w:rsidR="004552BE" w:rsidRPr="006D7050">
        <w:rPr>
          <w:sz w:val="24"/>
          <w:szCs w:val="24"/>
        </w:rPr>
        <w:t>ould foster better outcomes for both utilities and ratepayers</w:t>
      </w:r>
      <w:r w:rsidR="00961576" w:rsidRPr="006D7050">
        <w:rPr>
          <w:sz w:val="24"/>
          <w:szCs w:val="24"/>
        </w:rPr>
        <w:t>.</w:t>
      </w:r>
      <w:r w:rsidR="00FD4002" w:rsidRPr="006D7050">
        <w:rPr>
          <w:sz w:val="24"/>
          <w:szCs w:val="24"/>
        </w:rPr>
        <w:t xml:space="preserve">  </w:t>
      </w:r>
    </w:p>
    <w:p w:rsidR="004552BE" w:rsidRPr="006D7050" w:rsidRDefault="0021393D" w:rsidP="006339CE">
      <w:pPr>
        <w:rPr>
          <w:sz w:val="24"/>
          <w:szCs w:val="24"/>
        </w:rPr>
      </w:pPr>
      <w:r>
        <w:rPr>
          <w:sz w:val="24"/>
          <w:szCs w:val="24"/>
        </w:rPr>
        <w:t>H</w:t>
      </w:r>
      <w:r w:rsidR="004552BE" w:rsidRPr="006D7050">
        <w:rPr>
          <w:sz w:val="24"/>
          <w:szCs w:val="24"/>
        </w:rPr>
        <w:t xml:space="preserve">edging practices </w:t>
      </w:r>
      <w:r w:rsidR="00FD4002" w:rsidRPr="006D7050">
        <w:rPr>
          <w:sz w:val="24"/>
          <w:szCs w:val="24"/>
        </w:rPr>
        <w:t>are</w:t>
      </w:r>
      <w:r w:rsidR="00390082" w:rsidRPr="006D7050">
        <w:rPr>
          <w:sz w:val="24"/>
          <w:szCs w:val="24"/>
        </w:rPr>
        <w:t xml:space="preserve"> </w:t>
      </w:r>
      <w:r w:rsidR="004552BE" w:rsidRPr="006D7050">
        <w:rPr>
          <w:sz w:val="24"/>
          <w:szCs w:val="24"/>
        </w:rPr>
        <w:t>complex</w:t>
      </w:r>
      <w:r w:rsidR="00FD4002" w:rsidRPr="006D7050">
        <w:rPr>
          <w:sz w:val="24"/>
          <w:szCs w:val="24"/>
        </w:rPr>
        <w:t>,</w:t>
      </w:r>
      <w:r w:rsidR="004552BE" w:rsidRPr="006D7050">
        <w:rPr>
          <w:sz w:val="24"/>
          <w:szCs w:val="24"/>
        </w:rPr>
        <w:t xml:space="preserve"> </w:t>
      </w:r>
      <w:r>
        <w:rPr>
          <w:sz w:val="24"/>
          <w:szCs w:val="24"/>
        </w:rPr>
        <w:t xml:space="preserve">therefore, </w:t>
      </w:r>
      <w:r w:rsidR="00FE5AE8" w:rsidRPr="006D7050">
        <w:rPr>
          <w:sz w:val="24"/>
          <w:szCs w:val="24"/>
        </w:rPr>
        <w:t>a</w:t>
      </w:r>
      <w:r w:rsidR="004552BE" w:rsidRPr="006D7050">
        <w:rPr>
          <w:sz w:val="24"/>
          <w:szCs w:val="24"/>
        </w:rPr>
        <w:t xml:space="preserve"> common understanding of terms is essential</w:t>
      </w:r>
      <w:r w:rsidR="00E31C5A" w:rsidRPr="006D7050">
        <w:rPr>
          <w:sz w:val="24"/>
          <w:szCs w:val="24"/>
        </w:rPr>
        <w:t>.</w:t>
      </w:r>
      <w:r w:rsidR="004552BE" w:rsidRPr="006D7050">
        <w:rPr>
          <w:sz w:val="24"/>
          <w:szCs w:val="24"/>
        </w:rPr>
        <w:t xml:space="preserve"> This paper includes a detailed discussion </w:t>
      </w:r>
      <w:r w:rsidR="0061353D">
        <w:rPr>
          <w:sz w:val="24"/>
          <w:szCs w:val="24"/>
        </w:rPr>
        <w:t>of</w:t>
      </w:r>
      <w:r w:rsidR="0061353D" w:rsidRPr="006D7050">
        <w:rPr>
          <w:sz w:val="24"/>
          <w:szCs w:val="24"/>
        </w:rPr>
        <w:t xml:space="preserve"> </w:t>
      </w:r>
      <w:r w:rsidR="004552BE" w:rsidRPr="006D7050">
        <w:rPr>
          <w:sz w:val="24"/>
          <w:szCs w:val="24"/>
        </w:rPr>
        <w:t xml:space="preserve">risk metrics, hedge </w:t>
      </w:r>
      <w:r w:rsidRPr="006D7050">
        <w:rPr>
          <w:sz w:val="24"/>
          <w:szCs w:val="24"/>
        </w:rPr>
        <w:t>decision</w:t>
      </w:r>
      <w:r>
        <w:rPr>
          <w:sz w:val="24"/>
          <w:szCs w:val="24"/>
        </w:rPr>
        <w:t>-</w:t>
      </w:r>
      <w:r w:rsidR="004552BE" w:rsidRPr="006D7050">
        <w:rPr>
          <w:sz w:val="24"/>
          <w:szCs w:val="24"/>
        </w:rPr>
        <w:t>types, and the elements of strategy formation that should assist in defining the necessary language.</w:t>
      </w:r>
    </w:p>
    <w:p w:rsidR="004A6F94" w:rsidRPr="006D7050" w:rsidRDefault="004552BE" w:rsidP="006339CE">
      <w:pPr>
        <w:rPr>
          <w:sz w:val="24"/>
          <w:szCs w:val="24"/>
        </w:rPr>
      </w:pPr>
      <w:r w:rsidRPr="006D7050">
        <w:rPr>
          <w:sz w:val="24"/>
          <w:szCs w:val="24"/>
        </w:rPr>
        <w:t xml:space="preserve">This paper also includes </w:t>
      </w:r>
      <w:r w:rsidR="004A6F94" w:rsidRPr="006D7050">
        <w:rPr>
          <w:sz w:val="24"/>
          <w:szCs w:val="24"/>
        </w:rPr>
        <w:t xml:space="preserve">a discussion </w:t>
      </w:r>
      <w:r w:rsidR="006D7050">
        <w:rPr>
          <w:sz w:val="24"/>
          <w:szCs w:val="24"/>
        </w:rPr>
        <w:t>of</w:t>
      </w:r>
      <w:r w:rsidR="004A6F94" w:rsidRPr="006D7050">
        <w:rPr>
          <w:sz w:val="24"/>
          <w:szCs w:val="24"/>
        </w:rPr>
        <w:t xml:space="preserve"> strategy </w:t>
      </w:r>
      <w:r w:rsidRPr="006D7050">
        <w:rPr>
          <w:sz w:val="24"/>
          <w:szCs w:val="24"/>
        </w:rPr>
        <w:t xml:space="preserve">assessment criteria and explores the differences between two illustrative </w:t>
      </w:r>
      <w:r w:rsidR="00390082" w:rsidRPr="006D7050">
        <w:rPr>
          <w:sz w:val="24"/>
          <w:szCs w:val="24"/>
        </w:rPr>
        <w:t>approaches</w:t>
      </w:r>
      <w:r w:rsidRPr="006D7050">
        <w:rPr>
          <w:sz w:val="24"/>
          <w:szCs w:val="24"/>
        </w:rPr>
        <w:t xml:space="preserve">. </w:t>
      </w:r>
      <w:r w:rsidR="00390082" w:rsidRPr="006D7050">
        <w:rPr>
          <w:sz w:val="24"/>
          <w:szCs w:val="24"/>
        </w:rPr>
        <w:t>The</w:t>
      </w:r>
      <w:r w:rsidRPr="006D7050">
        <w:rPr>
          <w:sz w:val="24"/>
          <w:szCs w:val="24"/>
        </w:rPr>
        <w:t xml:space="preserve"> discussion will assist in </w:t>
      </w:r>
      <w:r w:rsidR="004A6F94" w:rsidRPr="006D7050">
        <w:rPr>
          <w:sz w:val="24"/>
          <w:szCs w:val="24"/>
        </w:rPr>
        <w:t xml:space="preserve">defining the strategy assessment criteria, which will be explored further by stakeholders during </w:t>
      </w:r>
      <w:r w:rsidR="0021393D">
        <w:rPr>
          <w:sz w:val="24"/>
          <w:szCs w:val="24"/>
        </w:rPr>
        <w:t>up</w:t>
      </w:r>
      <w:r w:rsidR="00390082" w:rsidRPr="006D7050">
        <w:rPr>
          <w:sz w:val="24"/>
          <w:szCs w:val="24"/>
        </w:rPr>
        <w:t>coming</w:t>
      </w:r>
      <w:r w:rsidR="004A6F94" w:rsidRPr="006D7050">
        <w:rPr>
          <w:sz w:val="24"/>
          <w:szCs w:val="24"/>
        </w:rPr>
        <w:t xml:space="preserve"> proceedings conducted under Docket UG-132019.</w:t>
      </w:r>
    </w:p>
    <w:p w:rsidR="000A2DEE" w:rsidRPr="006D7050" w:rsidRDefault="004A6F94" w:rsidP="006339CE">
      <w:pPr>
        <w:rPr>
          <w:sz w:val="24"/>
          <w:szCs w:val="24"/>
        </w:rPr>
      </w:pPr>
      <w:r w:rsidRPr="006D7050">
        <w:rPr>
          <w:sz w:val="24"/>
          <w:szCs w:val="24"/>
        </w:rPr>
        <w:t xml:space="preserve">Defining prudence standards and reporting requirements will allow utilities to </w:t>
      </w:r>
      <w:r w:rsidR="00390082" w:rsidRPr="006D7050">
        <w:rPr>
          <w:sz w:val="24"/>
          <w:szCs w:val="24"/>
        </w:rPr>
        <w:t xml:space="preserve">further </w:t>
      </w:r>
      <w:r w:rsidRPr="006D7050">
        <w:rPr>
          <w:sz w:val="24"/>
          <w:szCs w:val="24"/>
        </w:rPr>
        <w:t xml:space="preserve">develop </w:t>
      </w:r>
      <w:r w:rsidR="00390082" w:rsidRPr="006D7050">
        <w:rPr>
          <w:sz w:val="24"/>
          <w:szCs w:val="24"/>
        </w:rPr>
        <w:t xml:space="preserve">their current </w:t>
      </w:r>
      <w:r w:rsidRPr="006D7050">
        <w:rPr>
          <w:sz w:val="24"/>
          <w:szCs w:val="24"/>
        </w:rPr>
        <w:t>hedg</w:t>
      </w:r>
      <w:r w:rsidR="00390082" w:rsidRPr="006D7050">
        <w:rPr>
          <w:sz w:val="24"/>
          <w:szCs w:val="24"/>
        </w:rPr>
        <w:t>ing</w:t>
      </w:r>
      <w:r w:rsidRPr="006D7050">
        <w:rPr>
          <w:sz w:val="24"/>
          <w:szCs w:val="24"/>
        </w:rPr>
        <w:t xml:space="preserve"> programs while facilitating regulatory review. Prudence standards should look at strategy formation and</w:t>
      </w:r>
      <w:r w:rsidR="000A2DEE" w:rsidRPr="006D7050">
        <w:rPr>
          <w:sz w:val="24"/>
          <w:szCs w:val="24"/>
        </w:rPr>
        <w:t xml:space="preserve"> execution. </w:t>
      </w:r>
      <w:r w:rsidR="006D7050">
        <w:rPr>
          <w:sz w:val="24"/>
          <w:szCs w:val="24"/>
        </w:rPr>
        <w:t>The resulting</w:t>
      </w:r>
      <w:r w:rsidR="000A2DEE" w:rsidRPr="006D7050">
        <w:rPr>
          <w:sz w:val="24"/>
          <w:szCs w:val="24"/>
        </w:rPr>
        <w:t xml:space="preserve"> data would be used to file annual reports summarizing the risk metrics and hedge responses. This paper includes an </w:t>
      </w:r>
      <w:r w:rsidR="0061353D">
        <w:rPr>
          <w:sz w:val="24"/>
          <w:szCs w:val="24"/>
        </w:rPr>
        <w:t>outline</w:t>
      </w:r>
      <w:r w:rsidR="0061353D" w:rsidRPr="006D7050">
        <w:rPr>
          <w:sz w:val="24"/>
          <w:szCs w:val="24"/>
        </w:rPr>
        <w:t xml:space="preserve"> </w:t>
      </w:r>
      <w:r w:rsidR="000A2DEE" w:rsidRPr="006D7050">
        <w:rPr>
          <w:sz w:val="24"/>
          <w:szCs w:val="24"/>
        </w:rPr>
        <w:t>of what such a report might look like.</w:t>
      </w:r>
    </w:p>
    <w:p w:rsidR="000A2DEE" w:rsidRPr="006D7050" w:rsidRDefault="000A2DEE" w:rsidP="006339CE">
      <w:pPr>
        <w:rPr>
          <w:sz w:val="24"/>
          <w:szCs w:val="24"/>
        </w:rPr>
      </w:pPr>
      <w:r w:rsidRPr="006D7050">
        <w:rPr>
          <w:sz w:val="24"/>
          <w:szCs w:val="24"/>
        </w:rPr>
        <w:t>Hedge outcomes should fall within tolerances, except when market conditions are more extreme than design standards, or when the hedge ratios have reach</w:t>
      </w:r>
      <w:r w:rsidR="00AC6871" w:rsidRPr="006D7050">
        <w:rPr>
          <w:sz w:val="24"/>
          <w:szCs w:val="24"/>
        </w:rPr>
        <w:t>ed</w:t>
      </w:r>
      <w:r w:rsidRPr="006D7050">
        <w:rPr>
          <w:sz w:val="24"/>
          <w:szCs w:val="24"/>
        </w:rPr>
        <w:t xml:space="preserve"> the maximum under the utility’s policies. Outcomes that fall within tolerances </w:t>
      </w:r>
      <w:r w:rsidR="007531FA">
        <w:rPr>
          <w:sz w:val="24"/>
          <w:szCs w:val="24"/>
        </w:rPr>
        <w:t>should</w:t>
      </w:r>
      <w:r w:rsidRPr="006D7050">
        <w:rPr>
          <w:sz w:val="24"/>
          <w:szCs w:val="24"/>
        </w:rPr>
        <w:t xml:space="preserve"> carry an assumption of prudence barring material irregularities. For outcomes that fall outside of tolerances, utilities will need to demonstrate extreme market conditions or constraints of the maximum hedge accumulation to show prudence.</w:t>
      </w:r>
    </w:p>
    <w:p w:rsidR="001E2E85" w:rsidRPr="006D7050" w:rsidRDefault="001E2E85">
      <w:pPr>
        <w:rPr>
          <w:sz w:val="24"/>
          <w:szCs w:val="24"/>
        </w:rPr>
      </w:pPr>
      <w:r w:rsidRPr="006D7050">
        <w:rPr>
          <w:sz w:val="24"/>
          <w:szCs w:val="24"/>
        </w:rPr>
        <w:br w:type="page"/>
      </w:r>
    </w:p>
    <w:p w:rsidR="00D4073B" w:rsidRPr="002217AB" w:rsidRDefault="00D4073B" w:rsidP="00D44A51">
      <w:pPr>
        <w:pStyle w:val="Heading1"/>
        <w:rPr>
          <w:rFonts w:asciiTheme="minorHAnsi" w:hAnsiTheme="minorHAnsi"/>
          <w:b/>
        </w:rPr>
      </w:pPr>
      <w:bookmarkStart w:id="2" w:name="_Toc424039076"/>
      <w:r w:rsidRPr="002217AB">
        <w:rPr>
          <w:rFonts w:asciiTheme="minorHAnsi" w:hAnsiTheme="minorHAnsi"/>
          <w:b/>
        </w:rPr>
        <w:t>Introduction</w:t>
      </w:r>
      <w:bookmarkEnd w:id="0"/>
      <w:bookmarkEnd w:id="2"/>
    </w:p>
    <w:p w:rsidR="009A7F38" w:rsidRPr="0002468E" w:rsidRDefault="00FE7729" w:rsidP="00CB07F2">
      <w:pPr>
        <w:spacing w:after="120"/>
        <w:rPr>
          <w:sz w:val="24"/>
          <w:szCs w:val="24"/>
        </w:rPr>
      </w:pPr>
      <w:r w:rsidRPr="0002468E">
        <w:rPr>
          <w:sz w:val="24"/>
          <w:szCs w:val="24"/>
        </w:rPr>
        <w:t xml:space="preserve">In January 2014, the </w:t>
      </w:r>
      <w:r w:rsidR="00030151" w:rsidRPr="0002468E">
        <w:rPr>
          <w:sz w:val="24"/>
          <w:szCs w:val="24"/>
        </w:rPr>
        <w:t xml:space="preserve">Washington Utilities and Transportation </w:t>
      </w:r>
      <w:r w:rsidRPr="0002468E">
        <w:rPr>
          <w:sz w:val="24"/>
          <w:szCs w:val="24"/>
        </w:rPr>
        <w:t xml:space="preserve">Commission held a workshop to discuss </w:t>
      </w:r>
      <w:r w:rsidR="004E15A0" w:rsidRPr="0002468E">
        <w:rPr>
          <w:sz w:val="24"/>
          <w:szCs w:val="24"/>
        </w:rPr>
        <w:t xml:space="preserve">regulatory </w:t>
      </w:r>
      <w:r w:rsidR="003B7723" w:rsidRPr="0002468E">
        <w:rPr>
          <w:sz w:val="24"/>
          <w:szCs w:val="24"/>
        </w:rPr>
        <w:t xml:space="preserve">oversight </w:t>
      </w:r>
      <w:r w:rsidRPr="0002468E">
        <w:rPr>
          <w:sz w:val="24"/>
          <w:szCs w:val="24"/>
        </w:rPr>
        <w:t xml:space="preserve">of natural gas </w:t>
      </w:r>
      <w:proofErr w:type="gramStart"/>
      <w:r w:rsidRPr="0002468E">
        <w:rPr>
          <w:sz w:val="24"/>
          <w:szCs w:val="24"/>
        </w:rPr>
        <w:t>company</w:t>
      </w:r>
      <w:proofErr w:type="gramEnd"/>
      <w:r w:rsidRPr="0002468E">
        <w:rPr>
          <w:sz w:val="24"/>
          <w:szCs w:val="24"/>
        </w:rPr>
        <w:t xml:space="preserve"> hedging practices. All four of Washington’s </w:t>
      </w:r>
      <w:r w:rsidR="0061353D" w:rsidRPr="0002468E">
        <w:rPr>
          <w:sz w:val="24"/>
          <w:szCs w:val="24"/>
        </w:rPr>
        <w:t>LDCs</w:t>
      </w:r>
      <w:r w:rsidRPr="0002468E">
        <w:rPr>
          <w:sz w:val="24"/>
          <w:szCs w:val="24"/>
        </w:rPr>
        <w:t xml:space="preserve"> participated in the discussion, along wit</w:t>
      </w:r>
      <w:r w:rsidR="00BA319B" w:rsidRPr="0002468E">
        <w:rPr>
          <w:sz w:val="24"/>
          <w:szCs w:val="24"/>
        </w:rPr>
        <w:t xml:space="preserve">h the </w:t>
      </w:r>
      <w:r w:rsidR="0061353D" w:rsidRPr="0002468E">
        <w:rPr>
          <w:sz w:val="24"/>
          <w:szCs w:val="24"/>
        </w:rPr>
        <w:t xml:space="preserve">commissioners </w:t>
      </w:r>
      <w:r w:rsidR="00BA319B" w:rsidRPr="0002468E">
        <w:rPr>
          <w:sz w:val="24"/>
          <w:szCs w:val="24"/>
        </w:rPr>
        <w:t xml:space="preserve">and </w:t>
      </w:r>
      <w:r w:rsidR="0061353D" w:rsidRPr="0002468E">
        <w:rPr>
          <w:sz w:val="24"/>
          <w:szCs w:val="24"/>
        </w:rPr>
        <w:t>staff</w:t>
      </w:r>
      <w:r w:rsidR="00BA319B" w:rsidRPr="0002468E">
        <w:rPr>
          <w:sz w:val="24"/>
          <w:szCs w:val="24"/>
        </w:rPr>
        <w:t>, the Public Counsel Unit of the Washington Attorney General’s Office</w:t>
      </w:r>
      <w:r w:rsidR="00780B94" w:rsidRPr="0002468E">
        <w:rPr>
          <w:sz w:val="24"/>
          <w:szCs w:val="24"/>
        </w:rPr>
        <w:t xml:space="preserve"> (Public Counsel)</w:t>
      </w:r>
      <w:r w:rsidR="006C49C9" w:rsidRPr="0002468E">
        <w:rPr>
          <w:sz w:val="24"/>
          <w:szCs w:val="24"/>
        </w:rPr>
        <w:t xml:space="preserve">, and other stakeholders. </w:t>
      </w:r>
      <w:r w:rsidR="0061353D" w:rsidRPr="0002468E">
        <w:rPr>
          <w:sz w:val="24"/>
          <w:szCs w:val="24"/>
        </w:rPr>
        <w:t xml:space="preserve">The </w:t>
      </w:r>
      <w:r w:rsidR="006C49C9" w:rsidRPr="0002468E">
        <w:rPr>
          <w:sz w:val="24"/>
          <w:szCs w:val="24"/>
        </w:rPr>
        <w:t xml:space="preserve">workshop </w:t>
      </w:r>
      <w:r w:rsidR="009A7F38" w:rsidRPr="0002468E">
        <w:rPr>
          <w:sz w:val="24"/>
          <w:szCs w:val="24"/>
        </w:rPr>
        <w:t>highlighted</w:t>
      </w:r>
      <w:r w:rsidR="006C49C9" w:rsidRPr="0002468E">
        <w:rPr>
          <w:sz w:val="24"/>
          <w:szCs w:val="24"/>
        </w:rPr>
        <w:t xml:space="preserve"> prospects for meaningful improvements in hedging practices</w:t>
      </w:r>
      <w:r w:rsidR="004E15A0" w:rsidRPr="0002468E">
        <w:rPr>
          <w:sz w:val="24"/>
          <w:szCs w:val="24"/>
        </w:rPr>
        <w:t>. This</w:t>
      </w:r>
      <w:r w:rsidR="00DF3E48" w:rsidRPr="0002468E">
        <w:rPr>
          <w:sz w:val="24"/>
          <w:szCs w:val="24"/>
        </w:rPr>
        <w:t xml:space="preserve"> paper has been written and published to initiate a comprehensive </w:t>
      </w:r>
      <w:r w:rsidR="00BA319B" w:rsidRPr="0002468E">
        <w:rPr>
          <w:sz w:val="24"/>
          <w:szCs w:val="24"/>
        </w:rPr>
        <w:t xml:space="preserve">follow-up </w:t>
      </w:r>
      <w:r w:rsidR="00DF3E48" w:rsidRPr="0002468E">
        <w:rPr>
          <w:sz w:val="24"/>
          <w:szCs w:val="24"/>
        </w:rPr>
        <w:t xml:space="preserve">discussion of how </w:t>
      </w:r>
      <w:r w:rsidR="008E4376" w:rsidRPr="0002468E">
        <w:rPr>
          <w:sz w:val="24"/>
          <w:szCs w:val="24"/>
        </w:rPr>
        <w:t xml:space="preserve">local natural </w:t>
      </w:r>
      <w:r w:rsidR="00DF3E48" w:rsidRPr="0002468E">
        <w:rPr>
          <w:sz w:val="24"/>
          <w:szCs w:val="24"/>
        </w:rPr>
        <w:t xml:space="preserve">gas utilities might implement </w:t>
      </w:r>
      <w:proofErr w:type="gramStart"/>
      <w:r w:rsidR="00DF3E48" w:rsidRPr="0002468E">
        <w:rPr>
          <w:sz w:val="24"/>
          <w:szCs w:val="24"/>
        </w:rPr>
        <w:t>more robust hedging strategies</w:t>
      </w:r>
      <w:r w:rsidR="005466F6" w:rsidRPr="0002468E">
        <w:rPr>
          <w:sz w:val="24"/>
          <w:szCs w:val="24"/>
        </w:rPr>
        <w:t>,</w:t>
      </w:r>
      <w:proofErr w:type="gramEnd"/>
      <w:r w:rsidR="00DF3E48" w:rsidRPr="0002468E">
        <w:rPr>
          <w:sz w:val="24"/>
          <w:szCs w:val="24"/>
        </w:rPr>
        <w:t xml:space="preserve"> and </w:t>
      </w:r>
      <w:r w:rsidR="005466F6" w:rsidRPr="0002468E">
        <w:rPr>
          <w:sz w:val="24"/>
          <w:szCs w:val="24"/>
        </w:rPr>
        <w:t xml:space="preserve">to explore the regulatory policies that could </w:t>
      </w:r>
      <w:r w:rsidR="00BC2169" w:rsidRPr="0002468E">
        <w:rPr>
          <w:sz w:val="24"/>
          <w:szCs w:val="24"/>
        </w:rPr>
        <w:t>facilitate</w:t>
      </w:r>
      <w:r w:rsidR="005466F6" w:rsidRPr="0002468E">
        <w:rPr>
          <w:sz w:val="24"/>
          <w:szCs w:val="24"/>
        </w:rPr>
        <w:t xml:space="preserve"> beneficial changes.</w:t>
      </w:r>
      <w:r w:rsidR="003C29A4" w:rsidRPr="0002468E">
        <w:rPr>
          <w:sz w:val="24"/>
          <w:szCs w:val="24"/>
        </w:rPr>
        <w:t xml:space="preserve">  </w:t>
      </w:r>
    </w:p>
    <w:p w:rsidR="008962E6" w:rsidRPr="0002468E" w:rsidRDefault="003C29A4" w:rsidP="00CB07F2">
      <w:pPr>
        <w:spacing w:after="120"/>
        <w:rPr>
          <w:sz w:val="24"/>
          <w:szCs w:val="24"/>
        </w:rPr>
      </w:pPr>
      <w:r w:rsidRPr="0002468E">
        <w:rPr>
          <w:sz w:val="24"/>
          <w:szCs w:val="24"/>
        </w:rPr>
        <w:t xml:space="preserve">The </w:t>
      </w:r>
      <w:r w:rsidR="0061353D" w:rsidRPr="0002468E">
        <w:rPr>
          <w:sz w:val="24"/>
          <w:szCs w:val="24"/>
        </w:rPr>
        <w:t xml:space="preserve">commission </w:t>
      </w:r>
      <w:r w:rsidRPr="0002468E">
        <w:rPr>
          <w:sz w:val="24"/>
          <w:szCs w:val="24"/>
        </w:rPr>
        <w:t>and Public Counsel retained the author to</w:t>
      </w:r>
      <w:r w:rsidR="003F4E02" w:rsidRPr="0002468E">
        <w:rPr>
          <w:sz w:val="24"/>
          <w:szCs w:val="24"/>
        </w:rPr>
        <w:t xml:space="preserve"> prepare this paper and to participate in Docket UG-13</w:t>
      </w:r>
      <w:r w:rsidR="008962E6" w:rsidRPr="0002468E">
        <w:rPr>
          <w:sz w:val="24"/>
          <w:szCs w:val="24"/>
        </w:rPr>
        <w:t>2</w:t>
      </w:r>
      <w:r w:rsidR="003F4E02" w:rsidRPr="0002468E">
        <w:rPr>
          <w:sz w:val="24"/>
          <w:szCs w:val="24"/>
        </w:rPr>
        <w:t>019</w:t>
      </w:r>
      <w:r w:rsidR="008962E6" w:rsidRPr="0002468E">
        <w:rPr>
          <w:sz w:val="24"/>
          <w:szCs w:val="24"/>
        </w:rPr>
        <w:t xml:space="preserve">, the </w:t>
      </w:r>
      <w:r w:rsidR="0061353D" w:rsidRPr="0002468E">
        <w:rPr>
          <w:sz w:val="24"/>
          <w:szCs w:val="24"/>
        </w:rPr>
        <w:t>c</w:t>
      </w:r>
      <w:r w:rsidR="008962E6" w:rsidRPr="0002468E">
        <w:rPr>
          <w:sz w:val="24"/>
          <w:szCs w:val="24"/>
        </w:rPr>
        <w:t xml:space="preserve">ommission’s investigation into the regulation of natural gas </w:t>
      </w:r>
      <w:proofErr w:type="gramStart"/>
      <w:r w:rsidR="008962E6" w:rsidRPr="0002468E">
        <w:rPr>
          <w:sz w:val="24"/>
          <w:szCs w:val="24"/>
        </w:rPr>
        <w:t>company</w:t>
      </w:r>
      <w:proofErr w:type="gramEnd"/>
      <w:r w:rsidR="008962E6" w:rsidRPr="0002468E">
        <w:rPr>
          <w:sz w:val="24"/>
          <w:szCs w:val="24"/>
        </w:rPr>
        <w:t xml:space="preserve"> hedging practices. This paper is not a policy statement </w:t>
      </w:r>
      <w:r w:rsidR="0061353D" w:rsidRPr="0002468E">
        <w:rPr>
          <w:sz w:val="24"/>
          <w:szCs w:val="24"/>
        </w:rPr>
        <w:t>by the commission</w:t>
      </w:r>
      <w:r w:rsidR="008962E6" w:rsidRPr="0002468E">
        <w:rPr>
          <w:sz w:val="24"/>
          <w:szCs w:val="24"/>
        </w:rPr>
        <w:t xml:space="preserve">, but rather serves to </w:t>
      </w:r>
      <w:r w:rsidR="0061353D" w:rsidRPr="0002468E">
        <w:rPr>
          <w:sz w:val="24"/>
          <w:szCs w:val="24"/>
        </w:rPr>
        <w:t xml:space="preserve">stimulate </w:t>
      </w:r>
      <w:r w:rsidR="008962E6" w:rsidRPr="0002468E">
        <w:rPr>
          <w:sz w:val="24"/>
          <w:szCs w:val="24"/>
        </w:rPr>
        <w:t xml:space="preserve">discussions with Washington’s </w:t>
      </w:r>
      <w:r w:rsidR="0061353D" w:rsidRPr="0002468E">
        <w:rPr>
          <w:sz w:val="24"/>
          <w:szCs w:val="24"/>
        </w:rPr>
        <w:t>LDCs</w:t>
      </w:r>
      <w:r w:rsidR="008962E6" w:rsidRPr="0002468E">
        <w:rPr>
          <w:sz w:val="24"/>
          <w:szCs w:val="24"/>
        </w:rPr>
        <w:t xml:space="preserve"> and other stakeholders. It may also inform the </w:t>
      </w:r>
      <w:r w:rsidR="0061353D" w:rsidRPr="0002468E">
        <w:rPr>
          <w:sz w:val="24"/>
          <w:szCs w:val="24"/>
        </w:rPr>
        <w:t>c</w:t>
      </w:r>
      <w:r w:rsidR="008962E6" w:rsidRPr="0002468E">
        <w:rPr>
          <w:sz w:val="24"/>
          <w:szCs w:val="24"/>
        </w:rPr>
        <w:t>ommission’s</w:t>
      </w:r>
      <w:r w:rsidR="00FE7729" w:rsidRPr="0002468E">
        <w:rPr>
          <w:sz w:val="24"/>
          <w:szCs w:val="24"/>
        </w:rPr>
        <w:t xml:space="preserve"> policy</w:t>
      </w:r>
      <w:r w:rsidR="008962E6" w:rsidRPr="0002468E">
        <w:rPr>
          <w:sz w:val="24"/>
          <w:szCs w:val="24"/>
        </w:rPr>
        <w:t xml:space="preserve"> decision</w:t>
      </w:r>
      <w:r w:rsidR="0061353D" w:rsidRPr="0002468E">
        <w:rPr>
          <w:sz w:val="24"/>
          <w:szCs w:val="24"/>
        </w:rPr>
        <w:t>-</w:t>
      </w:r>
      <w:r w:rsidR="008962E6" w:rsidRPr="0002468E">
        <w:rPr>
          <w:sz w:val="24"/>
          <w:szCs w:val="24"/>
        </w:rPr>
        <w:t>making.</w:t>
      </w:r>
      <w:r w:rsidR="008962E6" w:rsidRPr="0002468E">
        <w:rPr>
          <w:rStyle w:val="FootnoteReference"/>
          <w:sz w:val="24"/>
          <w:szCs w:val="24"/>
        </w:rPr>
        <w:footnoteReference w:id="3"/>
      </w:r>
      <w:r w:rsidR="005466F6" w:rsidRPr="0002468E">
        <w:rPr>
          <w:sz w:val="24"/>
          <w:szCs w:val="24"/>
        </w:rPr>
        <w:t xml:space="preserve">  </w:t>
      </w:r>
    </w:p>
    <w:p w:rsidR="005466F6" w:rsidRPr="0002468E" w:rsidRDefault="008E4376" w:rsidP="00CB07F2">
      <w:pPr>
        <w:spacing w:after="120"/>
        <w:rPr>
          <w:sz w:val="24"/>
          <w:szCs w:val="24"/>
        </w:rPr>
      </w:pPr>
      <w:r w:rsidRPr="0002468E">
        <w:rPr>
          <w:sz w:val="24"/>
          <w:szCs w:val="24"/>
        </w:rPr>
        <w:t>In this paper</w:t>
      </w:r>
      <w:r w:rsidR="00B26307" w:rsidRPr="0002468E">
        <w:rPr>
          <w:sz w:val="24"/>
          <w:szCs w:val="24"/>
        </w:rPr>
        <w:t>,</w:t>
      </w:r>
      <w:r w:rsidRPr="0002468E">
        <w:rPr>
          <w:sz w:val="24"/>
          <w:szCs w:val="24"/>
        </w:rPr>
        <w:t xml:space="preserve"> the</w:t>
      </w:r>
      <w:r w:rsidR="005466F6" w:rsidRPr="0002468E">
        <w:rPr>
          <w:sz w:val="24"/>
          <w:szCs w:val="24"/>
        </w:rPr>
        <w:t xml:space="preserve"> phrase “more robust” describe</w:t>
      </w:r>
      <w:r w:rsidRPr="0002468E">
        <w:rPr>
          <w:sz w:val="24"/>
          <w:szCs w:val="24"/>
        </w:rPr>
        <w:t>s</w:t>
      </w:r>
      <w:r w:rsidR="005466F6" w:rsidRPr="0002468E">
        <w:rPr>
          <w:sz w:val="24"/>
          <w:szCs w:val="24"/>
        </w:rPr>
        <w:t xml:space="preserve"> strategies that work effectively across a broad range of market conditions. The goal is to</w:t>
      </w:r>
      <w:r w:rsidR="00DF3E48" w:rsidRPr="0002468E">
        <w:rPr>
          <w:sz w:val="24"/>
          <w:szCs w:val="24"/>
        </w:rPr>
        <w:t xml:space="preserve"> attain results consistent with clearly articulated risk tolerances in the face of </w:t>
      </w:r>
      <w:r w:rsidR="00F2401D" w:rsidRPr="0002468E">
        <w:rPr>
          <w:sz w:val="24"/>
          <w:szCs w:val="24"/>
        </w:rPr>
        <w:t xml:space="preserve">sometimes </w:t>
      </w:r>
      <w:r w:rsidR="00EB5046" w:rsidRPr="0002468E">
        <w:rPr>
          <w:sz w:val="24"/>
          <w:szCs w:val="24"/>
        </w:rPr>
        <w:t xml:space="preserve">dramatic </w:t>
      </w:r>
      <w:r w:rsidR="00F2401D" w:rsidRPr="0002468E">
        <w:rPr>
          <w:sz w:val="24"/>
          <w:szCs w:val="24"/>
        </w:rPr>
        <w:t xml:space="preserve">price </w:t>
      </w:r>
      <w:r w:rsidR="005466F6" w:rsidRPr="0002468E">
        <w:rPr>
          <w:sz w:val="24"/>
          <w:szCs w:val="24"/>
        </w:rPr>
        <w:t>peaks and troughs</w:t>
      </w:r>
      <w:r w:rsidR="00FA4144" w:rsidRPr="0002468E">
        <w:rPr>
          <w:sz w:val="24"/>
          <w:szCs w:val="24"/>
        </w:rPr>
        <w:t>, like those experienced around 2005 and 2008</w:t>
      </w:r>
      <w:r w:rsidR="00F9793D" w:rsidRPr="0002468E">
        <w:rPr>
          <w:sz w:val="24"/>
          <w:szCs w:val="24"/>
        </w:rPr>
        <w:t>,</w:t>
      </w:r>
      <w:r w:rsidR="00FA4144" w:rsidRPr="0002468E">
        <w:rPr>
          <w:sz w:val="24"/>
          <w:szCs w:val="24"/>
        </w:rPr>
        <w:t xml:space="preserve"> when gas prices rose dramatically and then fell precipitously</w:t>
      </w:r>
      <w:r w:rsidR="005466F6" w:rsidRPr="0002468E">
        <w:rPr>
          <w:sz w:val="24"/>
          <w:szCs w:val="24"/>
        </w:rPr>
        <w:t>.</w:t>
      </w:r>
    </w:p>
    <w:p w:rsidR="00F2401D" w:rsidRPr="0002468E" w:rsidRDefault="00F2401D" w:rsidP="00CB07F2">
      <w:pPr>
        <w:spacing w:after="120"/>
        <w:rPr>
          <w:sz w:val="24"/>
          <w:szCs w:val="24"/>
        </w:rPr>
      </w:pPr>
      <w:r w:rsidRPr="0002468E">
        <w:rPr>
          <w:sz w:val="24"/>
          <w:szCs w:val="24"/>
        </w:rPr>
        <w:t>The paper explores the following areas:</w:t>
      </w:r>
    </w:p>
    <w:p w:rsidR="00D4073B" w:rsidRPr="0002468E" w:rsidRDefault="00F2401D" w:rsidP="00CB07F2">
      <w:pPr>
        <w:pStyle w:val="ListParagraph"/>
        <w:numPr>
          <w:ilvl w:val="0"/>
          <w:numId w:val="24"/>
        </w:numPr>
        <w:spacing w:after="80"/>
        <w:ind w:left="763"/>
        <w:contextualSpacing w:val="0"/>
        <w:rPr>
          <w:sz w:val="24"/>
          <w:szCs w:val="24"/>
        </w:rPr>
      </w:pPr>
      <w:r w:rsidRPr="0002468E">
        <w:rPr>
          <w:sz w:val="24"/>
          <w:szCs w:val="24"/>
        </w:rPr>
        <w:t>Is hedging a beneficial activity?</w:t>
      </w:r>
    </w:p>
    <w:p w:rsidR="00F2401D" w:rsidRPr="0002468E" w:rsidRDefault="00F2401D" w:rsidP="00CB07F2">
      <w:pPr>
        <w:pStyle w:val="ListParagraph"/>
        <w:numPr>
          <w:ilvl w:val="0"/>
          <w:numId w:val="24"/>
        </w:numPr>
        <w:spacing w:after="80"/>
        <w:ind w:left="763"/>
        <w:contextualSpacing w:val="0"/>
        <w:rPr>
          <w:sz w:val="24"/>
          <w:szCs w:val="24"/>
        </w:rPr>
      </w:pPr>
      <w:r w:rsidRPr="0002468E">
        <w:rPr>
          <w:sz w:val="24"/>
          <w:szCs w:val="24"/>
        </w:rPr>
        <w:t>What are appropriate hedge-strategy objectives?</w:t>
      </w:r>
    </w:p>
    <w:p w:rsidR="00F2401D" w:rsidRPr="0002468E" w:rsidRDefault="00F2401D" w:rsidP="00CB07F2">
      <w:pPr>
        <w:pStyle w:val="ListParagraph"/>
        <w:numPr>
          <w:ilvl w:val="0"/>
          <w:numId w:val="24"/>
        </w:numPr>
        <w:spacing w:after="80"/>
        <w:ind w:left="763"/>
        <w:contextualSpacing w:val="0"/>
        <w:rPr>
          <w:sz w:val="24"/>
          <w:szCs w:val="24"/>
        </w:rPr>
      </w:pPr>
      <w:r w:rsidRPr="0002468E">
        <w:rPr>
          <w:sz w:val="24"/>
          <w:szCs w:val="24"/>
        </w:rPr>
        <w:t>What is the status quo with regard to utility hedging programs</w:t>
      </w:r>
      <w:r w:rsidR="005466F6" w:rsidRPr="0002468E">
        <w:rPr>
          <w:sz w:val="24"/>
          <w:szCs w:val="24"/>
        </w:rPr>
        <w:t>?</w:t>
      </w:r>
    </w:p>
    <w:p w:rsidR="00F2401D" w:rsidRPr="0002468E" w:rsidRDefault="00F2401D" w:rsidP="00CB07F2">
      <w:pPr>
        <w:pStyle w:val="ListParagraph"/>
        <w:numPr>
          <w:ilvl w:val="0"/>
          <w:numId w:val="24"/>
        </w:numPr>
        <w:spacing w:after="80"/>
        <w:ind w:left="763"/>
        <w:contextualSpacing w:val="0"/>
        <w:rPr>
          <w:sz w:val="24"/>
          <w:szCs w:val="24"/>
        </w:rPr>
      </w:pPr>
      <w:r w:rsidRPr="0002468E">
        <w:rPr>
          <w:sz w:val="24"/>
          <w:szCs w:val="24"/>
        </w:rPr>
        <w:t>Is there an effective framework for a more robust approach?</w:t>
      </w:r>
    </w:p>
    <w:p w:rsidR="00F2401D" w:rsidRPr="0002468E" w:rsidRDefault="00F2401D" w:rsidP="00CB07F2">
      <w:pPr>
        <w:pStyle w:val="ListParagraph"/>
        <w:numPr>
          <w:ilvl w:val="0"/>
          <w:numId w:val="24"/>
        </w:numPr>
        <w:spacing w:after="80"/>
        <w:ind w:left="763"/>
        <w:contextualSpacing w:val="0"/>
        <w:rPr>
          <w:sz w:val="24"/>
          <w:szCs w:val="24"/>
        </w:rPr>
      </w:pPr>
      <w:r w:rsidRPr="0002468E">
        <w:rPr>
          <w:sz w:val="24"/>
          <w:szCs w:val="24"/>
        </w:rPr>
        <w:t>How do regulatory policies influence hedging strategies?</w:t>
      </w:r>
    </w:p>
    <w:p w:rsidR="005466F6" w:rsidRPr="0002468E" w:rsidRDefault="005466F6" w:rsidP="00CB07F2">
      <w:pPr>
        <w:pStyle w:val="ListParagraph"/>
        <w:numPr>
          <w:ilvl w:val="0"/>
          <w:numId w:val="24"/>
        </w:numPr>
        <w:spacing w:after="80"/>
        <w:ind w:left="763"/>
        <w:contextualSpacing w:val="0"/>
        <w:rPr>
          <w:sz w:val="24"/>
          <w:szCs w:val="24"/>
        </w:rPr>
      </w:pPr>
      <w:r w:rsidRPr="0002468E">
        <w:rPr>
          <w:sz w:val="24"/>
          <w:szCs w:val="24"/>
        </w:rPr>
        <w:t xml:space="preserve">What are typical utility concerns in adopting </w:t>
      </w:r>
      <w:r w:rsidR="00FA4144" w:rsidRPr="0002468E">
        <w:rPr>
          <w:sz w:val="24"/>
          <w:szCs w:val="24"/>
        </w:rPr>
        <w:t>hedge</w:t>
      </w:r>
      <w:r w:rsidR="00FA4144" w:rsidRPr="0002468E">
        <w:rPr>
          <w:sz w:val="24"/>
          <w:szCs w:val="24"/>
        </w:rPr>
        <w:noBreakHyphen/>
        <w:t xml:space="preserve">strategy </w:t>
      </w:r>
      <w:r w:rsidRPr="0002468E">
        <w:rPr>
          <w:sz w:val="24"/>
          <w:szCs w:val="24"/>
        </w:rPr>
        <w:t>changes?</w:t>
      </w:r>
    </w:p>
    <w:p w:rsidR="00F2401D" w:rsidRPr="0002468E" w:rsidRDefault="00F2401D" w:rsidP="001075FC">
      <w:pPr>
        <w:pStyle w:val="ListParagraph"/>
        <w:numPr>
          <w:ilvl w:val="0"/>
          <w:numId w:val="24"/>
        </w:numPr>
        <w:spacing w:after="120"/>
        <w:ind w:left="763"/>
        <w:contextualSpacing w:val="0"/>
        <w:rPr>
          <w:sz w:val="24"/>
          <w:szCs w:val="24"/>
        </w:rPr>
      </w:pPr>
      <w:r w:rsidRPr="0002468E">
        <w:rPr>
          <w:sz w:val="24"/>
          <w:szCs w:val="24"/>
        </w:rPr>
        <w:t xml:space="preserve">What kind of change in regulatory approach </w:t>
      </w:r>
      <w:r w:rsidR="005466F6" w:rsidRPr="0002468E">
        <w:rPr>
          <w:sz w:val="24"/>
          <w:szCs w:val="24"/>
        </w:rPr>
        <w:t>could be beneficial?</w:t>
      </w:r>
    </w:p>
    <w:p w:rsidR="00D7230E" w:rsidRPr="0002468E" w:rsidRDefault="006C560A" w:rsidP="00CB07F2">
      <w:pPr>
        <w:spacing w:after="120"/>
        <w:rPr>
          <w:sz w:val="24"/>
          <w:szCs w:val="24"/>
        </w:rPr>
      </w:pPr>
      <w:r w:rsidRPr="0002468E">
        <w:rPr>
          <w:sz w:val="24"/>
          <w:szCs w:val="24"/>
        </w:rPr>
        <w:t>T</w:t>
      </w:r>
      <w:r w:rsidR="00D7230E" w:rsidRPr="0002468E">
        <w:rPr>
          <w:sz w:val="24"/>
          <w:szCs w:val="24"/>
        </w:rPr>
        <w:t xml:space="preserve">he purpose of this paper is to stimulate a discussion among stakeholders aimed at facilitating a </w:t>
      </w:r>
      <w:r w:rsidR="008E4376" w:rsidRPr="0002468E">
        <w:rPr>
          <w:sz w:val="24"/>
          <w:szCs w:val="24"/>
        </w:rPr>
        <w:t xml:space="preserve">favorable </w:t>
      </w:r>
      <w:r w:rsidR="00D7230E" w:rsidRPr="0002468E">
        <w:rPr>
          <w:sz w:val="24"/>
          <w:szCs w:val="24"/>
        </w:rPr>
        <w:t>environment to promote excellence in hedging</w:t>
      </w:r>
      <w:r w:rsidR="006F1BAE" w:rsidRPr="0002468E">
        <w:rPr>
          <w:sz w:val="24"/>
          <w:szCs w:val="24"/>
        </w:rPr>
        <w:t>.</w:t>
      </w:r>
      <w:r w:rsidR="00D7230E" w:rsidRPr="0002468E">
        <w:rPr>
          <w:sz w:val="24"/>
          <w:szCs w:val="24"/>
        </w:rPr>
        <w:t xml:space="preserve"> </w:t>
      </w:r>
      <w:r w:rsidR="006F1BAE" w:rsidRPr="0002468E">
        <w:rPr>
          <w:sz w:val="24"/>
          <w:szCs w:val="24"/>
        </w:rPr>
        <w:t>T</w:t>
      </w:r>
      <w:r w:rsidR="00D7230E" w:rsidRPr="0002468E">
        <w:rPr>
          <w:sz w:val="24"/>
          <w:szCs w:val="24"/>
        </w:rPr>
        <w:t xml:space="preserve">here are no definitive </w:t>
      </w:r>
      <w:r w:rsidR="001455FA" w:rsidRPr="0002468E">
        <w:rPr>
          <w:sz w:val="24"/>
          <w:szCs w:val="24"/>
        </w:rPr>
        <w:t>conclusions</w:t>
      </w:r>
      <w:r w:rsidR="00D7230E" w:rsidRPr="0002468E">
        <w:rPr>
          <w:sz w:val="24"/>
          <w:szCs w:val="24"/>
        </w:rPr>
        <w:t xml:space="preserve"> with respect to </w:t>
      </w:r>
      <w:r w:rsidR="006565CC" w:rsidRPr="0002468E">
        <w:rPr>
          <w:sz w:val="24"/>
          <w:szCs w:val="24"/>
        </w:rPr>
        <w:t>implementing a prescribed</w:t>
      </w:r>
      <w:r w:rsidR="00D7230E" w:rsidRPr="0002468E">
        <w:rPr>
          <w:sz w:val="24"/>
          <w:szCs w:val="24"/>
        </w:rPr>
        <w:t xml:space="preserve"> approach. On the other hand, the concepts discussed</w:t>
      </w:r>
      <w:r w:rsidRPr="0002468E">
        <w:rPr>
          <w:sz w:val="24"/>
          <w:szCs w:val="24"/>
        </w:rPr>
        <w:t>,</w:t>
      </w:r>
      <w:r w:rsidR="00D7230E" w:rsidRPr="0002468E">
        <w:rPr>
          <w:sz w:val="24"/>
          <w:szCs w:val="24"/>
        </w:rPr>
        <w:t xml:space="preserve"> </w:t>
      </w:r>
      <w:r w:rsidR="006565CC" w:rsidRPr="0002468E">
        <w:rPr>
          <w:sz w:val="24"/>
          <w:szCs w:val="24"/>
        </w:rPr>
        <w:t>while complex</w:t>
      </w:r>
      <w:r w:rsidRPr="0002468E">
        <w:rPr>
          <w:sz w:val="24"/>
          <w:szCs w:val="24"/>
        </w:rPr>
        <w:t>,</w:t>
      </w:r>
      <w:r w:rsidR="00D7230E" w:rsidRPr="0002468E">
        <w:rPr>
          <w:sz w:val="24"/>
          <w:szCs w:val="24"/>
        </w:rPr>
        <w:t xml:space="preserve"> </w:t>
      </w:r>
      <w:r w:rsidR="006565CC" w:rsidRPr="0002468E">
        <w:rPr>
          <w:sz w:val="24"/>
          <w:szCs w:val="24"/>
        </w:rPr>
        <w:t xml:space="preserve">are well accepted, </w:t>
      </w:r>
      <w:r w:rsidR="00D7230E" w:rsidRPr="0002468E">
        <w:rPr>
          <w:sz w:val="24"/>
          <w:szCs w:val="24"/>
        </w:rPr>
        <w:t xml:space="preserve">so the paper is written in a </w:t>
      </w:r>
      <w:r w:rsidR="006F1BAE" w:rsidRPr="0002468E">
        <w:rPr>
          <w:sz w:val="24"/>
          <w:szCs w:val="24"/>
        </w:rPr>
        <w:t xml:space="preserve">manner </w:t>
      </w:r>
      <w:r w:rsidR="00D7230E" w:rsidRPr="0002468E">
        <w:rPr>
          <w:sz w:val="24"/>
          <w:szCs w:val="24"/>
        </w:rPr>
        <w:t>that minimize</w:t>
      </w:r>
      <w:r w:rsidR="006F1BAE" w:rsidRPr="0002468E">
        <w:rPr>
          <w:sz w:val="24"/>
          <w:szCs w:val="24"/>
        </w:rPr>
        <w:t>s</w:t>
      </w:r>
      <w:r w:rsidR="00D7230E" w:rsidRPr="0002468E">
        <w:rPr>
          <w:sz w:val="24"/>
          <w:szCs w:val="24"/>
        </w:rPr>
        <w:t xml:space="preserve"> ambiguities. </w:t>
      </w:r>
      <w:r w:rsidR="006565CC" w:rsidRPr="0002468E">
        <w:rPr>
          <w:sz w:val="24"/>
          <w:szCs w:val="24"/>
        </w:rPr>
        <w:t>R</w:t>
      </w:r>
      <w:r w:rsidR="00D7230E" w:rsidRPr="0002468E">
        <w:rPr>
          <w:sz w:val="24"/>
          <w:szCs w:val="24"/>
        </w:rPr>
        <w:t xml:space="preserve">eaders should recognize that while the language is often definitive, it is intended to be </w:t>
      </w:r>
      <w:r w:rsidR="006565CC" w:rsidRPr="0002468E">
        <w:rPr>
          <w:sz w:val="24"/>
          <w:szCs w:val="24"/>
        </w:rPr>
        <w:t xml:space="preserve">a seed for discussion rather than </w:t>
      </w:r>
      <w:r w:rsidR="00D7230E" w:rsidRPr="0002468E">
        <w:rPr>
          <w:sz w:val="24"/>
          <w:szCs w:val="24"/>
        </w:rPr>
        <w:t xml:space="preserve">conclusive. </w:t>
      </w:r>
    </w:p>
    <w:p w:rsidR="005466F6" w:rsidRPr="000269F1" w:rsidRDefault="005466F6" w:rsidP="0061353D">
      <w:pPr>
        <w:pStyle w:val="Heading1"/>
      </w:pPr>
      <w:bookmarkStart w:id="3" w:name="_Toc411341368"/>
      <w:bookmarkStart w:id="4" w:name="_Toc424039077"/>
      <w:r w:rsidRPr="000269F1">
        <w:t>Background</w:t>
      </w:r>
      <w:bookmarkEnd w:id="3"/>
      <w:bookmarkEnd w:id="4"/>
    </w:p>
    <w:p w:rsidR="005466F6" w:rsidRPr="0002468E" w:rsidRDefault="00B570AB" w:rsidP="004E15A0">
      <w:pPr>
        <w:spacing w:after="120"/>
        <w:rPr>
          <w:sz w:val="24"/>
          <w:szCs w:val="24"/>
        </w:rPr>
      </w:pPr>
      <w:r w:rsidRPr="0002468E">
        <w:rPr>
          <w:sz w:val="24"/>
          <w:szCs w:val="24"/>
        </w:rPr>
        <w:t xml:space="preserve">The price of natural gas </w:t>
      </w:r>
      <w:r w:rsidR="001617C7" w:rsidRPr="0002468E">
        <w:rPr>
          <w:sz w:val="24"/>
          <w:szCs w:val="24"/>
        </w:rPr>
        <w:t>experienced</w:t>
      </w:r>
      <w:r w:rsidRPr="0002468E">
        <w:rPr>
          <w:sz w:val="24"/>
          <w:szCs w:val="24"/>
        </w:rPr>
        <w:t xml:space="preserve"> </w:t>
      </w:r>
      <w:r w:rsidR="001617C7" w:rsidRPr="0002468E">
        <w:rPr>
          <w:sz w:val="24"/>
          <w:szCs w:val="24"/>
        </w:rPr>
        <w:t xml:space="preserve">unprecedented </w:t>
      </w:r>
      <w:r w:rsidRPr="0002468E">
        <w:rPr>
          <w:sz w:val="24"/>
          <w:szCs w:val="24"/>
        </w:rPr>
        <w:t>extreme peaks and troughs in recent decades. Natural gas prices are typically viewed in two parts: the supply component (e.</w:t>
      </w:r>
      <w:r w:rsidR="00101289" w:rsidRPr="0002468E">
        <w:rPr>
          <w:sz w:val="24"/>
          <w:szCs w:val="24"/>
        </w:rPr>
        <w:t>g.</w:t>
      </w:r>
      <w:r w:rsidRPr="0002468E">
        <w:rPr>
          <w:sz w:val="24"/>
          <w:szCs w:val="24"/>
        </w:rPr>
        <w:t>, NYMEX prices referenced at Henry Hub in Louisiana)</w:t>
      </w:r>
      <w:r w:rsidR="001617C7" w:rsidRPr="0002468E">
        <w:rPr>
          <w:sz w:val="24"/>
          <w:szCs w:val="24"/>
        </w:rPr>
        <w:t>;</w:t>
      </w:r>
      <w:r w:rsidRPr="0002468E">
        <w:rPr>
          <w:sz w:val="24"/>
          <w:szCs w:val="24"/>
        </w:rPr>
        <w:t xml:space="preserve"> and the “basis” component which captures the cost differentials attributable to t</w:t>
      </w:r>
      <w:r w:rsidR="002A6CA8" w:rsidRPr="0002468E">
        <w:rPr>
          <w:sz w:val="24"/>
          <w:szCs w:val="24"/>
        </w:rPr>
        <w:t>ransportation and congestion. Basis differentials are local</w:t>
      </w:r>
      <w:r w:rsidR="008E4376" w:rsidRPr="0002468E">
        <w:rPr>
          <w:sz w:val="24"/>
          <w:szCs w:val="24"/>
        </w:rPr>
        <w:t xml:space="preserve"> and unique for each region</w:t>
      </w:r>
      <w:r w:rsidR="002A6CA8" w:rsidRPr="0002468E">
        <w:rPr>
          <w:sz w:val="24"/>
          <w:szCs w:val="24"/>
        </w:rPr>
        <w:t>, s</w:t>
      </w:r>
      <w:r w:rsidRPr="0002468E">
        <w:rPr>
          <w:sz w:val="24"/>
          <w:szCs w:val="24"/>
        </w:rPr>
        <w:t xml:space="preserve">o </w:t>
      </w:r>
      <w:r w:rsidR="002A6CA8" w:rsidRPr="0002468E">
        <w:rPr>
          <w:sz w:val="24"/>
          <w:szCs w:val="24"/>
        </w:rPr>
        <w:t xml:space="preserve">to </w:t>
      </w:r>
      <w:r w:rsidRPr="0002468E">
        <w:rPr>
          <w:sz w:val="24"/>
          <w:szCs w:val="24"/>
        </w:rPr>
        <w:t xml:space="preserve">facilitate a common perspective, the discussion here will focus </w:t>
      </w:r>
      <w:r w:rsidR="008E4376" w:rsidRPr="0002468E">
        <w:rPr>
          <w:sz w:val="24"/>
          <w:szCs w:val="24"/>
        </w:rPr>
        <w:t xml:space="preserve">solely </w:t>
      </w:r>
      <w:r w:rsidRPr="0002468E">
        <w:rPr>
          <w:sz w:val="24"/>
          <w:szCs w:val="24"/>
        </w:rPr>
        <w:t>on the supply component (“NYMEX”) because it is universally applicable</w:t>
      </w:r>
      <w:r w:rsidR="001D00EB" w:rsidRPr="0002468E">
        <w:rPr>
          <w:sz w:val="24"/>
          <w:szCs w:val="24"/>
        </w:rPr>
        <w:t>.</w:t>
      </w:r>
      <w:r w:rsidRPr="0002468E">
        <w:rPr>
          <w:sz w:val="24"/>
          <w:szCs w:val="24"/>
        </w:rPr>
        <w:t xml:space="preserve"> </w:t>
      </w:r>
      <w:r w:rsidR="008E4376" w:rsidRPr="0002468E">
        <w:rPr>
          <w:sz w:val="24"/>
          <w:szCs w:val="24"/>
        </w:rPr>
        <w:t>H</w:t>
      </w:r>
      <w:r w:rsidRPr="0002468E">
        <w:rPr>
          <w:sz w:val="24"/>
          <w:szCs w:val="24"/>
        </w:rPr>
        <w:t xml:space="preserve">edge programs </w:t>
      </w:r>
      <w:r w:rsidR="00BC2169" w:rsidRPr="0002468E">
        <w:rPr>
          <w:sz w:val="24"/>
          <w:szCs w:val="24"/>
        </w:rPr>
        <w:t>typically</w:t>
      </w:r>
      <w:r w:rsidRPr="0002468E">
        <w:rPr>
          <w:sz w:val="24"/>
          <w:szCs w:val="24"/>
        </w:rPr>
        <w:t xml:space="preserve"> manage the risk of both components</w:t>
      </w:r>
      <w:r w:rsidR="00BC2169" w:rsidRPr="0002468E">
        <w:rPr>
          <w:sz w:val="24"/>
          <w:szCs w:val="24"/>
        </w:rPr>
        <w:t>, as they should</w:t>
      </w:r>
      <w:r w:rsidR="008E4376" w:rsidRPr="0002468E">
        <w:rPr>
          <w:sz w:val="24"/>
          <w:szCs w:val="24"/>
        </w:rPr>
        <w:t xml:space="preserve">, </w:t>
      </w:r>
      <w:r w:rsidR="009A7F38" w:rsidRPr="0002468E">
        <w:rPr>
          <w:sz w:val="24"/>
          <w:szCs w:val="24"/>
        </w:rPr>
        <w:t>and</w:t>
      </w:r>
      <w:r w:rsidR="00BC2169" w:rsidRPr="0002468E">
        <w:rPr>
          <w:sz w:val="24"/>
          <w:szCs w:val="24"/>
        </w:rPr>
        <w:t xml:space="preserve"> </w:t>
      </w:r>
      <w:r w:rsidR="001D00EB" w:rsidRPr="0002468E">
        <w:rPr>
          <w:sz w:val="24"/>
          <w:szCs w:val="24"/>
        </w:rPr>
        <w:t>t</w:t>
      </w:r>
      <w:r w:rsidR="00BC2169" w:rsidRPr="0002468E">
        <w:rPr>
          <w:sz w:val="24"/>
          <w:szCs w:val="24"/>
        </w:rPr>
        <w:t>he principles described here can be applied to both components provided market liquidity is sufficient.</w:t>
      </w:r>
    </w:p>
    <w:p w:rsidR="003B7723" w:rsidRPr="0002468E" w:rsidRDefault="00026E72" w:rsidP="004E15A0">
      <w:pPr>
        <w:spacing w:after="120"/>
        <w:rPr>
          <w:sz w:val="24"/>
          <w:szCs w:val="24"/>
        </w:rPr>
      </w:pPr>
      <w:r w:rsidRPr="0002468E">
        <w:rPr>
          <w:sz w:val="24"/>
          <w:szCs w:val="24"/>
        </w:rPr>
        <w:t>Focusing on</w:t>
      </w:r>
      <w:r w:rsidR="00F71AE0" w:rsidRPr="0002468E">
        <w:rPr>
          <w:sz w:val="24"/>
          <w:szCs w:val="24"/>
        </w:rPr>
        <w:t>ly on</w:t>
      </w:r>
      <w:r w:rsidRPr="0002468E">
        <w:rPr>
          <w:sz w:val="24"/>
          <w:szCs w:val="24"/>
        </w:rPr>
        <w:t xml:space="preserve"> the NYMEX component, monthly closing prices have ranged from under $2 per MMBtu</w:t>
      </w:r>
      <w:r w:rsidR="00C66DA3" w:rsidRPr="0002468E">
        <w:rPr>
          <w:rStyle w:val="FootnoteReference"/>
          <w:sz w:val="24"/>
          <w:szCs w:val="24"/>
        </w:rPr>
        <w:footnoteReference w:id="4"/>
      </w:r>
      <w:r w:rsidRPr="0002468E">
        <w:rPr>
          <w:sz w:val="24"/>
          <w:szCs w:val="24"/>
        </w:rPr>
        <w:t xml:space="preserve"> to </w:t>
      </w:r>
      <w:r w:rsidR="00A824D3" w:rsidRPr="0002468E">
        <w:rPr>
          <w:sz w:val="24"/>
          <w:szCs w:val="24"/>
        </w:rPr>
        <w:t xml:space="preserve">more than </w:t>
      </w:r>
      <w:r w:rsidRPr="0002468E">
        <w:rPr>
          <w:sz w:val="24"/>
          <w:szCs w:val="24"/>
        </w:rPr>
        <w:t>$15 per MMBtu</w:t>
      </w:r>
      <w:r w:rsidR="0005094D" w:rsidRPr="0002468E">
        <w:rPr>
          <w:sz w:val="24"/>
          <w:szCs w:val="24"/>
        </w:rPr>
        <w:t>.</w:t>
      </w:r>
      <w:r w:rsidR="00F71AE0" w:rsidRPr="0002468E">
        <w:rPr>
          <w:sz w:val="24"/>
          <w:szCs w:val="24"/>
        </w:rPr>
        <w:t xml:space="preserve"> </w:t>
      </w:r>
      <w:r w:rsidR="0005094D" w:rsidRPr="0002468E">
        <w:rPr>
          <w:sz w:val="24"/>
          <w:szCs w:val="24"/>
        </w:rPr>
        <w:t>P</w:t>
      </w:r>
      <w:r w:rsidR="00F71AE0" w:rsidRPr="0002468E">
        <w:rPr>
          <w:sz w:val="24"/>
          <w:szCs w:val="24"/>
        </w:rPr>
        <w:t>eak prices are about 800</w:t>
      </w:r>
      <w:r w:rsidR="001E7B38" w:rsidRPr="0002468E">
        <w:rPr>
          <w:sz w:val="24"/>
          <w:szCs w:val="24"/>
        </w:rPr>
        <w:t xml:space="preserve"> percent</w:t>
      </w:r>
      <w:r w:rsidR="00F71AE0" w:rsidRPr="0002468E">
        <w:rPr>
          <w:sz w:val="24"/>
          <w:szCs w:val="24"/>
        </w:rPr>
        <w:t xml:space="preserve"> of trough prices</w:t>
      </w:r>
      <w:r w:rsidRPr="0002468E">
        <w:rPr>
          <w:sz w:val="24"/>
          <w:szCs w:val="24"/>
        </w:rPr>
        <w:t xml:space="preserve">. </w:t>
      </w:r>
      <w:r w:rsidR="0005094D" w:rsidRPr="0002468E">
        <w:rPr>
          <w:sz w:val="24"/>
          <w:szCs w:val="24"/>
        </w:rPr>
        <w:t>D</w:t>
      </w:r>
      <w:r w:rsidRPr="0002468E">
        <w:rPr>
          <w:sz w:val="24"/>
          <w:szCs w:val="24"/>
        </w:rPr>
        <w:t>aily prices are even more volatile</w:t>
      </w:r>
      <w:r w:rsidR="00F71AE0" w:rsidRPr="0002468E">
        <w:rPr>
          <w:sz w:val="24"/>
          <w:szCs w:val="24"/>
        </w:rPr>
        <w:t xml:space="preserve"> and basis values are more volatile still.</w:t>
      </w:r>
      <w:r w:rsidRPr="0002468E">
        <w:rPr>
          <w:sz w:val="24"/>
          <w:szCs w:val="24"/>
        </w:rPr>
        <w:t xml:space="preserve"> Figure 1 shows a chart of </w:t>
      </w:r>
      <w:r w:rsidR="00F71AE0" w:rsidRPr="0002468E">
        <w:rPr>
          <w:sz w:val="24"/>
          <w:szCs w:val="24"/>
        </w:rPr>
        <w:t>NYMEX</w:t>
      </w:r>
      <w:r w:rsidRPr="0002468E">
        <w:rPr>
          <w:sz w:val="24"/>
          <w:szCs w:val="24"/>
        </w:rPr>
        <w:t xml:space="preserve"> </w:t>
      </w:r>
      <w:r w:rsidR="00922AFF" w:rsidRPr="0002468E">
        <w:rPr>
          <w:sz w:val="24"/>
          <w:szCs w:val="24"/>
        </w:rPr>
        <w:t xml:space="preserve">monthly closing </w:t>
      </w:r>
      <w:r w:rsidRPr="0002468E">
        <w:rPr>
          <w:sz w:val="24"/>
          <w:szCs w:val="24"/>
        </w:rPr>
        <w:t>price</w:t>
      </w:r>
      <w:r w:rsidR="00922AFF" w:rsidRPr="0002468E">
        <w:rPr>
          <w:sz w:val="24"/>
          <w:szCs w:val="24"/>
        </w:rPr>
        <w:t>s</w:t>
      </w:r>
      <w:r w:rsidRPr="0002468E">
        <w:rPr>
          <w:sz w:val="24"/>
          <w:szCs w:val="24"/>
        </w:rPr>
        <w:t xml:space="preserve"> </w:t>
      </w:r>
      <w:r w:rsidR="00F71AE0" w:rsidRPr="0002468E">
        <w:rPr>
          <w:sz w:val="24"/>
          <w:szCs w:val="24"/>
        </w:rPr>
        <w:t xml:space="preserve">over the last 25 years. </w:t>
      </w:r>
      <w:r w:rsidR="00131973" w:rsidRPr="0002468E">
        <w:rPr>
          <w:sz w:val="24"/>
          <w:szCs w:val="24"/>
        </w:rPr>
        <w:t xml:space="preserve"> </w:t>
      </w:r>
    </w:p>
    <w:p w:rsidR="003B7723" w:rsidRDefault="003B7723" w:rsidP="005466F6">
      <w:pPr>
        <w:spacing w:after="120"/>
        <w:jc w:val="both"/>
      </w:pPr>
    </w:p>
    <w:p w:rsidR="003B7723" w:rsidRPr="006F3C3D" w:rsidRDefault="003B7723" w:rsidP="003B7723">
      <w:pPr>
        <w:keepNext/>
        <w:keepLines/>
        <w:spacing w:after="120"/>
        <w:jc w:val="both"/>
        <w:rPr>
          <w:rFonts w:cs="Times New Roman"/>
          <w:b/>
          <w:sz w:val="21"/>
          <w:szCs w:val="21"/>
          <w:u w:val="single"/>
        </w:rPr>
      </w:pPr>
      <w:r w:rsidRPr="006F3C3D">
        <w:rPr>
          <w:rFonts w:cs="Times New Roman"/>
          <w:b/>
          <w:sz w:val="21"/>
          <w:szCs w:val="21"/>
          <w:u w:val="single"/>
        </w:rPr>
        <w:t>Figure 1:  Monthly NYMEX Prices Since 1990</w:t>
      </w:r>
    </w:p>
    <w:p w:rsidR="003B7723" w:rsidRDefault="003B7723" w:rsidP="005466F6">
      <w:pPr>
        <w:spacing w:after="120"/>
        <w:jc w:val="both"/>
      </w:pPr>
      <w:r w:rsidRPr="000269F1">
        <w:rPr>
          <w:noProof/>
        </w:rPr>
        <w:drawing>
          <wp:inline distT="0" distB="0" distL="0" distR="0" wp14:anchorId="3C0E6CDC" wp14:editId="107307EB">
            <wp:extent cx="5943600" cy="2651413"/>
            <wp:effectExtent l="152400" t="152400" r="361950" b="3587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651413"/>
                    </a:xfrm>
                    <a:prstGeom prst="rect">
                      <a:avLst/>
                    </a:prstGeom>
                    <a:ln>
                      <a:noFill/>
                    </a:ln>
                    <a:effectLst>
                      <a:outerShdw blurRad="292100" dist="139700" dir="2700000" algn="tl" rotWithShape="0">
                        <a:srgbClr val="333333">
                          <a:alpha val="65000"/>
                        </a:srgbClr>
                      </a:outerShdw>
                    </a:effectLst>
                  </pic:spPr>
                </pic:pic>
              </a:graphicData>
            </a:graphic>
          </wp:inline>
        </w:drawing>
      </w:r>
    </w:p>
    <w:p w:rsidR="00BA39B0" w:rsidRPr="0002468E" w:rsidRDefault="00131973" w:rsidP="00904099">
      <w:pPr>
        <w:spacing w:after="120"/>
        <w:rPr>
          <w:sz w:val="24"/>
          <w:szCs w:val="24"/>
        </w:rPr>
      </w:pPr>
      <w:r w:rsidRPr="0002468E">
        <w:rPr>
          <w:sz w:val="24"/>
          <w:szCs w:val="24"/>
        </w:rPr>
        <w:t xml:space="preserve">The </w:t>
      </w:r>
      <w:r w:rsidR="00D17764" w:rsidRPr="0002468E">
        <w:rPr>
          <w:sz w:val="24"/>
          <w:szCs w:val="24"/>
        </w:rPr>
        <w:t xml:space="preserve">smoothed </w:t>
      </w:r>
      <w:r w:rsidRPr="0002468E">
        <w:rPr>
          <w:sz w:val="24"/>
          <w:szCs w:val="24"/>
        </w:rPr>
        <w:t xml:space="preserve">blue line in Figure 1 indicates the </w:t>
      </w:r>
      <w:r w:rsidR="006609BF" w:rsidRPr="0002468E">
        <w:rPr>
          <w:sz w:val="24"/>
          <w:szCs w:val="24"/>
        </w:rPr>
        <w:t>12</w:t>
      </w:r>
      <w:r w:rsidRPr="0002468E">
        <w:rPr>
          <w:sz w:val="24"/>
          <w:szCs w:val="24"/>
        </w:rPr>
        <w:t>-month rolling average which is probably more reflective of utility pass</w:t>
      </w:r>
      <w:r w:rsidRPr="0002468E">
        <w:rPr>
          <w:sz w:val="24"/>
          <w:szCs w:val="24"/>
        </w:rPr>
        <w:noBreakHyphen/>
        <w:t>through costs if smoothing mechanisms are deployed</w:t>
      </w:r>
      <w:r w:rsidR="00904099" w:rsidRPr="0002468E">
        <w:rPr>
          <w:sz w:val="24"/>
          <w:szCs w:val="24"/>
        </w:rPr>
        <w:t>.</w:t>
      </w:r>
    </w:p>
    <w:p w:rsidR="00BA39B0" w:rsidRPr="0002468E" w:rsidRDefault="00BA39B0" w:rsidP="00904099">
      <w:pPr>
        <w:spacing w:after="120"/>
        <w:rPr>
          <w:sz w:val="24"/>
          <w:szCs w:val="24"/>
        </w:rPr>
      </w:pPr>
    </w:p>
    <w:p w:rsidR="00F71AE0" w:rsidRPr="0002468E" w:rsidRDefault="00F71AE0" w:rsidP="00904099">
      <w:pPr>
        <w:spacing w:after="120"/>
        <w:rPr>
          <w:sz w:val="24"/>
          <w:szCs w:val="24"/>
        </w:rPr>
      </w:pPr>
      <w:r w:rsidRPr="0002468E">
        <w:rPr>
          <w:sz w:val="24"/>
          <w:szCs w:val="24"/>
        </w:rPr>
        <w:t>A few other observations are informative:</w:t>
      </w:r>
    </w:p>
    <w:p w:rsidR="00026E72" w:rsidRPr="0002468E" w:rsidRDefault="001D00EB" w:rsidP="00904099">
      <w:pPr>
        <w:pStyle w:val="ListParagraph"/>
        <w:numPr>
          <w:ilvl w:val="0"/>
          <w:numId w:val="6"/>
        </w:numPr>
        <w:spacing w:after="120"/>
        <w:ind w:left="778"/>
        <w:contextualSpacing w:val="0"/>
        <w:rPr>
          <w:sz w:val="24"/>
          <w:szCs w:val="24"/>
        </w:rPr>
      </w:pPr>
      <w:r w:rsidRPr="0002468E">
        <w:rPr>
          <w:sz w:val="24"/>
          <w:szCs w:val="24"/>
        </w:rPr>
        <w:t xml:space="preserve">Price volatility </w:t>
      </w:r>
      <w:r w:rsidR="00F71AE0" w:rsidRPr="0002468E">
        <w:rPr>
          <w:sz w:val="24"/>
          <w:szCs w:val="24"/>
        </w:rPr>
        <w:t>is not a recent phenomenon. Price spikes occurred in every decade</w:t>
      </w:r>
      <w:r w:rsidR="00922AFF" w:rsidRPr="0002468E">
        <w:rPr>
          <w:sz w:val="24"/>
          <w:szCs w:val="24"/>
        </w:rPr>
        <w:t xml:space="preserve"> since the </w:t>
      </w:r>
      <w:r w:rsidR="00BC2169" w:rsidRPr="0002468E">
        <w:rPr>
          <w:sz w:val="24"/>
          <w:szCs w:val="24"/>
        </w:rPr>
        <w:t xml:space="preserve">advent of the NYMEX contract in </w:t>
      </w:r>
      <w:r w:rsidR="00FA4144" w:rsidRPr="0002468E">
        <w:rPr>
          <w:sz w:val="24"/>
          <w:szCs w:val="24"/>
        </w:rPr>
        <w:t>19</w:t>
      </w:r>
      <w:r w:rsidR="00BC2169" w:rsidRPr="0002468E">
        <w:rPr>
          <w:sz w:val="24"/>
          <w:szCs w:val="24"/>
        </w:rPr>
        <w:t>91</w:t>
      </w:r>
      <w:r w:rsidR="006609BF" w:rsidRPr="0002468E">
        <w:rPr>
          <w:sz w:val="24"/>
          <w:szCs w:val="24"/>
        </w:rPr>
        <w:t>.</w:t>
      </w:r>
    </w:p>
    <w:p w:rsidR="00F71AE0" w:rsidRPr="0002468E" w:rsidRDefault="00F71AE0" w:rsidP="00904099">
      <w:pPr>
        <w:pStyle w:val="ListParagraph"/>
        <w:numPr>
          <w:ilvl w:val="0"/>
          <w:numId w:val="6"/>
        </w:numPr>
        <w:spacing w:after="120"/>
        <w:ind w:left="778"/>
        <w:contextualSpacing w:val="0"/>
        <w:rPr>
          <w:sz w:val="24"/>
          <w:szCs w:val="24"/>
        </w:rPr>
      </w:pPr>
      <w:r w:rsidRPr="0002468E">
        <w:rPr>
          <w:sz w:val="24"/>
          <w:szCs w:val="24"/>
        </w:rPr>
        <w:t xml:space="preserve">Extreme increases and decreases often occur over relatively short time periods. </w:t>
      </w:r>
      <w:r w:rsidR="00A41EE9" w:rsidRPr="0002468E">
        <w:rPr>
          <w:sz w:val="24"/>
          <w:szCs w:val="24"/>
        </w:rPr>
        <w:t>During</w:t>
      </w:r>
      <w:r w:rsidRPr="0002468E">
        <w:rPr>
          <w:sz w:val="24"/>
          <w:szCs w:val="24"/>
        </w:rPr>
        <w:t xml:space="preserve"> the decade beginning </w:t>
      </w:r>
      <w:r w:rsidR="006609BF" w:rsidRPr="0002468E">
        <w:rPr>
          <w:sz w:val="24"/>
          <w:szCs w:val="24"/>
        </w:rPr>
        <w:t xml:space="preserve">in </w:t>
      </w:r>
      <w:r w:rsidRPr="0002468E">
        <w:rPr>
          <w:sz w:val="24"/>
          <w:szCs w:val="24"/>
        </w:rPr>
        <w:t xml:space="preserve">2000, there were </w:t>
      </w:r>
      <w:r w:rsidR="001D00EB" w:rsidRPr="0002468E">
        <w:rPr>
          <w:sz w:val="24"/>
          <w:szCs w:val="24"/>
        </w:rPr>
        <w:t>four</w:t>
      </w:r>
      <w:r w:rsidRPr="0002468E">
        <w:rPr>
          <w:sz w:val="24"/>
          <w:szCs w:val="24"/>
        </w:rPr>
        <w:t xml:space="preserve"> separate price spikes, each followed by a dramatic </w:t>
      </w:r>
      <w:r w:rsidR="00322E74" w:rsidRPr="0002468E">
        <w:rPr>
          <w:sz w:val="24"/>
          <w:szCs w:val="24"/>
        </w:rPr>
        <w:t>collapse in prices</w:t>
      </w:r>
      <w:r w:rsidR="006609BF" w:rsidRPr="0002468E">
        <w:rPr>
          <w:sz w:val="24"/>
          <w:szCs w:val="24"/>
        </w:rPr>
        <w:t>.</w:t>
      </w:r>
    </w:p>
    <w:p w:rsidR="00131973" w:rsidRPr="0002468E" w:rsidRDefault="00131973" w:rsidP="00904099">
      <w:pPr>
        <w:pStyle w:val="ListParagraph"/>
        <w:numPr>
          <w:ilvl w:val="0"/>
          <w:numId w:val="6"/>
        </w:numPr>
        <w:spacing w:after="120"/>
        <w:ind w:left="778"/>
        <w:contextualSpacing w:val="0"/>
        <w:rPr>
          <w:sz w:val="24"/>
          <w:szCs w:val="24"/>
        </w:rPr>
      </w:pPr>
      <w:r w:rsidRPr="0002468E">
        <w:rPr>
          <w:sz w:val="24"/>
          <w:szCs w:val="24"/>
        </w:rPr>
        <w:t xml:space="preserve">Even with a </w:t>
      </w:r>
      <w:r w:rsidR="001D00EB" w:rsidRPr="0002468E">
        <w:rPr>
          <w:sz w:val="24"/>
          <w:szCs w:val="24"/>
        </w:rPr>
        <w:t>twelve</w:t>
      </w:r>
      <w:r w:rsidRPr="0002468E">
        <w:rPr>
          <w:sz w:val="24"/>
          <w:szCs w:val="24"/>
        </w:rPr>
        <w:t xml:space="preserve">-month smoothing, prices ranged from </w:t>
      </w:r>
      <w:r w:rsidR="006609BF" w:rsidRPr="0002468E">
        <w:rPr>
          <w:sz w:val="24"/>
          <w:szCs w:val="24"/>
        </w:rPr>
        <w:t xml:space="preserve">more than </w:t>
      </w:r>
      <w:r w:rsidRPr="0002468E">
        <w:rPr>
          <w:sz w:val="24"/>
          <w:szCs w:val="24"/>
        </w:rPr>
        <w:t>$9 to less than $3 per MMBtu</w:t>
      </w:r>
      <w:r w:rsidR="006609BF" w:rsidRPr="0002468E">
        <w:rPr>
          <w:sz w:val="24"/>
          <w:szCs w:val="24"/>
        </w:rPr>
        <w:t>.</w:t>
      </w:r>
    </w:p>
    <w:p w:rsidR="00322E74" w:rsidRPr="0002468E" w:rsidRDefault="00322E74" w:rsidP="00904099">
      <w:pPr>
        <w:pStyle w:val="ListParagraph"/>
        <w:numPr>
          <w:ilvl w:val="0"/>
          <w:numId w:val="6"/>
        </w:numPr>
        <w:spacing w:after="120"/>
        <w:ind w:left="778"/>
        <w:contextualSpacing w:val="0"/>
        <w:rPr>
          <w:sz w:val="24"/>
          <w:szCs w:val="24"/>
        </w:rPr>
      </w:pPr>
      <w:r w:rsidRPr="0002468E">
        <w:rPr>
          <w:sz w:val="24"/>
          <w:szCs w:val="24"/>
        </w:rPr>
        <w:t xml:space="preserve">Price peaks tend to last </w:t>
      </w:r>
      <w:r w:rsidR="001D00EB" w:rsidRPr="0002468E">
        <w:rPr>
          <w:sz w:val="24"/>
          <w:szCs w:val="24"/>
        </w:rPr>
        <w:t>three</w:t>
      </w:r>
      <w:r w:rsidRPr="0002468E">
        <w:rPr>
          <w:sz w:val="24"/>
          <w:szCs w:val="24"/>
        </w:rPr>
        <w:t xml:space="preserve"> to </w:t>
      </w:r>
      <w:r w:rsidR="001D00EB" w:rsidRPr="0002468E">
        <w:rPr>
          <w:sz w:val="24"/>
          <w:szCs w:val="24"/>
        </w:rPr>
        <w:t>six</w:t>
      </w:r>
      <w:r w:rsidRPr="0002468E">
        <w:rPr>
          <w:sz w:val="24"/>
          <w:szCs w:val="24"/>
        </w:rPr>
        <w:t xml:space="preserve"> months, while price troughs tend to last </w:t>
      </w:r>
      <w:r w:rsidR="009E5F14" w:rsidRPr="0002468E">
        <w:rPr>
          <w:sz w:val="24"/>
          <w:szCs w:val="24"/>
        </w:rPr>
        <w:t>a few years</w:t>
      </w:r>
      <w:r w:rsidR="006609BF" w:rsidRPr="0002468E">
        <w:rPr>
          <w:sz w:val="24"/>
          <w:szCs w:val="24"/>
        </w:rPr>
        <w:t>.</w:t>
      </w:r>
    </w:p>
    <w:p w:rsidR="006A4884" w:rsidRPr="0002468E" w:rsidRDefault="00322E74" w:rsidP="00904099">
      <w:pPr>
        <w:pStyle w:val="ListParagraph"/>
        <w:numPr>
          <w:ilvl w:val="0"/>
          <w:numId w:val="6"/>
        </w:numPr>
        <w:spacing w:after="120"/>
        <w:ind w:left="778"/>
        <w:contextualSpacing w:val="0"/>
        <w:rPr>
          <w:sz w:val="24"/>
          <w:szCs w:val="24"/>
        </w:rPr>
      </w:pPr>
      <w:r w:rsidRPr="0002468E">
        <w:rPr>
          <w:sz w:val="24"/>
          <w:szCs w:val="24"/>
        </w:rPr>
        <w:t>Since 2000, the average price has been about $5.20</w:t>
      </w:r>
      <w:r w:rsidR="006609BF" w:rsidRPr="0002468E">
        <w:rPr>
          <w:sz w:val="24"/>
          <w:szCs w:val="24"/>
        </w:rPr>
        <w:t xml:space="preserve"> per MMBtu</w:t>
      </w:r>
      <w:r w:rsidRPr="0002468E">
        <w:rPr>
          <w:sz w:val="24"/>
          <w:szCs w:val="24"/>
        </w:rPr>
        <w:t xml:space="preserve">. </w:t>
      </w:r>
      <w:r w:rsidR="00131973" w:rsidRPr="0002468E">
        <w:rPr>
          <w:sz w:val="24"/>
          <w:szCs w:val="24"/>
        </w:rPr>
        <w:t xml:space="preserve">A utility that bought gas at prevailing market prices </w:t>
      </w:r>
      <w:r w:rsidR="009A7F38" w:rsidRPr="0002468E">
        <w:rPr>
          <w:sz w:val="24"/>
          <w:szCs w:val="24"/>
        </w:rPr>
        <w:t>over</w:t>
      </w:r>
      <w:r w:rsidR="001D00EB" w:rsidRPr="0002468E">
        <w:rPr>
          <w:sz w:val="24"/>
          <w:szCs w:val="24"/>
        </w:rPr>
        <w:t xml:space="preserve"> that </w:t>
      </w:r>
      <w:r w:rsidR="009A7F38" w:rsidRPr="0002468E">
        <w:rPr>
          <w:sz w:val="24"/>
          <w:szCs w:val="24"/>
        </w:rPr>
        <w:t>period</w:t>
      </w:r>
      <w:r w:rsidR="001D00EB" w:rsidRPr="0002468E">
        <w:rPr>
          <w:sz w:val="24"/>
          <w:szCs w:val="24"/>
        </w:rPr>
        <w:t xml:space="preserve"> </w:t>
      </w:r>
      <w:r w:rsidR="00131973" w:rsidRPr="0002468E">
        <w:rPr>
          <w:sz w:val="24"/>
          <w:szCs w:val="24"/>
        </w:rPr>
        <w:t xml:space="preserve">would have passed through dramatic price swings. On the other hand, a utility that contracted for $5.20 gas would have “saved” about $4 in some year-long periods and experienced </w:t>
      </w:r>
      <w:r w:rsidR="0081021F" w:rsidRPr="0002468E">
        <w:rPr>
          <w:sz w:val="24"/>
          <w:szCs w:val="24"/>
        </w:rPr>
        <w:t xml:space="preserve">“losses” from </w:t>
      </w:r>
      <w:r w:rsidR="00FA4144" w:rsidRPr="0002468E">
        <w:rPr>
          <w:sz w:val="24"/>
          <w:szCs w:val="24"/>
        </w:rPr>
        <w:t xml:space="preserve">non-competitive </w:t>
      </w:r>
      <w:r w:rsidR="00131973" w:rsidRPr="0002468E">
        <w:rPr>
          <w:sz w:val="24"/>
          <w:szCs w:val="24"/>
        </w:rPr>
        <w:t>cost differentials in excess of $2 in other</w:t>
      </w:r>
      <w:r w:rsidR="002A6CA8" w:rsidRPr="0002468E">
        <w:rPr>
          <w:sz w:val="24"/>
          <w:szCs w:val="24"/>
        </w:rPr>
        <w:t xml:space="preserve"> period</w:t>
      </w:r>
      <w:r w:rsidR="00131973" w:rsidRPr="0002468E">
        <w:rPr>
          <w:sz w:val="24"/>
          <w:szCs w:val="24"/>
        </w:rPr>
        <w:t>s</w:t>
      </w:r>
      <w:r w:rsidR="002A6CA8" w:rsidRPr="0002468E">
        <w:rPr>
          <w:sz w:val="24"/>
          <w:szCs w:val="24"/>
        </w:rPr>
        <w:t xml:space="preserve"> of greater duration</w:t>
      </w:r>
      <w:r w:rsidR="00131973" w:rsidRPr="0002468E">
        <w:rPr>
          <w:sz w:val="24"/>
          <w:szCs w:val="24"/>
        </w:rPr>
        <w:t xml:space="preserve">. </w:t>
      </w:r>
    </w:p>
    <w:p w:rsidR="006A4884" w:rsidRPr="0002468E" w:rsidRDefault="00FB0438" w:rsidP="00904099">
      <w:pPr>
        <w:spacing w:after="120"/>
        <w:rPr>
          <w:sz w:val="24"/>
          <w:szCs w:val="24"/>
        </w:rPr>
      </w:pPr>
      <w:r w:rsidRPr="0002468E">
        <w:rPr>
          <w:sz w:val="24"/>
          <w:szCs w:val="24"/>
        </w:rPr>
        <w:t>The implications of these price properties will be discussed in some detail later, but are simply provided as background for now.</w:t>
      </w:r>
    </w:p>
    <w:p w:rsidR="004F5529" w:rsidRPr="0002468E" w:rsidRDefault="00FB0438" w:rsidP="00904099">
      <w:pPr>
        <w:spacing w:after="120"/>
        <w:rPr>
          <w:sz w:val="24"/>
          <w:szCs w:val="24"/>
        </w:rPr>
      </w:pPr>
      <w:r w:rsidRPr="0002468E">
        <w:rPr>
          <w:sz w:val="24"/>
          <w:szCs w:val="24"/>
        </w:rPr>
        <w:t xml:space="preserve">Historically, price variations have produced material consequences for utility customers. In </w:t>
      </w:r>
      <w:r w:rsidR="001D00EB" w:rsidRPr="0002468E">
        <w:rPr>
          <w:sz w:val="24"/>
          <w:szCs w:val="24"/>
        </w:rPr>
        <w:t xml:space="preserve">a </w:t>
      </w:r>
      <w:r w:rsidR="009E5F14" w:rsidRPr="0002468E">
        <w:rPr>
          <w:sz w:val="24"/>
          <w:szCs w:val="24"/>
        </w:rPr>
        <w:t>March 2013</w:t>
      </w:r>
      <w:r w:rsidRPr="0002468E">
        <w:rPr>
          <w:sz w:val="24"/>
          <w:szCs w:val="24"/>
        </w:rPr>
        <w:t xml:space="preserve"> </w:t>
      </w:r>
      <w:r w:rsidR="00C53FBC" w:rsidRPr="0002468E">
        <w:rPr>
          <w:sz w:val="24"/>
          <w:szCs w:val="24"/>
        </w:rPr>
        <w:t>report,</w:t>
      </w:r>
      <w:r w:rsidR="00816CAA" w:rsidRPr="0002468E">
        <w:rPr>
          <w:sz w:val="24"/>
          <w:szCs w:val="24"/>
        </w:rPr>
        <w:t xml:space="preserve"> </w:t>
      </w:r>
      <w:r w:rsidR="00C53FBC" w:rsidRPr="0002468E">
        <w:rPr>
          <w:sz w:val="24"/>
          <w:szCs w:val="24"/>
        </w:rPr>
        <w:t xml:space="preserve">commission staff </w:t>
      </w:r>
      <w:r w:rsidR="001455FA" w:rsidRPr="0002468E">
        <w:rPr>
          <w:sz w:val="24"/>
          <w:szCs w:val="24"/>
        </w:rPr>
        <w:t xml:space="preserve">commented on individual </w:t>
      </w:r>
      <w:r w:rsidR="004F5529" w:rsidRPr="0002468E">
        <w:rPr>
          <w:sz w:val="24"/>
          <w:szCs w:val="24"/>
        </w:rPr>
        <w:t xml:space="preserve">company </w:t>
      </w:r>
      <w:r w:rsidR="001455FA" w:rsidRPr="0002468E">
        <w:rPr>
          <w:sz w:val="24"/>
          <w:szCs w:val="24"/>
        </w:rPr>
        <w:t>results, stating</w:t>
      </w:r>
      <w:r w:rsidR="004F5529" w:rsidRPr="0002468E">
        <w:rPr>
          <w:sz w:val="24"/>
          <w:szCs w:val="24"/>
        </w:rPr>
        <w:t>:</w:t>
      </w:r>
    </w:p>
    <w:p w:rsidR="00C66DA3" w:rsidRPr="0002468E" w:rsidRDefault="00C66DA3" w:rsidP="00904099">
      <w:pPr>
        <w:spacing w:after="120"/>
        <w:ind w:left="446" w:right="540"/>
        <w:rPr>
          <w:sz w:val="24"/>
          <w:szCs w:val="24"/>
        </w:rPr>
      </w:pPr>
      <w:r w:rsidRPr="0002468E">
        <w:rPr>
          <w:sz w:val="24"/>
          <w:szCs w:val="24"/>
        </w:rPr>
        <w:t>T</w:t>
      </w:r>
      <w:r w:rsidR="00C53FBC" w:rsidRPr="0002468E">
        <w:rPr>
          <w:sz w:val="24"/>
          <w:szCs w:val="24"/>
        </w:rPr>
        <w:t xml:space="preserve">he net losses on a system basis from financial hedges during the survey period range from a low of $680,000 to a high of $157 million. The net losses over a 10 year period range from a low of $18 million to a high of $695 million. </w:t>
      </w:r>
      <w:r w:rsidR="00E9169B" w:rsidRPr="0002468E">
        <w:rPr>
          <w:sz w:val="24"/>
          <w:szCs w:val="24"/>
        </w:rPr>
        <w:t>One hundred</w:t>
      </w:r>
      <w:r w:rsidR="00C53FBC" w:rsidRPr="0002468E">
        <w:rPr>
          <w:sz w:val="24"/>
          <w:szCs w:val="24"/>
        </w:rPr>
        <w:t xml:space="preserve"> percent of Washington’s share of these net losses has been passed on</w:t>
      </w:r>
      <w:r w:rsidR="00E9169B" w:rsidRPr="0002468E">
        <w:rPr>
          <w:sz w:val="24"/>
          <w:szCs w:val="24"/>
        </w:rPr>
        <w:t xml:space="preserve"> </w:t>
      </w:r>
      <w:r w:rsidR="00C53FBC" w:rsidRPr="0002468E">
        <w:rPr>
          <w:sz w:val="24"/>
          <w:szCs w:val="24"/>
        </w:rPr>
        <w:t>to ratepayers in prior PGA filings.</w:t>
      </w:r>
      <w:r w:rsidRPr="0002468E">
        <w:rPr>
          <w:rStyle w:val="FootnoteReference"/>
          <w:sz w:val="24"/>
          <w:szCs w:val="24"/>
        </w:rPr>
        <w:footnoteReference w:id="5"/>
      </w:r>
      <w:r w:rsidRPr="0002468E">
        <w:rPr>
          <w:i/>
          <w:sz w:val="24"/>
          <w:szCs w:val="24"/>
        </w:rPr>
        <w:t xml:space="preserve">  </w:t>
      </w:r>
    </w:p>
    <w:p w:rsidR="00FB0438" w:rsidRPr="000269F1" w:rsidRDefault="00816CAA" w:rsidP="00904099">
      <w:pPr>
        <w:spacing w:after="120"/>
        <w:ind w:right="-90"/>
      </w:pPr>
      <w:r w:rsidRPr="0002468E">
        <w:rPr>
          <w:sz w:val="24"/>
          <w:szCs w:val="24"/>
        </w:rPr>
        <w:t xml:space="preserve">The report </w:t>
      </w:r>
      <w:r w:rsidR="00C53FBC" w:rsidRPr="0002468E">
        <w:rPr>
          <w:sz w:val="24"/>
          <w:szCs w:val="24"/>
        </w:rPr>
        <w:t xml:space="preserve">indicates aggregate hedge </w:t>
      </w:r>
      <w:r w:rsidR="00525AA8" w:rsidRPr="0002468E">
        <w:rPr>
          <w:sz w:val="24"/>
          <w:szCs w:val="24"/>
        </w:rPr>
        <w:t>losses</w:t>
      </w:r>
      <w:r w:rsidR="009A7F38" w:rsidRPr="0002468E">
        <w:rPr>
          <w:sz w:val="24"/>
          <w:szCs w:val="24"/>
        </w:rPr>
        <w:t xml:space="preserve"> </w:t>
      </w:r>
      <w:r w:rsidR="00C53FBC" w:rsidRPr="0002468E">
        <w:rPr>
          <w:sz w:val="24"/>
          <w:szCs w:val="24"/>
        </w:rPr>
        <w:t>from November 2002 through October 2012 were approximately $1.15 billion</w:t>
      </w:r>
      <w:r w:rsidR="00BF2715" w:rsidRPr="0002468E">
        <w:rPr>
          <w:sz w:val="24"/>
          <w:szCs w:val="24"/>
        </w:rPr>
        <w:t>, on a system basis,</w:t>
      </w:r>
      <w:r w:rsidR="00C66DA3" w:rsidRPr="0002468E">
        <w:rPr>
          <w:sz w:val="24"/>
          <w:szCs w:val="24"/>
        </w:rPr>
        <w:t xml:space="preserve"> for the four LDC</w:t>
      </w:r>
      <w:r w:rsidR="00E9169B" w:rsidRPr="0002468E">
        <w:rPr>
          <w:sz w:val="24"/>
          <w:szCs w:val="24"/>
        </w:rPr>
        <w:t>s</w:t>
      </w:r>
      <w:r w:rsidR="00C66DA3" w:rsidRPr="0002468E">
        <w:rPr>
          <w:sz w:val="24"/>
          <w:szCs w:val="24"/>
        </w:rPr>
        <w:t xml:space="preserve"> serving Washington consumers</w:t>
      </w:r>
      <w:r w:rsidR="00C66DA3">
        <w:t>.</w:t>
      </w:r>
      <w:r w:rsidR="00B20F42">
        <w:rPr>
          <w:rStyle w:val="FootnoteReference"/>
        </w:rPr>
        <w:footnoteReference w:id="6"/>
      </w:r>
    </w:p>
    <w:p w:rsidR="00C53FBC" w:rsidRPr="0002468E" w:rsidRDefault="00164447" w:rsidP="00904099">
      <w:pPr>
        <w:spacing w:after="120"/>
        <w:rPr>
          <w:sz w:val="24"/>
          <w:szCs w:val="24"/>
        </w:rPr>
      </w:pPr>
      <w:r w:rsidRPr="0002468E">
        <w:rPr>
          <w:sz w:val="24"/>
          <w:szCs w:val="24"/>
        </w:rPr>
        <w:t xml:space="preserve">It should be noted that the </w:t>
      </w:r>
      <w:r w:rsidR="00970BF8" w:rsidRPr="0002468E">
        <w:rPr>
          <w:sz w:val="24"/>
          <w:szCs w:val="24"/>
        </w:rPr>
        <w:t xml:space="preserve">report’s examination </w:t>
      </w:r>
      <w:r w:rsidRPr="0002468E">
        <w:rPr>
          <w:sz w:val="24"/>
          <w:szCs w:val="24"/>
        </w:rPr>
        <w:t xml:space="preserve">period ending </w:t>
      </w:r>
      <w:r w:rsidR="00970BF8" w:rsidRPr="0002468E">
        <w:rPr>
          <w:sz w:val="24"/>
          <w:szCs w:val="24"/>
        </w:rPr>
        <w:t xml:space="preserve">date of </w:t>
      </w:r>
      <w:r w:rsidRPr="0002468E">
        <w:rPr>
          <w:sz w:val="24"/>
          <w:szCs w:val="24"/>
        </w:rPr>
        <w:t xml:space="preserve">October 2012 coincides closely with a </w:t>
      </w:r>
      <w:r w:rsidR="00970BF8" w:rsidRPr="0002468E">
        <w:rPr>
          <w:sz w:val="24"/>
          <w:szCs w:val="24"/>
        </w:rPr>
        <w:t xml:space="preserve">historical </w:t>
      </w:r>
      <w:r w:rsidRPr="0002468E">
        <w:rPr>
          <w:sz w:val="24"/>
          <w:szCs w:val="24"/>
        </w:rPr>
        <w:t xml:space="preserve">low point for market prices </w:t>
      </w:r>
      <w:r w:rsidR="00970BF8" w:rsidRPr="0002468E">
        <w:rPr>
          <w:sz w:val="24"/>
          <w:szCs w:val="24"/>
        </w:rPr>
        <w:t xml:space="preserve">which </w:t>
      </w:r>
      <w:r w:rsidRPr="0002468E">
        <w:rPr>
          <w:sz w:val="24"/>
          <w:szCs w:val="24"/>
        </w:rPr>
        <w:t>followed the extreme price peaks of 2005 and 2008</w:t>
      </w:r>
      <w:r w:rsidR="00B43C66" w:rsidRPr="0002468E">
        <w:rPr>
          <w:sz w:val="24"/>
          <w:szCs w:val="24"/>
        </w:rPr>
        <w:t>, as shown in</w:t>
      </w:r>
      <w:r w:rsidRPr="0002468E">
        <w:rPr>
          <w:sz w:val="24"/>
          <w:szCs w:val="24"/>
        </w:rPr>
        <w:t xml:space="preserve"> Figure 1. Had the same analysis been performed in 2005 or 2008</w:t>
      </w:r>
      <w:r w:rsidR="002811E6" w:rsidRPr="0002468E">
        <w:rPr>
          <w:sz w:val="24"/>
          <w:szCs w:val="24"/>
        </w:rPr>
        <w:t>,</w:t>
      </w:r>
      <w:r w:rsidRPr="0002468E">
        <w:rPr>
          <w:sz w:val="24"/>
          <w:szCs w:val="24"/>
        </w:rPr>
        <w:t xml:space="preserve"> it probably would have shown substantial “savings” had </w:t>
      </w:r>
      <w:r w:rsidR="00E208B6" w:rsidRPr="0002468E">
        <w:rPr>
          <w:sz w:val="24"/>
          <w:szCs w:val="24"/>
        </w:rPr>
        <w:t>fixed-ratio</w:t>
      </w:r>
      <w:r w:rsidRPr="0002468E">
        <w:rPr>
          <w:sz w:val="24"/>
          <w:szCs w:val="24"/>
        </w:rPr>
        <w:t xml:space="preserve"> </w:t>
      </w:r>
      <w:r w:rsidR="00E208B6" w:rsidRPr="0002468E">
        <w:rPr>
          <w:sz w:val="24"/>
          <w:szCs w:val="24"/>
        </w:rPr>
        <w:t xml:space="preserve">hedging </w:t>
      </w:r>
      <w:r w:rsidRPr="0002468E">
        <w:rPr>
          <w:sz w:val="24"/>
          <w:szCs w:val="24"/>
        </w:rPr>
        <w:t>strategies been deployed</w:t>
      </w:r>
      <w:r w:rsidR="00E208B6" w:rsidRPr="0002468E">
        <w:rPr>
          <w:sz w:val="24"/>
          <w:szCs w:val="24"/>
        </w:rPr>
        <w:t xml:space="preserve"> for the periods leading to those price peaks. </w:t>
      </w:r>
      <w:r w:rsidRPr="0002468E">
        <w:rPr>
          <w:sz w:val="24"/>
          <w:szCs w:val="24"/>
        </w:rPr>
        <w:t xml:space="preserve">  </w:t>
      </w:r>
    </w:p>
    <w:p w:rsidR="00C53FBC" w:rsidRPr="0002468E" w:rsidRDefault="00164447" w:rsidP="00904099">
      <w:pPr>
        <w:spacing w:after="120"/>
        <w:rPr>
          <w:sz w:val="24"/>
          <w:szCs w:val="24"/>
        </w:rPr>
      </w:pPr>
      <w:r w:rsidRPr="0002468E">
        <w:rPr>
          <w:sz w:val="24"/>
          <w:szCs w:val="24"/>
        </w:rPr>
        <w:t xml:space="preserve">As a follow up to the staff report, the </w:t>
      </w:r>
      <w:r w:rsidR="00E9169B" w:rsidRPr="0002468E">
        <w:rPr>
          <w:sz w:val="24"/>
          <w:szCs w:val="24"/>
        </w:rPr>
        <w:t>c</w:t>
      </w:r>
      <w:r w:rsidRPr="0002468E">
        <w:rPr>
          <w:sz w:val="24"/>
          <w:szCs w:val="24"/>
        </w:rPr>
        <w:t xml:space="preserve">ommission </w:t>
      </w:r>
      <w:r w:rsidR="00575F80" w:rsidRPr="0002468E">
        <w:rPr>
          <w:sz w:val="24"/>
          <w:szCs w:val="24"/>
        </w:rPr>
        <w:t xml:space="preserve">published a </w:t>
      </w:r>
      <w:r w:rsidR="00575F80" w:rsidRPr="0002468E">
        <w:rPr>
          <w:i/>
          <w:sz w:val="24"/>
          <w:szCs w:val="24"/>
        </w:rPr>
        <w:t>Notice of Opportunity to File Written Comments</w:t>
      </w:r>
      <w:r w:rsidR="00575F80" w:rsidRPr="0002468E">
        <w:rPr>
          <w:sz w:val="24"/>
          <w:szCs w:val="24"/>
        </w:rPr>
        <w:t xml:space="preserve"> under</w:t>
      </w:r>
      <w:r w:rsidRPr="0002468E">
        <w:rPr>
          <w:sz w:val="24"/>
          <w:szCs w:val="24"/>
        </w:rPr>
        <w:t xml:space="preserve"> </w:t>
      </w:r>
      <w:r w:rsidR="00575F80" w:rsidRPr="0002468E">
        <w:rPr>
          <w:sz w:val="24"/>
          <w:szCs w:val="24"/>
        </w:rPr>
        <w:t>D</w:t>
      </w:r>
      <w:r w:rsidRPr="0002468E">
        <w:rPr>
          <w:sz w:val="24"/>
          <w:szCs w:val="24"/>
        </w:rPr>
        <w:t xml:space="preserve">ocket </w:t>
      </w:r>
      <w:r w:rsidR="00575F80" w:rsidRPr="0002468E">
        <w:rPr>
          <w:sz w:val="24"/>
          <w:szCs w:val="24"/>
        </w:rPr>
        <w:t>UG-132019</w:t>
      </w:r>
      <w:r w:rsidR="00A60AAF" w:rsidRPr="0002468E">
        <w:rPr>
          <w:sz w:val="24"/>
          <w:szCs w:val="24"/>
        </w:rPr>
        <w:t xml:space="preserve"> on December 18, 2013</w:t>
      </w:r>
      <w:r w:rsidR="00575F80" w:rsidRPr="0002468E">
        <w:rPr>
          <w:sz w:val="24"/>
          <w:szCs w:val="24"/>
        </w:rPr>
        <w:t>.</w:t>
      </w:r>
      <w:r w:rsidR="002811E6" w:rsidRPr="0002468E">
        <w:rPr>
          <w:rStyle w:val="FootnoteReference"/>
          <w:sz w:val="24"/>
          <w:szCs w:val="24"/>
        </w:rPr>
        <w:footnoteReference w:id="7"/>
      </w:r>
      <w:r w:rsidR="00575F80" w:rsidRPr="0002468E">
        <w:rPr>
          <w:sz w:val="24"/>
          <w:szCs w:val="24"/>
        </w:rPr>
        <w:t xml:space="preserve"> </w:t>
      </w:r>
      <w:r w:rsidR="0000679E" w:rsidRPr="0002468E">
        <w:rPr>
          <w:sz w:val="24"/>
          <w:szCs w:val="24"/>
        </w:rPr>
        <w:t>In addition</w:t>
      </w:r>
      <w:r w:rsidR="00B20F42" w:rsidRPr="0002468E">
        <w:rPr>
          <w:sz w:val="24"/>
          <w:szCs w:val="24"/>
        </w:rPr>
        <w:t>,</w:t>
      </w:r>
      <w:r w:rsidR="00575F80" w:rsidRPr="0002468E">
        <w:rPr>
          <w:sz w:val="24"/>
          <w:szCs w:val="24"/>
        </w:rPr>
        <w:t xml:space="preserve"> </w:t>
      </w:r>
      <w:r w:rsidR="00E9169B" w:rsidRPr="0002468E">
        <w:rPr>
          <w:sz w:val="24"/>
          <w:szCs w:val="24"/>
        </w:rPr>
        <w:t xml:space="preserve">it </w:t>
      </w:r>
      <w:r w:rsidR="00575F80" w:rsidRPr="0002468E">
        <w:rPr>
          <w:sz w:val="24"/>
          <w:szCs w:val="24"/>
        </w:rPr>
        <w:t xml:space="preserve">provided a </w:t>
      </w:r>
      <w:r w:rsidR="00575F80" w:rsidRPr="0002468E">
        <w:rPr>
          <w:i/>
          <w:sz w:val="24"/>
          <w:szCs w:val="24"/>
        </w:rPr>
        <w:t>Notice of Workshop</w:t>
      </w:r>
      <w:r w:rsidR="00575F80" w:rsidRPr="0002468E">
        <w:rPr>
          <w:sz w:val="24"/>
          <w:szCs w:val="24"/>
        </w:rPr>
        <w:t xml:space="preserve"> to be held on </w:t>
      </w:r>
      <w:r w:rsidR="00A41EE9" w:rsidRPr="0002468E">
        <w:rPr>
          <w:sz w:val="24"/>
          <w:szCs w:val="24"/>
        </w:rPr>
        <w:t xml:space="preserve">January </w:t>
      </w:r>
      <w:r w:rsidR="00575F80" w:rsidRPr="0002468E">
        <w:rPr>
          <w:sz w:val="24"/>
          <w:szCs w:val="24"/>
        </w:rPr>
        <w:t xml:space="preserve">23, 2014. </w:t>
      </w:r>
      <w:r w:rsidR="00A60AAF" w:rsidRPr="0002468E">
        <w:rPr>
          <w:sz w:val="24"/>
          <w:szCs w:val="24"/>
        </w:rPr>
        <w:t xml:space="preserve">This </w:t>
      </w:r>
      <w:r w:rsidR="00E9169B" w:rsidRPr="0002468E">
        <w:rPr>
          <w:sz w:val="24"/>
          <w:szCs w:val="24"/>
        </w:rPr>
        <w:t xml:space="preserve">notice </w:t>
      </w:r>
      <w:r w:rsidR="00A60AAF" w:rsidRPr="0002468E">
        <w:rPr>
          <w:sz w:val="24"/>
          <w:szCs w:val="24"/>
        </w:rPr>
        <w:t>posed several questions</w:t>
      </w:r>
      <w:r w:rsidR="0000679E" w:rsidRPr="0002468E">
        <w:rPr>
          <w:sz w:val="24"/>
          <w:szCs w:val="24"/>
        </w:rPr>
        <w:t xml:space="preserve"> to stakeholders</w:t>
      </w:r>
      <w:r w:rsidR="00E9169B" w:rsidRPr="0002468E">
        <w:rPr>
          <w:sz w:val="24"/>
          <w:szCs w:val="24"/>
        </w:rPr>
        <w:t>,</w:t>
      </w:r>
      <w:r w:rsidR="0000679E" w:rsidRPr="0002468E">
        <w:rPr>
          <w:sz w:val="24"/>
          <w:szCs w:val="24"/>
        </w:rPr>
        <w:t xml:space="preserve"> which are</w:t>
      </w:r>
      <w:r w:rsidR="00A60AAF" w:rsidRPr="0002468E">
        <w:rPr>
          <w:sz w:val="24"/>
          <w:szCs w:val="24"/>
        </w:rPr>
        <w:t xml:space="preserve"> summarized below:</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27"/>
      </w:tblGrid>
      <w:tr w:rsidR="0051448A" w:rsidRPr="0002468E" w:rsidTr="009E5F14">
        <w:tc>
          <w:tcPr>
            <w:tcW w:w="4303" w:type="dxa"/>
          </w:tcPr>
          <w:p w:rsidR="0051448A" w:rsidRPr="0002468E" w:rsidRDefault="0051448A" w:rsidP="009E5F14">
            <w:pPr>
              <w:pStyle w:val="ListParagraph"/>
              <w:numPr>
                <w:ilvl w:val="0"/>
                <w:numId w:val="17"/>
              </w:numPr>
              <w:spacing w:after="120"/>
              <w:contextualSpacing w:val="0"/>
              <w:rPr>
                <w:sz w:val="24"/>
                <w:szCs w:val="24"/>
              </w:rPr>
            </w:pPr>
            <w:r w:rsidRPr="0002468E">
              <w:rPr>
                <w:sz w:val="24"/>
                <w:szCs w:val="24"/>
              </w:rPr>
              <w:t>What is the purpose of hedging?</w:t>
            </w:r>
          </w:p>
          <w:p w:rsidR="0051448A" w:rsidRPr="0002468E" w:rsidRDefault="0051448A" w:rsidP="009E5F14">
            <w:pPr>
              <w:pStyle w:val="ListParagraph"/>
              <w:numPr>
                <w:ilvl w:val="0"/>
                <w:numId w:val="17"/>
              </w:numPr>
              <w:spacing w:after="120"/>
              <w:contextualSpacing w:val="0"/>
              <w:rPr>
                <w:sz w:val="24"/>
                <w:szCs w:val="24"/>
              </w:rPr>
            </w:pPr>
            <w:r w:rsidRPr="0002468E">
              <w:rPr>
                <w:sz w:val="24"/>
                <w:szCs w:val="24"/>
              </w:rPr>
              <w:t>Who should benefit?</w:t>
            </w:r>
          </w:p>
          <w:p w:rsidR="0051448A" w:rsidRPr="0002468E" w:rsidRDefault="0051448A" w:rsidP="009E5F14">
            <w:pPr>
              <w:pStyle w:val="ListParagraph"/>
              <w:numPr>
                <w:ilvl w:val="0"/>
                <w:numId w:val="17"/>
              </w:numPr>
              <w:spacing w:after="120"/>
              <w:contextualSpacing w:val="0"/>
              <w:rPr>
                <w:sz w:val="24"/>
                <w:szCs w:val="24"/>
              </w:rPr>
            </w:pPr>
            <w:r w:rsidRPr="0002468E">
              <w:rPr>
                <w:sz w:val="24"/>
                <w:szCs w:val="24"/>
              </w:rPr>
              <w:t>What is appropriate as to time horizon and hedge ratio?</w:t>
            </w:r>
          </w:p>
          <w:p w:rsidR="0051448A" w:rsidRPr="0002468E" w:rsidRDefault="0051448A" w:rsidP="009E5F14">
            <w:pPr>
              <w:pStyle w:val="ListParagraph"/>
              <w:numPr>
                <w:ilvl w:val="0"/>
                <w:numId w:val="17"/>
              </w:numPr>
              <w:spacing w:after="120"/>
              <w:contextualSpacing w:val="0"/>
              <w:rPr>
                <w:sz w:val="24"/>
                <w:szCs w:val="24"/>
              </w:rPr>
            </w:pPr>
            <w:r w:rsidRPr="0002468E">
              <w:rPr>
                <w:sz w:val="24"/>
                <w:szCs w:val="24"/>
              </w:rPr>
              <w:t xml:space="preserve">What factors affect the amount of hedges?  </w:t>
            </w:r>
          </w:p>
          <w:p w:rsidR="0051448A" w:rsidRPr="0002468E" w:rsidRDefault="0051448A" w:rsidP="009E5F14">
            <w:pPr>
              <w:pStyle w:val="ListParagraph"/>
              <w:numPr>
                <w:ilvl w:val="0"/>
                <w:numId w:val="17"/>
              </w:numPr>
              <w:spacing w:after="120"/>
              <w:contextualSpacing w:val="0"/>
              <w:rPr>
                <w:sz w:val="24"/>
                <w:szCs w:val="24"/>
              </w:rPr>
            </w:pPr>
            <w:r w:rsidRPr="0002468E">
              <w:rPr>
                <w:sz w:val="24"/>
                <w:szCs w:val="24"/>
              </w:rPr>
              <w:t>If it chooses to, by what means should the Commission act?</w:t>
            </w:r>
          </w:p>
        </w:tc>
        <w:tc>
          <w:tcPr>
            <w:tcW w:w="4327" w:type="dxa"/>
          </w:tcPr>
          <w:p w:rsidR="0051448A" w:rsidRPr="0002468E" w:rsidRDefault="0051448A" w:rsidP="009E5F14">
            <w:pPr>
              <w:pStyle w:val="ListParagraph"/>
              <w:numPr>
                <w:ilvl w:val="0"/>
                <w:numId w:val="17"/>
              </w:numPr>
              <w:spacing w:after="120"/>
              <w:contextualSpacing w:val="0"/>
              <w:rPr>
                <w:sz w:val="24"/>
                <w:szCs w:val="24"/>
              </w:rPr>
            </w:pPr>
            <w:r w:rsidRPr="0002468E">
              <w:rPr>
                <w:sz w:val="24"/>
                <w:szCs w:val="24"/>
              </w:rPr>
              <w:t xml:space="preserve">Should the Commission consider an incentive mechanism?  </w:t>
            </w:r>
          </w:p>
          <w:p w:rsidR="0051448A" w:rsidRPr="0002468E" w:rsidRDefault="0051448A" w:rsidP="009E5F14">
            <w:pPr>
              <w:pStyle w:val="ListParagraph"/>
              <w:numPr>
                <w:ilvl w:val="0"/>
                <w:numId w:val="17"/>
              </w:numPr>
              <w:spacing w:after="120"/>
              <w:contextualSpacing w:val="0"/>
              <w:rPr>
                <w:sz w:val="24"/>
                <w:szCs w:val="24"/>
              </w:rPr>
            </w:pPr>
            <w:r w:rsidRPr="0002468E">
              <w:rPr>
                <w:sz w:val="24"/>
                <w:szCs w:val="24"/>
              </w:rPr>
              <w:t>Is a benchmarking model feasible?</w:t>
            </w:r>
          </w:p>
          <w:p w:rsidR="0051448A" w:rsidRPr="0002468E" w:rsidRDefault="0051448A" w:rsidP="009E5F14">
            <w:pPr>
              <w:pStyle w:val="ListParagraph"/>
              <w:numPr>
                <w:ilvl w:val="0"/>
                <w:numId w:val="17"/>
              </w:numPr>
              <w:spacing w:after="120"/>
              <w:contextualSpacing w:val="0"/>
              <w:rPr>
                <w:sz w:val="24"/>
                <w:szCs w:val="24"/>
              </w:rPr>
            </w:pPr>
            <w:r w:rsidRPr="0002468E">
              <w:rPr>
                <w:sz w:val="24"/>
                <w:szCs w:val="24"/>
              </w:rPr>
              <w:t>How might PGA mechanisms be affected?</w:t>
            </w:r>
          </w:p>
          <w:p w:rsidR="0051448A" w:rsidRPr="0002468E" w:rsidRDefault="0051448A" w:rsidP="009E5F14">
            <w:pPr>
              <w:pStyle w:val="ListParagraph"/>
              <w:numPr>
                <w:ilvl w:val="0"/>
                <w:numId w:val="17"/>
              </w:numPr>
              <w:spacing w:after="120"/>
              <w:contextualSpacing w:val="0"/>
              <w:rPr>
                <w:sz w:val="24"/>
                <w:szCs w:val="24"/>
              </w:rPr>
            </w:pPr>
            <w:r w:rsidRPr="0002468E">
              <w:rPr>
                <w:sz w:val="24"/>
                <w:szCs w:val="24"/>
              </w:rPr>
              <w:t>Should a uniform reporting standard be considered?</w:t>
            </w:r>
          </w:p>
        </w:tc>
      </w:tr>
    </w:tbl>
    <w:p w:rsidR="001E7D6A" w:rsidRPr="0002468E" w:rsidRDefault="001E7D6A" w:rsidP="00951B1C">
      <w:pPr>
        <w:spacing w:after="120"/>
        <w:rPr>
          <w:sz w:val="24"/>
          <w:szCs w:val="24"/>
        </w:rPr>
      </w:pPr>
      <w:r w:rsidRPr="0002468E">
        <w:rPr>
          <w:sz w:val="24"/>
          <w:szCs w:val="24"/>
        </w:rPr>
        <w:t>Comments were filed by various parties including utilities</w:t>
      </w:r>
      <w:r w:rsidR="00B63F7C" w:rsidRPr="0002468E">
        <w:rPr>
          <w:sz w:val="24"/>
          <w:szCs w:val="24"/>
        </w:rPr>
        <w:t xml:space="preserve">, </w:t>
      </w:r>
      <w:r w:rsidR="002271C8" w:rsidRPr="0002468E">
        <w:rPr>
          <w:sz w:val="24"/>
          <w:szCs w:val="24"/>
        </w:rPr>
        <w:t>Public Counsel,</w:t>
      </w:r>
      <w:r w:rsidR="00B63F7C" w:rsidRPr="0002468E">
        <w:rPr>
          <w:sz w:val="24"/>
          <w:szCs w:val="24"/>
        </w:rPr>
        <w:t xml:space="preserve"> and various</w:t>
      </w:r>
      <w:r w:rsidRPr="0002468E">
        <w:rPr>
          <w:sz w:val="24"/>
          <w:szCs w:val="24"/>
        </w:rPr>
        <w:t xml:space="preserve"> </w:t>
      </w:r>
      <w:r w:rsidR="00430768" w:rsidRPr="0002468E">
        <w:rPr>
          <w:sz w:val="24"/>
          <w:szCs w:val="24"/>
        </w:rPr>
        <w:t>energy users.</w:t>
      </w:r>
      <w:r w:rsidRPr="0002468E">
        <w:rPr>
          <w:sz w:val="24"/>
          <w:szCs w:val="24"/>
        </w:rPr>
        <w:t xml:space="preserve"> </w:t>
      </w:r>
      <w:r w:rsidR="002F2372" w:rsidRPr="0002468E">
        <w:rPr>
          <w:sz w:val="24"/>
          <w:szCs w:val="24"/>
        </w:rPr>
        <w:t>Without specific attribution, comments generally supported hedging as a means of gaining some degree of price stability</w:t>
      </w:r>
      <w:r w:rsidR="00F9793D" w:rsidRPr="0002468E">
        <w:rPr>
          <w:sz w:val="24"/>
          <w:szCs w:val="24"/>
        </w:rPr>
        <w:t>,</w:t>
      </w:r>
      <w:r w:rsidR="00D87669" w:rsidRPr="0002468E">
        <w:rPr>
          <w:sz w:val="24"/>
          <w:szCs w:val="24"/>
        </w:rPr>
        <w:t xml:space="preserve"> price certainty,</w:t>
      </w:r>
      <w:r w:rsidR="00F9793D" w:rsidRPr="0002468E">
        <w:rPr>
          <w:sz w:val="24"/>
          <w:szCs w:val="24"/>
        </w:rPr>
        <w:t xml:space="preserve"> and</w:t>
      </w:r>
      <w:r w:rsidR="00D87669" w:rsidRPr="0002468E">
        <w:rPr>
          <w:sz w:val="24"/>
          <w:szCs w:val="24"/>
        </w:rPr>
        <w:t xml:space="preserve"> even some predictability for budgeting purposes</w:t>
      </w:r>
      <w:r w:rsidR="002F2372" w:rsidRPr="0002468E">
        <w:rPr>
          <w:sz w:val="24"/>
          <w:szCs w:val="24"/>
        </w:rPr>
        <w:t xml:space="preserve">. There was general agreement that the beneficiaries were gas users and that costs should be borne accordingly. There was little appetite for a prescribed </w:t>
      </w:r>
      <w:r w:rsidR="00D87669" w:rsidRPr="0002468E">
        <w:rPr>
          <w:sz w:val="24"/>
          <w:szCs w:val="24"/>
        </w:rPr>
        <w:t>strategy, incentive mechanism, or a one-size-fits-all benchmark</w:t>
      </w:r>
      <w:r w:rsidR="002271C8" w:rsidRPr="0002468E">
        <w:rPr>
          <w:sz w:val="24"/>
          <w:szCs w:val="24"/>
        </w:rPr>
        <w:t>. C</w:t>
      </w:r>
      <w:r w:rsidR="00D87669" w:rsidRPr="0002468E">
        <w:rPr>
          <w:sz w:val="24"/>
          <w:szCs w:val="24"/>
        </w:rPr>
        <w:t>omments cited the need to recognize the individual characteristics of each utility.</w:t>
      </w:r>
    </w:p>
    <w:p w:rsidR="00C53FBC" w:rsidRPr="0002468E" w:rsidRDefault="00D87669" w:rsidP="00951B1C">
      <w:pPr>
        <w:spacing w:after="120"/>
        <w:rPr>
          <w:sz w:val="24"/>
          <w:szCs w:val="24"/>
        </w:rPr>
      </w:pPr>
      <w:r w:rsidRPr="0002468E">
        <w:rPr>
          <w:sz w:val="24"/>
          <w:szCs w:val="24"/>
        </w:rPr>
        <w:t xml:space="preserve">The workshop </w:t>
      </w:r>
      <w:r w:rsidR="00273F48" w:rsidRPr="0002468E">
        <w:rPr>
          <w:sz w:val="24"/>
          <w:szCs w:val="24"/>
        </w:rPr>
        <w:t>in Olympia</w:t>
      </w:r>
      <w:r w:rsidR="006C560A" w:rsidRPr="0002468E">
        <w:rPr>
          <w:sz w:val="24"/>
          <w:szCs w:val="24"/>
        </w:rPr>
        <w:t>,</w:t>
      </w:r>
      <w:r w:rsidR="00273F48" w:rsidRPr="0002468E">
        <w:rPr>
          <w:sz w:val="24"/>
          <w:szCs w:val="24"/>
        </w:rPr>
        <w:t xml:space="preserve"> </w:t>
      </w:r>
      <w:r w:rsidR="00525AA8" w:rsidRPr="0002468E">
        <w:rPr>
          <w:sz w:val="24"/>
          <w:szCs w:val="24"/>
        </w:rPr>
        <w:t>Washington</w:t>
      </w:r>
      <w:r w:rsidR="002271C8" w:rsidRPr="0002468E">
        <w:rPr>
          <w:sz w:val="24"/>
          <w:szCs w:val="24"/>
        </w:rPr>
        <w:t>,</w:t>
      </w:r>
      <w:r w:rsidR="00525AA8" w:rsidRPr="0002468E">
        <w:rPr>
          <w:sz w:val="24"/>
          <w:szCs w:val="24"/>
        </w:rPr>
        <w:t xml:space="preserve"> </w:t>
      </w:r>
      <w:r w:rsidRPr="0002468E">
        <w:rPr>
          <w:sz w:val="24"/>
          <w:szCs w:val="24"/>
        </w:rPr>
        <w:t xml:space="preserve">on </w:t>
      </w:r>
      <w:r w:rsidR="00A41EE9" w:rsidRPr="0002468E">
        <w:rPr>
          <w:sz w:val="24"/>
          <w:szCs w:val="24"/>
        </w:rPr>
        <w:t>January</w:t>
      </w:r>
      <w:r w:rsidR="002271C8" w:rsidRPr="0002468E">
        <w:rPr>
          <w:sz w:val="24"/>
          <w:szCs w:val="24"/>
        </w:rPr>
        <w:t xml:space="preserve"> </w:t>
      </w:r>
      <w:r w:rsidRPr="0002468E">
        <w:rPr>
          <w:sz w:val="24"/>
          <w:szCs w:val="24"/>
        </w:rPr>
        <w:t>23, 2014</w:t>
      </w:r>
      <w:r w:rsidR="00603856" w:rsidRPr="0002468E">
        <w:rPr>
          <w:sz w:val="24"/>
          <w:szCs w:val="24"/>
        </w:rPr>
        <w:t>,</w:t>
      </w:r>
      <w:r w:rsidRPr="0002468E">
        <w:rPr>
          <w:sz w:val="24"/>
          <w:szCs w:val="24"/>
        </w:rPr>
        <w:t xml:space="preserve"> elicited broad participation, and facilitated a deeper discussion of the questions posed by the </w:t>
      </w:r>
      <w:r w:rsidR="002271C8" w:rsidRPr="0002468E">
        <w:rPr>
          <w:sz w:val="24"/>
          <w:szCs w:val="24"/>
        </w:rPr>
        <w:t>c</w:t>
      </w:r>
      <w:r w:rsidRPr="0002468E">
        <w:rPr>
          <w:sz w:val="24"/>
          <w:szCs w:val="24"/>
        </w:rPr>
        <w:t>ommission</w:t>
      </w:r>
      <w:r w:rsidR="00C25475" w:rsidRPr="0002468E">
        <w:rPr>
          <w:sz w:val="24"/>
          <w:szCs w:val="24"/>
        </w:rPr>
        <w:t xml:space="preserve">. </w:t>
      </w:r>
      <w:r w:rsidR="00273F48" w:rsidRPr="0002468E">
        <w:rPr>
          <w:sz w:val="24"/>
          <w:szCs w:val="24"/>
        </w:rPr>
        <w:t xml:space="preserve">Participants included </w:t>
      </w:r>
      <w:r w:rsidR="002271C8" w:rsidRPr="0002468E">
        <w:rPr>
          <w:sz w:val="24"/>
          <w:szCs w:val="24"/>
        </w:rPr>
        <w:t xml:space="preserve">the commissioners, commission staff, Public Counsel, </w:t>
      </w:r>
      <w:r w:rsidR="00273F48" w:rsidRPr="0002468E">
        <w:rPr>
          <w:sz w:val="24"/>
          <w:szCs w:val="24"/>
        </w:rPr>
        <w:t xml:space="preserve">utility management, energy users, </w:t>
      </w:r>
      <w:r w:rsidR="00884012" w:rsidRPr="0002468E">
        <w:rPr>
          <w:sz w:val="24"/>
          <w:szCs w:val="24"/>
        </w:rPr>
        <w:t>Ken Costello</w:t>
      </w:r>
      <w:r w:rsidR="00A41EE9" w:rsidRPr="0002468E">
        <w:rPr>
          <w:sz w:val="24"/>
          <w:szCs w:val="24"/>
        </w:rPr>
        <w:t xml:space="preserve"> of the</w:t>
      </w:r>
      <w:r w:rsidR="00884012" w:rsidRPr="0002468E">
        <w:rPr>
          <w:sz w:val="24"/>
          <w:szCs w:val="24"/>
        </w:rPr>
        <w:t xml:space="preserve"> National Regulatory Research Institute, and </w:t>
      </w:r>
      <w:r w:rsidR="00B43C66" w:rsidRPr="0002468E">
        <w:rPr>
          <w:sz w:val="24"/>
          <w:szCs w:val="24"/>
        </w:rPr>
        <w:t>Michael</w:t>
      </w:r>
      <w:r w:rsidR="00884012" w:rsidRPr="0002468E">
        <w:rPr>
          <w:sz w:val="24"/>
          <w:szCs w:val="24"/>
        </w:rPr>
        <w:t xml:space="preserve"> Gettings</w:t>
      </w:r>
      <w:r w:rsidR="00A41EE9" w:rsidRPr="0002468E">
        <w:rPr>
          <w:sz w:val="24"/>
          <w:szCs w:val="24"/>
        </w:rPr>
        <w:t xml:space="preserve"> of</w:t>
      </w:r>
      <w:r w:rsidR="00884012" w:rsidRPr="0002468E">
        <w:rPr>
          <w:sz w:val="24"/>
          <w:szCs w:val="24"/>
        </w:rPr>
        <w:t xml:space="preserve"> RiskCentrix</w:t>
      </w:r>
      <w:r w:rsidR="00273F48" w:rsidRPr="0002468E">
        <w:rPr>
          <w:sz w:val="24"/>
          <w:szCs w:val="24"/>
        </w:rPr>
        <w:t xml:space="preserve">. </w:t>
      </w:r>
      <w:r w:rsidRPr="0002468E">
        <w:rPr>
          <w:sz w:val="24"/>
          <w:szCs w:val="24"/>
        </w:rPr>
        <w:t>Danny Kermode</w:t>
      </w:r>
      <w:r w:rsidR="00780B94" w:rsidRPr="0002468E">
        <w:rPr>
          <w:sz w:val="24"/>
          <w:szCs w:val="24"/>
        </w:rPr>
        <w:t xml:space="preserve">, a senior energy policy advisor for the </w:t>
      </w:r>
      <w:r w:rsidR="002271C8" w:rsidRPr="0002468E">
        <w:rPr>
          <w:sz w:val="24"/>
          <w:szCs w:val="24"/>
        </w:rPr>
        <w:t>c</w:t>
      </w:r>
      <w:r w:rsidR="00780B94" w:rsidRPr="0002468E">
        <w:rPr>
          <w:sz w:val="24"/>
          <w:szCs w:val="24"/>
        </w:rPr>
        <w:t>ommission</w:t>
      </w:r>
      <w:r w:rsidR="00F9793D" w:rsidRPr="0002468E">
        <w:rPr>
          <w:sz w:val="24"/>
          <w:szCs w:val="24"/>
        </w:rPr>
        <w:t xml:space="preserve">, </w:t>
      </w:r>
      <w:r w:rsidR="00780B94" w:rsidRPr="0002468E">
        <w:rPr>
          <w:sz w:val="24"/>
          <w:szCs w:val="24"/>
        </w:rPr>
        <w:t>facilitated</w:t>
      </w:r>
      <w:r w:rsidR="00030151" w:rsidRPr="0002468E">
        <w:rPr>
          <w:sz w:val="24"/>
          <w:szCs w:val="24"/>
        </w:rPr>
        <w:t xml:space="preserve"> </w:t>
      </w:r>
      <w:r w:rsidRPr="0002468E">
        <w:rPr>
          <w:sz w:val="24"/>
          <w:szCs w:val="24"/>
        </w:rPr>
        <w:t xml:space="preserve">the </w:t>
      </w:r>
      <w:r w:rsidR="00884012" w:rsidRPr="0002468E">
        <w:rPr>
          <w:sz w:val="24"/>
          <w:szCs w:val="24"/>
        </w:rPr>
        <w:t xml:space="preserve">meeting. </w:t>
      </w:r>
      <w:r w:rsidR="00273F48" w:rsidRPr="0002468E">
        <w:rPr>
          <w:sz w:val="24"/>
          <w:szCs w:val="24"/>
        </w:rPr>
        <w:t xml:space="preserve">The discussions focused </w:t>
      </w:r>
      <w:r w:rsidR="00C25475" w:rsidRPr="0002468E">
        <w:rPr>
          <w:sz w:val="24"/>
          <w:szCs w:val="24"/>
        </w:rPr>
        <w:t xml:space="preserve">substantially </w:t>
      </w:r>
      <w:r w:rsidR="00273F48" w:rsidRPr="0002468E">
        <w:rPr>
          <w:sz w:val="24"/>
          <w:szCs w:val="24"/>
        </w:rPr>
        <w:t>on a framework for viewing hedge strategy formulation and hedge results</w:t>
      </w:r>
      <w:r w:rsidR="00884012" w:rsidRPr="0002468E">
        <w:rPr>
          <w:sz w:val="24"/>
          <w:szCs w:val="24"/>
        </w:rPr>
        <w:t>,</w:t>
      </w:r>
      <w:r w:rsidR="00273F48" w:rsidRPr="0002468E">
        <w:rPr>
          <w:sz w:val="24"/>
          <w:szCs w:val="24"/>
        </w:rPr>
        <w:t xml:space="preserve"> as well as the goals and consequences of regulatory policies</w:t>
      </w:r>
      <w:r w:rsidR="00F9793D" w:rsidRPr="0002468E">
        <w:rPr>
          <w:sz w:val="24"/>
          <w:szCs w:val="24"/>
        </w:rPr>
        <w:t>,</w:t>
      </w:r>
      <w:r w:rsidR="00273F48" w:rsidRPr="0002468E">
        <w:rPr>
          <w:sz w:val="24"/>
          <w:szCs w:val="24"/>
        </w:rPr>
        <w:t xml:space="preserve"> and how they might be formulated in the future. The concepts discussed at the Olympia workshop</w:t>
      </w:r>
      <w:r w:rsidR="00EC41A7" w:rsidRPr="0002468E">
        <w:rPr>
          <w:sz w:val="24"/>
          <w:szCs w:val="24"/>
        </w:rPr>
        <w:t xml:space="preserve"> serve as the </w:t>
      </w:r>
      <w:r w:rsidR="009B1973" w:rsidRPr="0002468E">
        <w:rPr>
          <w:sz w:val="24"/>
          <w:szCs w:val="24"/>
        </w:rPr>
        <w:t xml:space="preserve">basis </w:t>
      </w:r>
      <w:r w:rsidR="00EC41A7" w:rsidRPr="0002468E">
        <w:rPr>
          <w:sz w:val="24"/>
          <w:szCs w:val="24"/>
        </w:rPr>
        <w:t xml:space="preserve">for this white paper and the </w:t>
      </w:r>
      <w:r w:rsidR="007C6E71" w:rsidRPr="0002468E">
        <w:rPr>
          <w:sz w:val="24"/>
          <w:szCs w:val="24"/>
        </w:rPr>
        <w:t xml:space="preserve">next </w:t>
      </w:r>
      <w:r w:rsidR="00C3411A" w:rsidRPr="0002468E">
        <w:rPr>
          <w:sz w:val="24"/>
          <w:szCs w:val="24"/>
        </w:rPr>
        <w:t>workshop</w:t>
      </w:r>
      <w:r w:rsidR="00EC41A7" w:rsidRPr="0002468E">
        <w:rPr>
          <w:sz w:val="24"/>
          <w:szCs w:val="24"/>
        </w:rPr>
        <w:t xml:space="preserve"> </w:t>
      </w:r>
      <w:r w:rsidR="007C6E71" w:rsidRPr="0002468E">
        <w:rPr>
          <w:sz w:val="24"/>
          <w:szCs w:val="24"/>
        </w:rPr>
        <w:t>to</w:t>
      </w:r>
      <w:r w:rsidR="00EC41A7" w:rsidRPr="0002468E">
        <w:rPr>
          <w:sz w:val="24"/>
          <w:szCs w:val="24"/>
        </w:rPr>
        <w:t xml:space="preserve"> follow.</w:t>
      </w:r>
    </w:p>
    <w:p w:rsidR="000269F1" w:rsidRPr="000269F1" w:rsidRDefault="000269F1" w:rsidP="002271C8">
      <w:pPr>
        <w:pStyle w:val="Heading1"/>
      </w:pPr>
      <w:bookmarkStart w:id="5" w:name="_Toc411341369"/>
      <w:bookmarkStart w:id="6" w:name="_Toc424039078"/>
      <w:r w:rsidRPr="000269F1">
        <w:t>Quantitative Finance, Overview and Origins</w:t>
      </w:r>
      <w:bookmarkEnd w:id="5"/>
      <w:bookmarkEnd w:id="6"/>
    </w:p>
    <w:p w:rsidR="000269F1" w:rsidRPr="0002468E" w:rsidRDefault="000269F1" w:rsidP="009048FB">
      <w:pPr>
        <w:spacing w:after="120"/>
        <w:rPr>
          <w:sz w:val="24"/>
          <w:szCs w:val="24"/>
        </w:rPr>
      </w:pPr>
      <w:r w:rsidRPr="0002468E">
        <w:rPr>
          <w:sz w:val="24"/>
          <w:szCs w:val="24"/>
        </w:rPr>
        <w:t>As this paper develops, the term “quantitative finance” will be used extensively, so a bit of background might be helpful</w:t>
      </w:r>
      <w:r w:rsidR="004A3ECF" w:rsidRPr="0002468E">
        <w:rPr>
          <w:sz w:val="24"/>
          <w:szCs w:val="24"/>
        </w:rPr>
        <w:t xml:space="preserve"> prior to a deeper discussion</w:t>
      </w:r>
      <w:r w:rsidRPr="0002468E">
        <w:rPr>
          <w:sz w:val="24"/>
          <w:szCs w:val="24"/>
        </w:rPr>
        <w:t xml:space="preserve">. </w:t>
      </w:r>
      <w:r w:rsidR="004A3ECF" w:rsidRPr="0002468E">
        <w:rPr>
          <w:sz w:val="24"/>
          <w:szCs w:val="24"/>
        </w:rPr>
        <w:t>In 1989</w:t>
      </w:r>
      <w:r w:rsidR="00EB5046" w:rsidRPr="0002468E">
        <w:rPr>
          <w:sz w:val="24"/>
          <w:szCs w:val="24"/>
        </w:rPr>
        <w:t>,</w:t>
      </w:r>
      <w:r w:rsidRPr="0002468E">
        <w:rPr>
          <w:sz w:val="24"/>
          <w:szCs w:val="24"/>
        </w:rPr>
        <w:t xml:space="preserve"> JP Morgan developed risk metrics and quantitative methods to manage its own financial risk</w:t>
      </w:r>
      <w:r w:rsidR="00EB5046" w:rsidRPr="0002468E">
        <w:rPr>
          <w:sz w:val="24"/>
          <w:szCs w:val="24"/>
        </w:rPr>
        <w:t xml:space="preserve">. </w:t>
      </w:r>
      <w:r w:rsidR="00750501" w:rsidRPr="0002468E">
        <w:rPr>
          <w:sz w:val="24"/>
          <w:szCs w:val="24"/>
        </w:rPr>
        <w:t>I</w:t>
      </w:r>
      <w:r w:rsidRPr="0002468E">
        <w:rPr>
          <w:sz w:val="24"/>
          <w:szCs w:val="24"/>
        </w:rPr>
        <w:t xml:space="preserve">n </w:t>
      </w:r>
      <w:r w:rsidR="00750501" w:rsidRPr="0002468E">
        <w:rPr>
          <w:sz w:val="24"/>
          <w:szCs w:val="24"/>
        </w:rPr>
        <w:t xml:space="preserve">the early </w:t>
      </w:r>
      <w:proofErr w:type="gramStart"/>
      <w:r w:rsidR="00750501" w:rsidRPr="0002468E">
        <w:rPr>
          <w:sz w:val="24"/>
          <w:szCs w:val="24"/>
        </w:rPr>
        <w:t>1990s</w:t>
      </w:r>
      <w:proofErr w:type="gramEnd"/>
      <w:r w:rsidRPr="0002468E">
        <w:rPr>
          <w:sz w:val="24"/>
          <w:szCs w:val="24"/>
        </w:rPr>
        <w:t xml:space="preserve"> it published the methodology </w:t>
      </w:r>
      <w:r w:rsidR="00D92336" w:rsidRPr="0002468E">
        <w:rPr>
          <w:sz w:val="24"/>
          <w:szCs w:val="24"/>
        </w:rPr>
        <w:t xml:space="preserve">and various enhancements </w:t>
      </w:r>
      <w:r w:rsidR="00DE1D2A" w:rsidRPr="0002468E">
        <w:rPr>
          <w:sz w:val="24"/>
          <w:szCs w:val="24"/>
        </w:rPr>
        <w:t xml:space="preserve">for use by </w:t>
      </w:r>
      <w:r w:rsidRPr="0002468E">
        <w:rPr>
          <w:sz w:val="24"/>
          <w:szCs w:val="24"/>
        </w:rPr>
        <w:t>the</w:t>
      </w:r>
      <w:r w:rsidR="00E436AC" w:rsidRPr="0002468E">
        <w:rPr>
          <w:sz w:val="24"/>
          <w:szCs w:val="24"/>
        </w:rPr>
        <w:t xml:space="preserve"> </w:t>
      </w:r>
      <w:r w:rsidRPr="0002468E">
        <w:rPr>
          <w:sz w:val="24"/>
          <w:szCs w:val="24"/>
        </w:rPr>
        <w:t>marketplace</w:t>
      </w:r>
      <w:r w:rsidR="00750501" w:rsidRPr="0002468E">
        <w:rPr>
          <w:sz w:val="24"/>
          <w:szCs w:val="24"/>
        </w:rPr>
        <w:t xml:space="preserve"> via RiskMetrics.</w:t>
      </w:r>
      <w:r w:rsidR="006006A0" w:rsidRPr="0002468E">
        <w:rPr>
          <w:rStyle w:val="FootnoteReference"/>
          <w:sz w:val="24"/>
          <w:szCs w:val="24"/>
        </w:rPr>
        <w:footnoteReference w:id="8"/>
      </w:r>
      <w:r w:rsidR="00A96671" w:rsidRPr="0002468E">
        <w:rPr>
          <w:sz w:val="24"/>
          <w:szCs w:val="24"/>
        </w:rPr>
        <w:t xml:space="preserve"> </w:t>
      </w:r>
      <w:r w:rsidRPr="0002468E">
        <w:rPr>
          <w:sz w:val="24"/>
          <w:szCs w:val="24"/>
        </w:rPr>
        <w:t xml:space="preserve">Key concepts from </w:t>
      </w:r>
      <w:r w:rsidR="00A32957" w:rsidRPr="0002468E">
        <w:rPr>
          <w:sz w:val="24"/>
          <w:szCs w:val="24"/>
        </w:rPr>
        <w:t>those</w:t>
      </w:r>
      <w:r w:rsidRPr="0002468E">
        <w:rPr>
          <w:sz w:val="24"/>
          <w:szCs w:val="24"/>
        </w:rPr>
        <w:t xml:space="preserve"> work</w:t>
      </w:r>
      <w:r w:rsidR="00A32957" w:rsidRPr="0002468E">
        <w:rPr>
          <w:sz w:val="24"/>
          <w:szCs w:val="24"/>
        </w:rPr>
        <w:t>s</w:t>
      </w:r>
      <w:r w:rsidRPr="0002468E">
        <w:rPr>
          <w:sz w:val="24"/>
          <w:szCs w:val="24"/>
        </w:rPr>
        <w:t xml:space="preserve"> have become risk-industry standards</w:t>
      </w:r>
      <w:r w:rsidR="00A96671" w:rsidRPr="0002468E">
        <w:rPr>
          <w:sz w:val="24"/>
          <w:szCs w:val="24"/>
        </w:rPr>
        <w:t xml:space="preserve"> for management of financial risk in volatile markets. Natural gas markets </w:t>
      </w:r>
      <w:r w:rsidR="006A3EDC" w:rsidRPr="0002468E">
        <w:rPr>
          <w:sz w:val="24"/>
          <w:szCs w:val="24"/>
        </w:rPr>
        <w:t xml:space="preserve">are a natural fit for </w:t>
      </w:r>
      <w:r w:rsidR="00F9793D" w:rsidRPr="0002468E">
        <w:rPr>
          <w:sz w:val="24"/>
          <w:szCs w:val="24"/>
        </w:rPr>
        <w:t xml:space="preserve">use </w:t>
      </w:r>
      <w:r w:rsidR="006A3EDC" w:rsidRPr="0002468E">
        <w:rPr>
          <w:sz w:val="24"/>
          <w:szCs w:val="24"/>
        </w:rPr>
        <w:t>of quantitative finance tools to manage risk</w:t>
      </w:r>
      <w:r w:rsidR="00126F6E" w:rsidRPr="0002468E">
        <w:rPr>
          <w:sz w:val="24"/>
          <w:szCs w:val="24"/>
        </w:rPr>
        <w:t xml:space="preserve"> because </w:t>
      </w:r>
      <w:r w:rsidR="00E208B6" w:rsidRPr="0002468E">
        <w:rPr>
          <w:sz w:val="24"/>
          <w:szCs w:val="24"/>
        </w:rPr>
        <w:t>the volatility of natural gas prices is very high and the dollars at risk are substantial</w:t>
      </w:r>
      <w:r w:rsidR="006A3EDC" w:rsidRPr="0002468E">
        <w:rPr>
          <w:sz w:val="24"/>
          <w:szCs w:val="24"/>
        </w:rPr>
        <w:t>.</w:t>
      </w:r>
      <w:r w:rsidR="00A96671" w:rsidRPr="0002468E">
        <w:rPr>
          <w:sz w:val="24"/>
          <w:szCs w:val="24"/>
        </w:rPr>
        <w:t xml:space="preserve"> </w:t>
      </w:r>
      <w:r w:rsidR="00DE1D2A" w:rsidRPr="0002468E">
        <w:rPr>
          <w:sz w:val="24"/>
          <w:szCs w:val="24"/>
        </w:rPr>
        <w:t>These q</w:t>
      </w:r>
      <w:r w:rsidR="00A96671" w:rsidRPr="0002468E">
        <w:rPr>
          <w:sz w:val="24"/>
          <w:szCs w:val="24"/>
        </w:rPr>
        <w:t xml:space="preserve">uantitative finance methodologies are </w:t>
      </w:r>
      <w:r w:rsidRPr="0002468E">
        <w:rPr>
          <w:sz w:val="24"/>
          <w:szCs w:val="24"/>
        </w:rPr>
        <w:t>taught in most top university financial programs</w:t>
      </w:r>
      <w:r w:rsidR="00A96671" w:rsidRPr="0002468E">
        <w:rPr>
          <w:sz w:val="24"/>
          <w:szCs w:val="24"/>
        </w:rPr>
        <w:t xml:space="preserve"> and deployed in most companies facing volatile price or cost factors in their core businesses.</w:t>
      </w:r>
    </w:p>
    <w:p w:rsidR="000269F1" w:rsidRPr="0002468E" w:rsidRDefault="00603769" w:rsidP="009048FB">
      <w:pPr>
        <w:spacing w:after="120"/>
        <w:rPr>
          <w:sz w:val="24"/>
          <w:szCs w:val="24"/>
        </w:rPr>
      </w:pPr>
      <w:r w:rsidRPr="0002468E">
        <w:rPr>
          <w:sz w:val="24"/>
          <w:szCs w:val="24"/>
        </w:rPr>
        <w:t xml:space="preserve">These methods were adopted by energy </w:t>
      </w:r>
      <w:r w:rsidR="00A32957" w:rsidRPr="0002468E">
        <w:rPr>
          <w:sz w:val="24"/>
          <w:szCs w:val="24"/>
        </w:rPr>
        <w:t>traders</w:t>
      </w:r>
      <w:r w:rsidRPr="0002468E">
        <w:rPr>
          <w:sz w:val="24"/>
          <w:szCs w:val="24"/>
        </w:rPr>
        <w:t xml:space="preserve"> in</w:t>
      </w:r>
      <w:r w:rsidR="000269F1" w:rsidRPr="0002468E">
        <w:rPr>
          <w:sz w:val="24"/>
          <w:szCs w:val="24"/>
        </w:rPr>
        <w:t xml:space="preserve"> the </w:t>
      </w:r>
      <w:proofErr w:type="spellStart"/>
      <w:r w:rsidR="000269F1" w:rsidRPr="0002468E">
        <w:rPr>
          <w:sz w:val="24"/>
          <w:szCs w:val="24"/>
        </w:rPr>
        <w:t>mid 1990s</w:t>
      </w:r>
      <w:proofErr w:type="spellEnd"/>
      <w:r w:rsidR="000269F1" w:rsidRPr="0002468E">
        <w:rPr>
          <w:sz w:val="24"/>
          <w:szCs w:val="24"/>
        </w:rPr>
        <w:t xml:space="preserve">, after the advent of the </w:t>
      </w:r>
      <w:r w:rsidR="009E3E56" w:rsidRPr="0002468E">
        <w:rPr>
          <w:sz w:val="24"/>
          <w:szCs w:val="24"/>
        </w:rPr>
        <w:t>New York Mercantile Exchange (</w:t>
      </w:r>
      <w:r w:rsidR="000269F1" w:rsidRPr="0002468E">
        <w:rPr>
          <w:sz w:val="24"/>
          <w:szCs w:val="24"/>
        </w:rPr>
        <w:t>NYMEX</w:t>
      </w:r>
      <w:r w:rsidR="009E3E56" w:rsidRPr="0002468E">
        <w:rPr>
          <w:sz w:val="24"/>
          <w:szCs w:val="24"/>
        </w:rPr>
        <w:t>)</w:t>
      </w:r>
      <w:r w:rsidR="000269F1" w:rsidRPr="0002468E">
        <w:rPr>
          <w:sz w:val="24"/>
          <w:szCs w:val="24"/>
        </w:rPr>
        <w:t xml:space="preserve"> natural gas futures contract</w:t>
      </w:r>
      <w:r w:rsidR="00A96671" w:rsidRPr="0002468E">
        <w:rPr>
          <w:sz w:val="24"/>
          <w:szCs w:val="24"/>
        </w:rPr>
        <w:t xml:space="preserve"> </w:t>
      </w:r>
      <w:r w:rsidR="00914998" w:rsidRPr="0002468E">
        <w:rPr>
          <w:sz w:val="24"/>
          <w:szCs w:val="24"/>
        </w:rPr>
        <w:t>in 1991</w:t>
      </w:r>
      <w:r w:rsidR="000269F1" w:rsidRPr="0002468E">
        <w:rPr>
          <w:sz w:val="24"/>
          <w:szCs w:val="24"/>
        </w:rPr>
        <w:t xml:space="preserve">, to deal with the </w:t>
      </w:r>
      <w:r w:rsidR="00914998" w:rsidRPr="0002468E">
        <w:rPr>
          <w:sz w:val="24"/>
          <w:szCs w:val="24"/>
        </w:rPr>
        <w:t xml:space="preserve">newly </w:t>
      </w:r>
      <w:r w:rsidR="000269F1" w:rsidRPr="0002468E">
        <w:rPr>
          <w:sz w:val="24"/>
          <w:szCs w:val="24"/>
        </w:rPr>
        <w:t>deregulated markets and newfound price volatility</w:t>
      </w:r>
      <w:r w:rsidR="00A96671" w:rsidRPr="0002468E">
        <w:rPr>
          <w:sz w:val="24"/>
          <w:szCs w:val="24"/>
        </w:rPr>
        <w:t>.</w:t>
      </w:r>
      <w:r w:rsidR="000A7357" w:rsidRPr="0002468E">
        <w:rPr>
          <w:rStyle w:val="FootnoteReference"/>
          <w:sz w:val="24"/>
          <w:szCs w:val="24"/>
        </w:rPr>
        <w:footnoteReference w:id="9"/>
      </w:r>
      <w:r w:rsidR="00A96671" w:rsidRPr="0002468E">
        <w:rPr>
          <w:sz w:val="24"/>
          <w:szCs w:val="24"/>
        </w:rPr>
        <w:t xml:space="preserve">  </w:t>
      </w:r>
    </w:p>
    <w:p w:rsidR="00A96671" w:rsidRPr="0002468E" w:rsidRDefault="00DF7B0C" w:rsidP="009048FB">
      <w:pPr>
        <w:spacing w:after="120"/>
        <w:rPr>
          <w:sz w:val="24"/>
          <w:szCs w:val="24"/>
        </w:rPr>
      </w:pPr>
      <w:r w:rsidRPr="0002468E">
        <w:rPr>
          <w:sz w:val="24"/>
          <w:szCs w:val="24"/>
        </w:rPr>
        <w:t xml:space="preserve">In </w:t>
      </w:r>
      <w:r w:rsidR="004A3ECF" w:rsidRPr="0002468E">
        <w:rPr>
          <w:sz w:val="24"/>
          <w:szCs w:val="24"/>
        </w:rPr>
        <w:t>the risk management field, quantitative finance involves the quantification of statistical parameters, particularly price volatility</w:t>
      </w:r>
      <w:r w:rsidRPr="0002468E">
        <w:rPr>
          <w:sz w:val="24"/>
          <w:szCs w:val="24"/>
        </w:rPr>
        <w:t>,</w:t>
      </w:r>
      <w:r w:rsidR="004A3ECF" w:rsidRPr="0002468E">
        <w:rPr>
          <w:sz w:val="24"/>
          <w:szCs w:val="24"/>
        </w:rPr>
        <w:t xml:space="preserve"> to measure risk and design effective hedging strategies. These </w:t>
      </w:r>
      <w:r w:rsidRPr="0002468E">
        <w:rPr>
          <w:sz w:val="24"/>
          <w:szCs w:val="24"/>
        </w:rPr>
        <w:t xml:space="preserve">parameters </w:t>
      </w:r>
      <w:r w:rsidR="004A3ECF" w:rsidRPr="0002468E">
        <w:rPr>
          <w:sz w:val="24"/>
          <w:szCs w:val="24"/>
        </w:rPr>
        <w:t>are then used to monitor risk and make hedging decisions in accordance with the selected strategy.</w:t>
      </w:r>
    </w:p>
    <w:p w:rsidR="006F31EB" w:rsidRPr="000269F1" w:rsidRDefault="006F31EB" w:rsidP="002271C8">
      <w:pPr>
        <w:pStyle w:val="Heading1"/>
      </w:pPr>
      <w:bookmarkStart w:id="7" w:name="_Toc411341370"/>
      <w:bookmarkStart w:id="8" w:name="_Toc424039079"/>
      <w:r w:rsidRPr="000269F1">
        <w:t xml:space="preserve">Overview of Energy Hedging </w:t>
      </w:r>
      <w:r w:rsidR="00EF15B2" w:rsidRPr="000269F1">
        <w:t>Approaches</w:t>
      </w:r>
      <w:bookmarkEnd w:id="7"/>
      <w:bookmarkEnd w:id="8"/>
    </w:p>
    <w:p w:rsidR="006F31EB" w:rsidRPr="0002468E" w:rsidRDefault="00EB5046" w:rsidP="00A32957">
      <w:pPr>
        <w:spacing w:after="120"/>
        <w:rPr>
          <w:sz w:val="24"/>
          <w:szCs w:val="24"/>
        </w:rPr>
      </w:pPr>
      <w:r w:rsidRPr="0002468E">
        <w:rPr>
          <w:sz w:val="24"/>
          <w:szCs w:val="24"/>
        </w:rPr>
        <w:t>A</w:t>
      </w:r>
      <w:r w:rsidR="00B43E6E" w:rsidRPr="0002468E">
        <w:rPr>
          <w:sz w:val="24"/>
          <w:szCs w:val="24"/>
        </w:rPr>
        <w:t>doption of a risk management</w:t>
      </w:r>
      <w:r w:rsidR="006F31EB" w:rsidRPr="0002468E">
        <w:rPr>
          <w:sz w:val="24"/>
          <w:szCs w:val="24"/>
        </w:rPr>
        <w:t xml:space="preserve"> approach</w:t>
      </w:r>
      <w:r w:rsidR="00B43E6E" w:rsidRPr="0002468E">
        <w:rPr>
          <w:sz w:val="24"/>
          <w:szCs w:val="24"/>
        </w:rPr>
        <w:t xml:space="preserve"> </w:t>
      </w:r>
      <w:r w:rsidR="006F31EB" w:rsidRPr="0002468E">
        <w:rPr>
          <w:sz w:val="24"/>
          <w:szCs w:val="24"/>
        </w:rPr>
        <w:t>tend</w:t>
      </w:r>
      <w:r w:rsidR="00B43E6E" w:rsidRPr="0002468E">
        <w:rPr>
          <w:sz w:val="24"/>
          <w:szCs w:val="24"/>
        </w:rPr>
        <w:t>s</w:t>
      </w:r>
      <w:r w:rsidR="006F31EB" w:rsidRPr="0002468E">
        <w:rPr>
          <w:sz w:val="24"/>
          <w:szCs w:val="24"/>
        </w:rPr>
        <w:t xml:space="preserve"> to </w:t>
      </w:r>
      <w:r w:rsidR="004C54F2" w:rsidRPr="0002468E">
        <w:rPr>
          <w:sz w:val="24"/>
          <w:szCs w:val="24"/>
        </w:rPr>
        <w:t xml:space="preserve">be determined by </w:t>
      </w:r>
      <w:r w:rsidR="006F686C" w:rsidRPr="0002468E">
        <w:rPr>
          <w:sz w:val="24"/>
          <w:szCs w:val="24"/>
        </w:rPr>
        <w:t xml:space="preserve">the </w:t>
      </w:r>
      <w:r w:rsidR="004C54F2" w:rsidRPr="0002468E">
        <w:rPr>
          <w:sz w:val="24"/>
          <w:szCs w:val="24"/>
        </w:rPr>
        <w:t xml:space="preserve">market environment, core expertise, and </w:t>
      </w:r>
      <w:r w:rsidR="006F686C" w:rsidRPr="0002468E">
        <w:rPr>
          <w:sz w:val="24"/>
          <w:szCs w:val="24"/>
        </w:rPr>
        <w:t xml:space="preserve">the </w:t>
      </w:r>
      <w:r w:rsidR="004C54F2" w:rsidRPr="0002468E">
        <w:rPr>
          <w:sz w:val="24"/>
          <w:szCs w:val="24"/>
        </w:rPr>
        <w:t xml:space="preserve">regulatory environment of different industry segments. </w:t>
      </w:r>
      <w:r w:rsidR="006F686C" w:rsidRPr="0002468E">
        <w:rPr>
          <w:sz w:val="24"/>
          <w:szCs w:val="24"/>
        </w:rPr>
        <w:t>T</w:t>
      </w:r>
      <w:r w:rsidR="004C54F2" w:rsidRPr="0002468E">
        <w:rPr>
          <w:sz w:val="24"/>
          <w:szCs w:val="24"/>
        </w:rPr>
        <w:t>his paper</w:t>
      </w:r>
      <w:r w:rsidR="006F686C" w:rsidRPr="0002468E">
        <w:rPr>
          <w:sz w:val="24"/>
          <w:szCs w:val="24"/>
        </w:rPr>
        <w:t xml:space="preserve"> addresses</w:t>
      </w:r>
      <w:r w:rsidR="004C54F2" w:rsidRPr="0002468E">
        <w:rPr>
          <w:sz w:val="24"/>
          <w:szCs w:val="24"/>
        </w:rPr>
        <w:t xml:space="preserve"> </w:t>
      </w:r>
      <w:r w:rsidR="00B43E6E" w:rsidRPr="0002468E">
        <w:rPr>
          <w:sz w:val="24"/>
          <w:szCs w:val="24"/>
        </w:rPr>
        <w:t xml:space="preserve">risk management </w:t>
      </w:r>
      <w:r w:rsidR="004C54F2" w:rsidRPr="0002468E">
        <w:rPr>
          <w:sz w:val="24"/>
          <w:szCs w:val="24"/>
        </w:rPr>
        <w:t>programs that deal with energy</w:t>
      </w:r>
      <w:r w:rsidR="000269F1" w:rsidRPr="0002468E">
        <w:rPr>
          <w:sz w:val="24"/>
          <w:szCs w:val="24"/>
        </w:rPr>
        <w:noBreakHyphen/>
        <w:t>price risk</w:t>
      </w:r>
      <w:r w:rsidR="004C54F2" w:rsidRPr="0002468E">
        <w:rPr>
          <w:sz w:val="24"/>
          <w:szCs w:val="24"/>
        </w:rPr>
        <w:t xml:space="preserve"> and contrast</w:t>
      </w:r>
      <w:r w:rsidR="00180A13" w:rsidRPr="0002468E">
        <w:rPr>
          <w:sz w:val="24"/>
          <w:szCs w:val="24"/>
        </w:rPr>
        <w:t>s</w:t>
      </w:r>
      <w:r w:rsidR="004C54F2" w:rsidRPr="0002468E">
        <w:rPr>
          <w:sz w:val="24"/>
          <w:szCs w:val="24"/>
        </w:rPr>
        <w:t xml:space="preserve"> the</w:t>
      </w:r>
      <w:r w:rsidR="004A3ECF" w:rsidRPr="0002468E">
        <w:rPr>
          <w:sz w:val="24"/>
          <w:szCs w:val="24"/>
        </w:rPr>
        <w:t xml:space="preserve"> following </w:t>
      </w:r>
      <w:r w:rsidR="004C54F2" w:rsidRPr="0002468E">
        <w:rPr>
          <w:sz w:val="24"/>
          <w:szCs w:val="24"/>
        </w:rPr>
        <w:t>industry segments:</w:t>
      </w:r>
    </w:p>
    <w:p w:rsidR="004C54F2" w:rsidRPr="0002468E" w:rsidRDefault="004C54F2" w:rsidP="00A32957">
      <w:pPr>
        <w:pStyle w:val="ListParagraph"/>
        <w:numPr>
          <w:ilvl w:val="0"/>
          <w:numId w:val="9"/>
        </w:numPr>
        <w:spacing w:after="120"/>
        <w:rPr>
          <w:sz w:val="24"/>
          <w:szCs w:val="24"/>
        </w:rPr>
      </w:pPr>
      <w:r w:rsidRPr="0002468E">
        <w:rPr>
          <w:sz w:val="24"/>
          <w:szCs w:val="24"/>
        </w:rPr>
        <w:t>Banks and other large counterparties</w:t>
      </w:r>
      <w:r w:rsidR="00180A13" w:rsidRPr="0002468E">
        <w:rPr>
          <w:sz w:val="24"/>
          <w:szCs w:val="24"/>
        </w:rPr>
        <w:t>;</w:t>
      </w:r>
    </w:p>
    <w:p w:rsidR="004C54F2" w:rsidRPr="0002468E" w:rsidRDefault="004C54F2" w:rsidP="00A32957">
      <w:pPr>
        <w:pStyle w:val="ListParagraph"/>
        <w:numPr>
          <w:ilvl w:val="0"/>
          <w:numId w:val="9"/>
        </w:numPr>
        <w:spacing w:after="120"/>
        <w:rPr>
          <w:sz w:val="24"/>
          <w:szCs w:val="24"/>
        </w:rPr>
      </w:pPr>
      <w:r w:rsidRPr="0002468E">
        <w:rPr>
          <w:sz w:val="24"/>
          <w:szCs w:val="24"/>
        </w:rPr>
        <w:t>Merchant energy companies</w:t>
      </w:r>
      <w:r w:rsidR="00180A13" w:rsidRPr="0002468E">
        <w:rPr>
          <w:sz w:val="24"/>
          <w:szCs w:val="24"/>
        </w:rPr>
        <w:t>; and</w:t>
      </w:r>
    </w:p>
    <w:p w:rsidR="004C54F2" w:rsidRPr="0002468E" w:rsidRDefault="004C54F2" w:rsidP="00A32957">
      <w:pPr>
        <w:pStyle w:val="ListParagraph"/>
        <w:numPr>
          <w:ilvl w:val="0"/>
          <w:numId w:val="9"/>
        </w:numPr>
        <w:spacing w:after="120"/>
        <w:rPr>
          <w:sz w:val="24"/>
          <w:szCs w:val="24"/>
        </w:rPr>
      </w:pPr>
      <w:r w:rsidRPr="0002468E">
        <w:rPr>
          <w:sz w:val="24"/>
          <w:szCs w:val="24"/>
        </w:rPr>
        <w:t xml:space="preserve">Utilities </w:t>
      </w:r>
      <w:r w:rsidR="00B43E6E" w:rsidRPr="0002468E">
        <w:rPr>
          <w:sz w:val="24"/>
          <w:szCs w:val="24"/>
        </w:rPr>
        <w:t>in</w:t>
      </w:r>
      <w:r w:rsidRPr="0002468E">
        <w:rPr>
          <w:sz w:val="24"/>
          <w:szCs w:val="24"/>
        </w:rPr>
        <w:t xml:space="preserve"> </w:t>
      </w:r>
      <w:r w:rsidR="00874C77" w:rsidRPr="0002468E">
        <w:rPr>
          <w:sz w:val="24"/>
          <w:szCs w:val="24"/>
        </w:rPr>
        <w:t>three</w:t>
      </w:r>
      <w:r w:rsidRPr="0002468E">
        <w:rPr>
          <w:sz w:val="24"/>
          <w:szCs w:val="24"/>
        </w:rPr>
        <w:t xml:space="preserve"> subcategories</w:t>
      </w:r>
      <w:r w:rsidR="00180A13" w:rsidRPr="0002468E">
        <w:rPr>
          <w:sz w:val="24"/>
          <w:szCs w:val="24"/>
        </w:rPr>
        <w:t>:</w:t>
      </w:r>
    </w:p>
    <w:p w:rsidR="004C54F2" w:rsidRPr="0002468E" w:rsidRDefault="004C54F2" w:rsidP="00A32957">
      <w:pPr>
        <w:pStyle w:val="ListParagraph"/>
        <w:numPr>
          <w:ilvl w:val="1"/>
          <w:numId w:val="9"/>
        </w:numPr>
        <w:spacing w:after="120"/>
        <w:rPr>
          <w:sz w:val="24"/>
          <w:szCs w:val="24"/>
        </w:rPr>
      </w:pPr>
      <w:r w:rsidRPr="0002468E">
        <w:rPr>
          <w:sz w:val="24"/>
          <w:szCs w:val="24"/>
        </w:rPr>
        <w:t>Investor</w:t>
      </w:r>
      <w:r w:rsidR="00780B94" w:rsidRPr="0002468E">
        <w:rPr>
          <w:sz w:val="24"/>
          <w:szCs w:val="24"/>
        </w:rPr>
        <w:t>-</w:t>
      </w:r>
      <w:r w:rsidRPr="0002468E">
        <w:rPr>
          <w:sz w:val="24"/>
          <w:szCs w:val="24"/>
        </w:rPr>
        <w:t>owned</w:t>
      </w:r>
      <w:r w:rsidR="00874C77" w:rsidRPr="0002468E">
        <w:rPr>
          <w:sz w:val="24"/>
          <w:szCs w:val="24"/>
        </w:rPr>
        <w:t xml:space="preserve"> regulated utilities</w:t>
      </w:r>
      <w:r w:rsidR="00180A13" w:rsidRPr="0002468E">
        <w:rPr>
          <w:sz w:val="24"/>
          <w:szCs w:val="24"/>
        </w:rPr>
        <w:t>;</w:t>
      </w:r>
    </w:p>
    <w:p w:rsidR="00874C77" w:rsidRPr="0002468E" w:rsidRDefault="00874C77" w:rsidP="00A32957">
      <w:pPr>
        <w:pStyle w:val="ListParagraph"/>
        <w:numPr>
          <w:ilvl w:val="1"/>
          <w:numId w:val="9"/>
        </w:numPr>
        <w:spacing w:after="120"/>
        <w:rPr>
          <w:sz w:val="24"/>
          <w:szCs w:val="24"/>
        </w:rPr>
      </w:pPr>
      <w:r w:rsidRPr="0002468E">
        <w:rPr>
          <w:sz w:val="24"/>
          <w:szCs w:val="24"/>
        </w:rPr>
        <w:t>Investor</w:t>
      </w:r>
      <w:r w:rsidR="00780B94" w:rsidRPr="0002468E">
        <w:rPr>
          <w:sz w:val="24"/>
          <w:szCs w:val="24"/>
        </w:rPr>
        <w:t>-</w:t>
      </w:r>
      <w:r w:rsidRPr="0002468E">
        <w:rPr>
          <w:sz w:val="24"/>
          <w:szCs w:val="24"/>
        </w:rPr>
        <w:t>owned utilities’ non-regulated merchant subsidiaries</w:t>
      </w:r>
      <w:r w:rsidR="00180A13" w:rsidRPr="0002468E">
        <w:rPr>
          <w:sz w:val="24"/>
          <w:szCs w:val="24"/>
        </w:rPr>
        <w:t>; and</w:t>
      </w:r>
    </w:p>
    <w:p w:rsidR="004C54F2" w:rsidRPr="0002468E" w:rsidRDefault="004C54F2" w:rsidP="00A32957">
      <w:pPr>
        <w:pStyle w:val="ListParagraph"/>
        <w:numPr>
          <w:ilvl w:val="1"/>
          <w:numId w:val="9"/>
        </w:numPr>
        <w:spacing w:after="120"/>
        <w:rPr>
          <w:sz w:val="24"/>
          <w:szCs w:val="24"/>
        </w:rPr>
      </w:pPr>
      <w:r w:rsidRPr="0002468E">
        <w:rPr>
          <w:sz w:val="24"/>
          <w:szCs w:val="24"/>
        </w:rPr>
        <w:t xml:space="preserve">Public (quasi-governmental) </w:t>
      </w:r>
      <w:r w:rsidR="00B20F42" w:rsidRPr="0002468E">
        <w:rPr>
          <w:sz w:val="24"/>
          <w:szCs w:val="24"/>
        </w:rPr>
        <w:t>utilities</w:t>
      </w:r>
      <w:r w:rsidR="00180A13" w:rsidRPr="0002468E">
        <w:rPr>
          <w:sz w:val="24"/>
          <w:szCs w:val="24"/>
        </w:rPr>
        <w:t>.</w:t>
      </w:r>
    </w:p>
    <w:p w:rsidR="00CF2DEE" w:rsidRPr="0002468E" w:rsidRDefault="00EF15B2" w:rsidP="00A32957">
      <w:pPr>
        <w:spacing w:after="120"/>
        <w:rPr>
          <w:sz w:val="24"/>
          <w:szCs w:val="24"/>
        </w:rPr>
      </w:pPr>
      <w:r w:rsidRPr="0002468E">
        <w:rPr>
          <w:sz w:val="24"/>
          <w:szCs w:val="24"/>
        </w:rPr>
        <w:t xml:space="preserve">With </w:t>
      </w:r>
      <w:r w:rsidR="00EB5046" w:rsidRPr="0002468E">
        <w:rPr>
          <w:sz w:val="24"/>
          <w:szCs w:val="24"/>
        </w:rPr>
        <w:t xml:space="preserve">regard </w:t>
      </w:r>
      <w:r w:rsidRPr="0002468E">
        <w:rPr>
          <w:sz w:val="24"/>
          <w:szCs w:val="24"/>
        </w:rPr>
        <w:t xml:space="preserve">to the </w:t>
      </w:r>
      <w:r w:rsidR="004A3ECF" w:rsidRPr="0002468E">
        <w:rPr>
          <w:sz w:val="24"/>
          <w:szCs w:val="24"/>
        </w:rPr>
        <w:t xml:space="preserve">respective </w:t>
      </w:r>
      <w:r w:rsidRPr="0002468E">
        <w:rPr>
          <w:sz w:val="24"/>
          <w:szCs w:val="24"/>
        </w:rPr>
        <w:t xml:space="preserve">market environments, all segments deal with natural gas, electricity, or both. </w:t>
      </w:r>
      <w:r w:rsidR="00180A13" w:rsidRPr="0002468E">
        <w:rPr>
          <w:sz w:val="24"/>
          <w:szCs w:val="24"/>
        </w:rPr>
        <w:t xml:space="preserve">The prices of these </w:t>
      </w:r>
      <w:r w:rsidRPr="0002468E">
        <w:rPr>
          <w:sz w:val="24"/>
          <w:szCs w:val="24"/>
        </w:rPr>
        <w:t xml:space="preserve">commodities are extremely volatile and comprise a material portion </w:t>
      </w:r>
      <w:r w:rsidR="00CF2DEE" w:rsidRPr="0002468E">
        <w:rPr>
          <w:sz w:val="24"/>
          <w:szCs w:val="24"/>
        </w:rPr>
        <w:t>of these</w:t>
      </w:r>
      <w:r w:rsidRPr="0002468E">
        <w:rPr>
          <w:sz w:val="24"/>
          <w:szCs w:val="24"/>
        </w:rPr>
        <w:t xml:space="preserve"> firms</w:t>
      </w:r>
      <w:r w:rsidR="00CF2DEE" w:rsidRPr="0002468E">
        <w:rPr>
          <w:sz w:val="24"/>
          <w:szCs w:val="24"/>
        </w:rPr>
        <w:t>’</w:t>
      </w:r>
      <w:r w:rsidRPr="0002468E">
        <w:rPr>
          <w:sz w:val="24"/>
          <w:szCs w:val="24"/>
        </w:rPr>
        <w:t xml:space="preserve"> risk</w:t>
      </w:r>
      <w:r w:rsidR="00CF2DEE" w:rsidRPr="0002468E">
        <w:rPr>
          <w:sz w:val="24"/>
          <w:szCs w:val="24"/>
        </w:rPr>
        <w:t xml:space="preserve"> profile. I</w:t>
      </w:r>
      <w:r w:rsidRPr="0002468E">
        <w:rPr>
          <w:sz w:val="24"/>
          <w:szCs w:val="24"/>
        </w:rPr>
        <w:t>n some cases</w:t>
      </w:r>
      <w:r w:rsidR="00EB5046" w:rsidRPr="0002468E">
        <w:rPr>
          <w:sz w:val="24"/>
          <w:szCs w:val="24"/>
        </w:rPr>
        <w:t>,</w:t>
      </w:r>
      <w:r w:rsidRPr="0002468E">
        <w:rPr>
          <w:sz w:val="24"/>
          <w:szCs w:val="24"/>
        </w:rPr>
        <w:t xml:space="preserve"> </w:t>
      </w:r>
      <w:r w:rsidR="00CF2DEE" w:rsidRPr="0002468E">
        <w:rPr>
          <w:sz w:val="24"/>
          <w:szCs w:val="24"/>
        </w:rPr>
        <w:t>energy</w:t>
      </w:r>
      <w:r w:rsidRPr="0002468E">
        <w:rPr>
          <w:sz w:val="24"/>
          <w:szCs w:val="24"/>
        </w:rPr>
        <w:t xml:space="preserve"> risk </w:t>
      </w:r>
      <w:r w:rsidR="00CF2DEE" w:rsidRPr="0002468E">
        <w:rPr>
          <w:sz w:val="24"/>
          <w:szCs w:val="24"/>
        </w:rPr>
        <w:t xml:space="preserve">influences </w:t>
      </w:r>
      <w:r w:rsidRPr="0002468E">
        <w:rPr>
          <w:sz w:val="24"/>
          <w:szCs w:val="24"/>
        </w:rPr>
        <w:t xml:space="preserve">financial </w:t>
      </w:r>
      <w:r w:rsidR="00CF2DEE" w:rsidRPr="0002468E">
        <w:rPr>
          <w:sz w:val="24"/>
          <w:szCs w:val="24"/>
        </w:rPr>
        <w:t>results</w:t>
      </w:r>
      <w:r w:rsidRPr="0002468E">
        <w:rPr>
          <w:sz w:val="24"/>
          <w:szCs w:val="24"/>
        </w:rPr>
        <w:t xml:space="preserve"> directly, but for </w:t>
      </w:r>
      <w:r w:rsidR="00874C77" w:rsidRPr="0002468E">
        <w:rPr>
          <w:sz w:val="24"/>
          <w:szCs w:val="24"/>
        </w:rPr>
        <w:t xml:space="preserve">regulated </w:t>
      </w:r>
      <w:r w:rsidR="00A32957" w:rsidRPr="0002468E">
        <w:rPr>
          <w:sz w:val="24"/>
          <w:szCs w:val="24"/>
        </w:rPr>
        <w:t>utilities,</w:t>
      </w:r>
      <w:r w:rsidRPr="0002468E">
        <w:rPr>
          <w:sz w:val="24"/>
          <w:szCs w:val="24"/>
        </w:rPr>
        <w:t xml:space="preserve"> </w:t>
      </w:r>
      <w:r w:rsidR="00DF7B0C" w:rsidRPr="0002468E">
        <w:rPr>
          <w:sz w:val="24"/>
          <w:szCs w:val="24"/>
        </w:rPr>
        <w:t xml:space="preserve">the impact </w:t>
      </w:r>
      <w:r w:rsidRPr="0002468E">
        <w:rPr>
          <w:sz w:val="24"/>
          <w:szCs w:val="24"/>
        </w:rPr>
        <w:t xml:space="preserve">is often </w:t>
      </w:r>
      <w:r w:rsidR="00CF2DEE" w:rsidRPr="0002468E">
        <w:rPr>
          <w:sz w:val="24"/>
          <w:szCs w:val="24"/>
        </w:rPr>
        <w:t xml:space="preserve">indirect, impacting customer satisfaction, </w:t>
      </w:r>
      <w:r w:rsidR="00DF7B0C" w:rsidRPr="0002468E">
        <w:rPr>
          <w:sz w:val="24"/>
          <w:szCs w:val="24"/>
        </w:rPr>
        <w:t xml:space="preserve">company </w:t>
      </w:r>
      <w:r w:rsidR="00CF2DEE" w:rsidRPr="0002468E">
        <w:rPr>
          <w:sz w:val="24"/>
          <w:szCs w:val="24"/>
        </w:rPr>
        <w:t>reputation, regulatory treatment</w:t>
      </w:r>
      <w:r w:rsidR="006C190E" w:rsidRPr="0002468E">
        <w:rPr>
          <w:sz w:val="24"/>
          <w:szCs w:val="24"/>
        </w:rPr>
        <w:t>,</w:t>
      </w:r>
      <w:r w:rsidR="00CF2DEE" w:rsidRPr="0002468E">
        <w:rPr>
          <w:sz w:val="24"/>
          <w:szCs w:val="24"/>
        </w:rPr>
        <w:t xml:space="preserve"> and financial results. </w:t>
      </w:r>
      <w:r w:rsidR="00832B3B" w:rsidRPr="0002468E">
        <w:rPr>
          <w:sz w:val="24"/>
          <w:szCs w:val="24"/>
        </w:rPr>
        <w:t>For these reasons</w:t>
      </w:r>
      <w:r w:rsidR="006C190E" w:rsidRPr="0002468E">
        <w:rPr>
          <w:sz w:val="24"/>
          <w:szCs w:val="24"/>
        </w:rPr>
        <w:t>,</w:t>
      </w:r>
      <w:r w:rsidRPr="0002468E">
        <w:rPr>
          <w:sz w:val="24"/>
          <w:szCs w:val="24"/>
        </w:rPr>
        <w:t xml:space="preserve"> one might expect energy</w:t>
      </w:r>
      <w:r w:rsidRPr="0002468E">
        <w:rPr>
          <w:sz w:val="24"/>
          <w:szCs w:val="24"/>
        </w:rPr>
        <w:noBreakHyphen/>
        <w:t>price risk management to be a core or near</w:t>
      </w:r>
      <w:r w:rsidRPr="0002468E">
        <w:rPr>
          <w:sz w:val="24"/>
          <w:szCs w:val="24"/>
        </w:rPr>
        <w:noBreakHyphen/>
        <w:t xml:space="preserve">core competency for all </w:t>
      </w:r>
      <w:r w:rsidR="004A3ECF" w:rsidRPr="0002468E">
        <w:rPr>
          <w:sz w:val="24"/>
          <w:szCs w:val="24"/>
        </w:rPr>
        <w:t xml:space="preserve">of these </w:t>
      </w:r>
      <w:r w:rsidRPr="0002468E">
        <w:rPr>
          <w:sz w:val="24"/>
          <w:szCs w:val="24"/>
        </w:rPr>
        <w:t xml:space="preserve">industry segments.  </w:t>
      </w:r>
    </w:p>
    <w:p w:rsidR="004C54F2" w:rsidRPr="0002468E" w:rsidRDefault="00EF15B2" w:rsidP="00A32957">
      <w:pPr>
        <w:spacing w:after="120"/>
        <w:rPr>
          <w:sz w:val="24"/>
          <w:szCs w:val="24"/>
        </w:rPr>
      </w:pPr>
      <w:r w:rsidRPr="0002468E">
        <w:rPr>
          <w:sz w:val="24"/>
          <w:szCs w:val="24"/>
        </w:rPr>
        <w:t>Clearly</w:t>
      </w:r>
      <w:r w:rsidR="006C190E" w:rsidRPr="0002468E">
        <w:rPr>
          <w:sz w:val="24"/>
          <w:szCs w:val="24"/>
        </w:rPr>
        <w:t>,</w:t>
      </w:r>
      <w:r w:rsidRPr="0002468E">
        <w:rPr>
          <w:sz w:val="24"/>
          <w:szCs w:val="24"/>
        </w:rPr>
        <w:t xml:space="preserve"> banks and other counterparty firms view risk management as a core competency</w:t>
      </w:r>
      <w:r w:rsidR="00A32957" w:rsidRPr="0002468E">
        <w:rPr>
          <w:sz w:val="24"/>
          <w:szCs w:val="24"/>
        </w:rPr>
        <w:t xml:space="preserve">. </w:t>
      </w:r>
      <w:r w:rsidR="006C190E" w:rsidRPr="0002468E">
        <w:rPr>
          <w:sz w:val="24"/>
          <w:szCs w:val="24"/>
        </w:rPr>
        <w:t>I</w:t>
      </w:r>
      <w:r w:rsidRPr="0002468E">
        <w:rPr>
          <w:sz w:val="24"/>
          <w:szCs w:val="24"/>
        </w:rPr>
        <w:t>n fact</w:t>
      </w:r>
      <w:r w:rsidR="00B43E6E" w:rsidRPr="0002468E">
        <w:rPr>
          <w:sz w:val="24"/>
          <w:szCs w:val="24"/>
        </w:rPr>
        <w:t>,</w:t>
      </w:r>
      <w:r w:rsidRPr="0002468E">
        <w:rPr>
          <w:sz w:val="24"/>
          <w:szCs w:val="24"/>
        </w:rPr>
        <w:t xml:space="preserve"> quantitative finance methods and </w:t>
      </w:r>
      <w:r w:rsidR="00CF2DEE" w:rsidRPr="0002468E">
        <w:rPr>
          <w:sz w:val="24"/>
          <w:szCs w:val="24"/>
        </w:rPr>
        <w:t xml:space="preserve">the </w:t>
      </w:r>
      <w:r w:rsidRPr="0002468E">
        <w:rPr>
          <w:sz w:val="24"/>
          <w:szCs w:val="24"/>
        </w:rPr>
        <w:t>report</w:t>
      </w:r>
      <w:r w:rsidR="00CF2DEE" w:rsidRPr="0002468E">
        <w:rPr>
          <w:sz w:val="24"/>
          <w:szCs w:val="24"/>
        </w:rPr>
        <w:t>ing of risk metrics</w:t>
      </w:r>
      <w:r w:rsidRPr="0002468E">
        <w:rPr>
          <w:sz w:val="24"/>
          <w:szCs w:val="24"/>
        </w:rPr>
        <w:t xml:space="preserve"> are typically mandated by financial regulators.</w:t>
      </w:r>
      <w:r w:rsidR="00CF2DEE" w:rsidRPr="0002468E">
        <w:rPr>
          <w:sz w:val="24"/>
          <w:szCs w:val="24"/>
        </w:rPr>
        <w:t xml:space="preserve"> Similarly</w:t>
      </w:r>
      <w:r w:rsidR="006C190E" w:rsidRPr="0002468E">
        <w:rPr>
          <w:sz w:val="24"/>
          <w:szCs w:val="24"/>
        </w:rPr>
        <w:t>,</w:t>
      </w:r>
      <w:r w:rsidR="00CF2DEE" w:rsidRPr="0002468E">
        <w:rPr>
          <w:sz w:val="24"/>
          <w:szCs w:val="24"/>
        </w:rPr>
        <w:t xml:space="preserve"> </w:t>
      </w:r>
      <w:r w:rsidR="002A6CA8" w:rsidRPr="0002468E">
        <w:rPr>
          <w:sz w:val="24"/>
          <w:szCs w:val="24"/>
        </w:rPr>
        <w:t>most</w:t>
      </w:r>
      <w:r w:rsidR="00CF2DEE" w:rsidRPr="0002468E">
        <w:rPr>
          <w:sz w:val="24"/>
          <w:szCs w:val="24"/>
        </w:rPr>
        <w:t xml:space="preserve"> energy compan</w:t>
      </w:r>
      <w:r w:rsidR="002A6CA8" w:rsidRPr="0002468E">
        <w:rPr>
          <w:sz w:val="24"/>
          <w:szCs w:val="24"/>
        </w:rPr>
        <w:t>ies</w:t>
      </w:r>
      <w:r w:rsidR="00CF2DEE" w:rsidRPr="0002468E">
        <w:rPr>
          <w:sz w:val="24"/>
          <w:szCs w:val="24"/>
        </w:rPr>
        <w:t xml:space="preserve"> operating in a merchant capacity deploy quantitative finance methods to manage exposures unless somehow they have been able to fix </w:t>
      </w:r>
      <w:r w:rsidR="007C43D2" w:rsidRPr="0002468E">
        <w:rPr>
          <w:sz w:val="24"/>
          <w:szCs w:val="24"/>
        </w:rPr>
        <w:t xml:space="preserve">contractually </w:t>
      </w:r>
      <w:r w:rsidR="00CF2DEE" w:rsidRPr="0002468E">
        <w:rPr>
          <w:sz w:val="24"/>
          <w:szCs w:val="24"/>
        </w:rPr>
        <w:t>the elements of both cost and income.</w:t>
      </w:r>
      <w:r w:rsidR="000269F1" w:rsidRPr="0002468E">
        <w:rPr>
          <w:sz w:val="24"/>
          <w:szCs w:val="24"/>
        </w:rPr>
        <w:t xml:space="preserve"> </w:t>
      </w:r>
    </w:p>
    <w:p w:rsidR="000C167D" w:rsidRPr="0002468E" w:rsidRDefault="007C43D2" w:rsidP="00A32957">
      <w:pPr>
        <w:spacing w:after="120"/>
        <w:rPr>
          <w:sz w:val="24"/>
          <w:szCs w:val="24"/>
        </w:rPr>
      </w:pPr>
      <w:r w:rsidRPr="0002468E">
        <w:rPr>
          <w:sz w:val="24"/>
          <w:szCs w:val="24"/>
        </w:rPr>
        <w:t>Yet, i</w:t>
      </w:r>
      <w:r w:rsidR="000C167D" w:rsidRPr="0002468E">
        <w:rPr>
          <w:sz w:val="24"/>
          <w:szCs w:val="24"/>
        </w:rPr>
        <w:t>nvestor</w:t>
      </w:r>
      <w:r w:rsidR="000C167D" w:rsidRPr="0002468E">
        <w:rPr>
          <w:sz w:val="24"/>
          <w:szCs w:val="24"/>
        </w:rPr>
        <w:noBreakHyphen/>
        <w:t xml:space="preserve">owned regulated utilities </w:t>
      </w:r>
      <w:r w:rsidR="009E5F14" w:rsidRPr="0002468E">
        <w:rPr>
          <w:sz w:val="24"/>
          <w:szCs w:val="24"/>
        </w:rPr>
        <w:t xml:space="preserve">generally </w:t>
      </w:r>
      <w:r w:rsidR="004B3208" w:rsidRPr="0002468E">
        <w:rPr>
          <w:sz w:val="24"/>
          <w:szCs w:val="24"/>
        </w:rPr>
        <w:t xml:space="preserve">have been slow to adopt these methods. </w:t>
      </w:r>
      <w:r w:rsidR="00B43E6E" w:rsidRPr="0002468E">
        <w:rPr>
          <w:sz w:val="24"/>
          <w:szCs w:val="24"/>
        </w:rPr>
        <w:t xml:space="preserve">The reasons </w:t>
      </w:r>
      <w:r w:rsidR="00443855" w:rsidRPr="0002468E">
        <w:rPr>
          <w:sz w:val="24"/>
          <w:szCs w:val="24"/>
        </w:rPr>
        <w:t>may be</w:t>
      </w:r>
      <w:r w:rsidR="00B43E6E" w:rsidRPr="0002468E">
        <w:rPr>
          <w:sz w:val="24"/>
          <w:szCs w:val="24"/>
        </w:rPr>
        <w:t xml:space="preserve"> due </w:t>
      </w:r>
      <w:r w:rsidR="000909AE" w:rsidRPr="0002468E">
        <w:rPr>
          <w:sz w:val="24"/>
          <w:szCs w:val="24"/>
        </w:rPr>
        <w:t>essentially</w:t>
      </w:r>
      <w:r w:rsidR="00B43E6E" w:rsidRPr="0002468E">
        <w:rPr>
          <w:sz w:val="24"/>
          <w:szCs w:val="24"/>
        </w:rPr>
        <w:t xml:space="preserve"> to the regulatory implications of adopting complex methods with </w:t>
      </w:r>
      <w:r w:rsidR="00443855" w:rsidRPr="0002468E">
        <w:rPr>
          <w:sz w:val="24"/>
          <w:szCs w:val="24"/>
        </w:rPr>
        <w:t>potentially large</w:t>
      </w:r>
      <w:r w:rsidR="00B43E6E" w:rsidRPr="0002468E">
        <w:rPr>
          <w:sz w:val="24"/>
          <w:szCs w:val="24"/>
        </w:rPr>
        <w:t xml:space="preserve"> financial implications. </w:t>
      </w:r>
      <w:r w:rsidR="000C167D" w:rsidRPr="0002468E">
        <w:rPr>
          <w:sz w:val="24"/>
          <w:szCs w:val="24"/>
        </w:rPr>
        <w:t xml:space="preserve">There is substantial </w:t>
      </w:r>
      <w:r w:rsidR="005F3059" w:rsidRPr="0002468E">
        <w:rPr>
          <w:sz w:val="24"/>
          <w:szCs w:val="24"/>
        </w:rPr>
        <w:t xml:space="preserve">inferential </w:t>
      </w:r>
      <w:r w:rsidR="000C167D" w:rsidRPr="0002468E">
        <w:rPr>
          <w:sz w:val="24"/>
          <w:szCs w:val="24"/>
        </w:rPr>
        <w:t xml:space="preserve">evidence of this reasoning when contrasting the three </w:t>
      </w:r>
      <w:r w:rsidR="00EB5046" w:rsidRPr="0002468E">
        <w:rPr>
          <w:sz w:val="24"/>
          <w:szCs w:val="24"/>
        </w:rPr>
        <w:t xml:space="preserve">utility </w:t>
      </w:r>
      <w:r w:rsidR="000C167D" w:rsidRPr="0002468E">
        <w:rPr>
          <w:sz w:val="24"/>
          <w:szCs w:val="24"/>
        </w:rPr>
        <w:t>subcategories.</w:t>
      </w:r>
    </w:p>
    <w:p w:rsidR="000C167D" w:rsidRPr="0002468E" w:rsidRDefault="000C167D" w:rsidP="00A32957">
      <w:pPr>
        <w:spacing w:after="120"/>
        <w:rPr>
          <w:sz w:val="24"/>
          <w:szCs w:val="24"/>
        </w:rPr>
      </w:pPr>
      <w:r w:rsidRPr="0002468E">
        <w:rPr>
          <w:sz w:val="24"/>
          <w:szCs w:val="24"/>
        </w:rPr>
        <w:t>Regulated u</w:t>
      </w:r>
      <w:r w:rsidR="00B43E6E" w:rsidRPr="0002468E">
        <w:rPr>
          <w:sz w:val="24"/>
          <w:szCs w:val="24"/>
        </w:rPr>
        <w:t xml:space="preserve">tilities deal with the same highly volatile energy markets, but </w:t>
      </w:r>
      <w:r w:rsidR="00BE3886" w:rsidRPr="0002468E">
        <w:rPr>
          <w:sz w:val="24"/>
          <w:szCs w:val="24"/>
        </w:rPr>
        <w:t>typically choose</w:t>
      </w:r>
      <w:r w:rsidR="00B43E6E" w:rsidRPr="0002468E">
        <w:rPr>
          <w:sz w:val="24"/>
          <w:szCs w:val="24"/>
        </w:rPr>
        <w:t xml:space="preserve"> not to develop a core expertise in managing those risks. </w:t>
      </w:r>
      <w:r w:rsidR="005B4225" w:rsidRPr="0002468E">
        <w:rPr>
          <w:sz w:val="24"/>
          <w:szCs w:val="24"/>
        </w:rPr>
        <w:t xml:space="preserve">It is not unusual for </w:t>
      </w:r>
      <w:r w:rsidR="002E5BF3" w:rsidRPr="0002468E">
        <w:rPr>
          <w:sz w:val="24"/>
          <w:szCs w:val="24"/>
        </w:rPr>
        <w:t xml:space="preserve">regulated </w:t>
      </w:r>
      <w:r w:rsidR="00443855" w:rsidRPr="0002468E">
        <w:rPr>
          <w:sz w:val="24"/>
          <w:szCs w:val="24"/>
        </w:rPr>
        <w:t>investor-owned utilities (IOUs)</w:t>
      </w:r>
      <w:r w:rsidR="00EB5046" w:rsidRPr="0002468E">
        <w:rPr>
          <w:sz w:val="24"/>
          <w:szCs w:val="24"/>
        </w:rPr>
        <w:t xml:space="preserve"> to</w:t>
      </w:r>
      <w:r w:rsidR="00443855" w:rsidRPr="0002468E">
        <w:rPr>
          <w:sz w:val="24"/>
          <w:szCs w:val="24"/>
        </w:rPr>
        <w:t xml:space="preserve"> simply choose to hedge some fixed percentage of requirements, and never perform quantitative measurement</w:t>
      </w:r>
      <w:r w:rsidR="002E5BF3" w:rsidRPr="0002468E">
        <w:rPr>
          <w:sz w:val="24"/>
          <w:szCs w:val="24"/>
        </w:rPr>
        <w:t>s</w:t>
      </w:r>
      <w:r w:rsidR="00443855" w:rsidRPr="0002468E">
        <w:rPr>
          <w:sz w:val="24"/>
          <w:szCs w:val="24"/>
        </w:rPr>
        <w:t xml:space="preserve"> of the exposures </w:t>
      </w:r>
      <w:r w:rsidRPr="0002468E">
        <w:rPr>
          <w:sz w:val="24"/>
          <w:szCs w:val="24"/>
        </w:rPr>
        <w:t xml:space="preserve">which </w:t>
      </w:r>
      <w:r w:rsidR="00443855" w:rsidRPr="0002468E">
        <w:rPr>
          <w:sz w:val="24"/>
          <w:szCs w:val="24"/>
        </w:rPr>
        <w:t>th</w:t>
      </w:r>
      <w:r w:rsidR="002E5BF3" w:rsidRPr="0002468E">
        <w:rPr>
          <w:sz w:val="24"/>
          <w:szCs w:val="24"/>
        </w:rPr>
        <w:t>eir</w:t>
      </w:r>
      <w:r w:rsidR="00443855" w:rsidRPr="0002468E">
        <w:rPr>
          <w:sz w:val="24"/>
          <w:szCs w:val="24"/>
        </w:rPr>
        <w:t xml:space="preserve"> decision</w:t>
      </w:r>
      <w:r w:rsidR="002E5BF3" w:rsidRPr="0002468E">
        <w:rPr>
          <w:sz w:val="24"/>
          <w:szCs w:val="24"/>
        </w:rPr>
        <w:t>s</w:t>
      </w:r>
      <w:r w:rsidR="00443855" w:rsidRPr="0002468E">
        <w:rPr>
          <w:sz w:val="24"/>
          <w:szCs w:val="24"/>
        </w:rPr>
        <w:t xml:space="preserve"> entail.</w:t>
      </w:r>
      <w:r w:rsidRPr="0002468E">
        <w:rPr>
          <w:sz w:val="24"/>
          <w:szCs w:val="24"/>
        </w:rPr>
        <w:t xml:space="preserve"> </w:t>
      </w:r>
      <w:r w:rsidR="005B4225" w:rsidRPr="0002468E">
        <w:rPr>
          <w:sz w:val="24"/>
          <w:szCs w:val="24"/>
        </w:rPr>
        <w:t xml:space="preserve">The situation is quite different for </w:t>
      </w:r>
      <w:r w:rsidR="001D7B12" w:rsidRPr="0002468E">
        <w:rPr>
          <w:sz w:val="24"/>
          <w:szCs w:val="24"/>
        </w:rPr>
        <w:t xml:space="preserve">energy </w:t>
      </w:r>
      <w:r w:rsidR="005B4225" w:rsidRPr="0002468E">
        <w:rPr>
          <w:sz w:val="24"/>
          <w:szCs w:val="24"/>
        </w:rPr>
        <w:t>merchant operations and</w:t>
      </w:r>
      <w:r w:rsidR="00343F96" w:rsidRPr="0002468E">
        <w:rPr>
          <w:sz w:val="24"/>
          <w:szCs w:val="24"/>
        </w:rPr>
        <w:t xml:space="preserve"> for</w:t>
      </w:r>
      <w:r w:rsidR="005B4225" w:rsidRPr="0002468E">
        <w:rPr>
          <w:sz w:val="24"/>
          <w:szCs w:val="24"/>
        </w:rPr>
        <w:t xml:space="preserve"> public</w:t>
      </w:r>
      <w:r w:rsidR="007C43D2" w:rsidRPr="0002468E">
        <w:rPr>
          <w:sz w:val="24"/>
          <w:szCs w:val="24"/>
        </w:rPr>
        <w:t>/</w:t>
      </w:r>
      <w:r w:rsidR="005B4225" w:rsidRPr="0002468E">
        <w:rPr>
          <w:sz w:val="24"/>
          <w:szCs w:val="24"/>
        </w:rPr>
        <w:t>quasi-governmental utilities</w:t>
      </w:r>
      <w:r w:rsidR="00343F96" w:rsidRPr="0002468E">
        <w:rPr>
          <w:sz w:val="24"/>
          <w:szCs w:val="24"/>
        </w:rPr>
        <w:t>.</w:t>
      </w:r>
    </w:p>
    <w:p w:rsidR="000269F1" w:rsidRPr="0002468E" w:rsidRDefault="002E5BF3" w:rsidP="00A32957">
      <w:pPr>
        <w:spacing w:after="120"/>
        <w:rPr>
          <w:sz w:val="24"/>
          <w:szCs w:val="24"/>
        </w:rPr>
      </w:pPr>
      <w:r w:rsidRPr="0002468E">
        <w:rPr>
          <w:sz w:val="24"/>
          <w:szCs w:val="24"/>
        </w:rPr>
        <w:t>For example, c</w:t>
      </w:r>
      <w:r w:rsidR="000C167D" w:rsidRPr="0002468E">
        <w:rPr>
          <w:sz w:val="24"/>
          <w:szCs w:val="24"/>
        </w:rPr>
        <w:t>ompanies with large unregulated merchant power generation, or trading arms</w:t>
      </w:r>
      <w:r w:rsidR="00343F96" w:rsidRPr="0002468E">
        <w:rPr>
          <w:sz w:val="24"/>
          <w:szCs w:val="24"/>
        </w:rPr>
        <w:t>,</w:t>
      </w:r>
      <w:r w:rsidR="000C167D" w:rsidRPr="0002468E">
        <w:rPr>
          <w:sz w:val="24"/>
          <w:szCs w:val="24"/>
        </w:rPr>
        <w:t xml:space="preserve"> typically deploy a reasonably sophisticated basket of quantitative finance tools</w:t>
      </w:r>
      <w:r w:rsidR="005B4225" w:rsidRPr="0002468E">
        <w:rPr>
          <w:sz w:val="24"/>
          <w:szCs w:val="24"/>
        </w:rPr>
        <w:t xml:space="preserve"> even when </w:t>
      </w:r>
      <w:r w:rsidR="001D7B12" w:rsidRPr="0002468E">
        <w:rPr>
          <w:sz w:val="24"/>
          <w:szCs w:val="24"/>
        </w:rPr>
        <w:t>their</w:t>
      </w:r>
      <w:r w:rsidR="005B4225" w:rsidRPr="0002468E">
        <w:rPr>
          <w:sz w:val="24"/>
          <w:szCs w:val="24"/>
        </w:rPr>
        <w:t xml:space="preserve"> operations fall under a utility parent or within a common holding company</w:t>
      </w:r>
      <w:r w:rsidR="000C167D" w:rsidRPr="0002468E">
        <w:rPr>
          <w:sz w:val="24"/>
          <w:szCs w:val="24"/>
        </w:rPr>
        <w:t xml:space="preserve">. Like other merchants, this would not be true </w:t>
      </w:r>
      <w:r w:rsidR="007C6E71" w:rsidRPr="0002468E">
        <w:rPr>
          <w:sz w:val="24"/>
          <w:szCs w:val="24"/>
        </w:rPr>
        <w:t>if</w:t>
      </w:r>
      <w:r w:rsidR="000C167D" w:rsidRPr="0002468E">
        <w:rPr>
          <w:sz w:val="24"/>
          <w:szCs w:val="24"/>
        </w:rPr>
        <w:t xml:space="preserve"> they fix </w:t>
      </w:r>
      <w:r w:rsidR="000F61E9" w:rsidRPr="0002468E">
        <w:rPr>
          <w:sz w:val="24"/>
          <w:szCs w:val="24"/>
        </w:rPr>
        <w:t xml:space="preserve">contractually </w:t>
      </w:r>
      <w:r w:rsidR="000C167D" w:rsidRPr="0002468E">
        <w:rPr>
          <w:sz w:val="24"/>
          <w:szCs w:val="24"/>
        </w:rPr>
        <w:t>the elements of both cost and income</w:t>
      </w:r>
      <w:r w:rsidR="002A3134" w:rsidRPr="0002468E">
        <w:rPr>
          <w:sz w:val="24"/>
          <w:szCs w:val="24"/>
        </w:rPr>
        <w:t>; for example, a marketing subsidiary might mandate that all sales be simultaneously backed with a matching supply contract.</w:t>
      </w:r>
    </w:p>
    <w:p w:rsidR="00443855" w:rsidRPr="0002468E" w:rsidRDefault="002E5BF3" w:rsidP="00A32957">
      <w:pPr>
        <w:spacing w:after="120"/>
        <w:rPr>
          <w:sz w:val="24"/>
          <w:szCs w:val="24"/>
        </w:rPr>
      </w:pPr>
      <w:r w:rsidRPr="0002468E">
        <w:rPr>
          <w:sz w:val="24"/>
          <w:szCs w:val="24"/>
        </w:rPr>
        <w:t xml:space="preserve">Regulated IOUs </w:t>
      </w:r>
      <w:r w:rsidR="001D7B12" w:rsidRPr="0002468E">
        <w:rPr>
          <w:sz w:val="24"/>
          <w:szCs w:val="24"/>
        </w:rPr>
        <w:t>are</w:t>
      </w:r>
      <w:r w:rsidR="000C167D" w:rsidRPr="0002468E">
        <w:rPr>
          <w:sz w:val="24"/>
          <w:szCs w:val="24"/>
        </w:rPr>
        <w:t xml:space="preserve"> </w:t>
      </w:r>
      <w:r w:rsidRPr="0002468E">
        <w:rPr>
          <w:sz w:val="24"/>
          <w:szCs w:val="24"/>
        </w:rPr>
        <w:t>unlike</w:t>
      </w:r>
      <w:r w:rsidR="00443855" w:rsidRPr="0002468E">
        <w:rPr>
          <w:sz w:val="24"/>
          <w:szCs w:val="24"/>
        </w:rPr>
        <w:t xml:space="preserve"> </w:t>
      </w:r>
      <w:r w:rsidR="001D7B12" w:rsidRPr="0002468E">
        <w:rPr>
          <w:sz w:val="24"/>
          <w:szCs w:val="24"/>
        </w:rPr>
        <w:t>their</w:t>
      </w:r>
      <w:r w:rsidRPr="0002468E">
        <w:rPr>
          <w:sz w:val="24"/>
          <w:szCs w:val="24"/>
        </w:rPr>
        <w:t xml:space="preserve"> </w:t>
      </w:r>
      <w:r w:rsidR="00874C77" w:rsidRPr="0002468E">
        <w:rPr>
          <w:sz w:val="24"/>
          <w:szCs w:val="24"/>
        </w:rPr>
        <w:t xml:space="preserve">public sector </w:t>
      </w:r>
      <w:r w:rsidRPr="0002468E">
        <w:rPr>
          <w:sz w:val="24"/>
          <w:szCs w:val="24"/>
        </w:rPr>
        <w:t>neighbors which</w:t>
      </w:r>
      <w:r w:rsidR="001D7B12" w:rsidRPr="0002468E">
        <w:rPr>
          <w:sz w:val="24"/>
          <w:szCs w:val="24"/>
        </w:rPr>
        <w:t>, like the energy merchants,</w:t>
      </w:r>
      <w:r w:rsidRPr="0002468E">
        <w:rPr>
          <w:sz w:val="24"/>
          <w:szCs w:val="24"/>
        </w:rPr>
        <w:t xml:space="preserve"> </w:t>
      </w:r>
      <w:r w:rsidR="00874C77" w:rsidRPr="0002468E">
        <w:rPr>
          <w:sz w:val="24"/>
          <w:szCs w:val="24"/>
        </w:rPr>
        <w:t>often deploy very sophisticated quantitative finance methods in managing energy price risk.</w:t>
      </w:r>
      <w:r w:rsidR="000C167D" w:rsidRPr="0002468E">
        <w:rPr>
          <w:sz w:val="24"/>
          <w:szCs w:val="24"/>
        </w:rPr>
        <w:t xml:space="preserve"> </w:t>
      </w:r>
      <w:r w:rsidRPr="0002468E">
        <w:rPr>
          <w:sz w:val="24"/>
          <w:szCs w:val="24"/>
        </w:rPr>
        <w:t xml:space="preserve">Although </w:t>
      </w:r>
      <w:r w:rsidR="001D7B12" w:rsidRPr="0002468E">
        <w:rPr>
          <w:sz w:val="24"/>
          <w:szCs w:val="24"/>
        </w:rPr>
        <w:t xml:space="preserve">each type of energy provider is </w:t>
      </w:r>
      <w:r w:rsidRPr="0002468E">
        <w:rPr>
          <w:sz w:val="24"/>
          <w:szCs w:val="24"/>
        </w:rPr>
        <w:t xml:space="preserve">similar in many ways, </w:t>
      </w:r>
      <w:r w:rsidR="000C167D" w:rsidRPr="0002468E">
        <w:rPr>
          <w:sz w:val="24"/>
          <w:szCs w:val="24"/>
        </w:rPr>
        <w:t xml:space="preserve">the regulatory structure is </w:t>
      </w:r>
      <w:r w:rsidR="001D7B12" w:rsidRPr="0002468E">
        <w:rPr>
          <w:sz w:val="24"/>
          <w:szCs w:val="24"/>
        </w:rPr>
        <w:t xml:space="preserve">plainly </w:t>
      </w:r>
      <w:r w:rsidR="000C167D" w:rsidRPr="0002468E">
        <w:rPr>
          <w:sz w:val="24"/>
          <w:szCs w:val="24"/>
        </w:rPr>
        <w:t>different. Public entities are typically regulated by their own governmental board</w:t>
      </w:r>
      <w:r w:rsidR="00AD6C01" w:rsidRPr="0002468E">
        <w:rPr>
          <w:sz w:val="24"/>
          <w:szCs w:val="24"/>
        </w:rPr>
        <w:t xml:space="preserve"> – an </w:t>
      </w:r>
      <w:r w:rsidR="000F61E9" w:rsidRPr="0002468E">
        <w:rPr>
          <w:sz w:val="24"/>
          <w:szCs w:val="24"/>
        </w:rPr>
        <w:t xml:space="preserve">elected or </w:t>
      </w:r>
      <w:r w:rsidR="00AD6C01" w:rsidRPr="0002468E">
        <w:rPr>
          <w:sz w:val="24"/>
          <w:szCs w:val="24"/>
        </w:rPr>
        <w:t>appointed board of directors or city council</w:t>
      </w:r>
      <w:r w:rsidR="000F61E9" w:rsidRPr="0002468E">
        <w:rPr>
          <w:sz w:val="24"/>
          <w:szCs w:val="24"/>
        </w:rPr>
        <w:t>,</w:t>
      </w:r>
      <w:r w:rsidR="00AD6C01" w:rsidRPr="0002468E">
        <w:rPr>
          <w:sz w:val="24"/>
          <w:szCs w:val="24"/>
        </w:rPr>
        <w:t xml:space="preserve"> for example. Such a </w:t>
      </w:r>
      <w:r w:rsidR="000F61E9" w:rsidRPr="0002468E">
        <w:rPr>
          <w:sz w:val="24"/>
          <w:szCs w:val="24"/>
        </w:rPr>
        <w:t xml:space="preserve">structure </w:t>
      </w:r>
      <w:r w:rsidR="00EB5046" w:rsidRPr="0002468E">
        <w:rPr>
          <w:sz w:val="24"/>
          <w:szCs w:val="24"/>
        </w:rPr>
        <w:t xml:space="preserve">may </w:t>
      </w:r>
      <w:r w:rsidR="00AD6C01" w:rsidRPr="0002468E">
        <w:rPr>
          <w:sz w:val="24"/>
          <w:szCs w:val="24"/>
        </w:rPr>
        <w:t>make it easier to reach a compact with regulators over risks, methods, and potential consequences.</w:t>
      </w:r>
      <w:r w:rsidR="001D7B12" w:rsidRPr="0002468E">
        <w:rPr>
          <w:sz w:val="24"/>
          <w:szCs w:val="24"/>
        </w:rPr>
        <w:t xml:space="preserve"> Merchants have no economic regulators</w:t>
      </w:r>
      <w:r w:rsidR="00343F96" w:rsidRPr="0002468E">
        <w:rPr>
          <w:sz w:val="24"/>
          <w:szCs w:val="24"/>
        </w:rPr>
        <w:t>;</w:t>
      </w:r>
      <w:r w:rsidR="001D7B12" w:rsidRPr="0002468E">
        <w:rPr>
          <w:sz w:val="24"/>
          <w:szCs w:val="24"/>
        </w:rPr>
        <w:t xml:space="preserve"> </w:t>
      </w:r>
      <w:r w:rsidR="00BE0796" w:rsidRPr="0002468E">
        <w:rPr>
          <w:sz w:val="24"/>
          <w:szCs w:val="24"/>
        </w:rPr>
        <w:t>rather</w:t>
      </w:r>
      <w:r w:rsidR="001D7B12" w:rsidRPr="0002468E">
        <w:rPr>
          <w:sz w:val="24"/>
          <w:szCs w:val="24"/>
        </w:rPr>
        <w:t xml:space="preserve"> </w:t>
      </w:r>
      <w:r w:rsidR="00BE0796" w:rsidRPr="0002468E">
        <w:rPr>
          <w:sz w:val="24"/>
          <w:szCs w:val="24"/>
        </w:rPr>
        <w:t xml:space="preserve">they </w:t>
      </w:r>
      <w:r w:rsidR="001D7B12" w:rsidRPr="0002468E">
        <w:rPr>
          <w:sz w:val="24"/>
          <w:szCs w:val="24"/>
        </w:rPr>
        <w:t xml:space="preserve">have shareholders </w:t>
      </w:r>
      <w:r w:rsidR="000F61E9" w:rsidRPr="0002468E">
        <w:rPr>
          <w:sz w:val="24"/>
          <w:szCs w:val="24"/>
        </w:rPr>
        <w:t xml:space="preserve">who </w:t>
      </w:r>
      <w:r w:rsidR="001D7B12" w:rsidRPr="0002468E">
        <w:rPr>
          <w:sz w:val="24"/>
          <w:szCs w:val="24"/>
        </w:rPr>
        <w:t xml:space="preserve">demand sophisticated </w:t>
      </w:r>
      <w:r w:rsidR="00F140E4" w:rsidRPr="0002468E">
        <w:rPr>
          <w:sz w:val="24"/>
          <w:szCs w:val="24"/>
        </w:rPr>
        <w:t>risk management</w:t>
      </w:r>
      <w:r w:rsidR="000F61E9" w:rsidRPr="0002468E">
        <w:rPr>
          <w:sz w:val="24"/>
          <w:szCs w:val="24"/>
        </w:rPr>
        <w:t>. Without it, they</w:t>
      </w:r>
      <w:r w:rsidR="00F140E4" w:rsidRPr="0002468E">
        <w:rPr>
          <w:sz w:val="24"/>
          <w:szCs w:val="24"/>
        </w:rPr>
        <w:t xml:space="preserve"> or </w:t>
      </w:r>
      <w:r w:rsidR="00BE0796" w:rsidRPr="0002468E">
        <w:rPr>
          <w:sz w:val="24"/>
          <w:szCs w:val="24"/>
        </w:rPr>
        <w:t>their investors</w:t>
      </w:r>
      <w:r w:rsidR="00F140E4" w:rsidRPr="0002468E">
        <w:rPr>
          <w:sz w:val="24"/>
          <w:szCs w:val="24"/>
        </w:rPr>
        <w:t xml:space="preserve"> will simply invest in a company that does.</w:t>
      </w:r>
    </w:p>
    <w:p w:rsidR="00443855" w:rsidRPr="0002468E" w:rsidRDefault="000F61E9" w:rsidP="00A32957">
      <w:pPr>
        <w:spacing w:after="120"/>
        <w:rPr>
          <w:sz w:val="24"/>
          <w:szCs w:val="24"/>
        </w:rPr>
      </w:pPr>
      <w:r w:rsidRPr="0002468E">
        <w:rPr>
          <w:sz w:val="24"/>
          <w:szCs w:val="24"/>
        </w:rPr>
        <w:t>It appears</w:t>
      </w:r>
      <w:r w:rsidR="005F3059" w:rsidRPr="0002468E">
        <w:rPr>
          <w:sz w:val="24"/>
          <w:szCs w:val="24"/>
        </w:rPr>
        <w:t xml:space="preserve"> that regulatory prudence risk is the </w:t>
      </w:r>
      <w:r w:rsidR="00670B09" w:rsidRPr="0002468E">
        <w:rPr>
          <w:sz w:val="24"/>
          <w:szCs w:val="24"/>
        </w:rPr>
        <w:t>dominant</w:t>
      </w:r>
      <w:r w:rsidR="005F3059" w:rsidRPr="0002468E">
        <w:rPr>
          <w:sz w:val="24"/>
          <w:szCs w:val="24"/>
        </w:rPr>
        <w:t xml:space="preserve"> differentiating factor for those companies that do not adopt </w:t>
      </w:r>
      <w:r w:rsidR="00583725" w:rsidRPr="0002468E">
        <w:rPr>
          <w:sz w:val="24"/>
          <w:szCs w:val="24"/>
        </w:rPr>
        <w:t xml:space="preserve">the more sophisticated risk management </w:t>
      </w:r>
      <w:r w:rsidR="005F3059" w:rsidRPr="0002468E">
        <w:rPr>
          <w:sz w:val="24"/>
          <w:szCs w:val="24"/>
        </w:rPr>
        <w:t xml:space="preserve">methods. </w:t>
      </w:r>
      <w:r w:rsidRPr="0002468E">
        <w:rPr>
          <w:sz w:val="24"/>
          <w:szCs w:val="24"/>
        </w:rPr>
        <w:t xml:space="preserve">Indeed, </w:t>
      </w:r>
      <w:r w:rsidR="00AD6C01" w:rsidRPr="0002468E">
        <w:rPr>
          <w:sz w:val="24"/>
          <w:szCs w:val="24"/>
        </w:rPr>
        <w:t xml:space="preserve">the regulatory environment </w:t>
      </w:r>
      <w:r w:rsidRPr="0002468E">
        <w:rPr>
          <w:sz w:val="24"/>
          <w:szCs w:val="24"/>
        </w:rPr>
        <w:t>may be</w:t>
      </w:r>
      <w:r w:rsidR="00583725" w:rsidRPr="0002468E">
        <w:rPr>
          <w:sz w:val="24"/>
          <w:szCs w:val="24"/>
        </w:rPr>
        <w:t xml:space="preserve"> </w:t>
      </w:r>
      <w:r w:rsidR="00AD6C01" w:rsidRPr="0002468E">
        <w:rPr>
          <w:sz w:val="24"/>
          <w:szCs w:val="24"/>
        </w:rPr>
        <w:t xml:space="preserve">a material </w:t>
      </w:r>
      <w:r w:rsidR="00124E1F" w:rsidRPr="0002468E">
        <w:rPr>
          <w:sz w:val="24"/>
          <w:szCs w:val="24"/>
        </w:rPr>
        <w:t xml:space="preserve">impediment </w:t>
      </w:r>
      <w:r w:rsidR="00AD6C01" w:rsidRPr="0002468E">
        <w:rPr>
          <w:sz w:val="24"/>
          <w:szCs w:val="24"/>
        </w:rPr>
        <w:t xml:space="preserve">to the deployment of </w:t>
      </w:r>
      <w:r w:rsidR="00583725" w:rsidRPr="0002468E">
        <w:rPr>
          <w:sz w:val="24"/>
          <w:szCs w:val="24"/>
        </w:rPr>
        <w:t xml:space="preserve">the </w:t>
      </w:r>
      <w:r w:rsidR="00AD6C01" w:rsidRPr="0002468E">
        <w:rPr>
          <w:sz w:val="24"/>
          <w:szCs w:val="24"/>
        </w:rPr>
        <w:t>more effective risk mitigation methods</w:t>
      </w:r>
      <w:r w:rsidR="003604A5" w:rsidRPr="0002468E">
        <w:rPr>
          <w:sz w:val="24"/>
          <w:szCs w:val="24"/>
        </w:rPr>
        <w:t>. T</w:t>
      </w:r>
      <w:r w:rsidR="00583725" w:rsidRPr="0002468E">
        <w:rPr>
          <w:sz w:val="24"/>
          <w:szCs w:val="24"/>
        </w:rPr>
        <w:t>he current rulemaking</w:t>
      </w:r>
      <w:r w:rsidR="00343F96" w:rsidRPr="0002468E">
        <w:rPr>
          <w:sz w:val="24"/>
          <w:szCs w:val="24"/>
        </w:rPr>
        <w:t xml:space="preserve"> proceeding</w:t>
      </w:r>
      <w:r w:rsidR="00AD6C01" w:rsidRPr="0002468E">
        <w:rPr>
          <w:sz w:val="24"/>
          <w:szCs w:val="24"/>
        </w:rPr>
        <w:t xml:space="preserve"> provides an excellent opportunity to </w:t>
      </w:r>
      <w:r w:rsidR="003604A5" w:rsidRPr="0002468E">
        <w:rPr>
          <w:sz w:val="24"/>
          <w:szCs w:val="24"/>
        </w:rPr>
        <w:t>identify</w:t>
      </w:r>
      <w:r w:rsidR="00AD6C01" w:rsidRPr="0002468E">
        <w:rPr>
          <w:sz w:val="24"/>
          <w:szCs w:val="24"/>
        </w:rPr>
        <w:t xml:space="preserve"> improved methods, </w:t>
      </w:r>
      <w:r w:rsidR="003604A5" w:rsidRPr="0002468E">
        <w:rPr>
          <w:sz w:val="24"/>
          <w:szCs w:val="24"/>
        </w:rPr>
        <w:t>and propose</w:t>
      </w:r>
      <w:r w:rsidR="00583725" w:rsidRPr="0002468E">
        <w:rPr>
          <w:sz w:val="24"/>
          <w:szCs w:val="24"/>
        </w:rPr>
        <w:t xml:space="preserve"> a regulatory environment </w:t>
      </w:r>
      <w:r w:rsidR="003604A5" w:rsidRPr="0002468E">
        <w:rPr>
          <w:sz w:val="24"/>
          <w:szCs w:val="24"/>
        </w:rPr>
        <w:t>that encourages them.</w:t>
      </w:r>
    </w:p>
    <w:p w:rsidR="006F31EB" w:rsidRPr="000269F1" w:rsidRDefault="006F31EB" w:rsidP="001075FC">
      <w:pPr>
        <w:spacing w:after="120"/>
        <w:jc w:val="right"/>
      </w:pPr>
    </w:p>
    <w:p w:rsidR="008E4C1D" w:rsidRDefault="008E4C1D" w:rsidP="008E4C1D">
      <w:pPr>
        <w:pStyle w:val="Heading1"/>
      </w:pPr>
      <w:bookmarkStart w:id="9" w:name="_Toc411341371"/>
      <w:bookmarkStart w:id="10" w:name="_Toc424039080"/>
      <w:r>
        <w:t>Essential Questions</w:t>
      </w:r>
      <w:bookmarkEnd w:id="9"/>
      <w:bookmarkEnd w:id="10"/>
    </w:p>
    <w:p w:rsidR="00D1251E" w:rsidRPr="0002468E" w:rsidRDefault="00D1251E" w:rsidP="00952D24">
      <w:pPr>
        <w:pStyle w:val="Heading2"/>
        <w:rPr>
          <w:sz w:val="24"/>
          <w:szCs w:val="24"/>
        </w:rPr>
      </w:pPr>
      <w:bookmarkStart w:id="11" w:name="_Toc411341372"/>
      <w:bookmarkStart w:id="12" w:name="_Toc424039081"/>
      <w:r w:rsidRPr="0002468E">
        <w:rPr>
          <w:sz w:val="24"/>
          <w:szCs w:val="24"/>
        </w:rPr>
        <w:t>Why Hedge</w:t>
      </w:r>
      <w:r w:rsidR="00BD0A81" w:rsidRPr="0002468E">
        <w:rPr>
          <w:sz w:val="24"/>
          <w:szCs w:val="24"/>
        </w:rPr>
        <w:t>?</w:t>
      </w:r>
      <w:bookmarkEnd w:id="11"/>
      <w:bookmarkEnd w:id="12"/>
    </w:p>
    <w:p w:rsidR="00DF381A" w:rsidRPr="0002468E" w:rsidRDefault="00C73E1B" w:rsidP="000909AE">
      <w:pPr>
        <w:rPr>
          <w:sz w:val="24"/>
          <w:szCs w:val="24"/>
        </w:rPr>
      </w:pPr>
      <w:r w:rsidRPr="0002468E">
        <w:rPr>
          <w:sz w:val="24"/>
          <w:szCs w:val="24"/>
        </w:rPr>
        <w:t>T</w:t>
      </w:r>
      <w:r w:rsidR="00880A62" w:rsidRPr="0002468E">
        <w:rPr>
          <w:sz w:val="24"/>
          <w:szCs w:val="24"/>
        </w:rPr>
        <w:t xml:space="preserve">o examine hedging properly, </w:t>
      </w:r>
      <w:r w:rsidR="004F42D2" w:rsidRPr="0002468E">
        <w:rPr>
          <w:sz w:val="24"/>
          <w:szCs w:val="24"/>
        </w:rPr>
        <w:t>one must ask</w:t>
      </w:r>
      <w:r w:rsidR="00DF381A" w:rsidRPr="0002468E">
        <w:rPr>
          <w:sz w:val="24"/>
          <w:szCs w:val="24"/>
        </w:rPr>
        <w:t xml:space="preserve">: </w:t>
      </w:r>
      <w:r w:rsidR="00880A62" w:rsidRPr="0002468E">
        <w:rPr>
          <w:sz w:val="24"/>
          <w:szCs w:val="24"/>
        </w:rPr>
        <w:t xml:space="preserve">(1) </w:t>
      </w:r>
      <w:r w:rsidR="00595534" w:rsidRPr="0002468E">
        <w:rPr>
          <w:sz w:val="24"/>
          <w:szCs w:val="24"/>
        </w:rPr>
        <w:t>should</w:t>
      </w:r>
      <w:r w:rsidR="00DF381A" w:rsidRPr="0002468E">
        <w:rPr>
          <w:sz w:val="24"/>
          <w:szCs w:val="24"/>
        </w:rPr>
        <w:t xml:space="preserve"> utilities be hedging</w:t>
      </w:r>
      <w:r w:rsidR="00880A62" w:rsidRPr="0002468E">
        <w:rPr>
          <w:sz w:val="24"/>
          <w:szCs w:val="24"/>
        </w:rPr>
        <w:t>?</w:t>
      </w:r>
      <w:r w:rsidR="00DF381A" w:rsidRPr="0002468E">
        <w:rPr>
          <w:sz w:val="24"/>
          <w:szCs w:val="24"/>
        </w:rPr>
        <w:t xml:space="preserve"> </w:t>
      </w:r>
      <w:r w:rsidR="001C0E33" w:rsidRPr="0002468E">
        <w:rPr>
          <w:sz w:val="24"/>
          <w:szCs w:val="24"/>
        </w:rPr>
        <w:t>I</w:t>
      </w:r>
      <w:r w:rsidR="00595534" w:rsidRPr="0002468E">
        <w:rPr>
          <w:sz w:val="24"/>
          <w:szCs w:val="24"/>
        </w:rPr>
        <w:t xml:space="preserve">f </w:t>
      </w:r>
      <w:r w:rsidR="00880A62" w:rsidRPr="0002468E">
        <w:rPr>
          <w:sz w:val="24"/>
          <w:szCs w:val="24"/>
        </w:rPr>
        <w:t xml:space="preserve">yes, </w:t>
      </w:r>
      <w:r w:rsidR="00595534" w:rsidRPr="0002468E">
        <w:rPr>
          <w:sz w:val="24"/>
          <w:szCs w:val="24"/>
        </w:rPr>
        <w:t>then two further questions arise</w:t>
      </w:r>
      <w:r w:rsidR="004F42D2" w:rsidRPr="0002468E">
        <w:rPr>
          <w:sz w:val="24"/>
          <w:szCs w:val="24"/>
        </w:rPr>
        <w:t>:</w:t>
      </w:r>
      <w:r w:rsidR="00595534" w:rsidRPr="0002468E">
        <w:rPr>
          <w:sz w:val="24"/>
          <w:szCs w:val="24"/>
        </w:rPr>
        <w:t xml:space="preserve"> (2) </w:t>
      </w:r>
      <w:r w:rsidR="00DF381A" w:rsidRPr="0002468E">
        <w:rPr>
          <w:sz w:val="24"/>
          <w:szCs w:val="24"/>
        </w:rPr>
        <w:t>what are appropriate objectives</w:t>
      </w:r>
      <w:r w:rsidR="004F42D2" w:rsidRPr="0002468E">
        <w:rPr>
          <w:sz w:val="24"/>
          <w:szCs w:val="24"/>
        </w:rPr>
        <w:t>;</w:t>
      </w:r>
      <w:r w:rsidR="00DF381A" w:rsidRPr="0002468E">
        <w:rPr>
          <w:sz w:val="24"/>
          <w:szCs w:val="24"/>
        </w:rPr>
        <w:t xml:space="preserve"> and </w:t>
      </w:r>
      <w:r w:rsidR="00595534" w:rsidRPr="0002468E">
        <w:rPr>
          <w:sz w:val="24"/>
          <w:szCs w:val="24"/>
        </w:rPr>
        <w:t xml:space="preserve">(3) </w:t>
      </w:r>
      <w:r w:rsidR="00DF381A" w:rsidRPr="0002468E">
        <w:rPr>
          <w:sz w:val="24"/>
          <w:szCs w:val="24"/>
        </w:rPr>
        <w:t xml:space="preserve">what methodology would produce superior economic outcomes?  </w:t>
      </w:r>
    </w:p>
    <w:p w:rsidR="00EB0FAC" w:rsidRPr="0002468E" w:rsidRDefault="00595534" w:rsidP="000909AE">
      <w:pPr>
        <w:rPr>
          <w:sz w:val="24"/>
          <w:szCs w:val="24"/>
        </w:rPr>
      </w:pPr>
      <w:r w:rsidRPr="0002468E">
        <w:rPr>
          <w:sz w:val="24"/>
          <w:szCs w:val="24"/>
        </w:rPr>
        <w:t>W</w:t>
      </w:r>
      <w:r w:rsidR="00C3411A" w:rsidRPr="0002468E">
        <w:rPr>
          <w:sz w:val="24"/>
          <w:szCs w:val="24"/>
        </w:rPr>
        <w:t xml:space="preserve">e should first address the question </w:t>
      </w:r>
      <w:r w:rsidR="00F57DEC" w:rsidRPr="0002468E">
        <w:rPr>
          <w:sz w:val="24"/>
          <w:szCs w:val="24"/>
        </w:rPr>
        <w:t>of whether utilities should be hedging. D</w:t>
      </w:r>
      <w:r w:rsidR="00C3411A" w:rsidRPr="0002468E">
        <w:rPr>
          <w:sz w:val="24"/>
          <w:szCs w:val="24"/>
        </w:rPr>
        <w:t>oes hedging constitute the right thing to do? In their comments</w:t>
      </w:r>
      <w:r w:rsidRPr="0002468E">
        <w:rPr>
          <w:sz w:val="24"/>
          <w:szCs w:val="24"/>
        </w:rPr>
        <w:t xml:space="preserve"> to this rulemaking</w:t>
      </w:r>
      <w:r w:rsidR="00C3411A" w:rsidRPr="0002468E">
        <w:rPr>
          <w:sz w:val="24"/>
          <w:szCs w:val="24"/>
        </w:rPr>
        <w:t xml:space="preserve">, most respondents indicated that hedging was a beneficial endeavor because price (or cost) stability was </w:t>
      </w:r>
      <w:r w:rsidR="00BA0DE4" w:rsidRPr="0002468E">
        <w:rPr>
          <w:sz w:val="24"/>
          <w:szCs w:val="24"/>
        </w:rPr>
        <w:t>of</w:t>
      </w:r>
      <w:r w:rsidR="00C3411A" w:rsidRPr="0002468E">
        <w:rPr>
          <w:sz w:val="24"/>
          <w:szCs w:val="24"/>
        </w:rPr>
        <w:t xml:space="preserve"> value to customers. </w:t>
      </w:r>
      <w:r w:rsidR="00B43C66" w:rsidRPr="0002468E">
        <w:rPr>
          <w:sz w:val="24"/>
          <w:szCs w:val="24"/>
        </w:rPr>
        <w:t xml:space="preserve">Michael </w:t>
      </w:r>
      <w:r w:rsidR="007850C3" w:rsidRPr="0002468E">
        <w:rPr>
          <w:sz w:val="24"/>
          <w:szCs w:val="24"/>
        </w:rPr>
        <w:t>Gettings</w:t>
      </w:r>
      <w:r w:rsidR="00661931" w:rsidRPr="0002468E">
        <w:rPr>
          <w:sz w:val="24"/>
          <w:szCs w:val="24"/>
        </w:rPr>
        <w:t>, on behalf of</w:t>
      </w:r>
      <w:r w:rsidR="00BA0DE4" w:rsidRPr="0002468E">
        <w:rPr>
          <w:sz w:val="24"/>
          <w:szCs w:val="24"/>
        </w:rPr>
        <w:t xml:space="preserve"> the Attorney General’s </w:t>
      </w:r>
      <w:r w:rsidR="00661931" w:rsidRPr="0002468E">
        <w:rPr>
          <w:sz w:val="24"/>
          <w:szCs w:val="24"/>
        </w:rPr>
        <w:t>O</w:t>
      </w:r>
      <w:r w:rsidR="00BA0DE4" w:rsidRPr="0002468E">
        <w:rPr>
          <w:sz w:val="24"/>
          <w:szCs w:val="24"/>
        </w:rPr>
        <w:t>ff</w:t>
      </w:r>
      <w:r w:rsidR="00EB0FAC" w:rsidRPr="0002468E">
        <w:rPr>
          <w:sz w:val="24"/>
          <w:szCs w:val="24"/>
        </w:rPr>
        <w:t>ice</w:t>
      </w:r>
      <w:r w:rsidR="001C0E33" w:rsidRPr="0002468E">
        <w:rPr>
          <w:sz w:val="24"/>
          <w:szCs w:val="24"/>
        </w:rPr>
        <w:t>,</w:t>
      </w:r>
      <w:r w:rsidR="00EB0FAC" w:rsidRPr="0002468E">
        <w:rPr>
          <w:sz w:val="24"/>
          <w:szCs w:val="24"/>
        </w:rPr>
        <w:t xml:space="preserve"> </w:t>
      </w:r>
      <w:r w:rsidR="008B07AB" w:rsidRPr="0002468E">
        <w:rPr>
          <w:sz w:val="24"/>
          <w:szCs w:val="24"/>
        </w:rPr>
        <w:t>stated</w:t>
      </w:r>
      <w:r w:rsidR="00EB0FAC" w:rsidRPr="0002468E">
        <w:rPr>
          <w:sz w:val="24"/>
          <w:szCs w:val="24"/>
        </w:rPr>
        <w:t>:</w:t>
      </w:r>
    </w:p>
    <w:p w:rsidR="00EB0FAC" w:rsidRPr="0002468E" w:rsidRDefault="00EB0FAC" w:rsidP="000909AE">
      <w:pPr>
        <w:spacing w:after="120"/>
        <w:ind w:left="720"/>
        <w:rPr>
          <w:sz w:val="24"/>
          <w:szCs w:val="24"/>
        </w:rPr>
      </w:pPr>
      <w:r w:rsidRPr="0002468E">
        <w:rPr>
          <w:sz w:val="24"/>
          <w:szCs w:val="24"/>
        </w:rPr>
        <w:t>“The reason for hedging is to reduce customer pain in severe upside markets and thereby create marginal utility for customers. Customers derive greater value from upside cost mitigation than they forego from hedge losses because upside cost outcomes tend to require them to make painful adjustments relative to prior expectations, but hedge losses, while still painful, occur in declining markets when the net costs are more favorable than prior expectations, thus moderating the pain</w:t>
      </w:r>
      <w:r w:rsidR="00566E47" w:rsidRPr="0002468E">
        <w:rPr>
          <w:sz w:val="24"/>
          <w:szCs w:val="24"/>
        </w:rPr>
        <w:t xml:space="preserve">. </w:t>
      </w:r>
      <w:r w:rsidRPr="0002468E">
        <w:rPr>
          <w:sz w:val="24"/>
          <w:szCs w:val="24"/>
        </w:rPr>
        <w:t xml:space="preserve">This statement is not meant to understate the real value foregone by high cost hedges; it is meant to put a proper perspective on the relative pain associated with whatever unfavorable outcomes are realized. Unless hedges are always made at market </w:t>
      </w:r>
      <w:r w:rsidR="00566E47" w:rsidRPr="0002468E">
        <w:rPr>
          <w:sz w:val="24"/>
          <w:szCs w:val="24"/>
        </w:rPr>
        <w:t>troughs,</w:t>
      </w:r>
      <w:r w:rsidRPr="0002468E">
        <w:rPr>
          <w:sz w:val="24"/>
          <w:szCs w:val="24"/>
        </w:rPr>
        <w:t xml:space="preserve"> there will always be some degree of unfavorable outcomes relative to retrospective opportunities. Similarly, customers’ pain response is not linear. Radical cost increases </w:t>
      </w:r>
      <w:r w:rsidR="00D779FB" w:rsidRPr="0002468E">
        <w:rPr>
          <w:sz w:val="24"/>
          <w:szCs w:val="24"/>
        </w:rPr>
        <w:t>a</w:t>
      </w:r>
      <w:r w:rsidRPr="0002468E">
        <w:rPr>
          <w:sz w:val="24"/>
          <w:szCs w:val="24"/>
        </w:rPr>
        <w:t>re disproportionately painful when compared to modest year-to-year changes.”</w:t>
      </w:r>
      <w:r w:rsidR="00D053BB" w:rsidRPr="0002468E">
        <w:rPr>
          <w:rStyle w:val="FootnoteReference"/>
          <w:sz w:val="24"/>
          <w:szCs w:val="24"/>
        </w:rPr>
        <w:footnoteReference w:id="10"/>
      </w:r>
    </w:p>
    <w:p w:rsidR="004C7D56" w:rsidRPr="0002468E" w:rsidRDefault="004E5EDF" w:rsidP="000909AE">
      <w:pPr>
        <w:rPr>
          <w:sz w:val="24"/>
          <w:szCs w:val="24"/>
        </w:rPr>
      </w:pPr>
      <w:r w:rsidRPr="0002468E">
        <w:rPr>
          <w:sz w:val="24"/>
          <w:szCs w:val="24"/>
        </w:rPr>
        <w:t>Figure 1 above showed</w:t>
      </w:r>
      <w:r w:rsidR="00EB0FAC" w:rsidRPr="0002468E">
        <w:rPr>
          <w:sz w:val="24"/>
          <w:szCs w:val="24"/>
        </w:rPr>
        <w:t xml:space="preserve"> historical price variations and observed that </w:t>
      </w:r>
      <w:r w:rsidR="00205E3F" w:rsidRPr="0002468E">
        <w:rPr>
          <w:sz w:val="24"/>
          <w:szCs w:val="24"/>
        </w:rPr>
        <w:t xml:space="preserve">12-month rolling </w:t>
      </w:r>
      <w:r w:rsidR="00EB0FAC" w:rsidRPr="0002468E">
        <w:rPr>
          <w:sz w:val="24"/>
          <w:szCs w:val="24"/>
        </w:rPr>
        <w:t>price</w:t>
      </w:r>
      <w:r w:rsidR="007C6E71" w:rsidRPr="0002468E">
        <w:rPr>
          <w:sz w:val="24"/>
          <w:szCs w:val="24"/>
        </w:rPr>
        <w:t xml:space="preserve"> extremes</w:t>
      </w:r>
      <w:r w:rsidR="00EB0FAC" w:rsidRPr="0002468E">
        <w:rPr>
          <w:sz w:val="24"/>
          <w:szCs w:val="24"/>
        </w:rPr>
        <w:t xml:space="preserve"> deviated </w:t>
      </w:r>
      <w:r w:rsidR="00D33201" w:rsidRPr="0002468E">
        <w:rPr>
          <w:sz w:val="24"/>
          <w:szCs w:val="24"/>
        </w:rPr>
        <w:t xml:space="preserve">from the average by </w:t>
      </w:r>
      <w:r w:rsidR="00EB0FAC" w:rsidRPr="0002468E">
        <w:rPr>
          <w:sz w:val="24"/>
          <w:szCs w:val="24"/>
        </w:rPr>
        <w:t>about $4</w:t>
      </w:r>
      <w:r w:rsidR="007C6E71" w:rsidRPr="0002468E">
        <w:rPr>
          <w:sz w:val="24"/>
          <w:szCs w:val="24"/>
        </w:rPr>
        <w:t xml:space="preserve"> </w:t>
      </w:r>
      <w:r w:rsidR="00B43C66" w:rsidRPr="0002468E">
        <w:rPr>
          <w:sz w:val="24"/>
          <w:szCs w:val="24"/>
        </w:rPr>
        <w:t xml:space="preserve">to </w:t>
      </w:r>
      <w:r w:rsidR="007C6E71" w:rsidRPr="0002468E">
        <w:rPr>
          <w:sz w:val="24"/>
          <w:szCs w:val="24"/>
        </w:rPr>
        <w:t>the upside, but only</w:t>
      </w:r>
      <w:r w:rsidR="00EB0FAC" w:rsidRPr="0002468E">
        <w:rPr>
          <w:sz w:val="24"/>
          <w:szCs w:val="24"/>
        </w:rPr>
        <w:t xml:space="preserve"> about $2</w:t>
      </w:r>
      <w:r w:rsidR="002217AB" w:rsidRPr="0002468E">
        <w:rPr>
          <w:sz w:val="24"/>
          <w:szCs w:val="24"/>
        </w:rPr>
        <w:t xml:space="preserve"> </w:t>
      </w:r>
      <w:r w:rsidR="00D33201" w:rsidRPr="0002468E">
        <w:rPr>
          <w:sz w:val="24"/>
          <w:szCs w:val="24"/>
        </w:rPr>
        <w:t>to the downside</w:t>
      </w:r>
      <w:r w:rsidR="00EB0FAC" w:rsidRPr="0002468E">
        <w:rPr>
          <w:sz w:val="24"/>
          <w:szCs w:val="24"/>
        </w:rPr>
        <w:t>.</w:t>
      </w:r>
      <w:r w:rsidR="00D33201" w:rsidRPr="0002468E">
        <w:rPr>
          <w:sz w:val="24"/>
          <w:szCs w:val="24"/>
        </w:rPr>
        <w:t xml:space="preserve"> </w:t>
      </w:r>
      <w:r w:rsidRPr="0002468E">
        <w:rPr>
          <w:sz w:val="24"/>
          <w:szCs w:val="24"/>
        </w:rPr>
        <w:t>P</w:t>
      </w:r>
      <w:r w:rsidR="00D33201" w:rsidRPr="0002468E">
        <w:rPr>
          <w:sz w:val="24"/>
          <w:szCs w:val="24"/>
        </w:rPr>
        <w:t xml:space="preserve">rice peaks tend to last </w:t>
      </w:r>
      <w:r w:rsidRPr="0002468E">
        <w:rPr>
          <w:sz w:val="24"/>
          <w:szCs w:val="24"/>
        </w:rPr>
        <w:t>three</w:t>
      </w:r>
      <w:r w:rsidR="00D33201" w:rsidRPr="0002468E">
        <w:rPr>
          <w:sz w:val="24"/>
          <w:szCs w:val="24"/>
        </w:rPr>
        <w:t xml:space="preserve"> to </w:t>
      </w:r>
      <w:r w:rsidRPr="0002468E">
        <w:rPr>
          <w:sz w:val="24"/>
          <w:szCs w:val="24"/>
        </w:rPr>
        <w:t>six</w:t>
      </w:r>
      <w:r w:rsidR="00D33201" w:rsidRPr="0002468E">
        <w:rPr>
          <w:sz w:val="24"/>
          <w:szCs w:val="24"/>
        </w:rPr>
        <w:t xml:space="preserve"> months, while price troughs tend to last longer. In other words, low price environments are more usual but more moderate, while high price environments tend to be </w:t>
      </w:r>
      <w:r w:rsidR="007850C3" w:rsidRPr="0002468E">
        <w:rPr>
          <w:sz w:val="24"/>
          <w:szCs w:val="24"/>
        </w:rPr>
        <w:t xml:space="preserve">more </w:t>
      </w:r>
      <w:r w:rsidR="00D33201" w:rsidRPr="0002468E">
        <w:rPr>
          <w:sz w:val="24"/>
          <w:szCs w:val="24"/>
        </w:rPr>
        <w:t xml:space="preserve">temporary but </w:t>
      </w:r>
      <w:r w:rsidR="007850C3" w:rsidRPr="0002468E">
        <w:rPr>
          <w:sz w:val="24"/>
          <w:szCs w:val="24"/>
        </w:rPr>
        <w:t xml:space="preserve">more </w:t>
      </w:r>
      <w:r w:rsidR="00D33201" w:rsidRPr="0002468E">
        <w:rPr>
          <w:sz w:val="24"/>
          <w:szCs w:val="24"/>
        </w:rPr>
        <w:t>radical</w:t>
      </w:r>
      <w:r w:rsidR="00566E47" w:rsidRPr="0002468E">
        <w:rPr>
          <w:sz w:val="24"/>
          <w:szCs w:val="24"/>
        </w:rPr>
        <w:t xml:space="preserve">. </w:t>
      </w:r>
      <w:r w:rsidR="007850C3" w:rsidRPr="0002468E">
        <w:rPr>
          <w:sz w:val="24"/>
          <w:szCs w:val="24"/>
        </w:rPr>
        <w:t>The combination of this asymmetrical price behavior with the customers’ asymmetrical and</w:t>
      </w:r>
      <w:r w:rsidR="007C17F3" w:rsidRPr="0002468E">
        <w:rPr>
          <w:sz w:val="24"/>
          <w:szCs w:val="24"/>
        </w:rPr>
        <w:t xml:space="preserve"> non-linear sensitivity to cost variations </w:t>
      </w:r>
      <w:r w:rsidR="007850C3" w:rsidRPr="0002468E">
        <w:rPr>
          <w:sz w:val="24"/>
          <w:szCs w:val="24"/>
        </w:rPr>
        <w:t>creates a powerful case for hedging programs.</w:t>
      </w:r>
    </w:p>
    <w:p w:rsidR="00D1251E" w:rsidRPr="0002468E" w:rsidRDefault="00D1251E" w:rsidP="00952D24">
      <w:pPr>
        <w:pStyle w:val="Heading2"/>
        <w:rPr>
          <w:sz w:val="24"/>
        </w:rPr>
      </w:pPr>
      <w:bookmarkStart w:id="13" w:name="_Toc411341373"/>
      <w:bookmarkStart w:id="14" w:name="_Toc424039082"/>
      <w:r w:rsidRPr="0002468E">
        <w:rPr>
          <w:sz w:val="24"/>
        </w:rPr>
        <w:t>What Objectives?</w:t>
      </w:r>
      <w:bookmarkEnd w:id="13"/>
      <w:bookmarkEnd w:id="14"/>
    </w:p>
    <w:p w:rsidR="005D4CA6" w:rsidRPr="0002468E" w:rsidRDefault="00F9793D" w:rsidP="002217AB">
      <w:pPr>
        <w:rPr>
          <w:sz w:val="24"/>
        </w:rPr>
      </w:pPr>
      <w:r w:rsidRPr="0002468E">
        <w:rPr>
          <w:sz w:val="24"/>
        </w:rPr>
        <w:t xml:space="preserve">Before </w:t>
      </w:r>
      <w:r w:rsidR="005D4CA6" w:rsidRPr="0002468E">
        <w:rPr>
          <w:sz w:val="24"/>
        </w:rPr>
        <w:t>discussing objectives, an</w:t>
      </w:r>
      <w:r w:rsidR="00834384" w:rsidRPr="0002468E">
        <w:rPr>
          <w:sz w:val="24"/>
        </w:rPr>
        <w:t>other</w:t>
      </w:r>
      <w:r w:rsidR="005D4CA6" w:rsidRPr="0002468E">
        <w:rPr>
          <w:sz w:val="24"/>
        </w:rPr>
        <w:t xml:space="preserve"> illustration of price risk </w:t>
      </w:r>
      <w:r w:rsidR="002821FD" w:rsidRPr="0002468E">
        <w:rPr>
          <w:sz w:val="24"/>
        </w:rPr>
        <w:t>w</w:t>
      </w:r>
      <w:r w:rsidR="005D4CA6" w:rsidRPr="0002468E">
        <w:rPr>
          <w:sz w:val="24"/>
        </w:rPr>
        <w:t>ould be helpful</w:t>
      </w:r>
      <w:r w:rsidR="00EE3E9A" w:rsidRPr="0002468E">
        <w:rPr>
          <w:sz w:val="24"/>
        </w:rPr>
        <w:t>, this time from a forward-looking perspective</w:t>
      </w:r>
      <w:r w:rsidR="005D4CA6" w:rsidRPr="0002468E">
        <w:rPr>
          <w:sz w:val="24"/>
        </w:rPr>
        <w:t xml:space="preserve">. </w:t>
      </w:r>
      <w:r w:rsidR="00B43C66" w:rsidRPr="0002468E">
        <w:rPr>
          <w:sz w:val="24"/>
        </w:rPr>
        <w:t>Rather than</w:t>
      </w:r>
      <w:r w:rsidR="00EE3E9A" w:rsidRPr="0002468E">
        <w:rPr>
          <w:sz w:val="24"/>
        </w:rPr>
        <w:t xml:space="preserve"> looking at historical outcomes,</w:t>
      </w:r>
      <w:r w:rsidR="00B43C66" w:rsidRPr="0002468E">
        <w:rPr>
          <w:sz w:val="24"/>
        </w:rPr>
        <w:t xml:space="preserve"> we assume</w:t>
      </w:r>
      <w:r w:rsidR="00EE3E9A" w:rsidRPr="0002468E">
        <w:rPr>
          <w:sz w:val="24"/>
        </w:rPr>
        <w:t xml:space="preserve"> the perspective of a hedge manager assessing the prospects for possible price outcomes one year from now. </w:t>
      </w:r>
      <w:r w:rsidR="005D4CA6" w:rsidRPr="0002468E">
        <w:rPr>
          <w:sz w:val="24"/>
        </w:rPr>
        <w:t>The graph in Figure 1-A shows a typical risk distribution for gas prices that might prevail one year from now if today’s NYMEX price were $4/MMBtu</w:t>
      </w:r>
      <w:r w:rsidR="002821FD" w:rsidRPr="0002468E">
        <w:rPr>
          <w:sz w:val="24"/>
        </w:rPr>
        <w:t xml:space="preserve"> and volatility were measured at 50</w:t>
      </w:r>
      <w:r w:rsidR="00B20F42" w:rsidRPr="0002468E">
        <w:rPr>
          <w:sz w:val="24"/>
        </w:rPr>
        <w:t xml:space="preserve"> percent</w:t>
      </w:r>
      <w:r w:rsidR="005D4CA6" w:rsidRPr="0002468E">
        <w:rPr>
          <w:sz w:val="24"/>
        </w:rPr>
        <w:t xml:space="preserve">.  </w:t>
      </w:r>
    </w:p>
    <w:p w:rsidR="005D4CA6" w:rsidRPr="006F3C3D" w:rsidRDefault="005D4CA6" w:rsidP="005D4CA6">
      <w:pPr>
        <w:keepNext/>
        <w:keepLines/>
        <w:spacing w:after="120"/>
        <w:jc w:val="both"/>
        <w:rPr>
          <w:rFonts w:cs="Times New Roman"/>
          <w:b/>
          <w:sz w:val="21"/>
          <w:u w:val="single"/>
        </w:rPr>
      </w:pPr>
      <w:r w:rsidRPr="006F3C3D">
        <w:rPr>
          <w:rFonts w:cs="Times New Roman"/>
          <w:b/>
          <w:sz w:val="21"/>
          <w:u w:val="single"/>
        </w:rPr>
        <w:t>Figure 1-A:  Typical Price Risk Distribution</w:t>
      </w:r>
    </w:p>
    <w:p w:rsidR="005D4CA6" w:rsidRPr="005D4CA6" w:rsidRDefault="005D4CA6" w:rsidP="005D4CA6">
      <w:pPr>
        <w:keepNext/>
        <w:keepLines/>
        <w:pBdr>
          <w:bottom w:val="single" w:sz="4" w:space="1" w:color="auto"/>
        </w:pBdr>
        <w:spacing w:after="120"/>
        <w:jc w:val="both"/>
        <w:rPr>
          <w:rFonts w:ascii="Candara" w:hAnsi="Candara"/>
          <w:sz w:val="22"/>
        </w:rPr>
      </w:pPr>
      <w:r w:rsidRPr="005D4CA6">
        <w:rPr>
          <w:rFonts w:ascii="Candara" w:hAnsi="Candara"/>
          <w:noProof/>
          <w:sz w:val="22"/>
        </w:rPr>
        <w:drawing>
          <wp:inline distT="0" distB="0" distL="0" distR="0" wp14:anchorId="28038D9A" wp14:editId="2B5C0E82">
            <wp:extent cx="5132015" cy="2958465"/>
            <wp:effectExtent l="0" t="0" r="0" b="0"/>
            <wp:docPr id="2" name="Picture 6"/>
            <wp:cNvGraphicFramePr/>
            <a:graphic xmlns:a="http://schemas.openxmlformats.org/drawingml/2006/main">
              <a:graphicData uri="http://schemas.openxmlformats.org/drawingml/2006/picture">
                <pic:pic xmlns:pic="http://schemas.openxmlformats.org/drawingml/2006/picture">
                  <pic:nvPicPr>
                    <pic:cNvPr id="8" name="Picture 6"/>
                    <pic:cNvPicPr/>
                  </pic:nvPicPr>
                  <pic:blipFill rotWithShape="1">
                    <a:blip r:embed="rId12" cstate="print"/>
                    <a:srcRect l="8173" r="27885"/>
                    <a:stretch/>
                  </pic:blipFill>
                  <pic:spPr bwMode="auto">
                    <a:xfrm>
                      <a:off x="0" y="0"/>
                      <a:ext cx="5148638" cy="2968048"/>
                    </a:xfrm>
                    <a:prstGeom prst="rect">
                      <a:avLst/>
                    </a:prstGeom>
                    <a:noFill/>
                    <a:ln>
                      <a:noFill/>
                    </a:ln>
                    <a:extLst>
                      <a:ext uri="{53640926-AAD7-44D8-BBD7-CCE9431645EC}">
                        <a14:shadowObscured xmlns:a14="http://schemas.microsoft.com/office/drawing/2010/main"/>
                      </a:ext>
                    </a:extLst>
                  </pic:spPr>
                </pic:pic>
              </a:graphicData>
            </a:graphic>
          </wp:inline>
        </w:drawing>
      </w:r>
    </w:p>
    <w:p w:rsidR="005D4CA6" w:rsidRDefault="005D4CA6" w:rsidP="005D4CA6">
      <w:pPr>
        <w:jc w:val="both"/>
      </w:pPr>
    </w:p>
    <w:p w:rsidR="005D4CA6" w:rsidRPr="002217AB" w:rsidRDefault="00B43C66" w:rsidP="002217AB">
      <w:pPr>
        <w:rPr>
          <w:rFonts w:cs="Times New Roman"/>
          <w:sz w:val="24"/>
          <w:szCs w:val="24"/>
        </w:rPr>
      </w:pPr>
      <w:r>
        <w:rPr>
          <w:rFonts w:cs="Times New Roman"/>
          <w:sz w:val="24"/>
          <w:szCs w:val="24"/>
        </w:rPr>
        <w:t>T</w:t>
      </w:r>
      <w:r w:rsidR="005D4CA6" w:rsidRPr="002217AB">
        <w:rPr>
          <w:rFonts w:cs="Times New Roman"/>
          <w:sz w:val="24"/>
          <w:szCs w:val="24"/>
        </w:rPr>
        <w:t xml:space="preserve">he </w:t>
      </w:r>
      <w:r w:rsidR="00A70CAC" w:rsidRPr="002217AB">
        <w:rPr>
          <w:rFonts w:cs="Times New Roman"/>
          <w:sz w:val="24"/>
          <w:szCs w:val="24"/>
        </w:rPr>
        <w:t xml:space="preserve">potential </w:t>
      </w:r>
      <w:r w:rsidR="005D4CA6" w:rsidRPr="002217AB">
        <w:rPr>
          <w:rFonts w:cs="Times New Roman"/>
          <w:sz w:val="24"/>
          <w:szCs w:val="24"/>
        </w:rPr>
        <w:t xml:space="preserve">price outcomes stretch farther </w:t>
      </w:r>
      <w:r w:rsidR="00834384" w:rsidRPr="002217AB">
        <w:rPr>
          <w:rFonts w:cs="Times New Roman"/>
          <w:sz w:val="24"/>
          <w:szCs w:val="24"/>
        </w:rPr>
        <w:t xml:space="preserve">to the upside </w:t>
      </w:r>
      <w:r w:rsidR="005D4CA6" w:rsidRPr="002217AB">
        <w:rPr>
          <w:rFonts w:cs="Times New Roman"/>
          <w:sz w:val="24"/>
          <w:szCs w:val="24"/>
        </w:rPr>
        <w:t>than the downside</w:t>
      </w:r>
      <w:r>
        <w:rPr>
          <w:rFonts w:cs="Times New Roman"/>
          <w:sz w:val="24"/>
          <w:szCs w:val="24"/>
        </w:rPr>
        <w:t xml:space="preserve"> in this </w:t>
      </w:r>
      <w:r w:rsidR="00D109BB">
        <w:rPr>
          <w:rFonts w:cs="Times New Roman"/>
          <w:sz w:val="24"/>
          <w:szCs w:val="24"/>
        </w:rPr>
        <w:t>distribution</w:t>
      </w:r>
      <w:r w:rsidR="00834384" w:rsidRPr="002217AB">
        <w:rPr>
          <w:rFonts w:cs="Times New Roman"/>
          <w:sz w:val="24"/>
          <w:szCs w:val="24"/>
        </w:rPr>
        <w:t>,</w:t>
      </w:r>
      <w:r w:rsidR="005D4CA6" w:rsidRPr="002217AB">
        <w:rPr>
          <w:rFonts w:cs="Times New Roman"/>
          <w:sz w:val="24"/>
          <w:szCs w:val="24"/>
        </w:rPr>
        <w:t xml:space="preserve"> while the probabilities are weighted more heavily to the downside. This is a pattern that has been well established and thoroughly analyzed for decades. The actual shape of this graph would depend on the prevailing volatility, but this will serve as an illustration</w:t>
      </w:r>
      <w:r w:rsidR="00B01719" w:rsidRPr="002217AB">
        <w:rPr>
          <w:rFonts w:cs="Times New Roman"/>
          <w:sz w:val="24"/>
          <w:szCs w:val="24"/>
        </w:rPr>
        <w:t>.</w:t>
      </w:r>
      <w:r w:rsidR="005D4CA6" w:rsidRPr="002217AB">
        <w:rPr>
          <w:rFonts w:cs="Times New Roman"/>
          <w:sz w:val="24"/>
          <w:szCs w:val="24"/>
        </w:rPr>
        <w:t xml:space="preserve"> </w:t>
      </w:r>
      <w:r w:rsidR="00B01719" w:rsidRPr="002217AB">
        <w:rPr>
          <w:rFonts w:cs="Times New Roman"/>
          <w:sz w:val="24"/>
          <w:szCs w:val="24"/>
        </w:rPr>
        <w:t>I</w:t>
      </w:r>
      <w:r w:rsidR="005D4CA6" w:rsidRPr="002217AB">
        <w:rPr>
          <w:rFonts w:cs="Times New Roman"/>
          <w:sz w:val="24"/>
          <w:szCs w:val="24"/>
        </w:rPr>
        <w:t xml:space="preserve">t assumes prevailing </w:t>
      </w:r>
      <w:r w:rsidR="00834384" w:rsidRPr="002217AB">
        <w:rPr>
          <w:rFonts w:cs="Times New Roman"/>
          <w:sz w:val="24"/>
          <w:szCs w:val="24"/>
        </w:rPr>
        <w:t>volatility equal</w:t>
      </w:r>
      <w:r w:rsidR="005D4CA6" w:rsidRPr="002217AB">
        <w:rPr>
          <w:rFonts w:cs="Times New Roman"/>
          <w:sz w:val="24"/>
          <w:szCs w:val="24"/>
        </w:rPr>
        <w:t xml:space="preserve"> to 50</w:t>
      </w:r>
      <w:r w:rsidR="00B20F42" w:rsidRPr="002217AB">
        <w:rPr>
          <w:rFonts w:cs="Times New Roman"/>
          <w:sz w:val="24"/>
          <w:szCs w:val="24"/>
        </w:rPr>
        <w:t xml:space="preserve"> percent</w:t>
      </w:r>
      <w:r w:rsidR="005D4CA6" w:rsidRPr="002217AB">
        <w:rPr>
          <w:rFonts w:cs="Times New Roman"/>
          <w:sz w:val="24"/>
          <w:szCs w:val="24"/>
        </w:rPr>
        <w:t xml:space="preserve"> which is well within the range of volatility experienced for natural gas prices. In this example, if a utility were to leave all gas requirements unhedged, customers would be exposed to $10.66/MMBtu costs at the 2-sigma upside</w:t>
      </w:r>
      <w:r w:rsidR="00FA5BF2">
        <w:rPr>
          <w:rFonts w:cs="Times New Roman"/>
          <w:sz w:val="24"/>
          <w:szCs w:val="24"/>
        </w:rPr>
        <w:t>.</w:t>
      </w:r>
      <w:r w:rsidR="00FA5BF2">
        <w:rPr>
          <w:rStyle w:val="FootnoteReference"/>
          <w:rFonts w:cs="Times New Roman"/>
          <w:szCs w:val="24"/>
        </w:rPr>
        <w:footnoteReference w:id="11"/>
      </w:r>
      <w:r w:rsidR="005D4CA6" w:rsidRPr="002217AB">
        <w:rPr>
          <w:rFonts w:cs="Times New Roman"/>
          <w:sz w:val="24"/>
          <w:szCs w:val="24"/>
        </w:rPr>
        <w:t xml:space="preserve"> If the utility were to hedge all of its requirements, its customers would have the potential to avoid a $6.66 cost increase at 2</w:t>
      </w:r>
      <w:r>
        <w:rPr>
          <w:rFonts w:cs="Times New Roman"/>
          <w:sz w:val="24"/>
          <w:szCs w:val="24"/>
        </w:rPr>
        <w:t>-</w:t>
      </w:r>
      <w:r w:rsidR="005D4CA6" w:rsidRPr="002217AB">
        <w:rPr>
          <w:rFonts w:cs="Times New Roman"/>
          <w:sz w:val="24"/>
          <w:szCs w:val="24"/>
        </w:rPr>
        <w:t>sigma, and also barring a prudence review would be exposed to a potential loss of $2.50/MMBtu.</w:t>
      </w:r>
    </w:p>
    <w:p w:rsidR="007C2556" w:rsidRPr="002217AB" w:rsidRDefault="00A3155C" w:rsidP="002217AB">
      <w:pPr>
        <w:rPr>
          <w:rFonts w:cs="Times New Roman"/>
          <w:sz w:val="24"/>
          <w:szCs w:val="24"/>
        </w:rPr>
      </w:pPr>
      <w:r>
        <w:rPr>
          <w:rFonts w:cs="Times New Roman"/>
          <w:sz w:val="24"/>
          <w:szCs w:val="24"/>
        </w:rPr>
        <w:t xml:space="preserve">Returning to the question of </w:t>
      </w:r>
      <w:r w:rsidR="00C75FDF">
        <w:rPr>
          <w:rFonts w:cs="Times New Roman"/>
          <w:sz w:val="24"/>
          <w:szCs w:val="24"/>
        </w:rPr>
        <w:t>objectives</w:t>
      </w:r>
      <w:r>
        <w:rPr>
          <w:rFonts w:cs="Times New Roman"/>
          <w:sz w:val="24"/>
          <w:szCs w:val="24"/>
        </w:rPr>
        <w:t>,</w:t>
      </w:r>
      <w:r w:rsidR="00C75FDF">
        <w:rPr>
          <w:rFonts w:cs="Times New Roman"/>
          <w:sz w:val="24"/>
          <w:szCs w:val="24"/>
        </w:rPr>
        <w:t xml:space="preserve"> </w:t>
      </w:r>
      <w:r w:rsidR="00F9793D">
        <w:rPr>
          <w:rFonts w:cs="Times New Roman"/>
          <w:sz w:val="24"/>
          <w:szCs w:val="24"/>
        </w:rPr>
        <w:t>consider</w:t>
      </w:r>
      <w:r>
        <w:rPr>
          <w:rFonts w:cs="Times New Roman"/>
          <w:sz w:val="24"/>
          <w:szCs w:val="24"/>
        </w:rPr>
        <w:t xml:space="preserve"> what hedge-strategy objectives are </w:t>
      </w:r>
      <w:r w:rsidR="00C75FDF">
        <w:rPr>
          <w:rFonts w:cs="Times New Roman"/>
          <w:sz w:val="24"/>
          <w:szCs w:val="24"/>
        </w:rPr>
        <w:t>appropriate</w:t>
      </w:r>
      <w:r w:rsidR="00F9793D">
        <w:rPr>
          <w:rFonts w:cs="Times New Roman"/>
          <w:sz w:val="24"/>
          <w:szCs w:val="24"/>
        </w:rPr>
        <w:t>.</w:t>
      </w:r>
      <w:r>
        <w:rPr>
          <w:rFonts w:cs="Times New Roman"/>
          <w:sz w:val="24"/>
          <w:szCs w:val="24"/>
        </w:rPr>
        <w:t xml:space="preserve"> </w:t>
      </w:r>
      <w:r w:rsidR="007C2556" w:rsidRPr="002217AB">
        <w:rPr>
          <w:rFonts w:cs="Times New Roman"/>
          <w:sz w:val="24"/>
          <w:szCs w:val="24"/>
        </w:rPr>
        <w:t xml:space="preserve">If </w:t>
      </w:r>
      <w:r w:rsidR="008B4427">
        <w:rPr>
          <w:rFonts w:cs="Times New Roman"/>
          <w:sz w:val="24"/>
          <w:szCs w:val="24"/>
        </w:rPr>
        <w:t>the</w:t>
      </w:r>
      <w:r w:rsidR="008B4427" w:rsidRPr="002217AB">
        <w:rPr>
          <w:rFonts w:cs="Times New Roman"/>
          <w:sz w:val="24"/>
          <w:szCs w:val="24"/>
        </w:rPr>
        <w:t xml:space="preserve"> </w:t>
      </w:r>
      <w:r w:rsidR="007C2556" w:rsidRPr="002217AB">
        <w:rPr>
          <w:rFonts w:cs="Times New Roman"/>
          <w:sz w:val="24"/>
          <w:szCs w:val="24"/>
        </w:rPr>
        <w:t>aim is to mitigate risk,</w:t>
      </w:r>
      <w:r w:rsidR="005D5827" w:rsidRPr="002217AB">
        <w:rPr>
          <w:rFonts w:cs="Times New Roman"/>
          <w:sz w:val="24"/>
          <w:szCs w:val="24"/>
        </w:rPr>
        <w:t xml:space="preserve"> appropriate objectives would be to protect</w:t>
      </w:r>
      <w:r w:rsidR="007C2556" w:rsidRPr="002217AB">
        <w:rPr>
          <w:rFonts w:cs="Times New Roman"/>
          <w:sz w:val="24"/>
          <w:szCs w:val="24"/>
        </w:rPr>
        <w:t xml:space="preserve"> against some upside cost tolerance and also against some hedge</w:t>
      </w:r>
      <w:r w:rsidR="007C2556" w:rsidRPr="002217AB">
        <w:rPr>
          <w:rFonts w:cs="Times New Roman"/>
          <w:sz w:val="24"/>
          <w:szCs w:val="24"/>
        </w:rPr>
        <w:noBreakHyphen/>
        <w:t>loss tolerance. These dual objectives are necessary because</w:t>
      </w:r>
      <w:r w:rsidR="00E4637D" w:rsidRPr="002217AB">
        <w:rPr>
          <w:rFonts w:cs="Times New Roman"/>
          <w:sz w:val="24"/>
          <w:szCs w:val="24"/>
        </w:rPr>
        <w:t>, as stated before,</w:t>
      </w:r>
      <w:r w:rsidR="007C2556" w:rsidRPr="002217AB">
        <w:rPr>
          <w:rFonts w:cs="Times New Roman"/>
          <w:sz w:val="24"/>
          <w:szCs w:val="24"/>
        </w:rPr>
        <w:t xml:space="preserve"> commodity price risk is polar; there is “Cos</w:t>
      </w:r>
      <w:r w:rsidR="009C77A6" w:rsidRPr="002217AB">
        <w:rPr>
          <w:rFonts w:cs="Times New Roman"/>
          <w:sz w:val="24"/>
          <w:szCs w:val="24"/>
        </w:rPr>
        <w:t>t Risk” and there is “Loss Risk</w:t>
      </w:r>
      <w:r w:rsidR="007C2556" w:rsidRPr="002217AB">
        <w:rPr>
          <w:rFonts w:cs="Times New Roman"/>
          <w:sz w:val="24"/>
          <w:szCs w:val="24"/>
        </w:rPr>
        <w:t xml:space="preserve">” </w:t>
      </w:r>
      <w:r w:rsidR="009C77A6" w:rsidRPr="002217AB">
        <w:rPr>
          <w:rFonts w:cs="Times New Roman"/>
          <w:sz w:val="24"/>
          <w:szCs w:val="24"/>
        </w:rPr>
        <w:t xml:space="preserve">so tolerances should always be stated in pairs. </w:t>
      </w:r>
      <w:r w:rsidR="007C2556" w:rsidRPr="002217AB">
        <w:rPr>
          <w:rFonts w:cs="Times New Roman"/>
          <w:sz w:val="24"/>
          <w:szCs w:val="24"/>
        </w:rPr>
        <w:t>Yet as discussed earlier, most investor</w:t>
      </w:r>
      <w:r w:rsidR="007C2556" w:rsidRPr="002217AB">
        <w:rPr>
          <w:rFonts w:cs="Times New Roman"/>
          <w:sz w:val="24"/>
          <w:szCs w:val="24"/>
        </w:rPr>
        <w:noBreakHyphen/>
        <w:t>owned utilities simply choose an annual fixed hedge ratio (50 percent for example)</w:t>
      </w:r>
      <w:r w:rsidR="009C77A6" w:rsidRPr="002217AB">
        <w:rPr>
          <w:rFonts w:cs="Times New Roman"/>
          <w:sz w:val="24"/>
          <w:szCs w:val="24"/>
        </w:rPr>
        <w:t>,</w:t>
      </w:r>
      <w:r w:rsidR="007C2556" w:rsidRPr="002217AB">
        <w:rPr>
          <w:rFonts w:cs="Times New Roman"/>
          <w:sz w:val="24"/>
          <w:szCs w:val="24"/>
        </w:rPr>
        <w:t xml:space="preserve"> </w:t>
      </w:r>
      <w:r w:rsidR="00C75FDF">
        <w:rPr>
          <w:rFonts w:cs="Times New Roman"/>
          <w:sz w:val="24"/>
          <w:szCs w:val="24"/>
        </w:rPr>
        <w:t>the “lock-and-</w:t>
      </w:r>
      <w:r w:rsidR="007C2556" w:rsidRPr="002217AB">
        <w:rPr>
          <w:rFonts w:cs="Times New Roman"/>
          <w:sz w:val="24"/>
          <w:szCs w:val="24"/>
        </w:rPr>
        <w:t>leave” hedging approach</w:t>
      </w:r>
      <w:r w:rsidR="009C77A6" w:rsidRPr="002217AB">
        <w:rPr>
          <w:rFonts w:cs="Times New Roman"/>
          <w:sz w:val="24"/>
          <w:szCs w:val="24"/>
        </w:rPr>
        <w:t>, without articulating any quantitatively explicit tolerances</w:t>
      </w:r>
      <w:r w:rsidR="00137130" w:rsidRPr="002217AB">
        <w:rPr>
          <w:rFonts w:cs="Times New Roman"/>
          <w:sz w:val="24"/>
          <w:szCs w:val="24"/>
        </w:rPr>
        <w:t xml:space="preserve"> at all</w:t>
      </w:r>
      <w:r w:rsidR="007C2556" w:rsidRPr="002217AB">
        <w:rPr>
          <w:rFonts w:cs="Times New Roman"/>
          <w:sz w:val="24"/>
          <w:szCs w:val="24"/>
        </w:rPr>
        <w:t xml:space="preserve">.  </w:t>
      </w:r>
    </w:p>
    <w:p w:rsidR="007C2556" w:rsidRPr="002217AB" w:rsidRDefault="007C2556" w:rsidP="002217AB">
      <w:pPr>
        <w:rPr>
          <w:rFonts w:cs="Times New Roman"/>
          <w:sz w:val="24"/>
          <w:szCs w:val="24"/>
        </w:rPr>
      </w:pPr>
      <w:r w:rsidRPr="002217AB">
        <w:rPr>
          <w:rFonts w:cs="Times New Roman"/>
          <w:sz w:val="24"/>
          <w:szCs w:val="24"/>
        </w:rPr>
        <w:t xml:space="preserve">The often stated objective of </w:t>
      </w:r>
      <w:r w:rsidR="00B20F42" w:rsidRPr="002217AB">
        <w:rPr>
          <w:rFonts w:cs="Times New Roman"/>
          <w:sz w:val="24"/>
          <w:szCs w:val="24"/>
        </w:rPr>
        <w:t>“</w:t>
      </w:r>
      <w:r w:rsidR="00583B48">
        <w:rPr>
          <w:rFonts w:cs="Times New Roman"/>
          <w:sz w:val="24"/>
          <w:szCs w:val="24"/>
        </w:rPr>
        <w:t>lock-and-</w:t>
      </w:r>
      <w:r w:rsidR="009C77A6" w:rsidRPr="002217AB">
        <w:rPr>
          <w:rFonts w:cs="Times New Roman"/>
          <w:sz w:val="24"/>
          <w:szCs w:val="24"/>
        </w:rPr>
        <w:t>leave</w:t>
      </w:r>
      <w:r w:rsidR="00B20F42" w:rsidRPr="002217AB">
        <w:rPr>
          <w:rFonts w:cs="Times New Roman"/>
          <w:sz w:val="24"/>
          <w:szCs w:val="24"/>
        </w:rPr>
        <w:t>”</w:t>
      </w:r>
      <w:r w:rsidR="009C77A6" w:rsidRPr="002217AB">
        <w:rPr>
          <w:rFonts w:cs="Times New Roman"/>
          <w:sz w:val="24"/>
          <w:szCs w:val="24"/>
        </w:rPr>
        <w:t xml:space="preserve"> </w:t>
      </w:r>
      <w:r w:rsidRPr="002217AB">
        <w:rPr>
          <w:rFonts w:cs="Times New Roman"/>
          <w:sz w:val="24"/>
          <w:szCs w:val="24"/>
        </w:rPr>
        <w:t>programs is to mitigate volatility; or as stated for the illustrative 50 percent hedge ratio, to constrain costs to 50 percent of unmitigated upside exposures. The implicit flipside is a willingness to accept hedge losses equal to 50 percent of potential downside market movements. In effect, the 50</w:t>
      </w:r>
      <w:r w:rsidR="00B20F42" w:rsidRPr="002217AB">
        <w:rPr>
          <w:rFonts w:cs="Times New Roman"/>
          <w:sz w:val="24"/>
          <w:szCs w:val="24"/>
        </w:rPr>
        <w:t xml:space="preserve"> </w:t>
      </w:r>
      <w:r w:rsidRPr="002217AB">
        <w:rPr>
          <w:rFonts w:cs="Times New Roman"/>
          <w:sz w:val="24"/>
          <w:szCs w:val="24"/>
        </w:rPr>
        <w:t>percent hedge decision implies a willingness to accept the consequences of one</w:t>
      </w:r>
      <w:r w:rsidR="00B44A11">
        <w:rPr>
          <w:rFonts w:cs="Times New Roman"/>
          <w:sz w:val="24"/>
          <w:szCs w:val="24"/>
        </w:rPr>
        <w:t>-</w:t>
      </w:r>
      <w:r w:rsidRPr="002217AB">
        <w:rPr>
          <w:rFonts w:cs="Times New Roman"/>
          <w:sz w:val="24"/>
          <w:szCs w:val="24"/>
        </w:rPr>
        <w:t xml:space="preserve">half of any market movements in either direction, regardless of how severe volatility might be in the year to come. By </w:t>
      </w:r>
      <w:proofErr w:type="gramStart"/>
      <w:r w:rsidRPr="002217AB">
        <w:rPr>
          <w:rFonts w:cs="Times New Roman"/>
          <w:sz w:val="24"/>
          <w:szCs w:val="24"/>
        </w:rPr>
        <w:t>setting</w:t>
      </w:r>
      <w:proofErr w:type="gramEnd"/>
      <w:r w:rsidRPr="002217AB">
        <w:rPr>
          <w:rFonts w:cs="Times New Roman"/>
          <w:sz w:val="24"/>
          <w:szCs w:val="24"/>
        </w:rPr>
        <w:t xml:space="preserve"> a fixed hedge ratio and accepting whatever outcomes might result regardless of market and risk conditions, tolerances become an unidentified by-product of the hedge strategy rather than </w:t>
      </w:r>
      <w:r w:rsidR="00F9793D">
        <w:rPr>
          <w:rFonts w:cs="Times New Roman"/>
          <w:sz w:val="24"/>
          <w:szCs w:val="24"/>
        </w:rPr>
        <w:t>the</w:t>
      </w:r>
      <w:r w:rsidR="00F9793D" w:rsidRPr="002217AB">
        <w:rPr>
          <w:rFonts w:cs="Times New Roman"/>
          <w:sz w:val="24"/>
          <w:szCs w:val="24"/>
        </w:rPr>
        <w:t xml:space="preserve"> </w:t>
      </w:r>
      <w:r w:rsidRPr="002217AB">
        <w:rPr>
          <w:rFonts w:cs="Times New Roman"/>
          <w:sz w:val="24"/>
          <w:szCs w:val="24"/>
        </w:rPr>
        <w:t xml:space="preserve">driver of it.  </w:t>
      </w:r>
    </w:p>
    <w:p w:rsidR="00EE3E9A" w:rsidRPr="002217AB" w:rsidRDefault="00EE3E9A" w:rsidP="002217AB">
      <w:pPr>
        <w:rPr>
          <w:rFonts w:cs="Times New Roman"/>
          <w:sz w:val="24"/>
          <w:szCs w:val="24"/>
        </w:rPr>
      </w:pPr>
      <w:r w:rsidRPr="002217AB">
        <w:rPr>
          <w:rFonts w:cs="Times New Roman"/>
          <w:sz w:val="24"/>
          <w:szCs w:val="24"/>
        </w:rPr>
        <w:t xml:space="preserve">While the example </w:t>
      </w:r>
      <w:r w:rsidR="007C2556" w:rsidRPr="002217AB">
        <w:rPr>
          <w:rFonts w:cs="Times New Roman"/>
          <w:sz w:val="24"/>
          <w:szCs w:val="24"/>
        </w:rPr>
        <w:t xml:space="preserve">above in Figure 1-A </w:t>
      </w:r>
      <w:r w:rsidRPr="002217AB">
        <w:rPr>
          <w:rFonts w:cs="Times New Roman"/>
          <w:sz w:val="24"/>
          <w:szCs w:val="24"/>
        </w:rPr>
        <w:t xml:space="preserve">deals with explicit assumptions of NYMEX futures prices ($4/MMBtu) and </w:t>
      </w:r>
      <w:r w:rsidR="002821FD" w:rsidRPr="002217AB">
        <w:rPr>
          <w:rFonts w:cs="Times New Roman"/>
          <w:sz w:val="24"/>
          <w:szCs w:val="24"/>
        </w:rPr>
        <w:t>volatility (5</w:t>
      </w:r>
      <w:r w:rsidR="00F02A2A" w:rsidRPr="002217AB">
        <w:rPr>
          <w:rFonts w:cs="Times New Roman"/>
          <w:sz w:val="24"/>
          <w:szCs w:val="24"/>
        </w:rPr>
        <w:t>0</w:t>
      </w:r>
      <w:r w:rsidR="00B20F42" w:rsidRPr="002217AB">
        <w:rPr>
          <w:rFonts w:cs="Times New Roman"/>
          <w:sz w:val="24"/>
          <w:szCs w:val="24"/>
        </w:rPr>
        <w:t xml:space="preserve"> percent</w:t>
      </w:r>
      <w:r w:rsidR="002821FD" w:rsidRPr="002217AB">
        <w:rPr>
          <w:rFonts w:cs="Times New Roman"/>
          <w:sz w:val="24"/>
          <w:szCs w:val="24"/>
        </w:rPr>
        <w:t>), the hedge manager can make a similar risk assessment for any prevailing futures price and any volatility as observed from time to time</w:t>
      </w:r>
      <w:r w:rsidR="00566E47" w:rsidRPr="002217AB">
        <w:rPr>
          <w:rFonts w:cs="Times New Roman"/>
          <w:sz w:val="24"/>
          <w:szCs w:val="24"/>
        </w:rPr>
        <w:t xml:space="preserve">. </w:t>
      </w:r>
      <w:r w:rsidR="002821FD" w:rsidRPr="002217AB">
        <w:rPr>
          <w:rFonts w:cs="Times New Roman"/>
          <w:sz w:val="24"/>
          <w:szCs w:val="24"/>
        </w:rPr>
        <w:t>This perspective is a critical element in formulating appropriate hedge objectives because when properly established, hedge objectives should be articulated as cost tolerances and loss tolerances, and the market conditions dictate reasonable pairings</w:t>
      </w:r>
      <w:r w:rsidR="009C77A6" w:rsidRPr="002217AB">
        <w:rPr>
          <w:rFonts w:cs="Times New Roman"/>
          <w:sz w:val="24"/>
          <w:szCs w:val="24"/>
        </w:rPr>
        <w:t>.</w:t>
      </w:r>
    </w:p>
    <w:p w:rsidR="00A70CAC" w:rsidRPr="002217AB" w:rsidRDefault="00350A01" w:rsidP="002217AB">
      <w:pPr>
        <w:rPr>
          <w:rFonts w:cs="Times New Roman"/>
          <w:sz w:val="24"/>
          <w:szCs w:val="24"/>
        </w:rPr>
      </w:pPr>
      <w:r w:rsidRPr="002217AB">
        <w:rPr>
          <w:rFonts w:cs="Times New Roman"/>
          <w:sz w:val="24"/>
          <w:szCs w:val="24"/>
        </w:rPr>
        <w:t>Figure 2 illustrates the point</w:t>
      </w:r>
      <w:r w:rsidR="00B44A11">
        <w:rPr>
          <w:rFonts w:cs="Times New Roman"/>
          <w:sz w:val="24"/>
          <w:szCs w:val="24"/>
        </w:rPr>
        <w:t>.</w:t>
      </w:r>
      <w:r w:rsidRPr="002217AB">
        <w:rPr>
          <w:rFonts w:cs="Times New Roman"/>
          <w:sz w:val="24"/>
          <w:szCs w:val="24"/>
        </w:rPr>
        <w:t xml:space="preserve"> </w:t>
      </w:r>
      <w:r w:rsidR="00B44A11">
        <w:rPr>
          <w:rFonts w:cs="Times New Roman"/>
          <w:sz w:val="24"/>
          <w:szCs w:val="24"/>
        </w:rPr>
        <w:t>T</w:t>
      </w:r>
      <w:r w:rsidRPr="002217AB">
        <w:rPr>
          <w:rFonts w:cs="Times New Roman"/>
          <w:sz w:val="24"/>
          <w:szCs w:val="24"/>
        </w:rPr>
        <w:t>he same 50</w:t>
      </w:r>
      <w:r w:rsidR="00B20F42" w:rsidRPr="002217AB">
        <w:rPr>
          <w:rFonts w:cs="Times New Roman"/>
          <w:sz w:val="24"/>
          <w:szCs w:val="24"/>
        </w:rPr>
        <w:t xml:space="preserve"> percent</w:t>
      </w:r>
      <w:r w:rsidRPr="002217AB">
        <w:rPr>
          <w:rFonts w:cs="Times New Roman"/>
          <w:sz w:val="24"/>
          <w:szCs w:val="24"/>
        </w:rPr>
        <w:t xml:space="preserve"> hedge strategy, established for two successive years under different market conditions, produces radically different implicitly “acceptable” outcomes. </w:t>
      </w:r>
      <w:r w:rsidR="00A70CAC" w:rsidRPr="002217AB">
        <w:rPr>
          <w:rFonts w:cs="Times New Roman"/>
          <w:sz w:val="24"/>
          <w:szCs w:val="24"/>
        </w:rPr>
        <w:t>In the first year with prices at $3/MMBtu and volatility at 24</w:t>
      </w:r>
      <w:r w:rsidR="00B20F42" w:rsidRPr="002217AB">
        <w:rPr>
          <w:rFonts w:cs="Times New Roman"/>
          <w:sz w:val="24"/>
          <w:szCs w:val="24"/>
        </w:rPr>
        <w:t xml:space="preserve"> percent</w:t>
      </w:r>
      <w:r w:rsidR="00A70CAC" w:rsidRPr="002217AB">
        <w:rPr>
          <w:rFonts w:cs="Times New Roman"/>
          <w:sz w:val="24"/>
          <w:szCs w:val="24"/>
        </w:rPr>
        <w:t>, a 50</w:t>
      </w:r>
      <w:r w:rsidR="00B20F42" w:rsidRPr="002217AB">
        <w:rPr>
          <w:rFonts w:cs="Times New Roman"/>
          <w:sz w:val="24"/>
          <w:szCs w:val="24"/>
        </w:rPr>
        <w:t xml:space="preserve"> percent</w:t>
      </w:r>
      <w:r w:rsidR="00A70CAC" w:rsidRPr="002217AB">
        <w:rPr>
          <w:rFonts w:cs="Times New Roman"/>
          <w:sz w:val="24"/>
          <w:szCs w:val="24"/>
        </w:rPr>
        <w:t xml:space="preserve"> hedge ratio would tolerate a $3.90/MMBtu cost and a $</w:t>
      </w:r>
      <w:r w:rsidR="0013004E">
        <w:rPr>
          <w:rFonts w:cs="Times New Roman"/>
          <w:sz w:val="24"/>
          <w:szCs w:val="24"/>
        </w:rPr>
        <w:t>0</w:t>
      </w:r>
      <w:r w:rsidR="00A70CAC" w:rsidRPr="002217AB">
        <w:rPr>
          <w:rFonts w:cs="Times New Roman"/>
          <w:sz w:val="24"/>
          <w:szCs w:val="24"/>
        </w:rPr>
        <w:t xml:space="preserve">.56/MMBtu hedge loss potential. This pairing could be viewed as acceptable.  </w:t>
      </w:r>
    </w:p>
    <w:p w:rsidR="00E8440E" w:rsidRPr="002217AB" w:rsidRDefault="00A70CAC" w:rsidP="002217AB">
      <w:pPr>
        <w:rPr>
          <w:rFonts w:cs="Times New Roman"/>
          <w:sz w:val="24"/>
          <w:szCs w:val="24"/>
        </w:rPr>
      </w:pPr>
      <w:r w:rsidRPr="002217AB">
        <w:rPr>
          <w:rFonts w:cs="Times New Roman"/>
          <w:sz w:val="24"/>
          <w:szCs w:val="24"/>
        </w:rPr>
        <w:t>In the second year</w:t>
      </w:r>
      <w:r w:rsidR="00B20F42" w:rsidRPr="002217AB">
        <w:rPr>
          <w:rFonts w:cs="Times New Roman"/>
          <w:sz w:val="24"/>
          <w:szCs w:val="24"/>
        </w:rPr>
        <w:t>,</w:t>
      </w:r>
      <w:r w:rsidRPr="002217AB">
        <w:rPr>
          <w:rFonts w:cs="Times New Roman"/>
          <w:sz w:val="24"/>
          <w:szCs w:val="24"/>
        </w:rPr>
        <w:t xml:space="preserve"> with futures prices starting at $3.50 and observed volatility at 55</w:t>
      </w:r>
      <w:r w:rsidR="00B20F42" w:rsidRPr="002217AB">
        <w:rPr>
          <w:rFonts w:cs="Times New Roman"/>
          <w:sz w:val="24"/>
          <w:szCs w:val="24"/>
        </w:rPr>
        <w:t xml:space="preserve"> percent</w:t>
      </w:r>
      <w:r w:rsidRPr="002217AB">
        <w:rPr>
          <w:rFonts w:cs="Times New Roman"/>
          <w:sz w:val="24"/>
          <w:szCs w:val="24"/>
        </w:rPr>
        <w:t>, costs could rise to $6.</w:t>
      </w:r>
      <w:r w:rsidR="00BD1A64">
        <w:rPr>
          <w:rFonts w:cs="Times New Roman"/>
          <w:sz w:val="24"/>
          <w:szCs w:val="24"/>
        </w:rPr>
        <w:t>75</w:t>
      </w:r>
      <w:r w:rsidRPr="002217AB">
        <w:rPr>
          <w:rFonts w:cs="Times New Roman"/>
          <w:sz w:val="24"/>
          <w:szCs w:val="24"/>
        </w:rPr>
        <w:t>/MMBtu and losses could reach $</w:t>
      </w:r>
      <w:r w:rsidR="00BD1A64">
        <w:rPr>
          <w:rFonts w:cs="Times New Roman"/>
          <w:sz w:val="24"/>
          <w:szCs w:val="24"/>
        </w:rPr>
        <w:t>1</w:t>
      </w:r>
      <w:r w:rsidRPr="002217AB">
        <w:rPr>
          <w:rFonts w:cs="Times New Roman"/>
          <w:sz w:val="24"/>
          <w:szCs w:val="24"/>
        </w:rPr>
        <w:t>.</w:t>
      </w:r>
      <w:r w:rsidR="00D109BB">
        <w:rPr>
          <w:rFonts w:cs="Times New Roman"/>
          <w:sz w:val="24"/>
          <w:szCs w:val="24"/>
        </w:rPr>
        <w:t>1</w:t>
      </w:r>
      <w:r w:rsidR="00BD1A64">
        <w:rPr>
          <w:rFonts w:cs="Times New Roman"/>
          <w:sz w:val="24"/>
          <w:szCs w:val="24"/>
        </w:rPr>
        <w:t>4</w:t>
      </w:r>
      <w:r w:rsidRPr="002217AB">
        <w:rPr>
          <w:rFonts w:cs="Times New Roman"/>
          <w:sz w:val="24"/>
          <w:szCs w:val="24"/>
        </w:rPr>
        <w:t xml:space="preserve">/MMBtu. </w:t>
      </w:r>
      <w:r w:rsidR="00350A01" w:rsidRPr="002217AB">
        <w:rPr>
          <w:rFonts w:cs="Times New Roman"/>
          <w:sz w:val="24"/>
          <w:szCs w:val="24"/>
        </w:rPr>
        <w:t xml:space="preserve">Of course, the point is that when </w:t>
      </w:r>
      <w:r w:rsidR="00EE3E9A" w:rsidRPr="002217AB">
        <w:rPr>
          <w:rFonts w:cs="Times New Roman"/>
          <w:sz w:val="24"/>
          <w:szCs w:val="24"/>
        </w:rPr>
        <w:t xml:space="preserve">the prevailing price and </w:t>
      </w:r>
      <w:r w:rsidR="00350A01" w:rsidRPr="002217AB">
        <w:rPr>
          <w:rFonts w:cs="Times New Roman"/>
          <w:sz w:val="24"/>
          <w:szCs w:val="24"/>
        </w:rPr>
        <w:t xml:space="preserve">volatility </w:t>
      </w:r>
      <w:r w:rsidR="00EE3E9A" w:rsidRPr="002217AB">
        <w:rPr>
          <w:rFonts w:cs="Times New Roman"/>
          <w:sz w:val="24"/>
          <w:szCs w:val="24"/>
        </w:rPr>
        <w:t>are</w:t>
      </w:r>
      <w:r w:rsidR="00350A01" w:rsidRPr="002217AB">
        <w:rPr>
          <w:rFonts w:cs="Times New Roman"/>
          <w:sz w:val="24"/>
          <w:szCs w:val="24"/>
        </w:rPr>
        <w:t xml:space="preserve"> high, the second set of “acceptable” outcomes </w:t>
      </w:r>
      <w:r w:rsidR="00137130" w:rsidRPr="002217AB">
        <w:rPr>
          <w:rFonts w:cs="Times New Roman"/>
          <w:sz w:val="24"/>
          <w:szCs w:val="24"/>
        </w:rPr>
        <w:t xml:space="preserve">could </w:t>
      </w:r>
      <w:r w:rsidR="00350A01" w:rsidRPr="002217AB">
        <w:rPr>
          <w:rFonts w:cs="Times New Roman"/>
          <w:sz w:val="24"/>
          <w:szCs w:val="24"/>
        </w:rPr>
        <w:t xml:space="preserve">really </w:t>
      </w:r>
      <w:r w:rsidR="00137130" w:rsidRPr="002217AB">
        <w:rPr>
          <w:rFonts w:cs="Times New Roman"/>
          <w:sz w:val="24"/>
          <w:szCs w:val="24"/>
        </w:rPr>
        <w:t xml:space="preserve">be </w:t>
      </w:r>
      <w:r w:rsidR="00350A01" w:rsidRPr="002217AB">
        <w:rPr>
          <w:rFonts w:cs="Times New Roman"/>
          <w:sz w:val="24"/>
          <w:szCs w:val="24"/>
        </w:rPr>
        <w:t>unacceptable.</w:t>
      </w:r>
      <w:r w:rsidR="00137130" w:rsidRPr="002217AB">
        <w:rPr>
          <w:rStyle w:val="FootnoteReference"/>
          <w:rFonts w:ascii="Times New Roman" w:hAnsi="Times New Roman" w:cs="Times New Roman"/>
          <w:sz w:val="24"/>
          <w:szCs w:val="24"/>
        </w:rPr>
        <w:footnoteReference w:id="12"/>
      </w:r>
    </w:p>
    <w:p w:rsidR="00C823A5" w:rsidRPr="006F3C3D" w:rsidRDefault="00C823A5" w:rsidP="00C823A5">
      <w:pPr>
        <w:keepNext/>
        <w:keepLines/>
        <w:pBdr>
          <w:top w:val="single" w:sz="4" w:space="1" w:color="auto"/>
        </w:pBdr>
        <w:spacing w:after="120"/>
        <w:jc w:val="both"/>
        <w:rPr>
          <w:b/>
          <w:sz w:val="21"/>
          <w:szCs w:val="21"/>
        </w:rPr>
      </w:pPr>
      <w:r w:rsidRPr="006F3C3D">
        <w:rPr>
          <w:b/>
          <w:sz w:val="21"/>
          <w:szCs w:val="21"/>
          <w:u w:val="single"/>
        </w:rPr>
        <w:t>Figure 2:  How a Fixed</w:t>
      </w:r>
      <w:r w:rsidR="00834384" w:rsidRPr="006F3C3D">
        <w:rPr>
          <w:b/>
          <w:sz w:val="21"/>
          <w:szCs w:val="21"/>
          <w:u w:val="single"/>
        </w:rPr>
        <w:t>-</w:t>
      </w:r>
      <w:r w:rsidRPr="006F3C3D">
        <w:rPr>
          <w:b/>
          <w:sz w:val="21"/>
          <w:szCs w:val="21"/>
          <w:u w:val="single"/>
        </w:rPr>
        <w:t xml:space="preserve">Hedge Ratio </w:t>
      </w:r>
      <w:r w:rsidR="00B934FB" w:rsidRPr="006F3C3D">
        <w:rPr>
          <w:b/>
          <w:sz w:val="21"/>
          <w:szCs w:val="21"/>
          <w:u w:val="single"/>
        </w:rPr>
        <w:t xml:space="preserve">Strategy </w:t>
      </w:r>
      <w:r w:rsidRPr="006F3C3D">
        <w:rPr>
          <w:b/>
          <w:sz w:val="21"/>
          <w:szCs w:val="21"/>
          <w:u w:val="single"/>
        </w:rPr>
        <w:t>Undermines Unspecified Tolerances</w:t>
      </w:r>
      <w:r w:rsidRPr="006F3C3D">
        <w:rPr>
          <w:b/>
          <w:sz w:val="21"/>
          <w:szCs w:val="21"/>
        </w:rPr>
        <w:t xml:space="preserve">   (Illustrative)</w:t>
      </w:r>
    </w:p>
    <w:p w:rsidR="00C823A5" w:rsidRPr="000269F1" w:rsidRDefault="00A03983" w:rsidP="00C823A5">
      <w:pPr>
        <w:keepNext/>
        <w:keepLines/>
        <w:pBdr>
          <w:bottom w:val="single" w:sz="4" w:space="1" w:color="auto"/>
        </w:pBdr>
        <w:spacing w:after="360"/>
        <w:jc w:val="center"/>
      </w:pPr>
      <w:r>
        <w:rPr>
          <w:noProof/>
        </w:rPr>
        <w:drawing>
          <wp:inline distT="0" distB="0" distL="0" distR="0" wp14:anchorId="05A56899" wp14:editId="35AA611E">
            <wp:extent cx="5943600" cy="41078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wo Volatility Environments inser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107815"/>
                    </a:xfrm>
                    <a:prstGeom prst="rect">
                      <a:avLst/>
                    </a:prstGeom>
                  </pic:spPr>
                </pic:pic>
              </a:graphicData>
            </a:graphic>
          </wp:inline>
        </w:drawing>
      </w:r>
    </w:p>
    <w:p w:rsidR="00293477" w:rsidRPr="00124E1F" w:rsidRDefault="009C2F9A" w:rsidP="00BE3886">
      <w:pPr>
        <w:keepNext/>
        <w:keepLines/>
        <w:jc w:val="both"/>
        <w:rPr>
          <w:b/>
        </w:rPr>
      </w:pPr>
      <w:r w:rsidRPr="00124E1F">
        <w:rPr>
          <w:b/>
        </w:rPr>
        <w:t>T</w:t>
      </w:r>
      <w:r w:rsidR="00E8440E" w:rsidRPr="00124E1F">
        <w:rPr>
          <w:b/>
        </w:rPr>
        <w:t xml:space="preserve">he </w:t>
      </w:r>
      <w:r w:rsidRPr="009C2F9A">
        <w:rPr>
          <w:b/>
        </w:rPr>
        <w:t xml:space="preserve">Difficulty </w:t>
      </w:r>
      <w:r>
        <w:rPr>
          <w:b/>
        </w:rPr>
        <w:t>w</w:t>
      </w:r>
      <w:r w:rsidRPr="009C2F9A">
        <w:rPr>
          <w:b/>
        </w:rPr>
        <w:t xml:space="preserve">ith </w:t>
      </w:r>
      <w:r>
        <w:rPr>
          <w:b/>
        </w:rPr>
        <w:t xml:space="preserve">the </w:t>
      </w:r>
      <w:r w:rsidRPr="009C2F9A">
        <w:rPr>
          <w:b/>
        </w:rPr>
        <w:t xml:space="preserve">Fixed Hedge Ratio </w:t>
      </w:r>
      <w:r w:rsidR="002206D2">
        <w:rPr>
          <w:b/>
        </w:rPr>
        <w:t xml:space="preserve">(‘Lock and Leave’) </w:t>
      </w:r>
      <w:r w:rsidRPr="009C2F9A">
        <w:rPr>
          <w:b/>
        </w:rPr>
        <w:t>Approach</w:t>
      </w:r>
    </w:p>
    <w:p w:rsidR="00293477" w:rsidRPr="002217AB" w:rsidRDefault="00C823A5" w:rsidP="002217AB">
      <w:pPr>
        <w:keepNext/>
        <w:keepLines/>
        <w:rPr>
          <w:sz w:val="24"/>
          <w:szCs w:val="24"/>
        </w:rPr>
      </w:pPr>
      <w:r w:rsidRPr="002217AB">
        <w:rPr>
          <w:sz w:val="24"/>
          <w:szCs w:val="24"/>
        </w:rPr>
        <w:t>I</w:t>
      </w:r>
      <w:r w:rsidR="00293477" w:rsidRPr="002217AB">
        <w:rPr>
          <w:sz w:val="24"/>
          <w:szCs w:val="24"/>
        </w:rPr>
        <w:t>n</w:t>
      </w:r>
      <w:r w:rsidR="005D5827" w:rsidRPr="002217AB">
        <w:rPr>
          <w:sz w:val="24"/>
          <w:szCs w:val="24"/>
        </w:rPr>
        <w:t xml:space="preserve"> simply</w:t>
      </w:r>
      <w:r w:rsidR="00293477" w:rsidRPr="002217AB">
        <w:rPr>
          <w:sz w:val="24"/>
          <w:szCs w:val="24"/>
        </w:rPr>
        <w:t xml:space="preserve"> setting a preemptive hedge ratio, no exp</w:t>
      </w:r>
      <w:r w:rsidRPr="002217AB">
        <w:rPr>
          <w:sz w:val="24"/>
          <w:szCs w:val="24"/>
        </w:rPr>
        <w:t>licit upside tolerance or hedge</w:t>
      </w:r>
      <w:r w:rsidRPr="002217AB">
        <w:rPr>
          <w:sz w:val="24"/>
          <w:szCs w:val="24"/>
        </w:rPr>
        <w:noBreakHyphen/>
      </w:r>
      <w:r w:rsidR="00293477" w:rsidRPr="002217AB">
        <w:rPr>
          <w:sz w:val="24"/>
          <w:szCs w:val="24"/>
        </w:rPr>
        <w:t>loss tolerance is specified</w:t>
      </w:r>
      <w:r w:rsidR="009C2F9A" w:rsidRPr="002217AB">
        <w:rPr>
          <w:sz w:val="24"/>
          <w:szCs w:val="24"/>
        </w:rPr>
        <w:t>;</w:t>
      </w:r>
      <w:r w:rsidR="00293477" w:rsidRPr="002217AB">
        <w:rPr>
          <w:sz w:val="24"/>
          <w:szCs w:val="24"/>
        </w:rPr>
        <w:t xml:space="preserve"> the strategy attempts to manage risk without ever measuring it. </w:t>
      </w:r>
      <w:r w:rsidR="00DE4F51" w:rsidRPr="002217AB">
        <w:rPr>
          <w:sz w:val="24"/>
          <w:szCs w:val="24"/>
        </w:rPr>
        <w:t>As prices rise and volatility expands, s</w:t>
      </w:r>
      <w:r w:rsidR="00293477" w:rsidRPr="002217AB">
        <w:rPr>
          <w:sz w:val="24"/>
          <w:szCs w:val="24"/>
        </w:rPr>
        <w:t xml:space="preserve">omeone should decide if </w:t>
      </w:r>
      <w:r w:rsidR="00DE4F51" w:rsidRPr="002217AB">
        <w:rPr>
          <w:sz w:val="24"/>
          <w:szCs w:val="24"/>
        </w:rPr>
        <w:t>increasingly unfavorable potential outcomes are</w:t>
      </w:r>
      <w:r w:rsidR="00293477" w:rsidRPr="002217AB">
        <w:rPr>
          <w:sz w:val="24"/>
          <w:szCs w:val="24"/>
        </w:rPr>
        <w:t xml:space="preserve"> still tolerable and </w:t>
      </w:r>
      <w:r w:rsidR="00DE4F51" w:rsidRPr="002217AB">
        <w:rPr>
          <w:sz w:val="24"/>
          <w:szCs w:val="24"/>
        </w:rPr>
        <w:t xml:space="preserve">that </w:t>
      </w:r>
      <w:r w:rsidR="00293477" w:rsidRPr="002217AB">
        <w:rPr>
          <w:sz w:val="24"/>
          <w:szCs w:val="24"/>
        </w:rPr>
        <w:t xml:space="preserve">could only be done if risk measurements </w:t>
      </w:r>
      <w:r w:rsidR="00DE4F51" w:rsidRPr="002217AB">
        <w:rPr>
          <w:sz w:val="24"/>
          <w:szCs w:val="24"/>
        </w:rPr>
        <w:t xml:space="preserve">are </w:t>
      </w:r>
      <w:r w:rsidR="00293477" w:rsidRPr="002217AB">
        <w:rPr>
          <w:sz w:val="24"/>
          <w:szCs w:val="24"/>
        </w:rPr>
        <w:t>performed.</w:t>
      </w:r>
    </w:p>
    <w:p w:rsidR="006B3964" w:rsidRPr="002217AB" w:rsidRDefault="00293477" w:rsidP="002217AB">
      <w:pPr>
        <w:rPr>
          <w:sz w:val="24"/>
          <w:szCs w:val="24"/>
        </w:rPr>
      </w:pPr>
      <w:r w:rsidRPr="002217AB">
        <w:rPr>
          <w:sz w:val="24"/>
          <w:szCs w:val="24"/>
        </w:rPr>
        <w:t xml:space="preserve">The problem is particularly severe in extreme markets like the rise and fall of prevailing </w:t>
      </w:r>
      <w:r w:rsidR="00B20F42" w:rsidRPr="002217AB">
        <w:rPr>
          <w:sz w:val="24"/>
          <w:szCs w:val="24"/>
        </w:rPr>
        <w:t xml:space="preserve">natural </w:t>
      </w:r>
      <w:r w:rsidRPr="002217AB">
        <w:rPr>
          <w:sz w:val="24"/>
          <w:szCs w:val="24"/>
        </w:rPr>
        <w:t xml:space="preserve">gas prices surrounding 2005 or 2008. For example, if </w:t>
      </w:r>
      <w:r w:rsidR="0060191D">
        <w:rPr>
          <w:sz w:val="24"/>
          <w:szCs w:val="24"/>
        </w:rPr>
        <w:t>one</w:t>
      </w:r>
      <w:r w:rsidR="0060191D" w:rsidRPr="002217AB">
        <w:rPr>
          <w:sz w:val="24"/>
          <w:szCs w:val="24"/>
        </w:rPr>
        <w:t xml:space="preserve"> </w:t>
      </w:r>
      <w:r w:rsidRPr="002217AB">
        <w:rPr>
          <w:sz w:val="24"/>
          <w:szCs w:val="24"/>
        </w:rPr>
        <w:t>had run the risk numbers when the forward curve for natural gas was $8 and volatility was 80</w:t>
      </w:r>
      <w:r w:rsidR="00C73E1B" w:rsidRPr="002217AB">
        <w:rPr>
          <w:sz w:val="24"/>
          <w:szCs w:val="24"/>
        </w:rPr>
        <w:t xml:space="preserve"> percent</w:t>
      </w:r>
      <w:r w:rsidRPr="002217AB">
        <w:rPr>
          <w:sz w:val="24"/>
          <w:szCs w:val="24"/>
        </w:rPr>
        <w:t xml:space="preserve">, </w:t>
      </w:r>
      <w:r w:rsidR="0060191D">
        <w:rPr>
          <w:sz w:val="24"/>
          <w:szCs w:val="24"/>
        </w:rPr>
        <w:t>there</w:t>
      </w:r>
      <w:r w:rsidR="00C823A5" w:rsidRPr="002217AB">
        <w:rPr>
          <w:sz w:val="24"/>
          <w:szCs w:val="24"/>
        </w:rPr>
        <w:t xml:space="preserve"> would have </w:t>
      </w:r>
      <w:r w:rsidR="0060191D">
        <w:rPr>
          <w:sz w:val="24"/>
          <w:szCs w:val="24"/>
        </w:rPr>
        <w:t>been</w:t>
      </w:r>
      <w:r w:rsidRPr="002217AB">
        <w:rPr>
          <w:sz w:val="24"/>
          <w:szCs w:val="24"/>
        </w:rPr>
        <w:t xml:space="preserve"> a loss potential </w:t>
      </w:r>
      <w:r w:rsidR="00C823A5" w:rsidRPr="002217AB">
        <w:rPr>
          <w:sz w:val="24"/>
          <w:szCs w:val="24"/>
        </w:rPr>
        <w:t>in excess of</w:t>
      </w:r>
      <w:r w:rsidRPr="002217AB">
        <w:rPr>
          <w:sz w:val="24"/>
          <w:szCs w:val="24"/>
        </w:rPr>
        <w:t xml:space="preserve"> $3/MMBtu within a one-year horizon</w:t>
      </w:r>
      <w:r w:rsidR="00D27F60" w:rsidRPr="002217AB">
        <w:rPr>
          <w:sz w:val="24"/>
          <w:szCs w:val="24"/>
        </w:rPr>
        <w:t xml:space="preserve">. </w:t>
      </w:r>
      <w:r w:rsidRPr="002217AB">
        <w:rPr>
          <w:sz w:val="24"/>
          <w:szCs w:val="24"/>
        </w:rPr>
        <w:t xml:space="preserve">Would that be a tolerable outcome for a prospective strategy? Would that strategy persist, without change, for multiple years if measures were </w:t>
      </w:r>
      <w:r w:rsidR="00853B5F">
        <w:rPr>
          <w:sz w:val="24"/>
          <w:szCs w:val="24"/>
        </w:rPr>
        <w:t xml:space="preserve">established to monitor </w:t>
      </w:r>
      <w:r w:rsidR="00A41EE9">
        <w:rPr>
          <w:sz w:val="24"/>
          <w:szCs w:val="24"/>
        </w:rPr>
        <w:t xml:space="preserve">potential </w:t>
      </w:r>
      <w:r w:rsidR="00853B5F">
        <w:rPr>
          <w:sz w:val="24"/>
          <w:szCs w:val="24"/>
        </w:rPr>
        <w:t>loss accumulation?</w:t>
      </w:r>
    </w:p>
    <w:p w:rsidR="006B3964" w:rsidRPr="002217AB" w:rsidRDefault="006B3964" w:rsidP="002217AB">
      <w:pPr>
        <w:rPr>
          <w:sz w:val="24"/>
          <w:szCs w:val="24"/>
        </w:rPr>
      </w:pPr>
      <w:r w:rsidRPr="002217AB">
        <w:rPr>
          <w:sz w:val="24"/>
          <w:szCs w:val="24"/>
        </w:rPr>
        <w:t>Setting a preemptive hedge ratio</w:t>
      </w:r>
      <w:r w:rsidR="00FE6CC9">
        <w:rPr>
          <w:sz w:val="24"/>
          <w:szCs w:val="24"/>
        </w:rPr>
        <w:t>,</w:t>
      </w:r>
      <w:r w:rsidRPr="002217AB">
        <w:rPr>
          <w:sz w:val="24"/>
          <w:szCs w:val="24"/>
        </w:rPr>
        <w:t xml:space="preserve"> and accepting implicit</w:t>
      </w:r>
      <w:r w:rsidR="00F149D8" w:rsidRPr="002217AB">
        <w:rPr>
          <w:sz w:val="24"/>
          <w:szCs w:val="24"/>
        </w:rPr>
        <w:t>ly</w:t>
      </w:r>
      <w:r w:rsidRPr="002217AB">
        <w:rPr>
          <w:sz w:val="24"/>
          <w:szCs w:val="24"/>
        </w:rPr>
        <w:t xml:space="preserve"> variable </w:t>
      </w:r>
      <w:r w:rsidR="00F149D8" w:rsidRPr="002217AB">
        <w:rPr>
          <w:sz w:val="24"/>
          <w:szCs w:val="24"/>
        </w:rPr>
        <w:t xml:space="preserve">and unidentified </w:t>
      </w:r>
      <w:r w:rsidRPr="002217AB">
        <w:rPr>
          <w:sz w:val="24"/>
          <w:szCs w:val="24"/>
        </w:rPr>
        <w:t>tolerances as market conditions evolve</w:t>
      </w:r>
      <w:r w:rsidR="00FE6CC9">
        <w:rPr>
          <w:sz w:val="24"/>
          <w:szCs w:val="24"/>
        </w:rPr>
        <w:t>,</w:t>
      </w:r>
      <w:r w:rsidRPr="002217AB">
        <w:rPr>
          <w:sz w:val="24"/>
          <w:szCs w:val="24"/>
        </w:rPr>
        <w:t xml:space="preserve"> is a classic case of putting the proverbial cart before the horse</w:t>
      </w:r>
      <w:r w:rsidR="00D27F60" w:rsidRPr="002217AB">
        <w:rPr>
          <w:sz w:val="24"/>
          <w:szCs w:val="24"/>
        </w:rPr>
        <w:t xml:space="preserve">. </w:t>
      </w:r>
      <w:r w:rsidRPr="002217AB">
        <w:rPr>
          <w:sz w:val="24"/>
          <w:szCs w:val="24"/>
        </w:rPr>
        <w:t>Tolerances should drive strategy</w:t>
      </w:r>
      <w:r w:rsidR="00F149D8" w:rsidRPr="002217AB">
        <w:rPr>
          <w:sz w:val="24"/>
          <w:szCs w:val="24"/>
        </w:rPr>
        <w:t xml:space="preserve">, not the reverse.  </w:t>
      </w:r>
    </w:p>
    <w:p w:rsidR="00D1251E" w:rsidRPr="000269F1" w:rsidRDefault="00E671EF" w:rsidP="00952D24">
      <w:pPr>
        <w:pStyle w:val="Heading2"/>
      </w:pPr>
      <w:bookmarkStart w:id="15" w:name="_Toc411341374"/>
      <w:bookmarkStart w:id="16" w:name="_Toc424039083"/>
      <w:r>
        <w:t>Economic E</w:t>
      </w:r>
      <w:r w:rsidRPr="00E671EF">
        <w:t>ffectiveness</w:t>
      </w:r>
      <w:bookmarkEnd w:id="15"/>
      <w:bookmarkEnd w:id="16"/>
    </w:p>
    <w:p w:rsidR="00CB4782" w:rsidRPr="00566E47" w:rsidRDefault="009266A4" w:rsidP="00566E47">
      <w:pPr>
        <w:rPr>
          <w:sz w:val="24"/>
          <w:szCs w:val="24"/>
        </w:rPr>
      </w:pPr>
      <w:r w:rsidRPr="00566E47">
        <w:rPr>
          <w:sz w:val="24"/>
          <w:szCs w:val="24"/>
        </w:rPr>
        <w:t xml:space="preserve">Another </w:t>
      </w:r>
      <w:r w:rsidR="008750CF">
        <w:rPr>
          <w:sz w:val="24"/>
          <w:szCs w:val="24"/>
        </w:rPr>
        <w:t>key</w:t>
      </w:r>
      <w:r w:rsidR="002C58BC" w:rsidRPr="00566E47">
        <w:rPr>
          <w:sz w:val="24"/>
          <w:szCs w:val="24"/>
        </w:rPr>
        <w:t xml:space="preserve"> </w:t>
      </w:r>
      <w:r w:rsidR="00566E47">
        <w:rPr>
          <w:sz w:val="24"/>
          <w:szCs w:val="24"/>
        </w:rPr>
        <w:t>aspect of</w:t>
      </w:r>
      <w:r w:rsidR="008750CF">
        <w:rPr>
          <w:sz w:val="24"/>
          <w:szCs w:val="24"/>
        </w:rPr>
        <w:t xml:space="preserve"> a robust hedge program</w:t>
      </w:r>
      <w:r w:rsidRPr="00566E47">
        <w:rPr>
          <w:sz w:val="24"/>
          <w:szCs w:val="24"/>
        </w:rPr>
        <w:t xml:space="preserve"> is economic effectiveness. </w:t>
      </w:r>
      <w:r w:rsidR="00A443D1" w:rsidRPr="00566E47">
        <w:rPr>
          <w:sz w:val="24"/>
          <w:szCs w:val="24"/>
        </w:rPr>
        <w:t xml:space="preserve">An economically effective hedge program </w:t>
      </w:r>
      <w:r w:rsidR="007C28F6" w:rsidRPr="00566E47">
        <w:rPr>
          <w:sz w:val="24"/>
          <w:szCs w:val="24"/>
        </w:rPr>
        <w:t xml:space="preserve">both </w:t>
      </w:r>
      <w:r w:rsidR="00A443D1" w:rsidRPr="00566E47">
        <w:rPr>
          <w:sz w:val="24"/>
          <w:szCs w:val="24"/>
        </w:rPr>
        <w:t>mitigate</w:t>
      </w:r>
      <w:r w:rsidR="00E921AB" w:rsidRPr="00566E47">
        <w:rPr>
          <w:sz w:val="24"/>
          <w:szCs w:val="24"/>
        </w:rPr>
        <w:t>s</w:t>
      </w:r>
      <w:r w:rsidR="00A443D1" w:rsidRPr="00566E47">
        <w:rPr>
          <w:sz w:val="24"/>
          <w:szCs w:val="24"/>
        </w:rPr>
        <w:t xml:space="preserve"> high-cost exposures </w:t>
      </w:r>
      <w:r w:rsidR="00E921AB" w:rsidRPr="00566E47">
        <w:rPr>
          <w:sz w:val="24"/>
          <w:szCs w:val="24"/>
        </w:rPr>
        <w:t xml:space="preserve">and </w:t>
      </w:r>
      <w:r w:rsidR="00A443D1" w:rsidRPr="00566E47">
        <w:rPr>
          <w:sz w:val="24"/>
          <w:szCs w:val="24"/>
        </w:rPr>
        <w:t>constrain</w:t>
      </w:r>
      <w:r w:rsidR="00E921AB" w:rsidRPr="00566E47">
        <w:rPr>
          <w:sz w:val="24"/>
          <w:szCs w:val="24"/>
        </w:rPr>
        <w:t>s</w:t>
      </w:r>
      <w:r w:rsidR="00A443D1" w:rsidRPr="00566E47">
        <w:rPr>
          <w:sz w:val="24"/>
          <w:szCs w:val="24"/>
        </w:rPr>
        <w:t xml:space="preserve"> exposure to potential hedge losses. </w:t>
      </w:r>
      <w:r w:rsidR="002E4205" w:rsidRPr="00566E47">
        <w:rPr>
          <w:sz w:val="24"/>
          <w:szCs w:val="24"/>
        </w:rPr>
        <w:t>When</w:t>
      </w:r>
      <w:r w:rsidR="00E671EF" w:rsidRPr="00566E47">
        <w:rPr>
          <w:sz w:val="24"/>
          <w:szCs w:val="24"/>
        </w:rPr>
        <w:t xml:space="preserve"> consider</w:t>
      </w:r>
      <w:r w:rsidR="00E921AB" w:rsidRPr="00566E47">
        <w:rPr>
          <w:sz w:val="24"/>
          <w:szCs w:val="24"/>
        </w:rPr>
        <w:t>ing</w:t>
      </w:r>
      <w:r w:rsidR="00E671EF" w:rsidRPr="00566E47">
        <w:rPr>
          <w:sz w:val="24"/>
          <w:szCs w:val="24"/>
        </w:rPr>
        <w:t xml:space="preserve"> </w:t>
      </w:r>
      <w:r w:rsidR="00D1251E" w:rsidRPr="00566E47">
        <w:rPr>
          <w:sz w:val="24"/>
          <w:szCs w:val="24"/>
        </w:rPr>
        <w:t>risk</w:t>
      </w:r>
      <w:r w:rsidR="00D1251E" w:rsidRPr="00566E47">
        <w:rPr>
          <w:sz w:val="24"/>
          <w:szCs w:val="24"/>
        </w:rPr>
        <w:noBreakHyphen/>
      </w:r>
      <w:r w:rsidR="00A443D1" w:rsidRPr="00566E47">
        <w:rPr>
          <w:sz w:val="24"/>
          <w:szCs w:val="24"/>
        </w:rPr>
        <w:t xml:space="preserve">mitigation strategies, the strategy that produces </w:t>
      </w:r>
      <w:r w:rsidR="006858E4" w:rsidRPr="00566E47">
        <w:rPr>
          <w:sz w:val="24"/>
          <w:szCs w:val="24"/>
        </w:rPr>
        <w:t xml:space="preserve">a </w:t>
      </w:r>
      <w:r w:rsidR="00A443D1" w:rsidRPr="00566E47">
        <w:rPr>
          <w:sz w:val="24"/>
          <w:szCs w:val="24"/>
        </w:rPr>
        <w:t>cost</w:t>
      </w:r>
      <w:r w:rsidR="006E5D08">
        <w:rPr>
          <w:sz w:val="24"/>
          <w:szCs w:val="24"/>
        </w:rPr>
        <w:t>-</w:t>
      </w:r>
      <w:r w:rsidR="00A443D1" w:rsidRPr="00566E47">
        <w:rPr>
          <w:sz w:val="24"/>
          <w:szCs w:val="24"/>
        </w:rPr>
        <w:t>mitigation</w:t>
      </w:r>
      <w:r w:rsidR="006858E4" w:rsidRPr="00566E47">
        <w:rPr>
          <w:sz w:val="24"/>
          <w:szCs w:val="24"/>
        </w:rPr>
        <w:t xml:space="preserve"> tolerance</w:t>
      </w:r>
      <w:r w:rsidR="00A443D1" w:rsidRPr="00566E47">
        <w:rPr>
          <w:sz w:val="24"/>
          <w:szCs w:val="24"/>
        </w:rPr>
        <w:t xml:space="preserve"> </w:t>
      </w:r>
      <w:r w:rsidR="00D1251E" w:rsidRPr="00566E47">
        <w:rPr>
          <w:sz w:val="24"/>
          <w:szCs w:val="24"/>
        </w:rPr>
        <w:t>with</w:t>
      </w:r>
      <w:r w:rsidR="00A443D1" w:rsidRPr="00566E47">
        <w:rPr>
          <w:sz w:val="24"/>
          <w:szCs w:val="24"/>
        </w:rPr>
        <w:t xml:space="preserve"> </w:t>
      </w:r>
      <w:r w:rsidR="00E671EF" w:rsidRPr="00566E47">
        <w:rPr>
          <w:sz w:val="24"/>
          <w:szCs w:val="24"/>
        </w:rPr>
        <w:t>the</w:t>
      </w:r>
      <w:r w:rsidR="00A443D1" w:rsidRPr="00566E47">
        <w:rPr>
          <w:sz w:val="24"/>
          <w:szCs w:val="24"/>
        </w:rPr>
        <w:t xml:space="preserve"> </w:t>
      </w:r>
      <w:r w:rsidR="00D1251E" w:rsidRPr="00566E47">
        <w:rPr>
          <w:sz w:val="24"/>
          <w:szCs w:val="24"/>
        </w:rPr>
        <w:t>small</w:t>
      </w:r>
      <w:r w:rsidR="00E671EF" w:rsidRPr="00566E47">
        <w:rPr>
          <w:sz w:val="24"/>
          <w:szCs w:val="24"/>
        </w:rPr>
        <w:t>est</w:t>
      </w:r>
      <w:r w:rsidR="00A443D1" w:rsidRPr="00566E47">
        <w:rPr>
          <w:sz w:val="24"/>
          <w:szCs w:val="24"/>
        </w:rPr>
        <w:t xml:space="preserve"> </w:t>
      </w:r>
      <w:r w:rsidR="006E5D08" w:rsidRPr="00566E47">
        <w:rPr>
          <w:sz w:val="24"/>
          <w:szCs w:val="24"/>
        </w:rPr>
        <w:t>hedge</w:t>
      </w:r>
      <w:r w:rsidR="006E5D08">
        <w:rPr>
          <w:sz w:val="24"/>
          <w:szCs w:val="24"/>
        </w:rPr>
        <w:t>-</w:t>
      </w:r>
      <w:r w:rsidR="00A443D1" w:rsidRPr="00566E47">
        <w:rPr>
          <w:sz w:val="24"/>
          <w:szCs w:val="24"/>
        </w:rPr>
        <w:t xml:space="preserve">loss exposure is </w:t>
      </w:r>
      <w:r w:rsidR="006858E4" w:rsidRPr="00566E47">
        <w:rPr>
          <w:sz w:val="24"/>
          <w:szCs w:val="24"/>
        </w:rPr>
        <w:t xml:space="preserve">the strategy that is </w:t>
      </w:r>
      <w:r w:rsidR="00A443D1" w:rsidRPr="00566E47">
        <w:rPr>
          <w:sz w:val="24"/>
          <w:szCs w:val="24"/>
        </w:rPr>
        <w:t xml:space="preserve">economically superior. To illustrate, if </w:t>
      </w:r>
      <w:r w:rsidR="002E4205" w:rsidRPr="00566E47">
        <w:rPr>
          <w:sz w:val="24"/>
          <w:szCs w:val="24"/>
        </w:rPr>
        <w:t xml:space="preserve">a company </w:t>
      </w:r>
      <w:r w:rsidR="00A443D1" w:rsidRPr="00566E47">
        <w:rPr>
          <w:sz w:val="24"/>
          <w:szCs w:val="24"/>
        </w:rPr>
        <w:t>estimate</w:t>
      </w:r>
      <w:r w:rsidR="002E4205" w:rsidRPr="00566E47">
        <w:rPr>
          <w:sz w:val="24"/>
          <w:szCs w:val="24"/>
        </w:rPr>
        <w:t>d</w:t>
      </w:r>
      <w:r w:rsidR="00A443D1" w:rsidRPr="00566E47">
        <w:rPr>
          <w:sz w:val="24"/>
          <w:szCs w:val="24"/>
        </w:rPr>
        <w:t xml:space="preserve"> </w:t>
      </w:r>
      <w:r w:rsidR="00D1251E" w:rsidRPr="00566E47">
        <w:rPr>
          <w:sz w:val="24"/>
          <w:szCs w:val="24"/>
        </w:rPr>
        <w:t xml:space="preserve">next year’s </w:t>
      </w:r>
      <w:r w:rsidR="00A443D1" w:rsidRPr="00566E47">
        <w:rPr>
          <w:sz w:val="24"/>
          <w:szCs w:val="24"/>
        </w:rPr>
        <w:t>2</w:t>
      </w:r>
      <w:r w:rsidR="00FA5BF2">
        <w:rPr>
          <w:sz w:val="24"/>
          <w:szCs w:val="24"/>
        </w:rPr>
        <w:t>-</w:t>
      </w:r>
      <w:r w:rsidR="00A443D1" w:rsidRPr="00566E47">
        <w:rPr>
          <w:sz w:val="24"/>
          <w:szCs w:val="24"/>
        </w:rPr>
        <w:t xml:space="preserve">sigma upside and downside market prices for a given </w:t>
      </w:r>
      <w:r w:rsidR="002E4205" w:rsidRPr="00566E47">
        <w:rPr>
          <w:sz w:val="24"/>
          <w:szCs w:val="24"/>
        </w:rPr>
        <w:t>natural</w:t>
      </w:r>
      <w:r w:rsidR="00B20F42" w:rsidRPr="00566E47">
        <w:rPr>
          <w:sz w:val="24"/>
          <w:szCs w:val="24"/>
        </w:rPr>
        <w:t xml:space="preserve"> </w:t>
      </w:r>
      <w:r w:rsidR="00A443D1" w:rsidRPr="00566E47">
        <w:rPr>
          <w:sz w:val="24"/>
          <w:szCs w:val="24"/>
        </w:rPr>
        <w:t xml:space="preserve">gas portfolio, </w:t>
      </w:r>
      <w:r w:rsidR="002E4205" w:rsidRPr="00566E47">
        <w:rPr>
          <w:sz w:val="24"/>
          <w:szCs w:val="24"/>
        </w:rPr>
        <w:t xml:space="preserve">various </w:t>
      </w:r>
      <w:r w:rsidR="00A443D1" w:rsidRPr="00566E47">
        <w:rPr>
          <w:sz w:val="24"/>
          <w:szCs w:val="24"/>
        </w:rPr>
        <w:t xml:space="preserve">strategies could be evaluated </w:t>
      </w:r>
      <w:r w:rsidR="005C66EF">
        <w:rPr>
          <w:sz w:val="24"/>
          <w:szCs w:val="24"/>
        </w:rPr>
        <w:t xml:space="preserve">to determine the extent the </w:t>
      </w:r>
      <w:r w:rsidR="00AB670E" w:rsidRPr="00566E47">
        <w:rPr>
          <w:sz w:val="24"/>
          <w:szCs w:val="24"/>
        </w:rPr>
        <w:t>portfolio’s</w:t>
      </w:r>
      <w:r w:rsidR="00A443D1" w:rsidRPr="00566E47">
        <w:rPr>
          <w:sz w:val="24"/>
          <w:szCs w:val="24"/>
        </w:rPr>
        <w:t xml:space="preserve"> costs are constrained in the upside extreme</w:t>
      </w:r>
      <w:r w:rsidR="005C66EF">
        <w:rPr>
          <w:sz w:val="24"/>
          <w:szCs w:val="24"/>
        </w:rPr>
        <w:t>,</w:t>
      </w:r>
      <w:r w:rsidR="00A443D1" w:rsidRPr="00566E47">
        <w:rPr>
          <w:sz w:val="24"/>
          <w:szCs w:val="24"/>
        </w:rPr>
        <w:t xml:space="preserve"> </w:t>
      </w:r>
      <w:r w:rsidR="00AB670E" w:rsidRPr="00566E47">
        <w:rPr>
          <w:sz w:val="24"/>
          <w:szCs w:val="24"/>
        </w:rPr>
        <w:t>and to what extent</w:t>
      </w:r>
      <w:r w:rsidR="00C823A5" w:rsidRPr="00566E47">
        <w:rPr>
          <w:sz w:val="24"/>
          <w:szCs w:val="24"/>
        </w:rPr>
        <w:t xml:space="preserve"> hedge </w:t>
      </w:r>
      <w:r w:rsidR="00D1251E" w:rsidRPr="00566E47">
        <w:rPr>
          <w:sz w:val="24"/>
          <w:szCs w:val="24"/>
        </w:rPr>
        <w:t>losses would be in</w:t>
      </w:r>
      <w:r w:rsidR="00AB670E" w:rsidRPr="00566E47">
        <w:rPr>
          <w:sz w:val="24"/>
          <w:szCs w:val="24"/>
        </w:rPr>
        <w:t>curred in a</w:t>
      </w:r>
      <w:r w:rsidR="0082758D" w:rsidRPr="00566E47">
        <w:rPr>
          <w:sz w:val="24"/>
          <w:szCs w:val="24"/>
        </w:rPr>
        <w:t>n extreme</w:t>
      </w:r>
      <w:r w:rsidR="00D1251E" w:rsidRPr="00566E47">
        <w:rPr>
          <w:sz w:val="24"/>
          <w:szCs w:val="24"/>
        </w:rPr>
        <w:t xml:space="preserve"> downside market. If</w:t>
      </w:r>
      <w:r w:rsidR="006B7DBB">
        <w:rPr>
          <w:sz w:val="24"/>
          <w:szCs w:val="24"/>
        </w:rPr>
        <w:t>,</w:t>
      </w:r>
      <w:r w:rsidR="00D1251E" w:rsidRPr="00566E47">
        <w:rPr>
          <w:sz w:val="24"/>
          <w:szCs w:val="24"/>
        </w:rPr>
        <w:t xml:space="preserve"> </w:t>
      </w:r>
      <w:r w:rsidR="00A443D1" w:rsidRPr="00566E47">
        <w:rPr>
          <w:sz w:val="24"/>
          <w:szCs w:val="24"/>
        </w:rPr>
        <w:t xml:space="preserve">at those </w:t>
      </w:r>
      <w:r w:rsidR="005C48E2" w:rsidRPr="00566E47">
        <w:rPr>
          <w:sz w:val="24"/>
          <w:szCs w:val="24"/>
        </w:rPr>
        <w:t xml:space="preserve">market </w:t>
      </w:r>
      <w:r w:rsidR="00A443D1" w:rsidRPr="00566E47">
        <w:rPr>
          <w:sz w:val="24"/>
          <w:szCs w:val="24"/>
        </w:rPr>
        <w:t>extremes</w:t>
      </w:r>
      <w:r w:rsidR="00DE4F51" w:rsidRPr="00566E47">
        <w:rPr>
          <w:sz w:val="24"/>
          <w:szCs w:val="24"/>
        </w:rPr>
        <w:t>,</w:t>
      </w:r>
      <w:r w:rsidR="00A443D1" w:rsidRPr="00566E47">
        <w:rPr>
          <w:sz w:val="24"/>
          <w:szCs w:val="24"/>
        </w:rPr>
        <w:t xml:space="preserve"> strategy A constrains costs to $200 million while constraining potential hedge losses to $30 million, it would be demonstrably superior to strategy B which constrains costs to the same $200 million, but is exposed to $50 million hedge</w:t>
      </w:r>
      <w:r w:rsidR="00A443D1" w:rsidRPr="00566E47">
        <w:rPr>
          <w:sz w:val="24"/>
          <w:szCs w:val="24"/>
        </w:rPr>
        <w:noBreakHyphen/>
        <w:t>loss potential.</w:t>
      </w:r>
    </w:p>
    <w:p w:rsidR="009266A4" w:rsidRPr="004C0F25" w:rsidRDefault="005C48E2" w:rsidP="00566E47">
      <w:pPr>
        <w:rPr>
          <w:sz w:val="24"/>
          <w:szCs w:val="24"/>
        </w:rPr>
      </w:pPr>
      <w:r w:rsidRPr="00566E47">
        <w:rPr>
          <w:sz w:val="24"/>
          <w:szCs w:val="24"/>
        </w:rPr>
        <w:t>In addition to economic effectiveness</w:t>
      </w:r>
      <w:r w:rsidR="002F0A8F" w:rsidRPr="00566E47">
        <w:rPr>
          <w:sz w:val="24"/>
          <w:szCs w:val="24"/>
        </w:rPr>
        <w:t>,</w:t>
      </w:r>
      <w:r w:rsidRPr="00566E47">
        <w:rPr>
          <w:sz w:val="24"/>
          <w:szCs w:val="24"/>
        </w:rPr>
        <w:t xml:space="preserve"> </w:t>
      </w:r>
      <w:r w:rsidR="007C17F3" w:rsidRPr="00566E47">
        <w:rPr>
          <w:sz w:val="24"/>
          <w:szCs w:val="24"/>
        </w:rPr>
        <w:t xml:space="preserve">implementation </w:t>
      </w:r>
      <w:r w:rsidR="003D3F61" w:rsidRPr="00566E47">
        <w:rPr>
          <w:sz w:val="24"/>
          <w:szCs w:val="24"/>
        </w:rPr>
        <w:t>cost</w:t>
      </w:r>
      <w:r w:rsidR="007C17F3" w:rsidRPr="00566E47">
        <w:rPr>
          <w:sz w:val="24"/>
          <w:szCs w:val="24"/>
        </w:rPr>
        <w:t>s</w:t>
      </w:r>
      <w:r w:rsidR="003D3F61" w:rsidRPr="00566E47">
        <w:rPr>
          <w:sz w:val="24"/>
          <w:szCs w:val="24"/>
        </w:rPr>
        <w:t xml:space="preserve"> and </w:t>
      </w:r>
      <w:r w:rsidR="007C17F3" w:rsidRPr="00566E47">
        <w:rPr>
          <w:sz w:val="24"/>
          <w:szCs w:val="24"/>
        </w:rPr>
        <w:t xml:space="preserve">management </w:t>
      </w:r>
      <w:r w:rsidR="003D3F61" w:rsidRPr="00566E47">
        <w:rPr>
          <w:sz w:val="24"/>
          <w:szCs w:val="24"/>
        </w:rPr>
        <w:t>effort must also be considered</w:t>
      </w:r>
      <w:r w:rsidR="002F0A8F" w:rsidRPr="00566E47">
        <w:rPr>
          <w:sz w:val="24"/>
          <w:szCs w:val="24"/>
        </w:rPr>
        <w:t xml:space="preserve"> in the selection of a strategy</w:t>
      </w:r>
      <w:r w:rsidR="0082758D" w:rsidRPr="00566E47">
        <w:rPr>
          <w:sz w:val="24"/>
          <w:szCs w:val="24"/>
        </w:rPr>
        <w:t>. That is, a</w:t>
      </w:r>
      <w:r w:rsidR="003D3F61" w:rsidRPr="00566E47">
        <w:rPr>
          <w:sz w:val="24"/>
          <w:szCs w:val="24"/>
        </w:rPr>
        <w:t xml:space="preserve">voidance of losses must be weighed against the costs of implementing a program. </w:t>
      </w:r>
      <w:r w:rsidR="006E5D08">
        <w:rPr>
          <w:sz w:val="24"/>
          <w:szCs w:val="24"/>
        </w:rPr>
        <w:t>T</w:t>
      </w:r>
      <w:r w:rsidR="003D3F61" w:rsidRPr="004C0F25">
        <w:rPr>
          <w:sz w:val="24"/>
          <w:szCs w:val="24"/>
        </w:rPr>
        <w:t xml:space="preserve">he </w:t>
      </w:r>
      <w:r w:rsidR="00DE4F51" w:rsidRPr="004C0F25">
        <w:rPr>
          <w:sz w:val="24"/>
          <w:szCs w:val="24"/>
        </w:rPr>
        <w:t xml:space="preserve">implementation </w:t>
      </w:r>
      <w:r w:rsidR="003D3F61" w:rsidRPr="004C0F25">
        <w:rPr>
          <w:sz w:val="24"/>
          <w:szCs w:val="24"/>
        </w:rPr>
        <w:t xml:space="preserve">cost of </w:t>
      </w:r>
      <w:r w:rsidR="002F0A8F" w:rsidRPr="004C0F25">
        <w:rPr>
          <w:sz w:val="24"/>
          <w:szCs w:val="24"/>
        </w:rPr>
        <w:t xml:space="preserve">an effective strategy </w:t>
      </w:r>
      <w:r w:rsidR="003D3F61" w:rsidRPr="004C0F25">
        <w:rPr>
          <w:sz w:val="24"/>
          <w:szCs w:val="24"/>
        </w:rPr>
        <w:t>is typically a few million dollars</w:t>
      </w:r>
      <w:r w:rsidR="006E5D08">
        <w:rPr>
          <w:sz w:val="24"/>
          <w:szCs w:val="24"/>
        </w:rPr>
        <w:t>; therefore</w:t>
      </w:r>
      <w:r w:rsidR="003D3F61" w:rsidRPr="004C0F25">
        <w:rPr>
          <w:sz w:val="24"/>
          <w:szCs w:val="24"/>
        </w:rPr>
        <w:t>, most large utilities would ackn</w:t>
      </w:r>
      <w:r w:rsidR="00C443A2" w:rsidRPr="004C0F25">
        <w:rPr>
          <w:sz w:val="24"/>
          <w:szCs w:val="24"/>
        </w:rPr>
        <w:t>owledge that avoiding</w:t>
      </w:r>
      <w:r w:rsidR="003D3F61" w:rsidRPr="004C0F25">
        <w:rPr>
          <w:sz w:val="24"/>
          <w:szCs w:val="24"/>
        </w:rPr>
        <w:t xml:space="preserve"> orders</w:t>
      </w:r>
      <w:r w:rsidR="003D3F61" w:rsidRPr="004C0F25">
        <w:rPr>
          <w:sz w:val="24"/>
          <w:szCs w:val="24"/>
        </w:rPr>
        <w:noBreakHyphen/>
        <w:t>of</w:t>
      </w:r>
      <w:r w:rsidR="003D3F61" w:rsidRPr="004C0F25">
        <w:rPr>
          <w:sz w:val="24"/>
          <w:szCs w:val="24"/>
        </w:rPr>
        <w:noBreakHyphen/>
        <w:t>magnitude</w:t>
      </w:r>
      <w:r w:rsidR="003D3F61" w:rsidRPr="004C0F25">
        <w:rPr>
          <w:sz w:val="24"/>
          <w:szCs w:val="24"/>
        </w:rPr>
        <w:noBreakHyphen/>
        <w:t xml:space="preserve">larger hedge losses provides good value. </w:t>
      </w:r>
      <w:r w:rsidR="002F0A8F" w:rsidRPr="004C0F25">
        <w:rPr>
          <w:sz w:val="24"/>
          <w:szCs w:val="24"/>
        </w:rPr>
        <w:t>On the other hand, s</w:t>
      </w:r>
      <w:r w:rsidR="003D3F61" w:rsidRPr="004C0F25">
        <w:rPr>
          <w:sz w:val="24"/>
          <w:szCs w:val="24"/>
        </w:rPr>
        <w:t>mall utilities might conclude otherwise.</w:t>
      </w:r>
    </w:p>
    <w:p w:rsidR="007C17F3" w:rsidRPr="004C071A" w:rsidRDefault="007C17F3" w:rsidP="00566E47">
      <w:pPr>
        <w:rPr>
          <w:sz w:val="24"/>
          <w:szCs w:val="24"/>
        </w:rPr>
      </w:pPr>
      <w:r w:rsidRPr="004C0F25">
        <w:rPr>
          <w:sz w:val="24"/>
          <w:szCs w:val="24"/>
        </w:rPr>
        <w:t xml:space="preserve">Later, it will be shown that a </w:t>
      </w:r>
      <w:r w:rsidR="00D87296" w:rsidRPr="004C0F25">
        <w:rPr>
          <w:sz w:val="24"/>
          <w:szCs w:val="24"/>
        </w:rPr>
        <w:t>quantitative</w:t>
      </w:r>
      <w:r w:rsidR="006E5D08">
        <w:rPr>
          <w:sz w:val="24"/>
          <w:szCs w:val="24"/>
        </w:rPr>
        <w:t xml:space="preserve"> </w:t>
      </w:r>
      <w:r w:rsidR="00D87296" w:rsidRPr="004C071A">
        <w:rPr>
          <w:sz w:val="24"/>
          <w:szCs w:val="24"/>
        </w:rPr>
        <w:t>financ</w:t>
      </w:r>
      <w:r w:rsidR="007F4CF8" w:rsidRPr="004C071A">
        <w:rPr>
          <w:sz w:val="24"/>
          <w:szCs w:val="24"/>
        </w:rPr>
        <w:t>e</w:t>
      </w:r>
      <w:r w:rsidR="006E5D08">
        <w:rPr>
          <w:sz w:val="24"/>
          <w:szCs w:val="24"/>
        </w:rPr>
        <w:t>-</w:t>
      </w:r>
      <w:r w:rsidRPr="004C071A">
        <w:rPr>
          <w:sz w:val="24"/>
          <w:szCs w:val="24"/>
        </w:rPr>
        <w:t>based</w:t>
      </w:r>
      <w:r w:rsidR="007F4CF8" w:rsidRPr="004C071A">
        <w:rPr>
          <w:sz w:val="24"/>
          <w:szCs w:val="24"/>
        </w:rPr>
        <w:t xml:space="preserve"> and</w:t>
      </w:r>
      <w:r w:rsidR="00D87296" w:rsidRPr="004C071A">
        <w:rPr>
          <w:sz w:val="24"/>
          <w:szCs w:val="24"/>
        </w:rPr>
        <w:t xml:space="preserve"> risk-responsive set of hedging protocols is superior to any lock</w:t>
      </w:r>
      <w:r w:rsidR="00D87296" w:rsidRPr="004C071A">
        <w:rPr>
          <w:sz w:val="24"/>
          <w:szCs w:val="24"/>
        </w:rPr>
        <w:noBreakHyphen/>
        <w:t>and</w:t>
      </w:r>
      <w:r w:rsidR="00D87296" w:rsidRPr="004C071A">
        <w:rPr>
          <w:sz w:val="24"/>
          <w:szCs w:val="24"/>
        </w:rPr>
        <w:noBreakHyphen/>
        <w:t>leave hedging approach under a broad range of price environments.</w:t>
      </w:r>
    </w:p>
    <w:p w:rsidR="00D1251E" w:rsidRDefault="00D1251E" w:rsidP="00952D24">
      <w:pPr>
        <w:pStyle w:val="Heading2"/>
      </w:pPr>
      <w:bookmarkStart w:id="17" w:name="_Toc411341375"/>
      <w:bookmarkStart w:id="18" w:name="_Toc424039084"/>
      <w:r>
        <w:t xml:space="preserve">Regulatory </w:t>
      </w:r>
      <w:r w:rsidR="003D3F61">
        <w:t>Framework</w:t>
      </w:r>
      <w:bookmarkEnd w:id="17"/>
      <w:bookmarkEnd w:id="18"/>
    </w:p>
    <w:p w:rsidR="00F149D8" w:rsidRPr="004C071A" w:rsidRDefault="00F149D8" w:rsidP="004C071A">
      <w:pPr>
        <w:rPr>
          <w:sz w:val="24"/>
          <w:szCs w:val="24"/>
        </w:rPr>
      </w:pPr>
      <w:r w:rsidRPr="004C071A">
        <w:rPr>
          <w:sz w:val="24"/>
          <w:szCs w:val="24"/>
        </w:rPr>
        <w:t xml:space="preserve">The </w:t>
      </w:r>
      <w:r w:rsidR="008750CF">
        <w:rPr>
          <w:sz w:val="24"/>
          <w:szCs w:val="24"/>
        </w:rPr>
        <w:t xml:space="preserve">basic </w:t>
      </w:r>
      <w:r w:rsidRPr="004C071A">
        <w:rPr>
          <w:sz w:val="24"/>
          <w:szCs w:val="24"/>
        </w:rPr>
        <w:t xml:space="preserve">question “Are we doing the right things?” is not just </w:t>
      </w:r>
      <w:r w:rsidR="008750CF">
        <w:rPr>
          <w:sz w:val="24"/>
          <w:szCs w:val="24"/>
        </w:rPr>
        <w:t>relevant</w:t>
      </w:r>
      <w:r w:rsidRPr="004C071A">
        <w:rPr>
          <w:sz w:val="24"/>
          <w:szCs w:val="24"/>
        </w:rPr>
        <w:t xml:space="preserve"> for utilities</w:t>
      </w:r>
      <w:r w:rsidR="008750CF">
        <w:rPr>
          <w:sz w:val="24"/>
          <w:szCs w:val="24"/>
        </w:rPr>
        <w:t xml:space="preserve"> in this context, but</w:t>
      </w:r>
      <w:r w:rsidRPr="004C071A">
        <w:rPr>
          <w:sz w:val="24"/>
          <w:szCs w:val="24"/>
        </w:rPr>
        <w:t xml:space="preserve"> </w:t>
      </w:r>
      <w:r w:rsidR="00B406B8" w:rsidRPr="004C071A">
        <w:rPr>
          <w:sz w:val="24"/>
          <w:szCs w:val="24"/>
        </w:rPr>
        <w:t>extends</w:t>
      </w:r>
      <w:r w:rsidRPr="004C071A">
        <w:rPr>
          <w:sz w:val="24"/>
          <w:szCs w:val="24"/>
        </w:rPr>
        <w:t xml:space="preserve"> to regulators and stakeholders as well. Consider a utility that decides to measure risk and establish </w:t>
      </w:r>
      <w:r w:rsidR="00855A69" w:rsidRPr="004C071A">
        <w:rPr>
          <w:sz w:val="24"/>
          <w:szCs w:val="24"/>
        </w:rPr>
        <w:t xml:space="preserve">its </w:t>
      </w:r>
      <w:r w:rsidRPr="004C071A">
        <w:rPr>
          <w:sz w:val="24"/>
          <w:szCs w:val="24"/>
        </w:rPr>
        <w:t>tolerances for cost exposure and</w:t>
      </w:r>
      <w:r w:rsidR="00535389" w:rsidRPr="004C071A">
        <w:rPr>
          <w:sz w:val="24"/>
          <w:szCs w:val="24"/>
        </w:rPr>
        <w:t xml:space="preserve"> hedge losses. This </w:t>
      </w:r>
      <w:r w:rsidRPr="004C071A">
        <w:rPr>
          <w:sz w:val="24"/>
          <w:szCs w:val="24"/>
        </w:rPr>
        <w:t>utility has analyzed risk</w:t>
      </w:r>
      <w:r w:rsidRPr="004C071A">
        <w:rPr>
          <w:sz w:val="24"/>
          <w:szCs w:val="24"/>
        </w:rPr>
        <w:noBreakHyphen/>
        <w:t>responsive hedge strategies and concluded that under high</w:t>
      </w:r>
      <w:r w:rsidRPr="004C071A">
        <w:rPr>
          <w:sz w:val="24"/>
          <w:szCs w:val="24"/>
        </w:rPr>
        <w:noBreakHyphen/>
        <w:t>but</w:t>
      </w:r>
      <w:r w:rsidRPr="004C071A">
        <w:rPr>
          <w:sz w:val="24"/>
          <w:szCs w:val="24"/>
        </w:rPr>
        <w:noBreakHyphen/>
        <w:t>reasonable volatility assumptions, it can constrain ne</w:t>
      </w:r>
      <w:r w:rsidR="00265AFE" w:rsidRPr="004C071A">
        <w:rPr>
          <w:sz w:val="24"/>
          <w:szCs w:val="24"/>
        </w:rPr>
        <w:t>xt year’s cost outcomes to a $1</w:t>
      </w:r>
      <w:r w:rsidRPr="004C071A">
        <w:rPr>
          <w:sz w:val="24"/>
          <w:szCs w:val="24"/>
        </w:rPr>
        <w:t xml:space="preserve">/MMBtu </w:t>
      </w:r>
      <w:r w:rsidR="00265AFE" w:rsidRPr="004C071A">
        <w:rPr>
          <w:sz w:val="24"/>
          <w:szCs w:val="24"/>
        </w:rPr>
        <w:t>increase and hedge losses to $</w:t>
      </w:r>
      <w:r w:rsidR="001D48E1">
        <w:rPr>
          <w:sz w:val="24"/>
          <w:szCs w:val="24"/>
        </w:rPr>
        <w:t>0</w:t>
      </w:r>
      <w:r w:rsidR="00265AFE" w:rsidRPr="004C071A">
        <w:rPr>
          <w:sz w:val="24"/>
          <w:szCs w:val="24"/>
        </w:rPr>
        <w:t>.6</w:t>
      </w:r>
      <w:r w:rsidRPr="004C071A">
        <w:rPr>
          <w:sz w:val="24"/>
          <w:szCs w:val="24"/>
        </w:rPr>
        <w:t>0/MMBtu.</w:t>
      </w:r>
      <w:r w:rsidR="00B406B8" w:rsidRPr="004C071A">
        <w:rPr>
          <w:sz w:val="24"/>
          <w:szCs w:val="24"/>
        </w:rPr>
        <w:t xml:space="preserve"> The strategy required to do so would consist of deploying quantitative finance methods to measure and monitor risk and then place hedges in response to specified risk conditions should they arise.</w:t>
      </w:r>
    </w:p>
    <w:p w:rsidR="00312EC6" w:rsidRPr="001D48E1" w:rsidRDefault="00312EC6" w:rsidP="004C071A">
      <w:pPr>
        <w:rPr>
          <w:sz w:val="24"/>
          <w:szCs w:val="24"/>
        </w:rPr>
      </w:pPr>
      <w:r w:rsidRPr="004C071A">
        <w:rPr>
          <w:sz w:val="24"/>
          <w:szCs w:val="24"/>
        </w:rPr>
        <w:t>What now</w:t>
      </w:r>
      <w:r w:rsidR="00D27F60" w:rsidRPr="00566E47">
        <w:rPr>
          <w:sz w:val="24"/>
          <w:szCs w:val="24"/>
        </w:rPr>
        <w:t xml:space="preserve">? </w:t>
      </w:r>
      <w:r w:rsidRPr="004C071A">
        <w:rPr>
          <w:sz w:val="24"/>
          <w:szCs w:val="24"/>
        </w:rPr>
        <w:t xml:space="preserve">Does this utility expose itself to regulatory and stakeholder criticism by raising the risk specter of </w:t>
      </w:r>
      <w:r w:rsidR="00265AFE" w:rsidRPr="004C071A">
        <w:rPr>
          <w:sz w:val="24"/>
          <w:szCs w:val="24"/>
        </w:rPr>
        <w:t>a $1/MMBtu increase in</w:t>
      </w:r>
      <w:r w:rsidR="00B20F42" w:rsidRPr="004C071A">
        <w:rPr>
          <w:sz w:val="24"/>
          <w:szCs w:val="24"/>
        </w:rPr>
        <w:t xml:space="preserve"> natural</w:t>
      </w:r>
      <w:r w:rsidR="00265AFE" w:rsidRPr="004C071A">
        <w:rPr>
          <w:sz w:val="24"/>
          <w:szCs w:val="24"/>
        </w:rPr>
        <w:t xml:space="preserve"> </w:t>
      </w:r>
      <w:r w:rsidRPr="004C071A">
        <w:rPr>
          <w:sz w:val="24"/>
          <w:szCs w:val="24"/>
        </w:rPr>
        <w:t xml:space="preserve">gas </w:t>
      </w:r>
      <w:r w:rsidR="00265AFE" w:rsidRPr="004C071A">
        <w:rPr>
          <w:sz w:val="24"/>
          <w:szCs w:val="24"/>
        </w:rPr>
        <w:t xml:space="preserve">costs </w:t>
      </w:r>
      <w:r w:rsidRPr="004C071A">
        <w:rPr>
          <w:sz w:val="24"/>
          <w:szCs w:val="24"/>
        </w:rPr>
        <w:t xml:space="preserve">and millions of dollars in </w:t>
      </w:r>
      <w:r w:rsidRPr="004C071A">
        <w:rPr>
          <w:i/>
          <w:sz w:val="24"/>
          <w:szCs w:val="24"/>
          <w:u w:val="single"/>
        </w:rPr>
        <w:t>potential</w:t>
      </w:r>
      <w:r w:rsidRPr="004C071A">
        <w:rPr>
          <w:sz w:val="24"/>
          <w:szCs w:val="24"/>
        </w:rPr>
        <w:t xml:space="preserve"> hedge losses before anything ever actually happens</w:t>
      </w:r>
      <w:r w:rsidR="00670B09" w:rsidRPr="004C071A">
        <w:rPr>
          <w:sz w:val="24"/>
          <w:szCs w:val="24"/>
        </w:rPr>
        <w:t>?</w:t>
      </w:r>
      <w:r w:rsidRPr="004C071A">
        <w:rPr>
          <w:sz w:val="24"/>
          <w:szCs w:val="24"/>
        </w:rPr>
        <w:t xml:space="preserve"> Does it undertake a quantitative finance program, make </w:t>
      </w:r>
      <w:r w:rsidR="006E5D08">
        <w:rPr>
          <w:sz w:val="24"/>
          <w:szCs w:val="24"/>
        </w:rPr>
        <w:t>10</w:t>
      </w:r>
      <w:r w:rsidR="006E5D08" w:rsidRPr="001D48E1">
        <w:rPr>
          <w:sz w:val="24"/>
          <w:szCs w:val="24"/>
        </w:rPr>
        <w:t xml:space="preserve"> </w:t>
      </w:r>
      <w:r w:rsidRPr="001D48E1">
        <w:rPr>
          <w:sz w:val="24"/>
          <w:szCs w:val="24"/>
        </w:rPr>
        <w:t>incremental hedge decisions over the course of next year and hope to explain them later? Or</w:t>
      </w:r>
      <w:r w:rsidR="001C2AC2" w:rsidRPr="001D48E1">
        <w:rPr>
          <w:sz w:val="24"/>
          <w:szCs w:val="24"/>
        </w:rPr>
        <w:t>,</w:t>
      </w:r>
      <w:r w:rsidRPr="001D48E1">
        <w:rPr>
          <w:sz w:val="24"/>
          <w:szCs w:val="24"/>
        </w:rPr>
        <w:t xml:space="preserve"> does it attempt to reach a compact with regulators beforehand by explaining all of the complexities and hoping for </w:t>
      </w:r>
      <w:r w:rsidR="00FF5585" w:rsidRPr="001D48E1">
        <w:rPr>
          <w:sz w:val="24"/>
          <w:szCs w:val="24"/>
        </w:rPr>
        <w:t>that</w:t>
      </w:r>
      <w:r w:rsidRPr="001D48E1">
        <w:rPr>
          <w:sz w:val="24"/>
          <w:szCs w:val="24"/>
        </w:rPr>
        <w:t xml:space="preserve"> elusive understanding as to reasonable hold-harmless </w:t>
      </w:r>
      <w:r w:rsidR="00C443A2" w:rsidRPr="001D48E1">
        <w:rPr>
          <w:sz w:val="24"/>
          <w:szCs w:val="24"/>
        </w:rPr>
        <w:t>expectations</w:t>
      </w:r>
      <w:r w:rsidRPr="001D48E1">
        <w:rPr>
          <w:sz w:val="24"/>
          <w:szCs w:val="24"/>
        </w:rPr>
        <w:t xml:space="preserve">? In the absence of a </w:t>
      </w:r>
      <w:r w:rsidR="00900BD9" w:rsidRPr="001D48E1">
        <w:rPr>
          <w:sz w:val="24"/>
          <w:szCs w:val="24"/>
        </w:rPr>
        <w:t xml:space="preserve">mutual </w:t>
      </w:r>
      <w:r w:rsidRPr="001D48E1">
        <w:rPr>
          <w:sz w:val="24"/>
          <w:szCs w:val="24"/>
        </w:rPr>
        <w:t>regulatory understanding</w:t>
      </w:r>
      <w:r w:rsidR="00EB5046" w:rsidRPr="001D48E1">
        <w:rPr>
          <w:sz w:val="24"/>
          <w:szCs w:val="24"/>
        </w:rPr>
        <w:t>,</w:t>
      </w:r>
      <w:r w:rsidRPr="001D48E1">
        <w:rPr>
          <w:sz w:val="24"/>
          <w:szCs w:val="24"/>
        </w:rPr>
        <w:t xml:space="preserve"> </w:t>
      </w:r>
      <w:r w:rsidR="001D48E1">
        <w:rPr>
          <w:sz w:val="24"/>
          <w:szCs w:val="24"/>
        </w:rPr>
        <w:t>the utility</w:t>
      </w:r>
      <w:r w:rsidRPr="001D48E1">
        <w:rPr>
          <w:sz w:val="24"/>
          <w:szCs w:val="24"/>
        </w:rPr>
        <w:t xml:space="preserve"> </w:t>
      </w:r>
      <w:r w:rsidR="00900BD9" w:rsidRPr="001D48E1">
        <w:rPr>
          <w:sz w:val="24"/>
          <w:szCs w:val="24"/>
        </w:rPr>
        <w:t xml:space="preserve">might </w:t>
      </w:r>
      <w:r w:rsidRPr="001D48E1">
        <w:rPr>
          <w:sz w:val="24"/>
          <w:szCs w:val="24"/>
        </w:rPr>
        <w:t>not</w:t>
      </w:r>
      <w:r w:rsidR="001C2AC2" w:rsidRPr="001D48E1">
        <w:rPr>
          <w:sz w:val="24"/>
          <w:szCs w:val="24"/>
        </w:rPr>
        <w:t xml:space="preserve"> take any of these steps</w:t>
      </w:r>
      <w:r w:rsidRPr="001D48E1">
        <w:rPr>
          <w:sz w:val="24"/>
          <w:szCs w:val="24"/>
        </w:rPr>
        <w:t xml:space="preserve">; </w:t>
      </w:r>
      <w:r w:rsidR="001D48E1">
        <w:rPr>
          <w:sz w:val="24"/>
          <w:szCs w:val="24"/>
        </w:rPr>
        <w:t>instead,</w:t>
      </w:r>
      <w:r w:rsidR="00B20F42" w:rsidRPr="001D48E1">
        <w:rPr>
          <w:sz w:val="24"/>
          <w:szCs w:val="24"/>
        </w:rPr>
        <w:t xml:space="preserve"> </w:t>
      </w:r>
      <w:r w:rsidR="00FF5585" w:rsidRPr="001D48E1">
        <w:rPr>
          <w:sz w:val="24"/>
          <w:szCs w:val="24"/>
        </w:rPr>
        <w:t>the company</w:t>
      </w:r>
      <w:r w:rsidRPr="001D48E1">
        <w:rPr>
          <w:sz w:val="24"/>
          <w:szCs w:val="24"/>
        </w:rPr>
        <w:t xml:space="preserve"> </w:t>
      </w:r>
      <w:r w:rsidR="00134271" w:rsidRPr="001D48E1">
        <w:rPr>
          <w:sz w:val="24"/>
          <w:szCs w:val="24"/>
        </w:rPr>
        <w:t>would</w:t>
      </w:r>
      <w:r w:rsidR="00900BD9" w:rsidRPr="001D48E1">
        <w:rPr>
          <w:sz w:val="24"/>
          <w:szCs w:val="24"/>
        </w:rPr>
        <w:t xml:space="preserve"> </w:t>
      </w:r>
      <w:r w:rsidR="001D48E1" w:rsidRPr="001D48E1">
        <w:rPr>
          <w:sz w:val="24"/>
          <w:szCs w:val="24"/>
        </w:rPr>
        <w:t xml:space="preserve">likely </w:t>
      </w:r>
      <w:r w:rsidRPr="001D48E1">
        <w:rPr>
          <w:sz w:val="24"/>
          <w:szCs w:val="24"/>
        </w:rPr>
        <w:t>go back to a 50</w:t>
      </w:r>
      <w:r w:rsidR="00411DDF">
        <w:rPr>
          <w:sz w:val="24"/>
          <w:szCs w:val="24"/>
        </w:rPr>
        <w:t xml:space="preserve"> </w:t>
      </w:r>
      <w:r w:rsidR="00C73E1B" w:rsidRPr="001D48E1">
        <w:rPr>
          <w:sz w:val="24"/>
          <w:szCs w:val="24"/>
        </w:rPr>
        <w:t>percent</w:t>
      </w:r>
      <w:r w:rsidRPr="001D48E1">
        <w:rPr>
          <w:sz w:val="24"/>
          <w:szCs w:val="24"/>
        </w:rPr>
        <w:t xml:space="preserve"> hedge ratio and change nothing.</w:t>
      </w:r>
    </w:p>
    <w:p w:rsidR="00900BD9" w:rsidRPr="001D48E1" w:rsidRDefault="00900BD9" w:rsidP="004C071A">
      <w:pPr>
        <w:rPr>
          <w:sz w:val="24"/>
          <w:szCs w:val="24"/>
        </w:rPr>
      </w:pPr>
      <w:r w:rsidRPr="001D48E1">
        <w:rPr>
          <w:sz w:val="24"/>
          <w:szCs w:val="24"/>
        </w:rPr>
        <w:t>On the other hand, regulators do not and cannot manage utility companies</w:t>
      </w:r>
      <w:r w:rsidR="009E15C1" w:rsidRPr="001D48E1">
        <w:rPr>
          <w:sz w:val="24"/>
          <w:szCs w:val="24"/>
        </w:rPr>
        <w:t>, and they should not preemptively impose methods or make hold</w:t>
      </w:r>
      <w:r w:rsidR="009E15C1" w:rsidRPr="001D48E1">
        <w:rPr>
          <w:sz w:val="24"/>
          <w:szCs w:val="24"/>
        </w:rPr>
        <w:noBreakHyphen/>
        <w:t>harmless judgments</w:t>
      </w:r>
      <w:r w:rsidRPr="001D48E1">
        <w:rPr>
          <w:sz w:val="24"/>
          <w:szCs w:val="24"/>
        </w:rPr>
        <w:t xml:space="preserve">. Utilities have a duty to prudently operate </w:t>
      </w:r>
      <w:r w:rsidR="00B20F42" w:rsidRPr="001D48E1">
        <w:rPr>
          <w:sz w:val="24"/>
          <w:szCs w:val="24"/>
        </w:rPr>
        <w:t>and provide</w:t>
      </w:r>
      <w:r w:rsidRPr="001D48E1">
        <w:rPr>
          <w:sz w:val="24"/>
          <w:szCs w:val="24"/>
        </w:rPr>
        <w:t xml:space="preserve"> safe and reliable service to </w:t>
      </w:r>
      <w:r w:rsidR="00794923">
        <w:rPr>
          <w:sz w:val="24"/>
          <w:szCs w:val="24"/>
        </w:rPr>
        <w:t>consumers</w:t>
      </w:r>
      <w:r w:rsidRPr="001D48E1">
        <w:rPr>
          <w:sz w:val="24"/>
          <w:szCs w:val="24"/>
        </w:rPr>
        <w:t xml:space="preserve">. </w:t>
      </w:r>
      <w:r w:rsidR="001A6062" w:rsidRPr="001D48E1">
        <w:rPr>
          <w:sz w:val="24"/>
          <w:szCs w:val="24"/>
        </w:rPr>
        <w:t xml:space="preserve">Neither utilities </w:t>
      </w:r>
      <w:r w:rsidR="009E15C1" w:rsidRPr="001D48E1">
        <w:rPr>
          <w:sz w:val="24"/>
          <w:szCs w:val="24"/>
        </w:rPr>
        <w:t>n</w:t>
      </w:r>
      <w:r w:rsidR="001A6062" w:rsidRPr="001D48E1">
        <w:rPr>
          <w:sz w:val="24"/>
          <w:szCs w:val="24"/>
        </w:rPr>
        <w:t xml:space="preserve">or regulators can be expected to </w:t>
      </w:r>
      <w:r w:rsidR="009E15C1" w:rsidRPr="001D48E1">
        <w:rPr>
          <w:sz w:val="24"/>
          <w:szCs w:val="24"/>
        </w:rPr>
        <w:t>unilaterally implement or impose quantitative finance methods for risk mitigation</w:t>
      </w:r>
      <w:r w:rsidR="00794923">
        <w:rPr>
          <w:sz w:val="24"/>
          <w:szCs w:val="24"/>
        </w:rPr>
        <w:t>. A</w:t>
      </w:r>
      <w:r w:rsidR="009E15C1" w:rsidRPr="001D48E1">
        <w:rPr>
          <w:sz w:val="24"/>
          <w:szCs w:val="24"/>
        </w:rPr>
        <w:t xml:space="preserve"> mutual recognition of the merits and regulatory implications must be attained before an improved regulatory framework can be established.</w:t>
      </w:r>
    </w:p>
    <w:p w:rsidR="00312EC6" w:rsidRPr="001D48E1" w:rsidRDefault="00312EC6" w:rsidP="004C071A">
      <w:pPr>
        <w:rPr>
          <w:sz w:val="24"/>
          <w:szCs w:val="24"/>
        </w:rPr>
      </w:pPr>
      <w:r w:rsidRPr="001D48E1">
        <w:rPr>
          <w:sz w:val="24"/>
          <w:szCs w:val="24"/>
        </w:rPr>
        <w:t xml:space="preserve">The benefits of </w:t>
      </w:r>
      <w:r w:rsidR="00D96447" w:rsidRPr="001D48E1">
        <w:rPr>
          <w:sz w:val="24"/>
          <w:szCs w:val="24"/>
        </w:rPr>
        <w:t xml:space="preserve">(1) </w:t>
      </w:r>
      <w:r w:rsidRPr="001D48E1">
        <w:rPr>
          <w:sz w:val="24"/>
          <w:szCs w:val="24"/>
        </w:rPr>
        <w:t xml:space="preserve">setting meaningful tolerances, </w:t>
      </w:r>
      <w:r w:rsidR="00D96447" w:rsidRPr="001D48E1">
        <w:rPr>
          <w:sz w:val="24"/>
          <w:szCs w:val="24"/>
        </w:rPr>
        <w:t xml:space="preserve">(2) </w:t>
      </w:r>
      <w:r w:rsidRPr="001D48E1">
        <w:rPr>
          <w:sz w:val="24"/>
          <w:szCs w:val="24"/>
        </w:rPr>
        <w:t>measuring and monitoring risk</w:t>
      </w:r>
      <w:r w:rsidR="007B5E8A" w:rsidRPr="001D48E1">
        <w:rPr>
          <w:sz w:val="24"/>
          <w:szCs w:val="24"/>
        </w:rPr>
        <w:t>,</w:t>
      </w:r>
      <w:r w:rsidRPr="001D48E1">
        <w:rPr>
          <w:sz w:val="24"/>
          <w:szCs w:val="24"/>
        </w:rPr>
        <w:t xml:space="preserve"> and </w:t>
      </w:r>
      <w:r w:rsidR="00D96447" w:rsidRPr="001D48E1">
        <w:rPr>
          <w:sz w:val="24"/>
          <w:szCs w:val="24"/>
        </w:rPr>
        <w:t xml:space="preserve">(3) </w:t>
      </w:r>
      <w:r w:rsidRPr="001D48E1">
        <w:rPr>
          <w:sz w:val="24"/>
          <w:szCs w:val="24"/>
        </w:rPr>
        <w:t>hedging</w:t>
      </w:r>
      <w:r w:rsidR="00D96447" w:rsidRPr="001D48E1">
        <w:rPr>
          <w:sz w:val="24"/>
          <w:szCs w:val="24"/>
        </w:rPr>
        <w:t xml:space="preserve"> </w:t>
      </w:r>
      <w:r w:rsidR="009F4A42" w:rsidRPr="001D48E1">
        <w:rPr>
          <w:sz w:val="24"/>
          <w:szCs w:val="24"/>
        </w:rPr>
        <w:t xml:space="preserve">– but </w:t>
      </w:r>
      <w:r w:rsidRPr="001D48E1">
        <w:rPr>
          <w:sz w:val="24"/>
          <w:szCs w:val="24"/>
        </w:rPr>
        <w:t>only as much as necessary</w:t>
      </w:r>
      <w:r w:rsidR="001D48E1">
        <w:rPr>
          <w:sz w:val="24"/>
          <w:szCs w:val="24"/>
        </w:rPr>
        <w:t xml:space="preserve"> </w:t>
      </w:r>
      <w:r w:rsidR="001D48E1" w:rsidRPr="001D48E1">
        <w:rPr>
          <w:sz w:val="24"/>
          <w:szCs w:val="24"/>
        </w:rPr>
        <w:t xml:space="preserve">– </w:t>
      </w:r>
      <w:r w:rsidRPr="001D48E1">
        <w:rPr>
          <w:sz w:val="24"/>
          <w:szCs w:val="24"/>
        </w:rPr>
        <w:t>will be shown to carry material benefits</w:t>
      </w:r>
      <w:r w:rsidR="007B5E8A" w:rsidRPr="001D48E1">
        <w:rPr>
          <w:sz w:val="24"/>
          <w:szCs w:val="24"/>
        </w:rPr>
        <w:t>. It will take the consensus</w:t>
      </w:r>
      <w:r w:rsidR="00225A3C">
        <w:rPr>
          <w:sz w:val="24"/>
          <w:szCs w:val="24"/>
        </w:rPr>
        <w:t xml:space="preserve"> building</w:t>
      </w:r>
      <w:r w:rsidR="007B5E8A" w:rsidRPr="001D48E1">
        <w:rPr>
          <w:sz w:val="24"/>
          <w:szCs w:val="24"/>
        </w:rPr>
        <w:t xml:space="preserve"> efforts of regulators, utilities, and stakeholders to create a constructive compact where the regulatory risks do not outweigh those benefits</w:t>
      </w:r>
      <w:r w:rsidR="00134271" w:rsidRPr="001D48E1">
        <w:rPr>
          <w:sz w:val="24"/>
          <w:szCs w:val="24"/>
        </w:rPr>
        <w:t xml:space="preserve">. </w:t>
      </w:r>
    </w:p>
    <w:p w:rsidR="00AE60EF" w:rsidRPr="000269F1" w:rsidRDefault="00DF381A" w:rsidP="008E4C1D">
      <w:pPr>
        <w:pStyle w:val="Heading1"/>
      </w:pPr>
      <w:bookmarkStart w:id="19" w:name="_Toc411341376"/>
      <w:bookmarkStart w:id="20" w:name="_Toc424039085"/>
      <w:r>
        <w:t>Contrasting Approaches</w:t>
      </w:r>
      <w:bookmarkEnd w:id="19"/>
      <w:bookmarkEnd w:id="20"/>
    </w:p>
    <w:p w:rsidR="008E4C1D" w:rsidRPr="00CC3C06" w:rsidRDefault="008E4C1D" w:rsidP="00952D24">
      <w:pPr>
        <w:pStyle w:val="Heading2"/>
      </w:pPr>
      <w:bookmarkStart w:id="21" w:name="_Toc411341377"/>
      <w:bookmarkStart w:id="22" w:name="_Toc424039086"/>
      <w:r w:rsidRPr="00CC3C06">
        <w:t>Fixed Ratio</w:t>
      </w:r>
      <w:bookmarkEnd w:id="21"/>
      <w:bookmarkEnd w:id="22"/>
    </w:p>
    <w:p w:rsidR="00225A3C" w:rsidRDefault="00950634" w:rsidP="00225A3C">
      <w:pPr>
        <w:rPr>
          <w:sz w:val="24"/>
          <w:szCs w:val="24"/>
        </w:rPr>
      </w:pPr>
      <w:r w:rsidRPr="00225A3C">
        <w:rPr>
          <w:sz w:val="24"/>
          <w:szCs w:val="24"/>
        </w:rPr>
        <w:t>If</w:t>
      </w:r>
      <w:r w:rsidR="00075E0E" w:rsidRPr="00225A3C">
        <w:rPr>
          <w:sz w:val="24"/>
          <w:szCs w:val="24"/>
        </w:rPr>
        <w:t xml:space="preserve"> </w:t>
      </w:r>
      <w:r w:rsidR="00924C07" w:rsidRPr="00225A3C">
        <w:rPr>
          <w:sz w:val="24"/>
          <w:szCs w:val="24"/>
        </w:rPr>
        <w:t xml:space="preserve">a utility </w:t>
      </w:r>
      <w:r w:rsidR="003D3F61" w:rsidRPr="00225A3C">
        <w:rPr>
          <w:sz w:val="24"/>
          <w:szCs w:val="24"/>
        </w:rPr>
        <w:t>conclude</w:t>
      </w:r>
      <w:r w:rsidR="00924C07" w:rsidRPr="00225A3C">
        <w:rPr>
          <w:sz w:val="24"/>
          <w:szCs w:val="24"/>
        </w:rPr>
        <w:t>s</w:t>
      </w:r>
      <w:r w:rsidR="00075E0E" w:rsidRPr="00225A3C">
        <w:rPr>
          <w:sz w:val="24"/>
          <w:szCs w:val="24"/>
        </w:rPr>
        <w:t xml:space="preserve"> the right </w:t>
      </w:r>
      <w:r w:rsidR="008750CF">
        <w:rPr>
          <w:sz w:val="24"/>
          <w:szCs w:val="24"/>
        </w:rPr>
        <w:t>approach</w:t>
      </w:r>
      <w:r w:rsidR="00075E0E" w:rsidRPr="00225A3C">
        <w:rPr>
          <w:sz w:val="24"/>
          <w:szCs w:val="24"/>
        </w:rPr>
        <w:t xml:space="preserve"> consists of picking a fixed hedge ratio each year and locking and leaving it for the year, there is little to discuss regarding how to do it right. It would be </w:t>
      </w:r>
      <w:r w:rsidR="009266A4" w:rsidRPr="00225A3C">
        <w:rPr>
          <w:sz w:val="24"/>
          <w:szCs w:val="24"/>
        </w:rPr>
        <w:t>wise</w:t>
      </w:r>
      <w:r w:rsidRPr="00225A3C">
        <w:rPr>
          <w:sz w:val="24"/>
          <w:szCs w:val="24"/>
        </w:rPr>
        <w:t>r instead</w:t>
      </w:r>
      <w:r w:rsidR="00075E0E" w:rsidRPr="00225A3C">
        <w:rPr>
          <w:sz w:val="24"/>
          <w:szCs w:val="24"/>
        </w:rPr>
        <w:t xml:space="preserve"> to understand the risk </w:t>
      </w:r>
      <w:r w:rsidR="009266A4" w:rsidRPr="00225A3C">
        <w:rPr>
          <w:sz w:val="24"/>
          <w:szCs w:val="24"/>
        </w:rPr>
        <w:t>at the time of making that decision, so that potential cost outliers and hedge loss outliers</w:t>
      </w:r>
      <w:r w:rsidRPr="00225A3C">
        <w:rPr>
          <w:sz w:val="24"/>
          <w:szCs w:val="24"/>
        </w:rPr>
        <w:t xml:space="preserve"> can be estimated</w:t>
      </w:r>
      <w:r w:rsidR="009266A4" w:rsidRPr="00225A3C">
        <w:rPr>
          <w:sz w:val="24"/>
          <w:szCs w:val="24"/>
        </w:rPr>
        <w:t xml:space="preserve">. However, as Figure 2 </w:t>
      </w:r>
      <w:r w:rsidRPr="00225A3C">
        <w:rPr>
          <w:sz w:val="24"/>
          <w:szCs w:val="24"/>
        </w:rPr>
        <w:t>reflects</w:t>
      </w:r>
      <w:r w:rsidR="009266A4" w:rsidRPr="00225A3C">
        <w:rPr>
          <w:sz w:val="24"/>
          <w:szCs w:val="24"/>
        </w:rPr>
        <w:t xml:space="preserve">, risk assessments exhibit fleeting accuracy unless monitored routinely. It would be </w:t>
      </w:r>
      <w:r w:rsidRPr="00225A3C">
        <w:rPr>
          <w:sz w:val="24"/>
          <w:szCs w:val="24"/>
        </w:rPr>
        <w:t xml:space="preserve">better </w:t>
      </w:r>
      <w:r w:rsidR="009266A4" w:rsidRPr="00225A3C">
        <w:rPr>
          <w:sz w:val="24"/>
          <w:szCs w:val="24"/>
        </w:rPr>
        <w:t>to accumulate the hedges in a non-precipitous</w:t>
      </w:r>
      <w:r w:rsidR="00E4007B" w:rsidRPr="00225A3C">
        <w:rPr>
          <w:sz w:val="24"/>
          <w:szCs w:val="24"/>
        </w:rPr>
        <w:t xml:space="preserve"> </w:t>
      </w:r>
      <w:r w:rsidR="009266A4" w:rsidRPr="00225A3C">
        <w:rPr>
          <w:sz w:val="24"/>
          <w:szCs w:val="24"/>
        </w:rPr>
        <w:t xml:space="preserve">fashion, diversifying hedge prices over some advance period. </w:t>
      </w:r>
      <w:r w:rsidR="00E4007B" w:rsidRPr="00225A3C">
        <w:rPr>
          <w:sz w:val="24"/>
          <w:szCs w:val="24"/>
        </w:rPr>
        <w:t>It would also be wise to p</w:t>
      </w:r>
      <w:r w:rsidR="009266A4" w:rsidRPr="00225A3C">
        <w:rPr>
          <w:sz w:val="24"/>
          <w:szCs w:val="24"/>
        </w:rPr>
        <w:t xml:space="preserve">ick an appropriate hedge ratio </w:t>
      </w:r>
      <w:r w:rsidR="00E4007B" w:rsidRPr="00225A3C">
        <w:rPr>
          <w:sz w:val="24"/>
          <w:szCs w:val="24"/>
        </w:rPr>
        <w:t xml:space="preserve">that includes </w:t>
      </w:r>
      <w:r w:rsidR="009266A4" w:rsidRPr="00225A3C">
        <w:rPr>
          <w:sz w:val="24"/>
          <w:szCs w:val="24"/>
        </w:rPr>
        <w:t xml:space="preserve">some </w:t>
      </w:r>
      <w:r w:rsidRPr="00225A3C">
        <w:rPr>
          <w:sz w:val="24"/>
          <w:szCs w:val="24"/>
        </w:rPr>
        <w:t>understanding of</w:t>
      </w:r>
      <w:r w:rsidR="009266A4" w:rsidRPr="00225A3C">
        <w:rPr>
          <w:sz w:val="24"/>
          <w:szCs w:val="24"/>
        </w:rPr>
        <w:t xml:space="preserve"> </w:t>
      </w:r>
      <w:r w:rsidR="00E4007B" w:rsidRPr="00225A3C">
        <w:rPr>
          <w:sz w:val="24"/>
          <w:szCs w:val="24"/>
        </w:rPr>
        <w:t xml:space="preserve">ratepayer </w:t>
      </w:r>
      <w:r w:rsidR="009266A4" w:rsidRPr="00225A3C">
        <w:rPr>
          <w:sz w:val="24"/>
          <w:szCs w:val="24"/>
        </w:rPr>
        <w:t xml:space="preserve">preferences for avoiding cost increases </w:t>
      </w:r>
      <w:r w:rsidRPr="00225A3C">
        <w:rPr>
          <w:sz w:val="24"/>
          <w:szCs w:val="24"/>
        </w:rPr>
        <w:t xml:space="preserve">versus </w:t>
      </w:r>
      <w:r w:rsidR="009266A4" w:rsidRPr="00225A3C">
        <w:rPr>
          <w:sz w:val="24"/>
          <w:szCs w:val="24"/>
        </w:rPr>
        <w:t>avoiding uncompetitive prices in a down market. A high hedge ratio would be biased toward cost mitigation, while a lower ratio would be biased toward smaller hedge losses.</w:t>
      </w:r>
    </w:p>
    <w:p w:rsidR="003041A1" w:rsidRPr="00225A3C" w:rsidRDefault="003041A1" w:rsidP="00225A3C">
      <w:pPr>
        <w:rPr>
          <w:sz w:val="24"/>
          <w:szCs w:val="24"/>
        </w:rPr>
      </w:pPr>
      <w:r w:rsidRPr="00225A3C">
        <w:rPr>
          <w:sz w:val="24"/>
          <w:szCs w:val="24"/>
        </w:rPr>
        <w:t xml:space="preserve">If we </w:t>
      </w:r>
      <w:proofErr w:type="gramStart"/>
      <w:r w:rsidRPr="00225A3C">
        <w:rPr>
          <w:sz w:val="24"/>
          <w:szCs w:val="24"/>
        </w:rPr>
        <w:t>accept</w:t>
      </w:r>
      <w:proofErr w:type="gramEnd"/>
      <w:r w:rsidRPr="00225A3C">
        <w:rPr>
          <w:sz w:val="24"/>
          <w:szCs w:val="24"/>
        </w:rPr>
        <w:t xml:space="preserve"> the </w:t>
      </w:r>
      <w:r w:rsidR="00265AFE" w:rsidRPr="00225A3C">
        <w:rPr>
          <w:sz w:val="24"/>
          <w:szCs w:val="24"/>
        </w:rPr>
        <w:t xml:space="preserve">arguments regarding consumers’ </w:t>
      </w:r>
      <w:r w:rsidRPr="00225A3C">
        <w:rPr>
          <w:sz w:val="24"/>
          <w:szCs w:val="24"/>
        </w:rPr>
        <w:t xml:space="preserve">marginal utility </w:t>
      </w:r>
      <w:r w:rsidR="00265AFE" w:rsidRPr="00225A3C">
        <w:rPr>
          <w:sz w:val="24"/>
          <w:szCs w:val="24"/>
        </w:rPr>
        <w:t xml:space="preserve">made </w:t>
      </w:r>
      <w:r w:rsidRPr="00225A3C">
        <w:rPr>
          <w:sz w:val="24"/>
          <w:szCs w:val="24"/>
        </w:rPr>
        <w:t>earlier, high costs are more painful than less competitive prices in falling markets, so a hedge ratio greater than 50</w:t>
      </w:r>
      <w:r w:rsidR="00C73E1B" w:rsidRPr="00225A3C">
        <w:rPr>
          <w:sz w:val="24"/>
          <w:szCs w:val="24"/>
        </w:rPr>
        <w:t xml:space="preserve"> percent</w:t>
      </w:r>
      <w:r w:rsidRPr="00225A3C">
        <w:rPr>
          <w:sz w:val="24"/>
          <w:szCs w:val="24"/>
        </w:rPr>
        <w:t xml:space="preserve"> might be appropriate</w:t>
      </w:r>
      <w:r w:rsidR="00225A3C">
        <w:rPr>
          <w:sz w:val="24"/>
          <w:szCs w:val="24"/>
        </w:rPr>
        <w:t xml:space="preserve"> to protect against high prices</w:t>
      </w:r>
      <w:r w:rsidRPr="00225A3C">
        <w:rPr>
          <w:sz w:val="24"/>
          <w:szCs w:val="24"/>
        </w:rPr>
        <w:t>. Of course</w:t>
      </w:r>
      <w:r w:rsidR="00A86452" w:rsidRPr="00225A3C">
        <w:rPr>
          <w:sz w:val="24"/>
          <w:szCs w:val="24"/>
        </w:rPr>
        <w:t>,</w:t>
      </w:r>
      <w:r w:rsidRPr="00225A3C">
        <w:rPr>
          <w:sz w:val="24"/>
          <w:szCs w:val="24"/>
        </w:rPr>
        <w:t xml:space="preserve"> </w:t>
      </w:r>
      <w:r w:rsidR="00225A3C">
        <w:rPr>
          <w:sz w:val="24"/>
          <w:szCs w:val="24"/>
        </w:rPr>
        <w:t xml:space="preserve">a </w:t>
      </w:r>
      <w:r w:rsidRPr="00225A3C">
        <w:rPr>
          <w:sz w:val="24"/>
          <w:szCs w:val="24"/>
        </w:rPr>
        <w:t xml:space="preserve">higher hedge ratio will carry greater prudence risk should losses grow.  </w:t>
      </w:r>
    </w:p>
    <w:p w:rsidR="008E4C1D" w:rsidRDefault="008E4C1D" w:rsidP="00952D24">
      <w:pPr>
        <w:pStyle w:val="Heading2"/>
      </w:pPr>
      <w:bookmarkStart w:id="23" w:name="_Toc411341378"/>
      <w:bookmarkStart w:id="24" w:name="_Toc424039087"/>
      <w:r>
        <w:t>Risk</w:t>
      </w:r>
      <w:r>
        <w:noBreakHyphen/>
      </w:r>
      <w:r w:rsidRPr="004D231C">
        <w:t>Responsive Hedging</w:t>
      </w:r>
      <w:bookmarkEnd w:id="23"/>
      <w:bookmarkEnd w:id="24"/>
    </w:p>
    <w:p w:rsidR="00FF5585" w:rsidRPr="00411DDF" w:rsidRDefault="006F31EB" w:rsidP="00CD1D75">
      <w:pPr>
        <w:rPr>
          <w:sz w:val="24"/>
          <w:szCs w:val="24"/>
        </w:rPr>
      </w:pPr>
      <w:r w:rsidRPr="00CD1D75">
        <w:rPr>
          <w:sz w:val="24"/>
          <w:szCs w:val="24"/>
        </w:rPr>
        <w:t>Typically</w:t>
      </w:r>
      <w:r w:rsidR="00F9110F" w:rsidRPr="00CD1D75">
        <w:rPr>
          <w:sz w:val="24"/>
          <w:szCs w:val="24"/>
        </w:rPr>
        <w:t>,</w:t>
      </w:r>
      <w:r w:rsidRPr="00CD1D75">
        <w:rPr>
          <w:sz w:val="24"/>
          <w:szCs w:val="24"/>
        </w:rPr>
        <w:t xml:space="preserve"> utilities manage </w:t>
      </w:r>
      <w:r w:rsidR="00D1553F" w:rsidRPr="00CD1D75">
        <w:rPr>
          <w:sz w:val="24"/>
          <w:szCs w:val="24"/>
        </w:rPr>
        <w:t xml:space="preserve">their financial </w:t>
      </w:r>
      <w:r w:rsidR="00817080" w:rsidRPr="00CD1D75">
        <w:rPr>
          <w:sz w:val="24"/>
          <w:szCs w:val="24"/>
        </w:rPr>
        <w:t>and</w:t>
      </w:r>
      <w:r w:rsidR="00D1553F" w:rsidRPr="00CD1D75">
        <w:rPr>
          <w:sz w:val="24"/>
          <w:szCs w:val="24"/>
        </w:rPr>
        <w:t xml:space="preserve"> </w:t>
      </w:r>
      <w:r w:rsidR="00817080" w:rsidRPr="00CD1D75">
        <w:rPr>
          <w:sz w:val="24"/>
          <w:szCs w:val="24"/>
        </w:rPr>
        <w:t>structural</w:t>
      </w:r>
      <w:r w:rsidRPr="00CD1D75">
        <w:rPr>
          <w:sz w:val="24"/>
          <w:szCs w:val="24"/>
        </w:rPr>
        <w:t xml:space="preserve"> system</w:t>
      </w:r>
      <w:r w:rsidR="00817080" w:rsidRPr="00CD1D75">
        <w:rPr>
          <w:sz w:val="24"/>
          <w:szCs w:val="24"/>
        </w:rPr>
        <w:t>s</w:t>
      </w:r>
      <w:r w:rsidRPr="00CD1D75">
        <w:rPr>
          <w:sz w:val="24"/>
          <w:szCs w:val="24"/>
        </w:rPr>
        <w:t xml:space="preserve"> </w:t>
      </w:r>
      <w:r w:rsidR="00D1553F" w:rsidRPr="00CD1D75">
        <w:rPr>
          <w:sz w:val="24"/>
          <w:szCs w:val="24"/>
        </w:rPr>
        <w:t xml:space="preserve">expertly and </w:t>
      </w:r>
      <w:r w:rsidRPr="00CD1D75">
        <w:rPr>
          <w:sz w:val="24"/>
          <w:szCs w:val="24"/>
        </w:rPr>
        <w:t>effectively</w:t>
      </w:r>
      <w:r w:rsidR="00817080" w:rsidRPr="00CD1D75">
        <w:rPr>
          <w:sz w:val="24"/>
          <w:szCs w:val="24"/>
        </w:rPr>
        <w:t xml:space="preserve"> with</w:t>
      </w:r>
      <w:r w:rsidRPr="00CD1D75">
        <w:rPr>
          <w:sz w:val="24"/>
          <w:szCs w:val="24"/>
        </w:rPr>
        <w:t xml:space="preserve"> most striv</w:t>
      </w:r>
      <w:r w:rsidR="00817080" w:rsidRPr="00CD1D75">
        <w:rPr>
          <w:sz w:val="24"/>
          <w:szCs w:val="24"/>
        </w:rPr>
        <w:t>ing</w:t>
      </w:r>
      <w:r w:rsidRPr="00CD1D75">
        <w:rPr>
          <w:sz w:val="24"/>
          <w:szCs w:val="24"/>
        </w:rPr>
        <w:t xml:space="preserve"> to </w:t>
      </w:r>
      <w:r w:rsidR="00157D5D" w:rsidRPr="00CD1D75">
        <w:rPr>
          <w:sz w:val="24"/>
          <w:szCs w:val="24"/>
        </w:rPr>
        <w:t xml:space="preserve">constantly </w:t>
      </w:r>
      <w:r w:rsidRPr="00CD1D75">
        <w:rPr>
          <w:sz w:val="24"/>
          <w:szCs w:val="24"/>
        </w:rPr>
        <w:t>improve. With respect to</w:t>
      </w:r>
      <w:r w:rsidR="00B20F42" w:rsidRPr="00CD1D75">
        <w:rPr>
          <w:sz w:val="24"/>
          <w:szCs w:val="24"/>
        </w:rPr>
        <w:t xml:space="preserve"> natural</w:t>
      </w:r>
      <w:r w:rsidRPr="00CD1D75">
        <w:rPr>
          <w:sz w:val="24"/>
          <w:szCs w:val="24"/>
        </w:rPr>
        <w:t xml:space="preserve"> gas</w:t>
      </w:r>
      <w:r w:rsidR="00B20F42" w:rsidRPr="00CD1D75">
        <w:rPr>
          <w:sz w:val="24"/>
          <w:szCs w:val="24"/>
        </w:rPr>
        <w:t xml:space="preserve"> </w:t>
      </w:r>
      <w:r w:rsidRPr="00CD1D75">
        <w:rPr>
          <w:sz w:val="24"/>
          <w:szCs w:val="24"/>
        </w:rPr>
        <w:t xml:space="preserve">cost risk mitigation, </w:t>
      </w:r>
      <w:r w:rsidR="00157D5D" w:rsidRPr="00CD1D75">
        <w:rPr>
          <w:sz w:val="24"/>
          <w:szCs w:val="24"/>
        </w:rPr>
        <w:t>“</w:t>
      </w:r>
      <w:r w:rsidR="00AE60EF" w:rsidRPr="00CD1D75">
        <w:rPr>
          <w:sz w:val="24"/>
          <w:szCs w:val="24"/>
        </w:rPr>
        <w:t>the right thing to do</w:t>
      </w:r>
      <w:r w:rsidR="00157D5D" w:rsidRPr="00CD1D75">
        <w:rPr>
          <w:sz w:val="24"/>
          <w:szCs w:val="24"/>
        </w:rPr>
        <w:t>”</w:t>
      </w:r>
      <w:r w:rsidR="00AE60EF" w:rsidRPr="00CD1D75">
        <w:rPr>
          <w:sz w:val="24"/>
          <w:szCs w:val="24"/>
        </w:rPr>
        <w:t xml:space="preserve"> is to manage competing tolerances </w:t>
      </w:r>
      <w:r w:rsidR="00411DDF">
        <w:rPr>
          <w:sz w:val="24"/>
          <w:szCs w:val="24"/>
        </w:rPr>
        <w:t>of</w:t>
      </w:r>
      <w:r w:rsidR="00AE60EF" w:rsidRPr="00CD1D75">
        <w:rPr>
          <w:sz w:val="24"/>
          <w:szCs w:val="24"/>
        </w:rPr>
        <w:t xml:space="preserve"> natural gas costs</w:t>
      </w:r>
      <w:r w:rsidR="006243AE" w:rsidRPr="00CD1D75">
        <w:rPr>
          <w:sz w:val="24"/>
          <w:szCs w:val="24"/>
        </w:rPr>
        <w:t xml:space="preserve"> and</w:t>
      </w:r>
      <w:r w:rsidR="00157D5D" w:rsidRPr="00CD1D75">
        <w:rPr>
          <w:sz w:val="24"/>
          <w:szCs w:val="24"/>
        </w:rPr>
        <w:t xml:space="preserve"> </w:t>
      </w:r>
      <w:r w:rsidR="00075E0E" w:rsidRPr="00CD1D75">
        <w:rPr>
          <w:sz w:val="24"/>
          <w:szCs w:val="24"/>
        </w:rPr>
        <w:t xml:space="preserve">potential </w:t>
      </w:r>
      <w:r w:rsidR="00AE60EF" w:rsidRPr="00CD1D75">
        <w:rPr>
          <w:sz w:val="24"/>
          <w:szCs w:val="24"/>
        </w:rPr>
        <w:t>hedge losses</w:t>
      </w:r>
      <w:r w:rsidR="006D0E6C" w:rsidRPr="00CD1D75">
        <w:rPr>
          <w:sz w:val="24"/>
          <w:szCs w:val="24"/>
        </w:rPr>
        <w:t xml:space="preserve"> using </w:t>
      </w:r>
      <w:r w:rsidR="00AE60EF" w:rsidRPr="00CD1D75">
        <w:rPr>
          <w:sz w:val="24"/>
          <w:szCs w:val="24"/>
        </w:rPr>
        <w:t xml:space="preserve">the tools </w:t>
      </w:r>
      <w:r w:rsidR="006D0E6C" w:rsidRPr="00CD1D75">
        <w:rPr>
          <w:sz w:val="24"/>
          <w:szCs w:val="24"/>
        </w:rPr>
        <w:t xml:space="preserve">found in </w:t>
      </w:r>
      <w:r w:rsidR="00AE60EF" w:rsidRPr="00CD1D75">
        <w:rPr>
          <w:sz w:val="24"/>
          <w:szCs w:val="24"/>
        </w:rPr>
        <w:t xml:space="preserve">quantitative finance. </w:t>
      </w:r>
      <w:r w:rsidR="000778B1" w:rsidRPr="00CD1D75">
        <w:rPr>
          <w:sz w:val="24"/>
          <w:szCs w:val="24"/>
        </w:rPr>
        <w:t>That is, developing a</w:t>
      </w:r>
      <w:r w:rsidR="00075E0E" w:rsidRPr="00CD1D75">
        <w:rPr>
          <w:sz w:val="24"/>
          <w:szCs w:val="24"/>
        </w:rPr>
        <w:t xml:space="preserve"> conceptual framework for risk mitigation driven by quantitative metrics. </w:t>
      </w:r>
      <w:r w:rsidR="00545676" w:rsidRPr="00CD1D75">
        <w:rPr>
          <w:sz w:val="24"/>
          <w:szCs w:val="24"/>
        </w:rPr>
        <w:t>For many utilities, especially those without merchant affiliates, this could be</w:t>
      </w:r>
      <w:r w:rsidR="00A86452" w:rsidRPr="00CD1D75">
        <w:rPr>
          <w:sz w:val="24"/>
          <w:szCs w:val="24"/>
        </w:rPr>
        <w:t xml:space="preserve"> a new discipline</w:t>
      </w:r>
      <w:r w:rsidR="00545676" w:rsidRPr="00CD1D75">
        <w:rPr>
          <w:sz w:val="24"/>
          <w:szCs w:val="24"/>
        </w:rPr>
        <w:t xml:space="preserve">. Even those managing merchant risk would need to transition from managing </w:t>
      </w:r>
      <w:r w:rsidR="00D1425D" w:rsidRPr="00CD1D75">
        <w:rPr>
          <w:sz w:val="24"/>
          <w:szCs w:val="24"/>
        </w:rPr>
        <w:t>profitability</w:t>
      </w:r>
      <w:r w:rsidR="006F3A41">
        <w:rPr>
          <w:sz w:val="24"/>
          <w:szCs w:val="24"/>
        </w:rPr>
        <w:t>-</w:t>
      </w:r>
      <w:r w:rsidR="00D1425D" w:rsidRPr="00411DDF">
        <w:rPr>
          <w:sz w:val="24"/>
          <w:szCs w:val="24"/>
        </w:rPr>
        <w:t xml:space="preserve">risk </w:t>
      </w:r>
      <w:r w:rsidR="00545676" w:rsidRPr="00411DDF">
        <w:rPr>
          <w:sz w:val="24"/>
          <w:szCs w:val="24"/>
        </w:rPr>
        <w:t xml:space="preserve">to </w:t>
      </w:r>
      <w:r w:rsidR="00D1425D" w:rsidRPr="00411DDF">
        <w:rPr>
          <w:sz w:val="24"/>
          <w:szCs w:val="24"/>
        </w:rPr>
        <w:t xml:space="preserve">managing </w:t>
      </w:r>
      <w:r w:rsidR="00545676" w:rsidRPr="00411DDF">
        <w:rPr>
          <w:sz w:val="24"/>
          <w:szCs w:val="24"/>
        </w:rPr>
        <w:t>cost-risk</w:t>
      </w:r>
      <w:r w:rsidR="00D1425D" w:rsidRPr="00411DDF">
        <w:rPr>
          <w:sz w:val="24"/>
          <w:szCs w:val="24"/>
        </w:rPr>
        <w:t>, probably</w:t>
      </w:r>
      <w:r w:rsidR="00545676" w:rsidRPr="00411DDF">
        <w:rPr>
          <w:sz w:val="24"/>
          <w:szCs w:val="24"/>
        </w:rPr>
        <w:t xml:space="preserve"> </w:t>
      </w:r>
      <w:r w:rsidR="00D1425D" w:rsidRPr="00411DDF">
        <w:rPr>
          <w:sz w:val="24"/>
          <w:szCs w:val="24"/>
        </w:rPr>
        <w:t>using different employees on the regulated side</w:t>
      </w:r>
      <w:r w:rsidR="006F3A41">
        <w:rPr>
          <w:sz w:val="24"/>
          <w:szCs w:val="24"/>
        </w:rPr>
        <w:t>. D</w:t>
      </w:r>
      <w:r w:rsidR="00A86452" w:rsidRPr="00411DDF">
        <w:rPr>
          <w:sz w:val="24"/>
          <w:szCs w:val="24"/>
        </w:rPr>
        <w:t xml:space="preserve">oing things well could require a learning curve to attain expertise, management systems, and controls commensurate with the standards required. It would not take decades to do this, but rather </w:t>
      </w:r>
      <w:r w:rsidR="00411DDF">
        <w:rPr>
          <w:sz w:val="24"/>
          <w:szCs w:val="24"/>
        </w:rPr>
        <w:t xml:space="preserve">only </w:t>
      </w:r>
      <w:r w:rsidR="00A86452" w:rsidRPr="00411DDF">
        <w:rPr>
          <w:sz w:val="24"/>
          <w:szCs w:val="24"/>
        </w:rPr>
        <w:t>a year or two.</w:t>
      </w:r>
      <w:r w:rsidR="00157D5D" w:rsidRPr="00411DDF">
        <w:rPr>
          <w:sz w:val="24"/>
          <w:szCs w:val="24"/>
        </w:rPr>
        <w:t xml:space="preserve"> </w:t>
      </w:r>
    </w:p>
    <w:p w:rsidR="009327BE" w:rsidRPr="00841B52" w:rsidRDefault="00B20F42" w:rsidP="00CD1D75">
      <w:pPr>
        <w:keepNext/>
        <w:keepLines/>
        <w:rPr>
          <w:sz w:val="24"/>
          <w:szCs w:val="24"/>
        </w:rPr>
      </w:pPr>
      <w:r w:rsidRPr="00411DDF">
        <w:rPr>
          <w:sz w:val="24"/>
          <w:szCs w:val="24"/>
        </w:rPr>
        <w:t xml:space="preserve">As discussed above regarding </w:t>
      </w:r>
      <w:r w:rsidR="004D231C" w:rsidRPr="00411DDF">
        <w:rPr>
          <w:sz w:val="24"/>
          <w:szCs w:val="24"/>
        </w:rPr>
        <w:t>Figure 2</w:t>
      </w:r>
      <w:r w:rsidRPr="00411DDF">
        <w:rPr>
          <w:sz w:val="24"/>
          <w:szCs w:val="24"/>
        </w:rPr>
        <w:t>,</w:t>
      </w:r>
      <w:r w:rsidR="004D231C" w:rsidRPr="00411DDF">
        <w:rPr>
          <w:sz w:val="24"/>
          <w:szCs w:val="24"/>
        </w:rPr>
        <w:t xml:space="preserve"> the </w:t>
      </w:r>
      <w:r w:rsidR="008E4C1D" w:rsidRPr="00411DDF">
        <w:rPr>
          <w:sz w:val="24"/>
          <w:szCs w:val="24"/>
        </w:rPr>
        <w:t>fixed-ratio</w:t>
      </w:r>
      <w:r w:rsidR="004D231C" w:rsidRPr="00411DDF">
        <w:rPr>
          <w:sz w:val="24"/>
          <w:szCs w:val="24"/>
        </w:rPr>
        <w:t xml:space="preserve"> approach sets a strategy without specifying risk tolerances, and then allows results to migrate to whatever </w:t>
      </w:r>
      <w:r w:rsidR="007A183A" w:rsidRPr="00411DDF">
        <w:rPr>
          <w:sz w:val="24"/>
          <w:szCs w:val="24"/>
        </w:rPr>
        <w:t>costs or hedge losses arise</w:t>
      </w:r>
      <w:r w:rsidR="00DE5A84" w:rsidRPr="00411DDF">
        <w:rPr>
          <w:sz w:val="24"/>
          <w:szCs w:val="24"/>
        </w:rPr>
        <w:t xml:space="preserve"> from</w:t>
      </w:r>
      <w:r w:rsidR="004D231C" w:rsidRPr="00411DDF">
        <w:rPr>
          <w:sz w:val="24"/>
          <w:szCs w:val="24"/>
        </w:rPr>
        <w:t xml:space="preserve"> </w:t>
      </w:r>
      <w:r w:rsidR="00DE5A84" w:rsidRPr="00411DDF">
        <w:rPr>
          <w:sz w:val="24"/>
          <w:szCs w:val="24"/>
        </w:rPr>
        <w:t>changing volatility and the gas</w:t>
      </w:r>
      <w:r w:rsidR="004D231C" w:rsidRPr="00411DDF">
        <w:rPr>
          <w:sz w:val="24"/>
          <w:szCs w:val="24"/>
        </w:rPr>
        <w:t xml:space="preserve"> prices</w:t>
      </w:r>
      <w:r w:rsidR="00DE5A84" w:rsidRPr="00411DDF">
        <w:rPr>
          <w:sz w:val="24"/>
          <w:szCs w:val="24"/>
        </w:rPr>
        <w:t xml:space="preserve"> that result</w:t>
      </w:r>
      <w:r w:rsidR="004D231C" w:rsidRPr="00411DDF">
        <w:rPr>
          <w:sz w:val="24"/>
          <w:szCs w:val="24"/>
        </w:rPr>
        <w:t xml:space="preserve">. What would be required to </w:t>
      </w:r>
      <w:r w:rsidR="00DE5A84" w:rsidRPr="00411DDF">
        <w:rPr>
          <w:sz w:val="24"/>
          <w:szCs w:val="24"/>
        </w:rPr>
        <w:t xml:space="preserve">put the horse in front of the cart, i.e., to </w:t>
      </w:r>
      <w:r w:rsidR="004D231C" w:rsidRPr="00411DDF">
        <w:rPr>
          <w:sz w:val="24"/>
          <w:szCs w:val="24"/>
        </w:rPr>
        <w:t xml:space="preserve">set tolerances for upside cost outcomes and the size of </w:t>
      </w:r>
      <w:r w:rsidR="00DE5A84" w:rsidRPr="00411DDF">
        <w:rPr>
          <w:sz w:val="24"/>
          <w:szCs w:val="24"/>
        </w:rPr>
        <w:t>outlier</w:t>
      </w:r>
      <w:r w:rsidR="004D231C" w:rsidRPr="00411DDF">
        <w:rPr>
          <w:sz w:val="24"/>
          <w:szCs w:val="24"/>
        </w:rPr>
        <w:t xml:space="preserve"> hedge losses in </w:t>
      </w:r>
      <w:r w:rsidR="00DE5A84" w:rsidRPr="00411DDF">
        <w:rPr>
          <w:sz w:val="24"/>
          <w:szCs w:val="24"/>
        </w:rPr>
        <w:t xml:space="preserve">severe </w:t>
      </w:r>
      <w:r w:rsidR="004D231C" w:rsidRPr="00411DDF">
        <w:rPr>
          <w:sz w:val="24"/>
          <w:szCs w:val="24"/>
        </w:rPr>
        <w:t>market downturns</w:t>
      </w:r>
      <w:r w:rsidR="00DE5A84" w:rsidRPr="00411DDF">
        <w:rPr>
          <w:sz w:val="24"/>
          <w:szCs w:val="24"/>
        </w:rPr>
        <w:t>, and then design and execute a strategy to constrain results accordingly</w:t>
      </w:r>
      <w:r w:rsidR="004D231C" w:rsidRPr="00411DDF">
        <w:rPr>
          <w:sz w:val="24"/>
          <w:szCs w:val="24"/>
        </w:rPr>
        <w:t>?</w:t>
      </w:r>
      <w:r w:rsidR="00DE5A84" w:rsidRPr="00411DDF">
        <w:rPr>
          <w:sz w:val="24"/>
          <w:szCs w:val="24"/>
        </w:rPr>
        <w:t xml:space="preserve"> </w:t>
      </w:r>
      <w:r w:rsidR="008750CF">
        <w:rPr>
          <w:sz w:val="24"/>
          <w:szCs w:val="24"/>
        </w:rPr>
        <w:t>This key question is discussed below.</w:t>
      </w:r>
      <w:r w:rsidR="00DE5A84" w:rsidRPr="00841B52">
        <w:rPr>
          <w:sz w:val="24"/>
          <w:szCs w:val="24"/>
        </w:rPr>
        <w:t xml:space="preserve"> </w:t>
      </w:r>
    </w:p>
    <w:p w:rsidR="009327BE" w:rsidRPr="001075FC" w:rsidRDefault="009327BE" w:rsidP="00952D24">
      <w:pPr>
        <w:pStyle w:val="Heading2"/>
      </w:pPr>
      <w:bookmarkStart w:id="25" w:name="_Toc424039088"/>
      <w:r w:rsidRPr="001075FC">
        <w:t>Clear Understanding of the Nature of Risk and Risk Assessment</w:t>
      </w:r>
      <w:bookmarkEnd w:id="25"/>
    </w:p>
    <w:p w:rsidR="009327BE" w:rsidRPr="00841B52" w:rsidRDefault="004920A6" w:rsidP="00841B52">
      <w:pPr>
        <w:rPr>
          <w:rFonts w:cs="Times New Roman"/>
          <w:sz w:val="24"/>
          <w:szCs w:val="24"/>
        </w:rPr>
      </w:pPr>
      <w:r w:rsidRPr="00841B52">
        <w:rPr>
          <w:rFonts w:cs="Times New Roman"/>
          <w:sz w:val="24"/>
          <w:szCs w:val="24"/>
        </w:rPr>
        <w:t xml:space="preserve">Since </w:t>
      </w:r>
      <w:r w:rsidR="00B53353" w:rsidRPr="00841B52">
        <w:rPr>
          <w:rFonts w:cs="Times New Roman"/>
          <w:sz w:val="24"/>
          <w:szCs w:val="24"/>
        </w:rPr>
        <w:t>natural gas LDCs are by design “short” on natural gas,</w:t>
      </w:r>
      <w:r w:rsidRPr="00841B52">
        <w:rPr>
          <w:rFonts w:cs="Times New Roman"/>
          <w:sz w:val="24"/>
          <w:szCs w:val="24"/>
        </w:rPr>
        <w:t xml:space="preserve"> that is, they always need to purchase gas,</w:t>
      </w:r>
      <w:r w:rsidR="0007582D" w:rsidRPr="00841B52">
        <w:rPr>
          <w:rFonts w:cs="Times New Roman"/>
          <w:sz w:val="24"/>
          <w:szCs w:val="24"/>
        </w:rPr>
        <w:t xml:space="preserve"> gas-price risk takes two forms. When completely unhedged there is only </w:t>
      </w:r>
      <w:r w:rsidR="00C73C9F" w:rsidRPr="00841B52">
        <w:rPr>
          <w:rFonts w:cs="Times New Roman"/>
          <w:sz w:val="24"/>
          <w:szCs w:val="24"/>
        </w:rPr>
        <w:t xml:space="preserve">the </w:t>
      </w:r>
      <w:r w:rsidR="0007582D" w:rsidRPr="00841B52">
        <w:rPr>
          <w:rFonts w:cs="Times New Roman"/>
          <w:sz w:val="24"/>
          <w:szCs w:val="24"/>
        </w:rPr>
        <w:t>risk of increasing costs, and when fully hedged there is only risk of hedge losses.</w:t>
      </w:r>
      <w:r w:rsidR="00A36BC9" w:rsidRPr="00A36BC9">
        <w:rPr>
          <w:rStyle w:val="FootnoteReference"/>
          <w:rFonts w:ascii="Times New Roman" w:hAnsi="Times New Roman" w:cs="Times New Roman"/>
          <w:sz w:val="24"/>
          <w:szCs w:val="24"/>
        </w:rPr>
        <w:footnoteReference w:id="13"/>
      </w:r>
      <w:r w:rsidR="0007582D" w:rsidRPr="00841B52">
        <w:rPr>
          <w:rFonts w:cs="Times New Roman"/>
          <w:sz w:val="24"/>
          <w:szCs w:val="24"/>
        </w:rPr>
        <w:t xml:space="preserve"> Any hedge ratio between those extremes will produce a middle ground</w:t>
      </w:r>
      <w:r w:rsidR="007A183A" w:rsidRPr="00841B52">
        <w:rPr>
          <w:rFonts w:cs="Times New Roman"/>
          <w:sz w:val="24"/>
          <w:szCs w:val="24"/>
        </w:rPr>
        <w:t xml:space="preserve">. </w:t>
      </w:r>
      <w:r w:rsidR="00455292">
        <w:rPr>
          <w:rFonts w:cs="Times New Roman"/>
          <w:sz w:val="24"/>
          <w:szCs w:val="24"/>
        </w:rPr>
        <w:t>Since</w:t>
      </w:r>
      <w:r w:rsidR="0007582D" w:rsidRPr="00841B52">
        <w:rPr>
          <w:rFonts w:cs="Times New Roman"/>
          <w:sz w:val="24"/>
          <w:szCs w:val="24"/>
        </w:rPr>
        <w:t xml:space="preserve"> risk </w:t>
      </w:r>
      <w:r w:rsidR="00E35F27" w:rsidRPr="00841B52">
        <w:rPr>
          <w:rFonts w:cs="Times New Roman"/>
          <w:sz w:val="24"/>
          <w:szCs w:val="24"/>
        </w:rPr>
        <w:t>is</w:t>
      </w:r>
      <w:r w:rsidR="0007582D" w:rsidRPr="00841B52">
        <w:rPr>
          <w:rFonts w:cs="Times New Roman"/>
          <w:sz w:val="24"/>
          <w:szCs w:val="24"/>
        </w:rPr>
        <w:t xml:space="preserve"> polar</w:t>
      </w:r>
      <w:r w:rsidR="00841B52">
        <w:rPr>
          <w:rFonts w:cs="Times New Roman"/>
          <w:sz w:val="24"/>
          <w:szCs w:val="24"/>
        </w:rPr>
        <w:t>;</w:t>
      </w:r>
      <w:r w:rsidR="0007582D" w:rsidRPr="00841B52">
        <w:rPr>
          <w:rFonts w:cs="Times New Roman"/>
          <w:sz w:val="24"/>
          <w:szCs w:val="24"/>
        </w:rPr>
        <w:t xml:space="preserve"> </w:t>
      </w:r>
      <w:r w:rsidR="00841B52">
        <w:rPr>
          <w:rFonts w:cs="Times New Roman"/>
          <w:sz w:val="24"/>
          <w:szCs w:val="24"/>
        </w:rPr>
        <w:t>t</w:t>
      </w:r>
      <w:r w:rsidR="00E35F27" w:rsidRPr="00841B52">
        <w:rPr>
          <w:rFonts w:cs="Times New Roman"/>
          <w:sz w:val="24"/>
          <w:szCs w:val="24"/>
        </w:rPr>
        <w:t>here is “Cost Risk” and there is “Loss Risk.” Truth be told, hedging doesn’t reduce risk, it simply exchanges cost risk for loss risk. Any program designed to address one without addressing the other is bound for trouble.</w:t>
      </w:r>
      <w:r w:rsidR="007A183A" w:rsidRPr="00841B52">
        <w:rPr>
          <w:rFonts w:cs="Times New Roman"/>
          <w:sz w:val="24"/>
          <w:szCs w:val="24"/>
        </w:rPr>
        <w:t xml:space="preserve">  </w:t>
      </w:r>
    </w:p>
    <w:p w:rsidR="0019302D" w:rsidRPr="00841B52" w:rsidRDefault="0019302D" w:rsidP="00841B52">
      <w:pPr>
        <w:rPr>
          <w:rFonts w:cs="Times New Roman"/>
          <w:sz w:val="24"/>
          <w:szCs w:val="24"/>
        </w:rPr>
      </w:pPr>
      <w:r w:rsidRPr="0002468E">
        <w:rPr>
          <w:rFonts w:cs="Times New Roman"/>
          <w:sz w:val="24"/>
          <w:szCs w:val="24"/>
        </w:rPr>
        <w:t xml:space="preserve">Also, it is </w:t>
      </w:r>
      <w:r w:rsidR="00C73C9F" w:rsidRPr="0002468E">
        <w:rPr>
          <w:rFonts w:cs="Times New Roman"/>
          <w:sz w:val="24"/>
          <w:szCs w:val="24"/>
        </w:rPr>
        <w:t xml:space="preserve">fundamental </w:t>
      </w:r>
      <w:r w:rsidRPr="0002468E">
        <w:rPr>
          <w:rFonts w:cs="Times New Roman"/>
          <w:sz w:val="24"/>
          <w:szCs w:val="24"/>
        </w:rPr>
        <w:t xml:space="preserve">that price movements are not symmetrical in the two </w:t>
      </w:r>
      <w:r w:rsidR="00316AFF" w:rsidRPr="0002468E">
        <w:rPr>
          <w:rFonts w:cs="Times New Roman"/>
          <w:sz w:val="24"/>
          <w:szCs w:val="24"/>
        </w:rPr>
        <w:t xml:space="preserve">risk </w:t>
      </w:r>
      <w:r w:rsidRPr="0002468E">
        <w:rPr>
          <w:rFonts w:cs="Times New Roman"/>
          <w:sz w:val="24"/>
          <w:szCs w:val="24"/>
        </w:rPr>
        <w:t>directions</w:t>
      </w:r>
      <w:r w:rsidR="00D27F60" w:rsidRPr="0002468E">
        <w:rPr>
          <w:rFonts w:cs="Times New Roman"/>
          <w:sz w:val="24"/>
          <w:szCs w:val="24"/>
        </w:rPr>
        <w:t xml:space="preserve">. </w:t>
      </w:r>
      <w:r w:rsidRPr="0002468E">
        <w:rPr>
          <w:rFonts w:cs="Times New Roman"/>
          <w:sz w:val="24"/>
          <w:szCs w:val="24"/>
        </w:rPr>
        <w:t xml:space="preserve">Upside </w:t>
      </w:r>
      <w:proofErr w:type="gramStart"/>
      <w:r w:rsidRPr="0002468E">
        <w:rPr>
          <w:rFonts w:cs="Times New Roman"/>
          <w:sz w:val="24"/>
          <w:szCs w:val="24"/>
        </w:rPr>
        <w:t>prices</w:t>
      </w:r>
      <w:proofErr w:type="gramEnd"/>
      <w:r w:rsidRPr="0002468E">
        <w:rPr>
          <w:rFonts w:cs="Times New Roman"/>
          <w:sz w:val="24"/>
          <w:szCs w:val="24"/>
        </w:rPr>
        <w:t xml:space="preserve"> tend to be more dramatic, but less probable</w:t>
      </w:r>
      <w:r w:rsidR="00013DC4" w:rsidRPr="0002468E">
        <w:rPr>
          <w:rFonts w:cs="Times New Roman"/>
          <w:sz w:val="24"/>
          <w:szCs w:val="24"/>
        </w:rPr>
        <w:t>. D</w:t>
      </w:r>
      <w:r w:rsidRPr="0002468E">
        <w:rPr>
          <w:rFonts w:cs="Times New Roman"/>
          <w:sz w:val="24"/>
          <w:szCs w:val="24"/>
        </w:rPr>
        <w:t>ownside prices tend to be more probable, but less dramatic. This phenomenon can be observed in the actual history of Figure 1, but it also has implications for risk estimation. Figure 3 shows how an analyst, working with a $4 current futures price, would estimate one-year</w:t>
      </w:r>
      <w:r w:rsidRPr="0002468E">
        <w:rPr>
          <w:rFonts w:cs="Times New Roman"/>
          <w:sz w:val="24"/>
          <w:szCs w:val="24"/>
        </w:rPr>
        <w:noBreakHyphen/>
        <w:t>later price probabilities</w:t>
      </w:r>
      <w:r w:rsidR="00E32593" w:rsidRPr="0002468E">
        <w:rPr>
          <w:rFonts w:cs="Times New Roman"/>
          <w:sz w:val="24"/>
          <w:szCs w:val="24"/>
        </w:rPr>
        <w:t xml:space="preserve"> using a lognormal distribution to capture this asymmetry</w:t>
      </w:r>
      <w:r w:rsidRPr="00841B52">
        <w:rPr>
          <w:rFonts w:cs="Times New Roman"/>
          <w:sz w:val="24"/>
          <w:szCs w:val="24"/>
        </w:rPr>
        <w:t>.</w:t>
      </w:r>
      <w:r w:rsidR="00841B52">
        <w:rPr>
          <w:rFonts w:cs="Times New Roman"/>
          <w:sz w:val="24"/>
          <w:szCs w:val="24"/>
        </w:rPr>
        <w:t xml:space="preserve"> </w:t>
      </w:r>
    </w:p>
    <w:p w:rsidR="007A183A" w:rsidRPr="006F3C3D" w:rsidRDefault="007A183A" w:rsidP="00BB4181">
      <w:pPr>
        <w:keepNext/>
        <w:keepLines/>
        <w:pBdr>
          <w:top w:val="single" w:sz="4" w:space="1" w:color="auto"/>
        </w:pBdr>
        <w:spacing w:before="240" w:after="120"/>
        <w:jc w:val="both"/>
        <w:rPr>
          <w:b/>
          <w:sz w:val="21"/>
          <w:szCs w:val="21"/>
          <w:u w:val="single"/>
        </w:rPr>
      </w:pPr>
      <w:r w:rsidRPr="006F3C3D">
        <w:rPr>
          <w:b/>
          <w:sz w:val="21"/>
          <w:szCs w:val="21"/>
          <w:u w:val="single"/>
        </w:rPr>
        <w:t xml:space="preserve">Figure 3:  A Typical </w:t>
      </w:r>
      <w:r w:rsidR="0019302D" w:rsidRPr="006F3C3D">
        <w:rPr>
          <w:b/>
          <w:sz w:val="21"/>
          <w:szCs w:val="21"/>
          <w:u w:val="single"/>
        </w:rPr>
        <w:t>Risk Estimate for One</w:t>
      </w:r>
      <w:r w:rsidR="0019302D" w:rsidRPr="006F3C3D">
        <w:rPr>
          <w:b/>
          <w:sz w:val="21"/>
          <w:szCs w:val="21"/>
          <w:u w:val="single"/>
        </w:rPr>
        <w:noBreakHyphen/>
        <w:t>Year</w:t>
      </w:r>
      <w:r w:rsidR="0019302D" w:rsidRPr="006F3C3D">
        <w:rPr>
          <w:b/>
          <w:sz w:val="21"/>
          <w:szCs w:val="21"/>
          <w:u w:val="single"/>
        </w:rPr>
        <w:noBreakHyphen/>
        <w:t>Forward Outcomes</w:t>
      </w:r>
    </w:p>
    <w:p w:rsidR="007A183A" w:rsidRDefault="007A183A" w:rsidP="00A36BC9">
      <w:pPr>
        <w:keepNext/>
        <w:keepLines/>
        <w:jc w:val="both"/>
      </w:pPr>
      <w:r>
        <w:rPr>
          <w:noProof/>
        </w:rPr>
        <w:drawing>
          <wp:inline distT="0" distB="0" distL="0" distR="0" wp14:anchorId="645C83D4" wp14:editId="4C3A443E">
            <wp:extent cx="5410493" cy="2470245"/>
            <wp:effectExtent l="0" t="0" r="0" b="635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pic:nvPicPr>
                  <pic:blipFill rotWithShape="1">
                    <a:blip r:embed="rId12" cstate="print"/>
                    <a:srcRect l="8173" r="27885"/>
                    <a:stretch/>
                  </pic:blipFill>
                  <pic:spPr bwMode="auto">
                    <a:xfrm>
                      <a:off x="0" y="0"/>
                      <a:ext cx="5448247" cy="2487482"/>
                    </a:xfrm>
                    <a:prstGeom prst="rect">
                      <a:avLst/>
                    </a:prstGeom>
                    <a:noFill/>
                    <a:ln>
                      <a:noFill/>
                    </a:ln>
                    <a:extLst>
                      <a:ext uri="{53640926-AAD7-44D8-BBD7-CCE9431645EC}">
                        <a14:shadowObscured xmlns:a14="http://schemas.microsoft.com/office/drawing/2010/main"/>
                      </a:ext>
                    </a:extLst>
                  </pic:spPr>
                </pic:pic>
              </a:graphicData>
            </a:graphic>
          </wp:inline>
        </w:drawing>
      </w:r>
    </w:p>
    <w:p w:rsidR="0019302D" w:rsidRPr="0080483F" w:rsidRDefault="0019302D" w:rsidP="0019302D">
      <w:pPr>
        <w:keepNext/>
        <w:keepLines/>
        <w:pBdr>
          <w:top w:val="single" w:sz="4" w:space="1" w:color="auto"/>
        </w:pBdr>
        <w:jc w:val="both"/>
        <w:rPr>
          <w:sz w:val="18"/>
        </w:rPr>
      </w:pPr>
    </w:p>
    <w:p w:rsidR="0080483F" w:rsidRDefault="0080483F" w:rsidP="00841B52">
      <w:pPr>
        <w:rPr>
          <w:rFonts w:cs="Times New Roman"/>
          <w:sz w:val="24"/>
          <w:szCs w:val="24"/>
        </w:rPr>
      </w:pPr>
    </w:p>
    <w:p w:rsidR="00BA49FD" w:rsidRPr="00830792" w:rsidRDefault="007A183A" w:rsidP="00841B52">
      <w:pPr>
        <w:rPr>
          <w:rFonts w:cs="Times New Roman"/>
          <w:sz w:val="24"/>
          <w:szCs w:val="24"/>
        </w:rPr>
      </w:pPr>
      <w:r w:rsidRPr="00841B52">
        <w:rPr>
          <w:rFonts w:cs="Times New Roman"/>
          <w:sz w:val="24"/>
          <w:szCs w:val="24"/>
        </w:rPr>
        <w:t xml:space="preserve">Risk can be </w:t>
      </w:r>
      <w:r w:rsidRPr="0080483F">
        <w:rPr>
          <w:sz w:val="24"/>
          <w:szCs w:val="24"/>
        </w:rPr>
        <w:t>measured</w:t>
      </w:r>
      <w:r w:rsidRPr="00841B52">
        <w:rPr>
          <w:rFonts w:cs="Times New Roman"/>
          <w:sz w:val="24"/>
          <w:szCs w:val="24"/>
        </w:rPr>
        <w:t xml:space="preserve"> statistically</w:t>
      </w:r>
      <w:r w:rsidR="00EA3A0C" w:rsidRPr="00841B52">
        <w:rPr>
          <w:rFonts w:cs="Times New Roman"/>
          <w:sz w:val="24"/>
          <w:szCs w:val="24"/>
        </w:rPr>
        <w:t xml:space="preserve"> for a specified confidence level</w:t>
      </w:r>
      <w:r w:rsidRPr="00841B52">
        <w:rPr>
          <w:rFonts w:cs="Times New Roman"/>
          <w:sz w:val="24"/>
          <w:szCs w:val="24"/>
        </w:rPr>
        <w:t xml:space="preserve">. </w:t>
      </w:r>
      <w:r w:rsidR="00E32593" w:rsidRPr="00841B52">
        <w:rPr>
          <w:rFonts w:cs="Times New Roman"/>
          <w:sz w:val="24"/>
          <w:szCs w:val="24"/>
        </w:rPr>
        <w:t>Volatility can be measured by</w:t>
      </w:r>
      <w:r w:rsidRPr="00841B52">
        <w:rPr>
          <w:rFonts w:cs="Times New Roman"/>
          <w:sz w:val="24"/>
          <w:szCs w:val="24"/>
        </w:rPr>
        <w:t xml:space="preserve"> observing the </w:t>
      </w:r>
      <w:r w:rsidR="00EA3A0C" w:rsidRPr="00841B52">
        <w:rPr>
          <w:rFonts w:cs="Times New Roman"/>
          <w:sz w:val="24"/>
          <w:szCs w:val="24"/>
        </w:rPr>
        <w:t xml:space="preserve">standard deviation of the </w:t>
      </w:r>
      <w:r w:rsidRPr="00841B52">
        <w:rPr>
          <w:rFonts w:cs="Times New Roman"/>
          <w:sz w:val="24"/>
          <w:szCs w:val="24"/>
        </w:rPr>
        <w:t>daily ups and downs of price movements,</w:t>
      </w:r>
      <w:r w:rsidR="00EA3A0C" w:rsidRPr="00830792">
        <w:rPr>
          <w:rStyle w:val="FootnoteReference"/>
          <w:rFonts w:ascii="Times New Roman" w:hAnsi="Times New Roman" w:cs="Times New Roman"/>
          <w:sz w:val="24"/>
          <w:szCs w:val="24"/>
        </w:rPr>
        <w:footnoteReference w:id="14"/>
      </w:r>
      <w:r w:rsidRPr="00830792">
        <w:rPr>
          <w:rFonts w:cs="Times New Roman"/>
          <w:sz w:val="24"/>
          <w:szCs w:val="24"/>
        </w:rPr>
        <w:t xml:space="preserve"> </w:t>
      </w:r>
      <w:r w:rsidR="00E32593" w:rsidRPr="00830792">
        <w:rPr>
          <w:rFonts w:cs="Times New Roman"/>
          <w:sz w:val="24"/>
          <w:szCs w:val="24"/>
        </w:rPr>
        <w:t>and daily exposures can be extrapolated to weekly, monthly</w:t>
      </w:r>
      <w:r w:rsidR="00E322FF">
        <w:rPr>
          <w:rFonts w:cs="Times New Roman"/>
          <w:sz w:val="24"/>
          <w:szCs w:val="24"/>
        </w:rPr>
        <w:t>,</w:t>
      </w:r>
      <w:r w:rsidR="00E32593" w:rsidRPr="00830792">
        <w:rPr>
          <w:rFonts w:cs="Times New Roman"/>
          <w:sz w:val="24"/>
          <w:szCs w:val="24"/>
        </w:rPr>
        <w:t xml:space="preserve"> or annually by multiplying by the square root of time</w:t>
      </w:r>
      <w:r w:rsidRPr="00830792">
        <w:rPr>
          <w:rFonts w:cs="Times New Roman"/>
          <w:sz w:val="24"/>
          <w:szCs w:val="24"/>
        </w:rPr>
        <w:t xml:space="preserve">. </w:t>
      </w:r>
      <w:r w:rsidR="00E32593" w:rsidRPr="00830792">
        <w:rPr>
          <w:rFonts w:cs="Times New Roman"/>
          <w:sz w:val="24"/>
          <w:szCs w:val="24"/>
        </w:rPr>
        <w:t>For example, if the risk of price changes is $</w:t>
      </w:r>
      <w:r w:rsidR="00830792">
        <w:rPr>
          <w:rFonts w:cs="Times New Roman"/>
          <w:sz w:val="24"/>
          <w:szCs w:val="24"/>
        </w:rPr>
        <w:t>0</w:t>
      </w:r>
      <w:r w:rsidR="00E32593" w:rsidRPr="00830792">
        <w:rPr>
          <w:rFonts w:cs="Times New Roman"/>
          <w:sz w:val="24"/>
          <w:szCs w:val="24"/>
        </w:rPr>
        <w:t>.10 for a single business day, it would be $</w:t>
      </w:r>
      <w:r w:rsidR="00830792">
        <w:rPr>
          <w:rFonts w:cs="Times New Roman"/>
          <w:sz w:val="24"/>
          <w:szCs w:val="24"/>
        </w:rPr>
        <w:t>0</w:t>
      </w:r>
      <w:r w:rsidR="00E32593" w:rsidRPr="00830792">
        <w:rPr>
          <w:rFonts w:cs="Times New Roman"/>
          <w:sz w:val="24"/>
          <w:szCs w:val="24"/>
        </w:rPr>
        <w:t xml:space="preserve">.30 over the next </w:t>
      </w:r>
      <w:r w:rsidR="00E322FF">
        <w:rPr>
          <w:rFonts w:cs="Times New Roman"/>
          <w:sz w:val="24"/>
          <w:szCs w:val="24"/>
        </w:rPr>
        <w:t>nine</w:t>
      </w:r>
      <w:r w:rsidR="00E322FF" w:rsidRPr="00830792">
        <w:rPr>
          <w:rFonts w:cs="Times New Roman"/>
          <w:sz w:val="24"/>
          <w:szCs w:val="24"/>
        </w:rPr>
        <w:t xml:space="preserve"> </w:t>
      </w:r>
      <w:r w:rsidR="00E32593" w:rsidRPr="00830792">
        <w:rPr>
          <w:rFonts w:cs="Times New Roman"/>
          <w:sz w:val="24"/>
          <w:szCs w:val="24"/>
        </w:rPr>
        <w:t>business days and $1.59 over the next 252 business days (</w:t>
      </w:r>
      <w:r w:rsidR="00E322FF">
        <w:rPr>
          <w:rFonts w:cs="Times New Roman"/>
          <w:sz w:val="24"/>
          <w:szCs w:val="24"/>
        </w:rPr>
        <w:t>one</w:t>
      </w:r>
      <w:r w:rsidR="00E322FF" w:rsidRPr="00830792">
        <w:rPr>
          <w:rFonts w:cs="Times New Roman"/>
          <w:sz w:val="24"/>
          <w:szCs w:val="24"/>
        </w:rPr>
        <w:t xml:space="preserve"> </w:t>
      </w:r>
      <w:r w:rsidR="00E32593" w:rsidRPr="00830792">
        <w:rPr>
          <w:rFonts w:cs="Times New Roman"/>
          <w:sz w:val="24"/>
          <w:szCs w:val="24"/>
        </w:rPr>
        <w:t>year)</w:t>
      </w:r>
      <w:r w:rsidR="00D27F60" w:rsidRPr="00566E47">
        <w:rPr>
          <w:rFonts w:cs="Times New Roman"/>
          <w:sz w:val="24"/>
          <w:szCs w:val="24"/>
        </w:rPr>
        <w:t>. Typically,</w:t>
      </w:r>
      <w:r w:rsidR="00EA3A0C" w:rsidRPr="00830792">
        <w:rPr>
          <w:rFonts w:cs="Times New Roman"/>
          <w:sz w:val="24"/>
          <w:szCs w:val="24"/>
        </w:rPr>
        <w:t xml:space="preserve"> these might be estimated at 2-sigma confidence, meaning they would encompass all b</w:t>
      </w:r>
      <w:r w:rsidR="002B032E" w:rsidRPr="00830792">
        <w:rPr>
          <w:rFonts w:cs="Times New Roman"/>
          <w:sz w:val="24"/>
          <w:szCs w:val="24"/>
        </w:rPr>
        <w:t>ut</w:t>
      </w:r>
      <w:r w:rsidR="00EA3A0C" w:rsidRPr="00830792">
        <w:rPr>
          <w:rFonts w:cs="Times New Roman"/>
          <w:sz w:val="24"/>
          <w:szCs w:val="24"/>
        </w:rPr>
        <w:t xml:space="preserve"> about </w:t>
      </w:r>
      <w:r w:rsidR="0009483A" w:rsidRPr="00830792">
        <w:rPr>
          <w:rFonts w:cs="Times New Roman"/>
          <w:sz w:val="24"/>
          <w:szCs w:val="24"/>
        </w:rPr>
        <w:t>1</w:t>
      </w:r>
      <w:r w:rsidR="0009483A" w:rsidRPr="00830792">
        <w:rPr>
          <w:rFonts w:cs="Times New Roman"/>
          <w:sz w:val="24"/>
          <w:szCs w:val="24"/>
        </w:rPr>
        <w:noBreakHyphen/>
        <w:t>in</w:t>
      </w:r>
      <w:r w:rsidR="0009483A" w:rsidRPr="00830792">
        <w:rPr>
          <w:rFonts w:cs="Times New Roman"/>
          <w:sz w:val="24"/>
          <w:szCs w:val="24"/>
        </w:rPr>
        <w:noBreakHyphen/>
        <w:t>40</w:t>
      </w:r>
      <w:r w:rsidR="00EA3A0C" w:rsidRPr="00830792">
        <w:rPr>
          <w:rFonts w:cs="Times New Roman"/>
          <w:sz w:val="24"/>
          <w:szCs w:val="24"/>
        </w:rPr>
        <w:t xml:space="preserve"> outcomes.</w:t>
      </w:r>
    </w:p>
    <w:p w:rsidR="00EA3A0C" w:rsidRPr="00830792" w:rsidRDefault="00316AFF" w:rsidP="00841B52">
      <w:pPr>
        <w:rPr>
          <w:rFonts w:cs="Times New Roman"/>
          <w:sz w:val="24"/>
          <w:szCs w:val="24"/>
        </w:rPr>
      </w:pPr>
      <w:r w:rsidRPr="00830792">
        <w:rPr>
          <w:rFonts w:cs="Times New Roman"/>
          <w:sz w:val="24"/>
          <w:szCs w:val="24"/>
        </w:rPr>
        <w:t>Measuring risk is only the first step. T</w:t>
      </w:r>
      <w:r w:rsidR="0009483A" w:rsidRPr="00830792">
        <w:rPr>
          <w:rFonts w:cs="Times New Roman"/>
          <w:sz w:val="24"/>
          <w:szCs w:val="24"/>
        </w:rPr>
        <w:t>he value at risk (VaR)</w:t>
      </w:r>
      <w:r w:rsidRPr="00830792">
        <w:rPr>
          <w:rFonts w:cs="Times New Roman"/>
          <w:sz w:val="24"/>
          <w:szCs w:val="24"/>
        </w:rPr>
        <w:t xml:space="preserve"> must also be managed to effectively address risk. VaR is</w:t>
      </w:r>
      <w:r w:rsidR="0009483A" w:rsidRPr="00830792">
        <w:rPr>
          <w:rFonts w:cs="Times New Roman"/>
          <w:sz w:val="24"/>
          <w:szCs w:val="24"/>
        </w:rPr>
        <w:t xml:space="preserve"> </w:t>
      </w:r>
      <w:r w:rsidR="00D1425D" w:rsidRPr="00830792">
        <w:rPr>
          <w:rFonts w:cs="Times New Roman"/>
          <w:sz w:val="24"/>
          <w:szCs w:val="24"/>
        </w:rPr>
        <w:t xml:space="preserve">indicative of </w:t>
      </w:r>
      <w:r w:rsidR="0009483A" w:rsidRPr="00830792">
        <w:rPr>
          <w:rFonts w:cs="Times New Roman"/>
          <w:sz w:val="24"/>
          <w:szCs w:val="24"/>
        </w:rPr>
        <w:t xml:space="preserve">how much </w:t>
      </w:r>
      <w:r w:rsidRPr="00830792">
        <w:rPr>
          <w:rFonts w:cs="Times New Roman"/>
          <w:sz w:val="24"/>
          <w:szCs w:val="24"/>
        </w:rPr>
        <w:t xml:space="preserve">a company </w:t>
      </w:r>
      <w:r w:rsidR="0009483A" w:rsidRPr="00830792">
        <w:rPr>
          <w:rFonts w:cs="Times New Roman"/>
          <w:sz w:val="24"/>
          <w:szCs w:val="24"/>
        </w:rPr>
        <w:t xml:space="preserve">might see in cost increases, or how big hedge losses </w:t>
      </w:r>
      <w:r w:rsidRPr="00830792">
        <w:rPr>
          <w:rFonts w:cs="Times New Roman"/>
          <w:sz w:val="24"/>
          <w:szCs w:val="24"/>
        </w:rPr>
        <w:t xml:space="preserve">might </w:t>
      </w:r>
      <w:r w:rsidR="0009483A" w:rsidRPr="00830792">
        <w:rPr>
          <w:rFonts w:cs="Times New Roman"/>
          <w:sz w:val="24"/>
          <w:szCs w:val="24"/>
        </w:rPr>
        <w:t xml:space="preserve">become. For ease of reference, we can refer to these as VaR-C and VaR-L respectively. </w:t>
      </w:r>
      <w:r w:rsidR="00EA3A0C" w:rsidRPr="00830792">
        <w:rPr>
          <w:rFonts w:cs="Times New Roman"/>
          <w:sz w:val="24"/>
          <w:szCs w:val="24"/>
        </w:rPr>
        <w:t xml:space="preserve">If one were to do </w:t>
      </w:r>
      <w:r w:rsidR="0009483A" w:rsidRPr="00830792">
        <w:rPr>
          <w:rFonts w:cs="Times New Roman"/>
          <w:sz w:val="24"/>
          <w:szCs w:val="24"/>
        </w:rPr>
        <w:t>the</w:t>
      </w:r>
      <w:r w:rsidR="00EA3A0C" w:rsidRPr="00830792">
        <w:rPr>
          <w:rFonts w:cs="Times New Roman"/>
          <w:sz w:val="24"/>
          <w:szCs w:val="24"/>
        </w:rPr>
        <w:t xml:space="preserve"> risk assessment</w:t>
      </w:r>
      <w:r w:rsidR="0009483A" w:rsidRPr="00830792">
        <w:rPr>
          <w:rFonts w:cs="Times New Roman"/>
          <w:sz w:val="24"/>
          <w:szCs w:val="24"/>
        </w:rPr>
        <w:t xml:space="preserve"> described above</w:t>
      </w:r>
      <w:r w:rsidR="00EA3A0C" w:rsidRPr="00830792">
        <w:rPr>
          <w:rFonts w:cs="Times New Roman"/>
          <w:sz w:val="24"/>
          <w:szCs w:val="24"/>
        </w:rPr>
        <w:t xml:space="preserve"> for each forward contract month</w:t>
      </w:r>
      <w:r w:rsidR="0009483A" w:rsidRPr="00830792">
        <w:rPr>
          <w:rFonts w:cs="Times New Roman"/>
          <w:sz w:val="24"/>
          <w:szCs w:val="24"/>
        </w:rPr>
        <w:t>,</w:t>
      </w:r>
      <w:r w:rsidR="00EA3A0C" w:rsidRPr="00830792">
        <w:rPr>
          <w:rFonts w:cs="Times New Roman"/>
          <w:sz w:val="24"/>
          <w:szCs w:val="24"/>
        </w:rPr>
        <w:t xml:space="preserve"> </w:t>
      </w:r>
      <w:r w:rsidR="0009483A" w:rsidRPr="00830792">
        <w:rPr>
          <w:rFonts w:cs="Times New Roman"/>
          <w:sz w:val="24"/>
          <w:szCs w:val="24"/>
        </w:rPr>
        <w:t>VaR-C</w:t>
      </w:r>
      <w:r w:rsidR="00EA3A0C" w:rsidRPr="00830792">
        <w:rPr>
          <w:rFonts w:cs="Times New Roman"/>
          <w:sz w:val="24"/>
          <w:szCs w:val="24"/>
        </w:rPr>
        <w:t xml:space="preserve"> </w:t>
      </w:r>
      <w:r w:rsidR="00BB4181" w:rsidRPr="00830792">
        <w:rPr>
          <w:rFonts w:cs="Times New Roman"/>
          <w:sz w:val="24"/>
          <w:szCs w:val="24"/>
        </w:rPr>
        <w:t>would be</w:t>
      </w:r>
      <w:r w:rsidR="00EA3A0C" w:rsidRPr="00830792">
        <w:rPr>
          <w:rFonts w:cs="Times New Roman"/>
          <w:sz w:val="24"/>
          <w:szCs w:val="24"/>
        </w:rPr>
        <w:t xml:space="preserve"> the potential upward price migration </w:t>
      </w:r>
      <w:r w:rsidR="00BB4181" w:rsidRPr="00830792">
        <w:rPr>
          <w:rFonts w:cs="Times New Roman"/>
          <w:sz w:val="24"/>
          <w:szCs w:val="24"/>
        </w:rPr>
        <w:t xml:space="preserve">for each month </w:t>
      </w:r>
      <w:r w:rsidR="00EA3A0C" w:rsidRPr="00830792">
        <w:rPr>
          <w:rFonts w:cs="Times New Roman"/>
          <w:sz w:val="24"/>
          <w:szCs w:val="24"/>
        </w:rPr>
        <w:t xml:space="preserve">multiplied by the </w:t>
      </w:r>
      <w:r w:rsidR="00BB4181" w:rsidRPr="00830792">
        <w:rPr>
          <w:rFonts w:cs="Times New Roman"/>
          <w:sz w:val="24"/>
          <w:szCs w:val="24"/>
        </w:rPr>
        <w:t xml:space="preserve">respective </w:t>
      </w:r>
      <w:r w:rsidR="00EA3A0C" w:rsidRPr="00830792">
        <w:rPr>
          <w:rFonts w:cs="Times New Roman"/>
          <w:sz w:val="24"/>
          <w:szCs w:val="24"/>
        </w:rPr>
        <w:t xml:space="preserve">unhedged volumes; </w:t>
      </w:r>
      <w:r w:rsidR="0009483A" w:rsidRPr="00830792">
        <w:rPr>
          <w:rFonts w:cs="Times New Roman"/>
          <w:sz w:val="24"/>
          <w:szCs w:val="24"/>
        </w:rPr>
        <w:t>VaR-L</w:t>
      </w:r>
      <w:r w:rsidR="00EA3A0C" w:rsidRPr="00830792">
        <w:rPr>
          <w:rFonts w:cs="Times New Roman"/>
          <w:sz w:val="24"/>
          <w:szCs w:val="24"/>
        </w:rPr>
        <w:t xml:space="preserve"> </w:t>
      </w:r>
      <w:r w:rsidR="00BB4181" w:rsidRPr="00830792">
        <w:rPr>
          <w:rFonts w:cs="Times New Roman"/>
          <w:sz w:val="24"/>
          <w:szCs w:val="24"/>
        </w:rPr>
        <w:t xml:space="preserve">would be </w:t>
      </w:r>
      <w:r w:rsidR="00EA3A0C" w:rsidRPr="00830792">
        <w:rPr>
          <w:rFonts w:cs="Times New Roman"/>
          <w:sz w:val="24"/>
          <w:szCs w:val="24"/>
        </w:rPr>
        <w:t xml:space="preserve">the potential downward price migration </w:t>
      </w:r>
      <w:r w:rsidR="00BB4181" w:rsidRPr="00830792">
        <w:rPr>
          <w:rFonts w:cs="Times New Roman"/>
          <w:sz w:val="24"/>
          <w:szCs w:val="24"/>
        </w:rPr>
        <w:t>for each forward contract month multiplied by</w:t>
      </w:r>
      <w:r w:rsidR="00EA3A0C" w:rsidRPr="00830792">
        <w:rPr>
          <w:rFonts w:cs="Times New Roman"/>
          <w:sz w:val="24"/>
          <w:szCs w:val="24"/>
        </w:rPr>
        <w:t xml:space="preserve"> the </w:t>
      </w:r>
      <w:r w:rsidR="00BB4181" w:rsidRPr="00830792">
        <w:rPr>
          <w:rFonts w:cs="Times New Roman"/>
          <w:sz w:val="24"/>
          <w:szCs w:val="24"/>
        </w:rPr>
        <w:t xml:space="preserve">respective </w:t>
      </w:r>
      <w:r w:rsidR="00EA3A0C" w:rsidRPr="00830792">
        <w:rPr>
          <w:rFonts w:cs="Times New Roman"/>
          <w:sz w:val="24"/>
          <w:szCs w:val="24"/>
        </w:rPr>
        <w:t>hedged volumes.</w:t>
      </w:r>
      <w:r w:rsidR="00804A46" w:rsidRPr="00830792">
        <w:rPr>
          <w:rFonts w:cs="Times New Roman"/>
          <w:sz w:val="24"/>
          <w:szCs w:val="24"/>
        </w:rPr>
        <w:t xml:space="preserve"> The 1-in-40 cost outcome would then be the current cost estimate plus VaR-C, and the 1-in-40 hedge loss outcome would be the current forward mark to market plus VaR-L.</w:t>
      </w:r>
    </w:p>
    <w:p w:rsidR="00E35F27" w:rsidRPr="00830792" w:rsidRDefault="00804A46" w:rsidP="00841B52">
      <w:pPr>
        <w:keepNext/>
        <w:keepLines/>
        <w:rPr>
          <w:rFonts w:cs="Times New Roman"/>
          <w:sz w:val="24"/>
          <w:szCs w:val="24"/>
        </w:rPr>
      </w:pPr>
      <w:r w:rsidRPr="00830792">
        <w:rPr>
          <w:rFonts w:cs="Times New Roman"/>
          <w:sz w:val="24"/>
          <w:szCs w:val="24"/>
        </w:rPr>
        <w:t>This brief discussion represents the heart of risk assessment from a quantitative finance perspective</w:t>
      </w:r>
      <w:r w:rsidR="00316AFF" w:rsidRPr="00830792">
        <w:rPr>
          <w:rFonts w:cs="Times New Roman"/>
          <w:sz w:val="24"/>
          <w:szCs w:val="24"/>
        </w:rPr>
        <w:t>. It is nonetheless worth</w:t>
      </w:r>
      <w:r w:rsidRPr="00830792">
        <w:rPr>
          <w:rFonts w:cs="Times New Roman"/>
          <w:sz w:val="24"/>
          <w:szCs w:val="24"/>
        </w:rPr>
        <w:t xml:space="preserve"> emphasizing a few points</w:t>
      </w:r>
      <w:r w:rsidR="00CD069C" w:rsidRPr="00830792">
        <w:rPr>
          <w:rFonts w:cs="Times New Roman"/>
          <w:sz w:val="24"/>
          <w:szCs w:val="24"/>
        </w:rPr>
        <w:t xml:space="preserve">, particularly </w:t>
      </w:r>
      <w:r w:rsidR="00DD55D8">
        <w:rPr>
          <w:rFonts w:cs="Times New Roman"/>
          <w:sz w:val="24"/>
          <w:szCs w:val="24"/>
        </w:rPr>
        <w:t>because</w:t>
      </w:r>
      <w:r w:rsidR="00DD55D8" w:rsidRPr="00830792">
        <w:rPr>
          <w:rFonts w:cs="Times New Roman"/>
          <w:sz w:val="24"/>
          <w:szCs w:val="24"/>
        </w:rPr>
        <w:t xml:space="preserve"> </w:t>
      </w:r>
      <w:r w:rsidR="00CD069C" w:rsidRPr="00830792">
        <w:rPr>
          <w:rFonts w:cs="Times New Roman"/>
          <w:sz w:val="24"/>
          <w:szCs w:val="24"/>
        </w:rPr>
        <w:t>some could influence regulatory views</w:t>
      </w:r>
      <w:r w:rsidRPr="00830792">
        <w:rPr>
          <w:rFonts w:cs="Times New Roman"/>
          <w:sz w:val="24"/>
          <w:szCs w:val="24"/>
        </w:rPr>
        <w:t>:</w:t>
      </w:r>
    </w:p>
    <w:p w:rsidR="00804A46" w:rsidRPr="00830792" w:rsidRDefault="00804A46" w:rsidP="00841B52">
      <w:pPr>
        <w:pStyle w:val="ListParagraph"/>
        <w:numPr>
          <w:ilvl w:val="0"/>
          <w:numId w:val="12"/>
        </w:numPr>
        <w:contextualSpacing w:val="0"/>
        <w:rPr>
          <w:rFonts w:cs="Times New Roman"/>
          <w:sz w:val="24"/>
          <w:szCs w:val="24"/>
        </w:rPr>
      </w:pPr>
      <w:r w:rsidRPr="00830792">
        <w:rPr>
          <w:rFonts w:cs="Times New Roman"/>
          <w:sz w:val="24"/>
          <w:szCs w:val="24"/>
        </w:rPr>
        <w:t xml:space="preserve">Risk estimates are only useful if they are actionable. </w:t>
      </w:r>
      <w:r w:rsidR="00316AFF" w:rsidRPr="00830792">
        <w:rPr>
          <w:rFonts w:cs="Times New Roman"/>
          <w:sz w:val="24"/>
          <w:szCs w:val="24"/>
        </w:rPr>
        <w:t>I</w:t>
      </w:r>
      <w:r w:rsidRPr="00830792">
        <w:rPr>
          <w:rFonts w:cs="Times New Roman"/>
          <w:sz w:val="24"/>
          <w:szCs w:val="24"/>
        </w:rPr>
        <w:t xml:space="preserve">f it </w:t>
      </w:r>
      <w:r w:rsidR="00CD069C" w:rsidRPr="00830792">
        <w:rPr>
          <w:rFonts w:cs="Times New Roman"/>
          <w:sz w:val="24"/>
          <w:szCs w:val="24"/>
        </w:rPr>
        <w:t xml:space="preserve">will </w:t>
      </w:r>
      <w:r w:rsidRPr="00830792">
        <w:rPr>
          <w:rFonts w:cs="Times New Roman"/>
          <w:sz w:val="24"/>
          <w:szCs w:val="24"/>
        </w:rPr>
        <w:t>take two weeks to execute responsive hedges, the risk estimates should reflect no less than a two-week forward potential price migration. The time interval described here is typically referred to as a “Holding Period.”</w:t>
      </w:r>
      <w:r w:rsidR="00D1425D" w:rsidRPr="00830792">
        <w:rPr>
          <w:rFonts w:cs="Times New Roman"/>
          <w:sz w:val="24"/>
          <w:szCs w:val="24"/>
        </w:rPr>
        <w:t xml:space="preserve"> Note that Figure 3</w:t>
      </w:r>
      <w:r w:rsidR="0081021F" w:rsidRPr="00830792">
        <w:rPr>
          <w:rFonts w:cs="Times New Roman"/>
          <w:sz w:val="24"/>
          <w:szCs w:val="24"/>
        </w:rPr>
        <w:t xml:space="preserve"> above</w:t>
      </w:r>
      <w:r w:rsidR="00D1425D" w:rsidRPr="00830792">
        <w:rPr>
          <w:rFonts w:cs="Times New Roman"/>
          <w:sz w:val="24"/>
          <w:szCs w:val="24"/>
        </w:rPr>
        <w:t xml:space="preserve"> shows the risk for a full year. If hedge responses could be executed in </w:t>
      </w:r>
      <w:r w:rsidR="00C22A97" w:rsidRPr="00830792">
        <w:rPr>
          <w:rFonts w:cs="Times New Roman"/>
          <w:sz w:val="24"/>
          <w:szCs w:val="24"/>
        </w:rPr>
        <w:t>two weeks (</w:t>
      </w:r>
      <w:r w:rsidR="00B53353" w:rsidRPr="00830792">
        <w:rPr>
          <w:rFonts w:cs="Times New Roman"/>
          <w:sz w:val="24"/>
          <w:szCs w:val="24"/>
        </w:rPr>
        <w:t>ten business days</w:t>
      </w:r>
      <w:r w:rsidR="00C22A97" w:rsidRPr="00830792">
        <w:rPr>
          <w:rFonts w:cs="Times New Roman"/>
          <w:sz w:val="24"/>
          <w:szCs w:val="24"/>
        </w:rPr>
        <w:t>), the risk would be about one-fifth as great</w:t>
      </w:r>
      <w:r w:rsidR="00C7436B" w:rsidRPr="00830792">
        <w:rPr>
          <w:rFonts w:cs="Times New Roman"/>
          <w:sz w:val="24"/>
          <w:szCs w:val="24"/>
        </w:rPr>
        <w:t xml:space="preserve"> as that shown in figure 3</w:t>
      </w:r>
      <w:r w:rsidR="00C22A97" w:rsidRPr="00830792">
        <w:rPr>
          <w:rFonts w:cs="Times New Roman"/>
          <w:sz w:val="24"/>
          <w:szCs w:val="24"/>
        </w:rPr>
        <w:t>.</w:t>
      </w:r>
      <w:r w:rsidR="00C22A97" w:rsidRPr="00830792">
        <w:rPr>
          <w:rStyle w:val="FootnoteReference"/>
          <w:rFonts w:ascii="Times New Roman" w:hAnsi="Times New Roman" w:cs="Times New Roman"/>
          <w:sz w:val="24"/>
          <w:szCs w:val="24"/>
        </w:rPr>
        <w:footnoteReference w:id="15"/>
      </w:r>
      <w:r w:rsidR="00C22A97" w:rsidRPr="00830792">
        <w:rPr>
          <w:rFonts w:cs="Times New Roman"/>
          <w:sz w:val="24"/>
          <w:szCs w:val="24"/>
        </w:rPr>
        <w:t xml:space="preserve"> It is easier</w:t>
      </w:r>
      <w:r w:rsidR="0081021F" w:rsidRPr="00830792">
        <w:rPr>
          <w:rFonts w:cs="Times New Roman"/>
          <w:sz w:val="24"/>
          <w:szCs w:val="24"/>
        </w:rPr>
        <w:t xml:space="preserve"> and more effective</w:t>
      </w:r>
      <w:r w:rsidR="00C22A97" w:rsidRPr="00830792">
        <w:rPr>
          <w:rFonts w:cs="Times New Roman"/>
          <w:sz w:val="24"/>
          <w:szCs w:val="24"/>
        </w:rPr>
        <w:t xml:space="preserve"> to manage risk in smaller increments, so a quicker response time is advantageous.</w:t>
      </w:r>
    </w:p>
    <w:p w:rsidR="00804A46" w:rsidRPr="00830792" w:rsidRDefault="00804A46" w:rsidP="00841B52">
      <w:pPr>
        <w:pStyle w:val="ListParagraph"/>
        <w:numPr>
          <w:ilvl w:val="0"/>
          <w:numId w:val="12"/>
        </w:numPr>
        <w:contextualSpacing w:val="0"/>
        <w:rPr>
          <w:rFonts w:cs="Times New Roman"/>
          <w:sz w:val="24"/>
          <w:szCs w:val="24"/>
        </w:rPr>
      </w:pPr>
      <w:r w:rsidRPr="00830792">
        <w:rPr>
          <w:rFonts w:cs="Times New Roman"/>
          <w:sz w:val="24"/>
          <w:szCs w:val="24"/>
        </w:rPr>
        <w:t>There can never be absolute confidence. Estimating 1-in-40 probabilities, by definition</w:t>
      </w:r>
      <w:r w:rsidR="00B53353" w:rsidRPr="00830792">
        <w:rPr>
          <w:rFonts w:cs="Times New Roman"/>
          <w:sz w:val="24"/>
          <w:szCs w:val="24"/>
        </w:rPr>
        <w:t>,</w:t>
      </w:r>
      <w:r w:rsidRPr="00830792">
        <w:rPr>
          <w:rFonts w:cs="Times New Roman"/>
          <w:sz w:val="24"/>
          <w:szCs w:val="24"/>
        </w:rPr>
        <w:t xml:space="preserve"> means that one time in forty</w:t>
      </w:r>
      <w:r w:rsidR="00CD069C" w:rsidRPr="00830792">
        <w:rPr>
          <w:rFonts w:cs="Times New Roman"/>
          <w:sz w:val="24"/>
          <w:szCs w:val="24"/>
        </w:rPr>
        <w:t>,</w:t>
      </w:r>
      <w:r w:rsidRPr="00830792">
        <w:rPr>
          <w:rFonts w:cs="Times New Roman"/>
          <w:sz w:val="24"/>
          <w:szCs w:val="24"/>
        </w:rPr>
        <w:t xml:space="preserve"> results could fall outside of the risk estimate.</w:t>
      </w:r>
      <w:r w:rsidR="00CD069C" w:rsidRPr="00830792">
        <w:rPr>
          <w:rFonts w:cs="Times New Roman"/>
          <w:sz w:val="24"/>
          <w:szCs w:val="24"/>
        </w:rPr>
        <w:t xml:space="preserve"> If that confidence level is inadequate</w:t>
      </w:r>
      <w:r w:rsidR="00316AFF" w:rsidRPr="00830792">
        <w:rPr>
          <w:rFonts w:cs="Times New Roman"/>
          <w:sz w:val="24"/>
          <w:szCs w:val="24"/>
        </w:rPr>
        <w:t>,</w:t>
      </w:r>
      <w:r w:rsidR="00CD069C" w:rsidRPr="00830792">
        <w:rPr>
          <w:rFonts w:cs="Times New Roman"/>
          <w:sz w:val="24"/>
          <w:szCs w:val="24"/>
        </w:rPr>
        <w:t xml:space="preserve"> a higher confidence can be used.</w:t>
      </w:r>
    </w:p>
    <w:p w:rsidR="00CD069C" w:rsidRPr="00846DAF" w:rsidRDefault="00846DAF" w:rsidP="00846DAF">
      <w:pPr>
        <w:pStyle w:val="ListParagraph"/>
        <w:numPr>
          <w:ilvl w:val="0"/>
          <w:numId w:val="12"/>
        </w:numPr>
        <w:jc w:val="both"/>
      </w:pPr>
      <w:r>
        <w:t xml:space="preserve">When </w:t>
      </w:r>
      <w:r w:rsidRPr="00846DAF">
        <w:t xml:space="preserve">1-in-40 </w:t>
      </w:r>
      <w:r>
        <w:t>risk estimates are used, results will occasionally exceed tolerances</w:t>
      </w:r>
      <w:r w:rsidR="00D27F60">
        <w:t xml:space="preserve">. </w:t>
      </w:r>
      <w:r>
        <w:t>This is a normal condition related to statistical estimation and does not require a “black swan” event</w:t>
      </w:r>
      <w:r w:rsidR="00D27F60">
        <w:t xml:space="preserve">. </w:t>
      </w:r>
      <w:r w:rsidR="00CD069C" w:rsidRPr="00846DAF">
        <w:t>The term “black swan” has become famous</w:t>
      </w:r>
      <w:r>
        <w:t xml:space="preserve"> but is often misunderstood</w:t>
      </w:r>
      <w:r w:rsidR="00D27F60" w:rsidRPr="00846DAF">
        <w:t xml:space="preserve">. </w:t>
      </w:r>
      <w:r w:rsidR="00CD069C" w:rsidRPr="00846DAF">
        <w:t>It was coined by Nassim Taleb in a book by the same name.</w:t>
      </w:r>
      <w:r w:rsidR="0081021F" w:rsidRPr="00846DAF">
        <w:rPr>
          <w:rStyle w:val="FootnoteReference"/>
        </w:rPr>
        <w:t xml:space="preserve"> </w:t>
      </w:r>
      <w:r w:rsidR="0081021F" w:rsidRPr="00846DAF">
        <w:rPr>
          <w:rStyle w:val="FootnoteReference"/>
        </w:rPr>
        <w:footnoteReference w:id="16"/>
      </w:r>
      <w:r w:rsidR="00CD069C" w:rsidRPr="00846DAF">
        <w:rPr>
          <w:rFonts w:cs="Times New Roman"/>
        </w:rPr>
        <w:t xml:space="preserve">  Black swans are, by definition, unpredictable and dramatic</w:t>
      </w:r>
      <w:r>
        <w:rPr>
          <w:rFonts w:cs="Times New Roman"/>
        </w:rPr>
        <w:t>; they do not reflect routine statistical estimates</w:t>
      </w:r>
      <w:r w:rsidR="00D27F60" w:rsidRPr="00846DAF">
        <w:rPr>
          <w:rFonts w:cs="Times New Roman"/>
        </w:rPr>
        <w:t xml:space="preserve">. </w:t>
      </w:r>
      <w:r>
        <w:rPr>
          <w:rFonts w:cs="Times New Roman"/>
        </w:rPr>
        <w:t xml:space="preserve">Prudence assessments must </w:t>
      </w:r>
      <w:r w:rsidR="00322CD5">
        <w:rPr>
          <w:rFonts w:cs="Times New Roman"/>
        </w:rPr>
        <w:t>consider</w:t>
      </w:r>
      <w:r>
        <w:rPr>
          <w:rFonts w:cs="Times New Roman"/>
        </w:rPr>
        <w:t xml:space="preserve"> that “outlier” outcomes could be black swan related, </w:t>
      </w:r>
      <w:r w:rsidR="00322CD5">
        <w:rPr>
          <w:rFonts w:cs="Times New Roman"/>
        </w:rPr>
        <w:t>or</w:t>
      </w:r>
      <w:r>
        <w:rPr>
          <w:rFonts w:cs="Times New Roman"/>
        </w:rPr>
        <w:t xml:space="preserve"> they could reflect routine outcomes that fall outside o</w:t>
      </w:r>
      <w:r w:rsidR="000A73B5">
        <w:rPr>
          <w:rFonts w:cs="Times New Roman"/>
        </w:rPr>
        <w:t>f the 1-in-40 risk estimates, but both are extraneous factors</w:t>
      </w:r>
      <w:r w:rsidR="00D27F60">
        <w:rPr>
          <w:rFonts w:cs="Times New Roman"/>
        </w:rPr>
        <w:t xml:space="preserve">. </w:t>
      </w:r>
      <w:r w:rsidR="00322CD5">
        <w:rPr>
          <w:rFonts w:cs="Times New Roman"/>
        </w:rPr>
        <w:t>A finding of imprudence should probably be associated with an inadequate strategy, lack of diligence in conducting risk measurements, or faulty execution of an approved strategy.</w:t>
      </w:r>
    </w:p>
    <w:p w:rsidR="009327BE" w:rsidRPr="006558ED" w:rsidRDefault="00CD069C" w:rsidP="008E4C1D">
      <w:pPr>
        <w:pStyle w:val="Heading1"/>
      </w:pPr>
      <w:bookmarkStart w:id="26" w:name="_Toc411341379"/>
      <w:bookmarkStart w:id="27" w:name="_Toc424039089"/>
      <w:r w:rsidRPr="006558ED">
        <w:t>Strategy Development</w:t>
      </w:r>
      <w:bookmarkEnd w:id="26"/>
      <w:bookmarkEnd w:id="27"/>
    </w:p>
    <w:p w:rsidR="002342D1" w:rsidRPr="00A056E0" w:rsidRDefault="00316AFF" w:rsidP="00A056E0">
      <w:pPr>
        <w:spacing w:after="120"/>
        <w:rPr>
          <w:rFonts w:cs="Times New Roman"/>
          <w:sz w:val="24"/>
          <w:szCs w:val="24"/>
        </w:rPr>
      </w:pPr>
      <w:r w:rsidRPr="00A056E0">
        <w:rPr>
          <w:rFonts w:cs="Times New Roman"/>
          <w:sz w:val="24"/>
          <w:szCs w:val="24"/>
        </w:rPr>
        <w:t>I</w:t>
      </w:r>
      <w:r w:rsidR="002342D1" w:rsidRPr="00A056E0">
        <w:rPr>
          <w:rFonts w:cs="Times New Roman"/>
          <w:sz w:val="24"/>
          <w:szCs w:val="24"/>
        </w:rPr>
        <w:t xml:space="preserve">t would be ideal if </w:t>
      </w:r>
      <w:r w:rsidRPr="00A056E0">
        <w:rPr>
          <w:rFonts w:cs="Times New Roman"/>
          <w:sz w:val="24"/>
          <w:szCs w:val="24"/>
        </w:rPr>
        <w:t xml:space="preserve">firms </w:t>
      </w:r>
      <w:r w:rsidR="002342D1" w:rsidRPr="00A056E0">
        <w:rPr>
          <w:rFonts w:cs="Times New Roman"/>
          <w:sz w:val="24"/>
          <w:szCs w:val="24"/>
        </w:rPr>
        <w:t>could only hedge when necessary</w:t>
      </w:r>
      <w:r w:rsidR="00C7436B" w:rsidRPr="00A056E0">
        <w:rPr>
          <w:rFonts w:cs="Times New Roman"/>
          <w:sz w:val="24"/>
          <w:szCs w:val="24"/>
        </w:rPr>
        <w:t xml:space="preserve"> to minimize the risk of increasing costs</w:t>
      </w:r>
      <w:r w:rsidRPr="00A056E0">
        <w:rPr>
          <w:rFonts w:cs="Times New Roman"/>
          <w:sz w:val="24"/>
          <w:szCs w:val="24"/>
        </w:rPr>
        <w:t xml:space="preserve">, </w:t>
      </w:r>
      <w:r w:rsidR="00CE3B50" w:rsidRPr="00A056E0">
        <w:rPr>
          <w:rFonts w:cs="Times New Roman"/>
          <w:sz w:val="24"/>
          <w:szCs w:val="24"/>
        </w:rPr>
        <w:t xml:space="preserve">and </w:t>
      </w:r>
      <w:r w:rsidRPr="00A056E0">
        <w:rPr>
          <w:rFonts w:cs="Times New Roman"/>
          <w:sz w:val="24"/>
          <w:szCs w:val="24"/>
        </w:rPr>
        <w:t xml:space="preserve">avoid unnecessary hedges </w:t>
      </w:r>
      <w:r w:rsidR="00CE3B50" w:rsidRPr="00A056E0">
        <w:rPr>
          <w:rFonts w:cs="Times New Roman"/>
          <w:sz w:val="24"/>
          <w:szCs w:val="24"/>
        </w:rPr>
        <w:t xml:space="preserve">to </w:t>
      </w:r>
      <w:r w:rsidRPr="00A056E0">
        <w:rPr>
          <w:rFonts w:cs="Times New Roman"/>
          <w:sz w:val="24"/>
          <w:szCs w:val="24"/>
        </w:rPr>
        <w:t>constrain loss potential</w:t>
      </w:r>
      <w:r w:rsidR="00C7436B" w:rsidRPr="00A056E0">
        <w:rPr>
          <w:rFonts w:cs="Times New Roman"/>
          <w:sz w:val="24"/>
          <w:szCs w:val="24"/>
        </w:rPr>
        <w:t xml:space="preserve">. </w:t>
      </w:r>
      <w:r w:rsidR="002342D1" w:rsidRPr="00A056E0">
        <w:rPr>
          <w:rFonts w:cs="Times New Roman"/>
          <w:sz w:val="24"/>
          <w:szCs w:val="24"/>
        </w:rPr>
        <w:t>The obvious question</w:t>
      </w:r>
      <w:r w:rsidRPr="00A056E0">
        <w:rPr>
          <w:rFonts w:cs="Times New Roman"/>
          <w:sz w:val="24"/>
          <w:szCs w:val="24"/>
        </w:rPr>
        <w:t>,</w:t>
      </w:r>
      <w:r w:rsidR="002342D1" w:rsidRPr="00A056E0">
        <w:rPr>
          <w:rFonts w:cs="Times New Roman"/>
          <w:sz w:val="24"/>
          <w:szCs w:val="24"/>
        </w:rPr>
        <w:t xml:space="preserve"> then</w:t>
      </w:r>
      <w:r w:rsidRPr="00A056E0">
        <w:rPr>
          <w:rFonts w:cs="Times New Roman"/>
          <w:sz w:val="24"/>
          <w:szCs w:val="24"/>
        </w:rPr>
        <w:t>,</w:t>
      </w:r>
      <w:r w:rsidR="002342D1" w:rsidRPr="00A056E0">
        <w:rPr>
          <w:rFonts w:cs="Times New Roman"/>
          <w:sz w:val="24"/>
          <w:szCs w:val="24"/>
        </w:rPr>
        <w:t xml:space="preserve"> is how </w:t>
      </w:r>
      <w:r w:rsidR="00C7436B" w:rsidRPr="00A056E0">
        <w:rPr>
          <w:rFonts w:cs="Times New Roman"/>
          <w:sz w:val="24"/>
          <w:szCs w:val="24"/>
        </w:rPr>
        <w:t>one could</w:t>
      </w:r>
      <w:r w:rsidRPr="00A056E0">
        <w:rPr>
          <w:rFonts w:cs="Times New Roman"/>
          <w:sz w:val="24"/>
          <w:szCs w:val="24"/>
        </w:rPr>
        <w:t xml:space="preserve"> know</w:t>
      </w:r>
      <w:r w:rsidR="002342D1" w:rsidRPr="00A056E0">
        <w:rPr>
          <w:rFonts w:cs="Times New Roman"/>
          <w:sz w:val="24"/>
          <w:szCs w:val="24"/>
        </w:rPr>
        <w:t xml:space="preserve"> when hedges are necessary and when they are not.</w:t>
      </w:r>
      <w:r w:rsidR="00C0765F" w:rsidRPr="00A056E0">
        <w:rPr>
          <w:rFonts w:cs="Times New Roman"/>
          <w:sz w:val="24"/>
          <w:szCs w:val="24"/>
        </w:rPr>
        <w:t xml:space="preserve"> The risk assessment methods described above provide a solution. </w:t>
      </w:r>
      <w:r w:rsidRPr="00A056E0">
        <w:rPr>
          <w:rFonts w:cs="Times New Roman"/>
          <w:sz w:val="24"/>
          <w:szCs w:val="24"/>
        </w:rPr>
        <w:t>T</w:t>
      </w:r>
      <w:r w:rsidR="00C0765F" w:rsidRPr="00A056E0">
        <w:rPr>
          <w:rFonts w:cs="Times New Roman"/>
          <w:sz w:val="24"/>
          <w:szCs w:val="24"/>
        </w:rPr>
        <w:t xml:space="preserve">his section will describe a strategy development logic, but it will be necessary to define a few concepts and </w:t>
      </w:r>
      <w:r w:rsidR="001461D8" w:rsidRPr="00A056E0">
        <w:rPr>
          <w:rFonts w:cs="Times New Roman"/>
          <w:sz w:val="24"/>
          <w:szCs w:val="24"/>
        </w:rPr>
        <w:t xml:space="preserve">terms </w:t>
      </w:r>
      <w:r w:rsidR="00C0765F" w:rsidRPr="00A056E0">
        <w:rPr>
          <w:rFonts w:cs="Times New Roman"/>
          <w:sz w:val="24"/>
          <w:szCs w:val="24"/>
        </w:rPr>
        <w:t>first.</w:t>
      </w:r>
    </w:p>
    <w:p w:rsidR="002342D1" w:rsidRPr="00A056E0" w:rsidRDefault="00EE1919" w:rsidP="00A056E0">
      <w:pPr>
        <w:spacing w:after="120"/>
        <w:rPr>
          <w:rFonts w:cs="Times New Roman"/>
          <w:sz w:val="24"/>
          <w:szCs w:val="24"/>
        </w:rPr>
      </w:pPr>
      <w:r>
        <w:rPr>
          <w:rFonts w:cs="Times New Roman"/>
          <w:sz w:val="24"/>
          <w:szCs w:val="24"/>
        </w:rPr>
        <w:t>Below are four typical types of h</w:t>
      </w:r>
      <w:r w:rsidR="002342D1" w:rsidRPr="00A056E0">
        <w:rPr>
          <w:rFonts w:cs="Times New Roman"/>
          <w:sz w:val="24"/>
          <w:szCs w:val="24"/>
        </w:rPr>
        <w:t>edge decisions</w:t>
      </w:r>
      <w:r>
        <w:rPr>
          <w:rFonts w:cs="Times New Roman"/>
          <w:sz w:val="24"/>
          <w:szCs w:val="24"/>
        </w:rPr>
        <w:t xml:space="preserve"> listed in </w:t>
      </w:r>
      <w:r w:rsidR="00322CD5">
        <w:rPr>
          <w:rFonts w:cs="Times New Roman"/>
          <w:sz w:val="24"/>
          <w:szCs w:val="24"/>
        </w:rPr>
        <w:t xml:space="preserve">the </w:t>
      </w:r>
      <w:r>
        <w:rPr>
          <w:rFonts w:cs="Times New Roman"/>
          <w:sz w:val="24"/>
          <w:szCs w:val="24"/>
        </w:rPr>
        <w:t xml:space="preserve">order </w:t>
      </w:r>
      <w:r w:rsidR="00322CD5">
        <w:rPr>
          <w:rFonts w:cs="Times New Roman"/>
          <w:sz w:val="24"/>
          <w:szCs w:val="24"/>
        </w:rPr>
        <w:t>they would typically be executed</w:t>
      </w:r>
      <w:r w:rsidR="00A056E0">
        <w:rPr>
          <w:rFonts w:cs="Times New Roman"/>
          <w:sz w:val="24"/>
          <w:szCs w:val="24"/>
        </w:rPr>
        <w:t>,</w:t>
      </w:r>
      <w:r w:rsidR="00322CD5">
        <w:rPr>
          <w:rFonts w:cs="Times New Roman"/>
          <w:sz w:val="24"/>
          <w:szCs w:val="24"/>
        </w:rPr>
        <w:t xml:space="preserve"> from</w:t>
      </w:r>
      <w:r>
        <w:rPr>
          <w:rFonts w:cs="Times New Roman"/>
          <w:sz w:val="24"/>
          <w:szCs w:val="24"/>
        </w:rPr>
        <w:t xml:space="preserve"> </w:t>
      </w:r>
      <w:r w:rsidR="00322CD5">
        <w:rPr>
          <w:rFonts w:cs="Times New Roman"/>
          <w:sz w:val="24"/>
          <w:szCs w:val="24"/>
        </w:rPr>
        <w:t>the earliest hedges to later hedges approaching the delivery month</w:t>
      </w:r>
      <w:r>
        <w:rPr>
          <w:rFonts w:cs="Times New Roman"/>
          <w:sz w:val="24"/>
          <w:szCs w:val="24"/>
        </w:rPr>
        <w:t xml:space="preserve">. </w:t>
      </w:r>
    </w:p>
    <w:p w:rsidR="002342D1" w:rsidRPr="00650D77" w:rsidRDefault="002342D1" w:rsidP="00FE49E4">
      <w:pPr>
        <w:numPr>
          <w:ilvl w:val="0"/>
          <w:numId w:val="13"/>
        </w:numPr>
        <w:spacing w:after="120"/>
        <w:rPr>
          <w:rFonts w:cs="Times New Roman"/>
          <w:sz w:val="24"/>
          <w:szCs w:val="24"/>
        </w:rPr>
      </w:pPr>
      <w:r w:rsidRPr="00A056E0">
        <w:rPr>
          <w:rFonts w:cs="Times New Roman"/>
          <w:b/>
          <w:sz w:val="24"/>
          <w:szCs w:val="24"/>
        </w:rPr>
        <w:t>Programmatic:</w:t>
      </w:r>
      <w:r w:rsidRPr="00A056E0">
        <w:rPr>
          <w:rFonts w:cs="Times New Roman"/>
          <w:sz w:val="24"/>
          <w:szCs w:val="24"/>
        </w:rPr>
        <w:t xml:space="preserve"> </w:t>
      </w:r>
      <w:r w:rsidR="00FE49E4">
        <w:rPr>
          <w:rFonts w:cs="Times New Roman"/>
          <w:sz w:val="24"/>
          <w:szCs w:val="24"/>
        </w:rPr>
        <w:t xml:space="preserve">Positions </w:t>
      </w:r>
      <w:r w:rsidRPr="00A056E0">
        <w:rPr>
          <w:rFonts w:cs="Times New Roman"/>
          <w:sz w:val="24"/>
          <w:szCs w:val="24"/>
        </w:rPr>
        <w:t xml:space="preserve">accumulated </w:t>
      </w:r>
      <w:r w:rsidR="00FE49E4" w:rsidRPr="00FE49E4">
        <w:rPr>
          <w:rFonts w:cs="Times New Roman"/>
          <w:sz w:val="24"/>
          <w:szCs w:val="24"/>
        </w:rPr>
        <w:t>systematically</w:t>
      </w:r>
      <w:r w:rsidR="00FE49E4">
        <w:rPr>
          <w:rFonts w:cs="Times New Roman"/>
          <w:sz w:val="24"/>
          <w:szCs w:val="24"/>
        </w:rPr>
        <w:t xml:space="preserve"> </w:t>
      </w:r>
      <w:r w:rsidR="00965A6F">
        <w:rPr>
          <w:rFonts w:cs="Times New Roman"/>
          <w:sz w:val="24"/>
          <w:szCs w:val="24"/>
        </w:rPr>
        <w:t>in accordance with a simple</w:t>
      </w:r>
      <w:r w:rsidR="00965A6F" w:rsidRPr="00A056E0">
        <w:rPr>
          <w:rFonts w:cs="Times New Roman"/>
          <w:sz w:val="24"/>
          <w:szCs w:val="24"/>
        </w:rPr>
        <w:t xml:space="preserve"> </w:t>
      </w:r>
      <w:r w:rsidR="00FE49E4">
        <w:rPr>
          <w:rFonts w:cs="Times New Roman"/>
          <w:sz w:val="24"/>
          <w:szCs w:val="24"/>
        </w:rPr>
        <w:t xml:space="preserve">calendar </w:t>
      </w:r>
      <w:r w:rsidR="00965A6F">
        <w:rPr>
          <w:rFonts w:cs="Times New Roman"/>
          <w:sz w:val="24"/>
          <w:szCs w:val="24"/>
        </w:rPr>
        <w:t>schedule</w:t>
      </w:r>
      <w:r w:rsidR="00FE49E4">
        <w:rPr>
          <w:rFonts w:cs="Times New Roman"/>
          <w:sz w:val="24"/>
          <w:szCs w:val="24"/>
        </w:rPr>
        <w:t>, lock and leave approach</w:t>
      </w:r>
      <w:r w:rsidR="00395CF7" w:rsidRPr="00650D77">
        <w:rPr>
          <w:rFonts w:cs="Times New Roman"/>
          <w:sz w:val="24"/>
          <w:szCs w:val="24"/>
        </w:rPr>
        <w:t>.</w:t>
      </w:r>
    </w:p>
    <w:p w:rsidR="002342D1" w:rsidRPr="00650D77" w:rsidRDefault="002342D1" w:rsidP="00A056E0">
      <w:pPr>
        <w:numPr>
          <w:ilvl w:val="0"/>
          <w:numId w:val="13"/>
        </w:numPr>
        <w:spacing w:after="120"/>
        <w:rPr>
          <w:rFonts w:cs="Times New Roman"/>
          <w:sz w:val="24"/>
          <w:szCs w:val="24"/>
        </w:rPr>
      </w:pPr>
      <w:r w:rsidRPr="00650D77">
        <w:rPr>
          <w:rFonts w:cs="Times New Roman"/>
          <w:b/>
          <w:sz w:val="24"/>
          <w:szCs w:val="24"/>
        </w:rPr>
        <w:t>Defensive:</w:t>
      </w:r>
      <w:r w:rsidRPr="00650D77">
        <w:rPr>
          <w:rFonts w:cs="Times New Roman"/>
          <w:sz w:val="24"/>
          <w:szCs w:val="24"/>
        </w:rPr>
        <w:t xml:space="preserve"> In response to risk measurements </w:t>
      </w:r>
      <w:r w:rsidR="004E00E7" w:rsidRPr="00650D77">
        <w:rPr>
          <w:rFonts w:cs="Times New Roman"/>
          <w:sz w:val="24"/>
          <w:szCs w:val="24"/>
        </w:rPr>
        <w:t>indicating a</w:t>
      </w:r>
      <w:r w:rsidRPr="00650D77">
        <w:rPr>
          <w:rFonts w:cs="Times New Roman"/>
          <w:sz w:val="24"/>
          <w:szCs w:val="24"/>
        </w:rPr>
        <w:t xml:space="preserve"> threat</w:t>
      </w:r>
      <w:r w:rsidR="004E00E7" w:rsidRPr="00650D77">
        <w:rPr>
          <w:rFonts w:cs="Times New Roman"/>
          <w:sz w:val="24"/>
          <w:szCs w:val="24"/>
        </w:rPr>
        <w:t xml:space="preserve"> to</w:t>
      </w:r>
      <w:r w:rsidRPr="00650D77">
        <w:rPr>
          <w:rFonts w:cs="Times New Roman"/>
          <w:sz w:val="24"/>
          <w:szCs w:val="24"/>
        </w:rPr>
        <w:t xml:space="preserve"> an interim </w:t>
      </w:r>
      <w:r w:rsidR="00FF7390" w:rsidRPr="00650D77">
        <w:rPr>
          <w:rFonts w:cs="Times New Roman"/>
          <w:sz w:val="24"/>
          <w:szCs w:val="24"/>
        </w:rPr>
        <w:t>“</w:t>
      </w:r>
      <w:r w:rsidR="003C48F0" w:rsidRPr="00650D77">
        <w:rPr>
          <w:rFonts w:cs="Times New Roman"/>
          <w:sz w:val="24"/>
          <w:szCs w:val="24"/>
        </w:rPr>
        <w:t>action boundary</w:t>
      </w:r>
      <w:r w:rsidR="00FF7390" w:rsidRPr="00650D77">
        <w:rPr>
          <w:rFonts w:cs="Times New Roman"/>
          <w:sz w:val="24"/>
          <w:szCs w:val="24"/>
        </w:rPr>
        <w:t>”</w:t>
      </w:r>
      <w:r w:rsidR="003C48F0" w:rsidRPr="00650D77">
        <w:rPr>
          <w:rFonts w:cs="Times New Roman"/>
          <w:sz w:val="24"/>
          <w:szCs w:val="24"/>
        </w:rPr>
        <w:t xml:space="preserve"> </w:t>
      </w:r>
      <w:r w:rsidRPr="00650D77">
        <w:rPr>
          <w:rFonts w:cs="Times New Roman"/>
          <w:sz w:val="24"/>
          <w:szCs w:val="24"/>
        </w:rPr>
        <w:t>or final cost tolerance</w:t>
      </w:r>
      <w:r w:rsidR="00395CF7" w:rsidRPr="00650D77">
        <w:rPr>
          <w:rFonts w:cs="Times New Roman"/>
          <w:sz w:val="24"/>
          <w:szCs w:val="24"/>
        </w:rPr>
        <w:t>.</w:t>
      </w:r>
    </w:p>
    <w:p w:rsidR="002342D1" w:rsidRPr="00650D77" w:rsidRDefault="002342D1" w:rsidP="00A056E0">
      <w:pPr>
        <w:numPr>
          <w:ilvl w:val="0"/>
          <w:numId w:val="13"/>
        </w:numPr>
        <w:spacing w:after="120"/>
        <w:rPr>
          <w:rFonts w:cs="Times New Roman"/>
          <w:sz w:val="24"/>
          <w:szCs w:val="24"/>
        </w:rPr>
      </w:pPr>
      <w:r w:rsidRPr="00650D77">
        <w:rPr>
          <w:rFonts w:cs="Times New Roman"/>
          <w:b/>
          <w:sz w:val="24"/>
          <w:szCs w:val="24"/>
        </w:rPr>
        <w:t>Contingent:</w:t>
      </w:r>
      <w:r w:rsidRPr="00650D77">
        <w:rPr>
          <w:rFonts w:cs="Times New Roman"/>
          <w:sz w:val="24"/>
          <w:szCs w:val="24"/>
        </w:rPr>
        <w:t xml:space="preserve"> In response to risk measurements indicat</w:t>
      </w:r>
      <w:r w:rsidR="00D50971">
        <w:rPr>
          <w:rFonts w:cs="Times New Roman"/>
          <w:sz w:val="24"/>
          <w:szCs w:val="24"/>
        </w:rPr>
        <w:t>ing</w:t>
      </w:r>
      <w:r w:rsidRPr="00650D77">
        <w:rPr>
          <w:rFonts w:cs="Times New Roman"/>
          <w:sz w:val="24"/>
          <w:szCs w:val="24"/>
        </w:rPr>
        <w:t xml:space="preserve"> a threat to</w:t>
      </w:r>
      <w:r w:rsidR="00650D77">
        <w:rPr>
          <w:rFonts w:cs="Times New Roman"/>
          <w:sz w:val="24"/>
          <w:szCs w:val="24"/>
        </w:rPr>
        <w:t xml:space="preserve"> an</w:t>
      </w:r>
      <w:r w:rsidRPr="00650D77">
        <w:rPr>
          <w:rFonts w:cs="Times New Roman"/>
          <w:sz w:val="24"/>
          <w:szCs w:val="24"/>
        </w:rPr>
        <w:t xml:space="preserve"> interim or final </w:t>
      </w:r>
      <w:r w:rsidR="00FF7390" w:rsidRPr="00650D77">
        <w:rPr>
          <w:rFonts w:cs="Times New Roman"/>
          <w:sz w:val="24"/>
          <w:szCs w:val="24"/>
        </w:rPr>
        <w:t>“</w:t>
      </w:r>
      <w:r w:rsidRPr="00650D77">
        <w:rPr>
          <w:rFonts w:cs="Times New Roman"/>
          <w:sz w:val="24"/>
          <w:szCs w:val="24"/>
        </w:rPr>
        <w:t>hedge</w:t>
      </w:r>
      <w:r w:rsidRPr="00650D77">
        <w:rPr>
          <w:rFonts w:cs="Times New Roman"/>
          <w:sz w:val="24"/>
          <w:szCs w:val="24"/>
        </w:rPr>
        <w:noBreakHyphen/>
        <w:t>loss tolerance</w:t>
      </w:r>
      <w:r w:rsidR="00395CF7" w:rsidRPr="00650D77">
        <w:rPr>
          <w:rFonts w:cs="Times New Roman"/>
          <w:sz w:val="24"/>
          <w:szCs w:val="24"/>
        </w:rPr>
        <w:t>.</w:t>
      </w:r>
      <w:r w:rsidR="00FF7390" w:rsidRPr="00650D77">
        <w:rPr>
          <w:rFonts w:cs="Times New Roman"/>
          <w:sz w:val="24"/>
          <w:szCs w:val="24"/>
        </w:rPr>
        <w:t>”</w:t>
      </w:r>
    </w:p>
    <w:p w:rsidR="002342D1" w:rsidRPr="00D50971" w:rsidRDefault="002342D1" w:rsidP="00A056E0">
      <w:pPr>
        <w:numPr>
          <w:ilvl w:val="0"/>
          <w:numId w:val="13"/>
        </w:numPr>
        <w:spacing w:after="120"/>
        <w:rPr>
          <w:rFonts w:cs="Times New Roman"/>
          <w:sz w:val="24"/>
          <w:szCs w:val="24"/>
        </w:rPr>
      </w:pPr>
      <w:r w:rsidRPr="00650D77">
        <w:rPr>
          <w:rFonts w:cs="Times New Roman"/>
          <w:b/>
          <w:sz w:val="24"/>
          <w:szCs w:val="24"/>
        </w:rPr>
        <w:t>Discretionary:</w:t>
      </w:r>
      <w:r w:rsidRPr="00650D77">
        <w:rPr>
          <w:rFonts w:cs="Times New Roman"/>
          <w:sz w:val="24"/>
          <w:szCs w:val="24"/>
        </w:rPr>
        <w:t xml:space="preserve"> In response to a market opportunity</w:t>
      </w:r>
      <w:r w:rsidR="00135D95" w:rsidRPr="00650D77">
        <w:rPr>
          <w:rFonts w:cs="Times New Roman"/>
          <w:sz w:val="24"/>
          <w:szCs w:val="24"/>
        </w:rPr>
        <w:t>; however,</w:t>
      </w:r>
      <w:r w:rsidR="003C48F0" w:rsidRPr="00650D77">
        <w:rPr>
          <w:rFonts w:cs="Times New Roman"/>
          <w:sz w:val="24"/>
          <w:szCs w:val="24"/>
        </w:rPr>
        <w:t xml:space="preserve"> </w:t>
      </w:r>
      <w:r w:rsidR="00277889">
        <w:rPr>
          <w:rFonts w:cs="Times New Roman"/>
          <w:sz w:val="24"/>
          <w:szCs w:val="24"/>
        </w:rPr>
        <w:t>i</w:t>
      </w:r>
      <w:r w:rsidR="003C48F0" w:rsidRPr="00D50971">
        <w:rPr>
          <w:rFonts w:cs="Times New Roman"/>
          <w:sz w:val="24"/>
          <w:szCs w:val="24"/>
        </w:rPr>
        <w:t>t could be argued that these are unnecessary</w:t>
      </w:r>
      <w:r w:rsidR="00395CF7" w:rsidRPr="00D50971">
        <w:rPr>
          <w:rFonts w:cs="Times New Roman"/>
          <w:sz w:val="24"/>
          <w:szCs w:val="24"/>
        </w:rPr>
        <w:t>.</w:t>
      </w:r>
    </w:p>
    <w:p w:rsidR="002342D1" w:rsidRPr="00DF2ADE" w:rsidRDefault="00EE1919" w:rsidP="00A056E0">
      <w:pPr>
        <w:spacing w:after="120"/>
        <w:rPr>
          <w:rFonts w:cs="Times New Roman"/>
          <w:sz w:val="24"/>
          <w:szCs w:val="24"/>
        </w:rPr>
      </w:pPr>
      <w:r>
        <w:rPr>
          <w:rFonts w:cs="Times New Roman"/>
          <w:sz w:val="24"/>
          <w:szCs w:val="24"/>
        </w:rPr>
        <w:t>They are</w:t>
      </w:r>
      <w:r w:rsidR="002342D1" w:rsidRPr="00DF2ADE">
        <w:rPr>
          <w:rFonts w:cs="Times New Roman"/>
          <w:sz w:val="24"/>
          <w:szCs w:val="24"/>
        </w:rPr>
        <w:t xml:space="preserve"> discussed below in order of design logic:</w:t>
      </w:r>
    </w:p>
    <w:p w:rsidR="00616978" w:rsidRPr="00DF2ADE" w:rsidRDefault="002342D1" w:rsidP="00A056E0">
      <w:pPr>
        <w:spacing w:after="120"/>
        <w:rPr>
          <w:rFonts w:cs="Times New Roman"/>
          <w:sz w:val="24"/>
          <w:szCs w:val="24"/>
        </w:rPr>
      </w:pPr>
      <w:r w:rsidRPr="00DF2ADE">
        <w:rPr>
          <w:rFonts w:cs="Times New Roman"/>
          <w:b/>
          <w:sz w:val="24"/>
          <w:szCs w:val="24"/>
        </w:rPr>
        <w:t>Type B, Defensive Hedges:</w:t>
      </w:r>
      <w:r w:rsidRPr="00DF2ADE">
        <w:rPr>
          <w:rFonts w:cs="Times New Roman"/>
          <w:sz w:val="24"/>
          <w:szCs w:val="24"/>
        </w:rPr>
        <w:t xml:space="preserve"> </w:t>
      </w:r>
      <w:r w:rsidR="00616978" w:rsidRPr="00DF2ADE">
        <w:rPr>
          <w:rFonts w:cs="Times New Roman"/>
          <w:sz w:val="24"/>
          <w:szCs w:val="24"/>
        </w:rPr>
        <w:t>To be clear, as used here</w:t>
      </w:r>
      <w:r w:rsidR="00D72562">
        <w:rPr>
          <w:rFonts w:cs="Times New Roman"/>
          <w:sz w:val="24"/>
          <w:szCs w:val="24"/>
        </w:rPr>
        <w:t>,</w:t>
      </w:r>
      <w:r w:rsidR="00616978" w:rsidRPr="00DF2ADE">
        <w:rPr>
          <w:rFonts w:cs="Times New Roman"/>
          <w:sz w:val="24"/>
          <w:szCs w:val="24"/>
        </w:rPr>
        <w:t xml:space="preserve"> market-responsive strategies do not rely on prediction of market movements</w:t>
      </w:r>
      <w:r w:rsidR="00D72562">
        <w:rPr>
          <w:rFonts w:cs="Times New Roman"/>
          <w:sz w:val="24"/>
          <w:szCs w:val="24"/>
        </w:rPr>
        <w:t xml:space="preserve">. </w:t>
      </w:r>
      <w:r w:rsidR="008750CF">
        <w:rPr>
          <w:rFonts w:cs="Times New Roman"/>
          <w:sz w:val="24"/>
          <w:szCs w:val="24"/>
        </w:rPr>
        <w:t xml:space="preserve">Instead, </w:t>
      </w:r>
      <w:r w:rsidR="0022454D">
        <w:rPr>
          <w:rFonts w:cs="Times New Roman"/>
          <w:sz w:val="24"/>
          <w:szCs w:val="24"/>
        </w:rPr>
        <w:t>t</w:t>
      </w:r>
      <w:r w:rsidR="00616978" w:rsidRPr="00DF2ADE">
        <w:rPr>
          <w:rFonts w:cs="Times New Roman"/>
          <w:sz w:val="24"/>
          <w:szCs w:val="24"/>
        </w:rPr>
        <w:t>hey rely on measuring and monitoring prevailing risk conditions. Hedge programs should manage risk; opportunity management is a different issue</w:t>
      </w:r>
      <w:r w:rsidR="00D27F60" w:rsidRPr="00566E47">
        <w:rPr>
          <w:rFonts w:cs="Times New Roman"/>
          <w:sz w:val="24"/>
          <w:szCs w:val="24"/>
        </w:rPr>
        <w:t xml:space="preserve">. </w:t>
      </w:r>
      <w:r w:rsidR="008D5122">
        <w:rPr>
          <w:rFonts w:cs="Times New Roman"/>
          <w:sz w:val="24"/>
          <w:szCs w:val="24"/>
        </w:rPr>
        <w:t>H</w:t>
      </w:r>
      <w:r w:rsidR="00616978" w:rsidRPr="00DF2ADE">
        <w:rPr>
          <w:rFonts w:cs="Times New Roman"/>
          <w:sz w:val="24"/>
          <w:szCs w:val="24"/>
        </w:rPr>
        <w:t>edges should be executed based on a “risk</w:t>
      </w:r>
      <w:r w:rsidR="006F783C">
        <w:rPr>
          <w:rFonts w:cs="Times New Roman"/>
          <w:sz w:val="24"/>
          <w:szCs w:val="24"/>
        </w:rPr>
        <w:t>-</w:t>
      </w:r>
      <w:r w:rsidR="00616978" w:rsidRPr="00DF2ADE">
        <w:rPr>
          <w:rFonts w:cs="Times New Roman"/>
          <w:sz w:val="24"/>
          <w:szCs w:val="24"/>
        </w:rPr>
        <w:t>view</w:t>
      </w:r>
      <w:r w:rsidR="00D971E3">
        <w:rPr>
          <w:rFonts w:cs="Times New Roman"/>
          <w:sz w:val="24"/>
          <w:szCs w:val="24"/>
        </w:rPr>
        <w:t>,</w:t>
      </w:r>
      <w:r w:rsidR="00616978" w:rsidRPr="00DF2ADE">
        <w:rPr>
          <w:rFonts w:cs="Times New Roman"/>
          <w:sz w:val="24"/>
          <w:szCs w:val="24"/>
        </w:rPr>
        <w:t>” not a “market</w:t>
      </w:r>
      <w:r w:rsidR="006F783C">
        <w:rPr>
          <w:rFonts w:cs="Times New Roman"/>
          <w:sz w:val="24"/>
          <w:szCs w:val="24"/>
        </w:rPr>
        <w:t>-</w:t>
      </w:r>
      <w:r w:rsidR="00616978" w:rsidRPr="00DF2ADE">
        <w:rPr>
          <w:rFonts w:cs="Times New Roman"/>
          <w:sz w:val="24"/>
          <w:szCs w:val="24"/>
        </w:rPr>
        <w:t xml:space="preserve">view.” A hedge program works most reliably when risk is measured daily or weekly and prospective hedge decision responses are pre-planned for risk conditions that might emerge.  </w:t>
      </w:r>
    </w:p>
    <w:p w:rsidR="00616978" w:rsidRPr="00613436" w:rsidRDefault="00616978" w:rsidP="00A056E0">
      <w:pPr>
        <w:spacing w:after="120"/>
        <w:rPr>
          <w:rFonts w:cs="Times New Roman"/>
          <w:sz w:val="24"/>
          <w:szCs w:val="24"/>
        </w:rPr>
      </w:pPr>
      <w:r w:rsidRPr="00DF2ADE">
        <w:rPr>
          <w:rFonts w:cs="Times New Roman"/>
          <w:sz w:val="24"/>
          <w:szCs w:val="24"/>
        </w:rPr>
        <w:t xml:space="preserve">The distinction between </w:t>
      </w:r>
      <w:r w:rsidR="009C4511">
        <w:rPr>
          <w:rFonts w:cs="Times New Roman"/>
          <w:sz w:val="24"/>
          <w:szCs w:val="24"/>
        </w:rPr>
        <w:t>“</w:t>
      </w:r>
      <w:r w:rsidRPr="00613436">
        <w:rPr>
          <w:rFonts w:cs="Times New Roman"/>
          <w:sz w:val="24"/>
          <w:szCs w:val="24"/>
        </w:rPr>
        <w:t>risk</w:t>
      </w:r>
      <w:r w:rsidR="006F783C">
        <w:rPr>
          <w:rFonts w:cs="Times New Roman"/>
          <w:sz w:val="24"/>
          <w:szCs w:val="24"/>
        </w:rPr>
        <w:t>-</w:t>
      </w:r>
      <w:r w:rsidRPr="00613436">
        <w:rPr>
          <w:rFonts w:cs="Times New Roman"/>
          <w:sz w:val="24"/>
          <w:szCs w:val="24"/>
        </w:rPr>
        <w:t>view</w:t>
      </w:r>
      <w:r w:rsidR="009C4511">
        <w:rPr>
          <w:rFonts w:cs="Times New Roman"/>
          <w:sz w:val="24"/>
          <w:szCs w:val="24"/>
        </w:rPr>
        <w:t>”</w:t>
      </w:r>
      <w:r w:rsidRPr="00613436">
        <w:rPr>
          <w:rFonts w:cs="Times New Roman"/>
          <w:sz w:val="24"/>
          <w:szCs w:val="24"/>
        </w:rPr>
        <w:t xml:space="preserve"> and </w:t>
      </w:r>
      <w:r w:rsidR="009C4511">
        <w:rPr>
          <w:rFonts w:cs="Times New Roman"/>
          <w:sz w:val="24"/>
          <w:szCs w:val="24"/>
        </w:rPr>
        <w:t>“</w:t>
      </w:r>
      <w:r w:rsidRPr="00613436">
        <w:rPr>
          <w:rFonts w:cs="Times New Roman"/>
          <w:sz w:val="24"/>
          <w:szCs w:val="24"/>
        </w:rPr>
        <w:t>market</w:t>
      </w:r>
      <w:r w:rsidR="006F783C">
        <w:rPr>
          <w:rFonts w:cs="Times New Roman"/>
          <w:sz w:val="24"/>
          <w:szCs w:val="24"/>
        </w:rPr>
        <w:t>-</w:t>
      </w:r>
      <w:r w:rsidRPr="00613436">
        <w:rPr>
          <w:rFonts w:cs="Times New Roman"/>
          <w:sz w:val="24"/>
          <w:szCs w:val="24"/>
        </w:rPr>
        <w:t>view</w:t>
      </w:r>
      <w:r w:rsidR="009C4511">
        <w:rPr>
          <w:rFonts w:cs="Times New Roman"/>
          <w:sz w:val="24"/>
          <w:szCs w:val="24"/>
        </w:rPr>
        <w:t>”</w:t>
      </w:r>
      <w:r w:rsidRPr="00613436">
        <w:rPr>
          <w:rFonts w:cs="Times New Roman"/>
          <w:sz w:val="24"/>
          <w:szCs w:val="24"/>
        </w:rPr>
        <w:t xml:space="preserve"> is important. Hedges are placed at futures market prices which reflect all participants’ money-backed consensus as to the future price of natural gas. For the purpose of making hedge decisions, it is meaningless to hold a view that the spot price of </w:t>
      </w:r>
      <w:r w:rsidR="00B53353" w:rsidRPr="00613436">
        <w:rPr>
          <w:rFonts w:cs="Times New Roman"/>
          <w:sz w:val="24"/>
          <w:szCs w:val="24"/>
        </w:rPr>
        <w:t xml:space="preserve">natural </w:t>
      </w:r>
      <w:r w:rsidRPr="00613436">
        <w:rPr>
          <w:rFonts w:cs="Times New Roman"/>
          <w:sz w:val="24"/>
          <w:szCs w:val="24"/>
        </w:rPr>
        <w:t xml:space="preserve">gas is likely to rise or fall </w:t>
      </w:r>
      <w:r w:rsidR="0022454D">
        <w:rPr>
          <w:rFonts w:cs="Times New Roman"/>
          <w:sz w:val="24"/>
          <w:szCs w:val="24"/>
        </w:rPr>
        <w:t>due to</w:t>
      </w:r>
      <w:r w:rsidRPr="00613436">
        <w:rPr>
          <w:rFonts w:cs="Times New Roman"/>
          <w:sz w:val="24"/>
          <w:szCs w:val="24"/>
        </w:rPr>
        <w:t xml:space="preserve"> fundamental factors</w:t>
      </w:r>
      <w:r w:rsidR="0022454D">
        <w:rPr>
          <w:rFonts w:cs="Times New Roman"/>
          <w:sz w:val="24"/>
          <w:szCs w:val="24"/>
        </w:rPr>
        <w:t xml:space="preserve"> </w:t>
      </w:r>
      <w:r w:rsidR="00613436">
        <w:rPr>
          <w:rFonts w:cs="Times New Roman"/>
          <w:sz w:val="24"/>
          <w:szCs w:val="24"/>
        </w:rPr>
        <w:t xml:space="preserve">simply </w:t>
      </w:r>
      <w:r w:rsidR="0022454D">
        <w:rPr>
          <w:rFonts w:cs="Times New Roman"/>
          <w:sz w:val="24"/>
          <w:szCs w:val="24"/>
        </w:rPr>
        <w:t>because</w:t>
      </w:r>
      <w:r w:rsidR="008D5122">
        <w:rPr>
          <w:rFonts w:cs="Times New Roman"/>
          <w:sz w:val="24"/>
          <w:szCs w:val="24"/>
        </w:rPr>
        <w:t xml:space="preserve"> o</w:t>
      </w:r>
      <w:r w:rsidRPr="00613436">
        <w:rPr>
          <w:rFonts w:cs="Times New Roman"/>
          <w:sz w:val="24"/>
          <w:szCs w:val="24"/>
        </w:rPr>
        <w:t xml:space="preserve">ne cannot hedge next year’s </w:t>
      </w:r>
      <w:r w:rsidR="00B53353" w:rsidRPr="00613436">
        <w:rPr>
          <w:rFonts w:cs="Times New Roman"/>
          <w:sz w:val="24"/>
          <w:szCs w:val="24"/>
        </w:rPr>
        <w:t xml:space="preserve">natural </w:t>
      </w:r>
      <w:r w:rsidRPr="00613436">
        <w:rPr>
          <w:rFonts w:cs="Times New Roman"/>
          <w:sz w:val="24"/>
          <w:szCs w:val="24"/>
        </w:rPr>
        <w:t>gas at today’s spot price</w:t>
      </w:r>
      <w:r w:rsidR="0022454D">
        <w:rPr>
          <w:rFonts w:cs="Times New Roman"/>
          <w:sz w:val="24"/>
          <w:szCs w:val="24"/>
        </w:rPr>
        <w:t xml:space="preserve"> in any case</w:t>
      </w:r>
      <w:r w:rsidRPr="00613436">
        <w:rPr>
          <w:rFonts w:cs="Times New Roman"/>
          <w:sz w:val="24"/>
          <w:szCs w:val="24"/>
        </w:rPr>
        <w:t xml:space="preserve">. A hedge manager who buys on a </w:t>
      </w:r>
      <w:r w:rsidR="009C4511">
        <w:rPr>
          <w:rFonts w:cs="Times New Roman"/>
          <w:sz w:val="24"/>
          <w:szCs w:val="24"/>
        </w:rPr>
        <w:t>“</w:t>
      </w:r>
      <w:r w:rsidRPr="00613436">
        <w:rPr>
          <w:rFonts w:cs="Times New Roman"/>
          <w:sz w:val="24"/>
          <w:szCs w:val="24"/>
        </w:rPr>
        <w:t>market view</w:t>
      </w:r>
      <w:r w:rsidR="009C4511">
        <w:rPr>
          <w:rFonts w:cs="Times New Roman"/>
          <w:sz w:val="24"/>
          <w:szCs w:val="24"/>
        </w:rPr>
        <w:t>”</w:t>
      </w:r>
      <w:r w:rsidRPr="00613436">
        <w:rPr>
          <w:rFonts w:cs="Times New Roman"/>
          <w:sz w:val="24"/>
          <w:szCs w:val="24"/>
        </w:rPr>
        <w:t xml:space="preserve"> is effectively acting on something far more speculative. If stated properly</w:t>
      </w:r>
      <w:r w:rsidR="00D971E3">
        <w:rPr>
          <w:rFonts w:cs="Times New Roman"/>
          <w:sz w:val="24"/>
          <w:szCs w:val="24"/>
        </w:rPr>
        <w:t>,</w:t>
      </w:r>
      <w:r w:rsidR="00395CF7" w:rsidRPr="00613436">
        <w:rPr>
          <w:rFonts w:cs="Times New Roman"/>
          <w:sz w:val="24"/>
          <w:szCs w:val="24"/>
        </w:rPr>
        <w:t xml:space="preserve"> the manager’s point of view could be summarized as</w:t>
      </w:r>
      <w:r w:rsidR="00D971E3">
        <w:rPr>
          <w:rFonts w:cs="Times New Roman"/>
          <w:sz w:val="24"/>
          <w:szCs w:val="24"/>
        </w:rPr>
        <w:t>,</w:t>
      </w:r>
      <w:r w:rsidRPr="00613436">
        <w:rPr>
          <w:rFonts w:cs="Times New Roman"/>
          <w:sz w:val="24"/>
          <w:szCs w:val="24"/>
        </w:rPr>
        <w:t xml:space="preserve"> “While all market participants have equal access to data regarding consumption, production, storage</w:t>
      </w:r>
      <w:r w:rsidR="00D971E3">
        <w:rPr>
          <w:rFonts w:cs="Times New Roman"/>
          <w:sz w:val="24"/>
          <w:szCs w:val="24"/>
        </w:rPr>
        <w:t>,</w:t>
      </w:r>
      <w:r w:rsidRPr="00613436">
        <w:rPr>
          <w:rFonts w:cs="Times New Roman"/>
          <w:sz w:val="24"/>
          <w:szCs w:val="24"/>
        </w:rPr>
        <w:t xml:space="preserve"> and other factors, and they have reached a consensus on next year’s futures price, I know better.”</w:t>
      </w:r>
    </w:p>
    <w:p w:rsidR="00D35633" w:rsidRPr="00613436" w:rsidRDefault="00616978" w:rsidP="00A056E0">
      <w:pPr>
        <w:spacing w:after="120"/>
        <w:rPr>
          <w:rFonts w:cs="Times New Roman"/>
          <w:sz w:val="24"/>
          <w:szCs w:val="24"/>
        </w:rPr>
      </w:pPr>
      <w:r w:rsidRPr="00613436">
        <w:rPr>
          <w:rFonts w:cs="Times New Roman"/>
          <w:sz w:val="24"/>
          <w:szCs w:val="24"/>
        </w:rPr>
        <w:t xml:space="preserve">A </w:t>
      </w:r>
      <w:r w:rsidR="009C4511">
        <w:rPr>
          <w:rFonts w:cs="Times New Roman"/>
          <w:sz w:val="24"/>
          <w:szCs w:val="24"/>
        </w:rPr>
        <w:t>“</w:t>
      </w:r>
      <w:r w:rsidRPr="00613436">
        <w:rPr>
          <w:rFonts w:cs="Times New Roman"/>
          <w:sz w:val="24"/>
          <w:szCs w:val="24"/>
        </w:rPr>
        <w:t>risk</w:t>
      </w:r>
      <w:r w:rsidR="006F783C">
        <w:rPr>
          <w:rFonts w:cs="Times New Roman"/>
          <w:sz w:val="24"/>
          <w:szCs w:val="24"/>
        </w:rPr>
        <w:t>-</w:t>
      </w:r>
      <w:r w:rsidRPr="00613436">
        <w:rPr>
          <w:rFonts w:cs="Times New Roman"/>
          <w:sz w:val="24"/>
          <w:szCs w:val="24"/>
        </w:rPr>
        <w:t>view</w:t>
      </w:r>
      <w:r w:rsidR="009C4511">
        <w:rPr>
          <w:rFonts w:cs="Times New Roman"/>
          <w:sz w:val="24"/>
          <w:szCs w:val="24"/>
        </w:rPr>
        <w:t>”</w:t>
      </w:r>
      <w:r w:rsidRPr="00613436">
        <w:rPr>
          <w:rFonts w:cs="Times New Roman"/>
          <w:sz w:val="24"/>
          <w:szCs w:val="24"/>
        </w:rPr>
        <w:t xml:space="preserve"> is very different. It holds that we do not know the direction or magnitude of futures price changes, but we do know the current futures price (market consensus) and we can observe the uncertainty of that consensus as</w:t>
      </w:r>
      <w:r w:rsidR="00B53353" w:rsidRPr="00613436">
        <w:rPr>
          <w:rFonts w:cs="Times New Roman"/>
          <w:sz w:val="24"/>
          <w:szCs w:val="24"/>
        </w:rPr>
        <w:t xml:space="preserve"> reflected in</w:t>
      </w:r>
      <w:r w:rsidRPr="00613436">
        <w:rPr>
          <w:rFonts w:cs="Times New Roman"/>
          <w:sz w:val="24"/>
          <w:szCs w:val="24"/>
        </w:rPr>
        <w:t xml:space="preserve"> daily futures price fluctuations. If we decide on our tolerances for upside costs and downside hedge losses, we can compare the observed risk to our tolerances and take hedge actions accordingly.</w:t>
      </w:r>
      <w:r w:rsidR="00D35633" w:rsidRPr="00613436">
        <w:rPr>
          <w:rFonts w:cs="Times New Roman"/>
          <w:sz w:val="24"/>
          <w:szCs w:val="24"/>
        </w:rPr>
        <w:t xml:space="preserve">  </w:t>
      </w:r>
    </w:p>
    <w:p w:rsidR="005B3C07" w:rsidRPr="00724785" w:rsidRDefault="002342D1" w:rsidP="00A056E0">
      <w:pPr>
        <w:spacing w:after="120"/>
        <w:rPr>
          <w:rFonts w:cs="Times New Roman"/>
          <w:sz w:val="24"/>
          <w:szCs w:val="24"/>
        </w:rPr>
      </w:pPr>
      <w:r w:rsidRPr="00613436">
        <w:rPr>
          <w:rFonts w:cs="Times New Roman"/>
          <w:sz w:val="24"/>
          <w:szCs w:val="24"/>
        </w:rPr>
        <w:t xml:space="preserve">If no hedges are ever executed, no losses will be incurred, so if practical, the preference would be to hedge only when necessary, i.e., </w:t>
      </w:r>
      <w:r w:rsidR="005B3C07" w:rsidRPr="00613436">
        <w:rPr>
          <w:rFonts w:cs="Times New Roman"/>
          <w:sz w:val="24"/>
          <w:szCs w:val="24"/>
        </w:rPr>
        <w:t>use</w:t>
      </w:r>
      <w:r w:rsidRPr="00613436">
        <w:rPr>
          <w:rFonts w:cs="Times New Roman"/>
          <w:sz w:val="24"/>
          <w:szCs w:val="24"/>
        </w:rPr>
        <w:t xml:space="preserve"> </w:t>
      </w:r>
      <w:r w:rsidR="00053B21">
        <w:rPr>
          <w:rFonts w:cs="Times New Roman"/>
          <w:sz w:val="24"/>
          <w:szCs w:val="24"/>
        </w:rPr>
        <w:t>d</w:t>
      </w:r>
      <w:r w:rsidR="00053B21" w:rsidRPr="00724785">
        <w:rPr>
          <w:rFonts w:cs="Times New Roman"/>
          <w:sz w:val="24"/>
          <w:szCs w:val="24"/>
        </w:rPr>
        <w:t xml:space="preserve">efensive </w:t>
      </w:r>
      <w:r w:rsidRPr="00724785">
        <w:rPr>
          <w:rFonts w:cs="Times New Roman"/>
          <w:sz w:val="24"/>
          <w:szCs w:val="24"/>
        </w:rPr>
        <w:t>hedges</w:t>
      </w:r>
      <w:r w:rsidR="00D27F60" w:rsidRPr="00566E47">
        <w:rPr>
          <w:rFonts w:cs="Times New Roman"/>
          <w:sz w:val="24"/>
          <w:szCs w:val="24"/>
        </w:rPr>
        <w:t xml:space="preserve">. </w:t>
      </w:r>
      <w:r w:rsidR="002604D2" w:rsidRPr="00724785">
        <w:rPr>
          <w:rFonts w:cs="Times New Roman"/>
          <w:sz w:val="24"/>
          <w:szCs w:val="24"/>
        </w:rPr>
        <w:t>Also hedging in small increments avoids the “all-in” risk of waiting until prices are nearly intolerable to hedge, only to see them collapse afterward.</w:t>
      </w:r>
    </w:p>
    <w:p w:rsidR="00DA6B5E" w:rsidRPr="00724785" w:rsidRDefault="005B3C07" w:rsidP="00A056E0">
      <w:pPr>
        <w:spacing w:after="120"/>
        <w:rPr>
          <w:rFonts w:cs="Times New Roman"/>
          <w:sz w:val="24"/>
          <w:szCs w:val="24"/>
        </w:rPr>
      </w:pPr>
      <w:r w:rsidRPr="00724785">
        <w:rPr>
          <w:rFonts w:cs="Times New Roman"/>
          <w:sz w:val="24"/>
          <w:szCs w:val="24"/>
        </w:rPr>
        <w:t>Recall that VaR-C, discussed above, can be used to estimate the</w:t>
      </w:r>
      <w:r w:rsidR="00DA6B5E" w:rsidRPr="00724785">
        <w:rPr>
          <w:rFonts w:cs="Times New Roman"/>
          <w:sz w:val="24"/>
          <w:szCs w:val="24"/>
        </w:rPr>
        <w:t xml:space="preserve"> </w:t>
      </w:r>
      <w:r w:rsidRPr="00724785">
        <w:rPr>
          <w:rFonts w:cs="Times New Roman"/>
          <w:sz w:val="24"/>
          <w:szCs w:val="24"/>
        </w:rPr>
        <w:t xml:space="preserve">1-in-40 cost </w:t>
      </w:r>
      <w:r w:rsidR="00DA6B5E" w:rsidRPr="00724785">
        <w:rPr>
          <w:rFonts w:cs="Times New Roman"/>
          <w:sz w:val="24"/>
          <w:szCs w:val="24"/>
        </w:rPr>
        <w:t>outlier</w:t>
      </w:r>
      <w:r w:rsidRPr="00724785">
        <w:rPr>
          <w:rFonts w:cs="Times New Roman"/>
          <w:sz w:val="24"/>
          <w:szCs w:val="24"/>
        </w:rPr>
        <w:t xml:space="preserve"> over a two-week holding period.</w:t>
      </w:r>
      <w:r w:rsidR="00F54ADA" w:rsidRPr="00724785">
        <w:rPr>
          <w:rStyle w:val="FootnoteReference"/>
          <w:rFonts w:ascii="Times New Roman" w:hAnsi="Times New Roman" w:cs="Times New Roman"/>
          <w:sz w:val="24"/>
          <w:szCs w:val="24"/>
        </w:rPr>
        <w:footnoteReference w:id="17"/>
      </w:r>
      <w:r w:rsidRPr="00724785">
        <w:rPr>
          <w:rFonts w:cs="Times New Roman"/>
          <w:sz w:val="24"/>
          <w:szCs w:val="24"/>
        </w:rPr>
        <w:t xml:space="preserve"> </w:t>
      </w:r>
      <w:r w:rsidR="00DA6B5E" w:rsidRPr="00724785">
        <w:rPr>
          <w:rFonts w:cs="Times New Roman"/>
          <w:sz w:val="24"/>
          <w:szCs w:val="24"/>
        </w:rPr>
        <w:t xml:space="preserve">Ultimately, </w:t>
      </w:r>
      <w:r w:rsidR="00FB3CC6" w:rsidRPr="00724785">
        <w:rPr>
          <w:rFonts w:cs="Times New Roman"/>
          <w:sz w:val="24"/>
          <w:szCs w:val="24"/>
        </w:rPr>
        <w:t>the</w:t>
      </w:r>
      <w:r w:rsidR="00DA6B5E" w:rsidRPr="00724785">
        <w:rPr>
          <w:rFonts w:cs="Times New Roman"/>
          <w:sz w:val="24"/>
          <w:szCs w:val="24"/>
        </w:rPr>
        <w:t xml:space="preserve"> cost outlier </w:t>
      </w:r>
      <w:r w:rsidR="00FB3CC6" w:rsidRPr="00724785">
        <w:rPr>
          <w:rFonts w:cs="Times New Roman"/>
          <w:sz w:val="24"/>
          <w:szCs w:val="24"/>
        </w:rPr>
        <w:t xml:space="preserve">can be compared </w:t>
      </w:r>
      <w:r w:rsidR="00DA6B5E" w:rsidRPr="00724785">
        <w:rPr>
          <w:rFonts w:cs="Times New Roman"/>
          <w:sz w:val="24"/>
          <w:szCs w:val="24"/>
        </w:rPr>
        <w:t xml:space="preserve">to </w:t>
      </w:r>
      <w:r w:rsidR="00FB3CC6" w:rsidRPr="00724785">
        <w:rPr>
          <w:rFonts w:cs="Times New Roman"/>
          <w:sz w:val="24"/>
          <w:szCs w:val="24"/>
        </w:rPr>
        <w:t xml:space="preserve">the </w:t>
      </w:r>
      <w:r w:rsidR="00DA6B5E" w:rsidRPr="00724785">
        <w:rPr>
          <w:rFonts w:cs="Times New Roman"/>
          <w:sz w:val="24"/>
          <w:szCs w:val="24"/>
        </w:rPr>
        <w:t>cost tolerance</w:t>
      </w:r>
      <w:r w:rsidR="00FB3CC6" w:rsidRPr="00724785">
        <w:rPr>
          <w:rFonts w:cs="Times New Roman"/>
          <w:sz w:val="24"/>
          <w:szCs w:val="24"/>
        </w:rPr>
        <w:t>,</w:t>
      </w:r>
      <w:r w:rsidR="00DA6B5E" w:rsidRPr="00724785">
        <w:rPr>
          <w:rFonts w:cs="Times New Roman"/>
          <w:sz w:val="24"/>
          <w:szCs w:val="24"/>
        </w:rPr>
        <w:t xml:space="preserve"> and</w:t>
      </w:r>
      <w:r w:rsidR="00FB3CC6" w:rsidRPr="00724785">
        <w:rPr>
          <w:rFonts w:cs="Times New Roman"/>
          <w:sz w:val="24"/>
          <w:szCs w:val="24"/>
        </w:rPr>
        <w:t xml:space="preserve"> a</w:t>
      </w:r>
      <w:r w:rsidR="00DA6B5E" w:rsidRPr="00724785">
        <w:rPr>
          <w:rFonts w:cs="Times New Roman"/>
          <w:sz w:val="24"/>
          <w:szCs w:val="24"/>
        </w:rPr>
        <w:t xml:space="preserve"> hedge</w:t>
      </w:r>
      <w:r w:rsidR="00FB3CC6" w:rsidRPr="00724785">
        <w:rPr>
          <w:rFonts w:cs="Times New Roman"/>
          <w:sz w:val="24"/>
          <w:szCs w:val="24"/>
        </w:rPr>
        <w:t xml:space="preserve"> can be made</w:t>
      </w:r>
      <w:r w:rsidR="00DA6B5E" w:rsidRPr="00724785">
        <w:rPr>
          <w:rFonts w:cs="Times New Roman"/>
          <w:sz w:val="24"/>
          <w:szCs w:val="24"/>
        </w:rPr>
        <w:t xml:space="preserve"> when the tolerance is in jeopardy. However, natural gas volatility can be very high, and defensive hedges might be precipitously large unless </w:t>
      </w:r>
      <w:r w:rsidR="00FB3CC6" w:rsidRPr="00724785">
        <w:rPr>
          <w:rFonts w:cs="Times New Roman"/>
          <w:sz w:val="24"/>
          <w:szCs w:val="24"/>
        </w:rPr>
        <w:t xml:space="preserve">the utility </w:t>
      </w:r>
      <w:r w:rsidR="00DA6B5E" w:rsidRPr="00724785">
        <w:rPr>
          <w:rFonts w:cs="Times New Roman"/>
          <w:sz w:val="24"/>
          <w:szCs w:val="24"/>
        </w:rPr>
        <w:t>use</w:t>
      </w:r>
      <w:r w:rsidR="00FB3CC6" w:rsidRPr="00724785">
        <w:rPr>
          <w:rFonts w:cs="Times New Roman"/>
          <w:sz w:val="24"/>
          <w:szCs w:val="24"/>
        </w:rPr>
        <w:t>s</w:t>
      </w:r>
      <w:r w:rsidR="00DA6B5E" w:rsidRPr="00724785">
        <w:rPr>
          <w:rFonts w:cs="Times New Roman"/>
          <w:sz w:val="24"/>
          <w:szCs w:val="24"/>
        </w:rPr>
        <w:t xml:space="preserve"> tiers of responses. By using two interim “action boundaries,”</w:t>
      </w:r>
      <w:r w:rsidR="00DA6B5E" w:rsidRPr="00724785">
        <w:rPr>
          <w:rStyle w:val="FootnoteReference"/>
          <w:rFonts w:ascii="Times New Roman" w:hAnsi="Times New Roman" w:cs="Times New Roman"/>
          <w:sz w:val="24"/>
          <w:szCs w:val="24"/>
        </w:rPr>
        <w:footnoteReference w:id="18"/>
      </w:r>
      <w:r w:rsidR="00DA6B5E" w:rsidRPr="00724785">
        <w:rPr>
          <w:rFonts w:cs="Times New Roman"/>
          <w:sz w:val="24"/>
          <w:szCs w:val="24"/>
        </w:rPr>
        <w:t xml:space="preserve"> hedge responses</w:t>
      </w:r>
      <w:r w:rsidR="00FB3CC6" w:rsidRPr="00724785">
        <w:rPr>
          <w:rFonts w:cs="Times New Roman"/>
          <w:sz w:val="24"/>
          <w:szCs w:val="24"/>
        </w:rPr>
        <w:t xml:space="preserve"> are smoothed</w:t>
      </w:r>
      <w:r w:rsidR="00DA6B5E" w:rsidRPr="00724785">
        <w:rPr>
          <w:rFonts w:cs="Times New Roman"/>
          <w:sz w:val="24"/>
          <w:szCs w:val="24"/>
        </w:rPr>
        <w:t xml:space="preserve"> over three graduated tiers – boundary 1, boundary 2, and boundary 3</w:t>
      </w:r>
      <w:r w:rsidR="00BC4F3E">
        <w:rPr>
          <w:rFonts w:cs="Times New Roman"/>
          <w:sz w:val="24"/>
          <w:szCs w:val="24"/>
        </w:rPr>
        <w:t>,</w:t>
      </w:r>
      <w:r w:rsidR="00DA6B5E" w:rsidRPr="00724785">
        <w:rPr>
          <w:rFonts w:cs="Times New Roman"/>
          <w:sz w:val="24"/>
          <w:szCs w:val="24"/>
        </w:rPr>
        <w:t xml:space="preserve"> which is </w:t>
      </w:r>
      <w:r w:rsidR="00FB3CC6" w:rsidRPr="00724785">
        <w:rPr>
          <w:rFonts w:cs="Times New Roman"/>
          <w:sz w:val="24"/>
          <w:szCs w:val="24"/>
        </w:rPr>
        <w:t xml:space="preserve">the </w:t>
      </w:r>
      <w:r w:rsidR="00DA6B5E" w:rsidRPr="00724785">
        <w:rPr>
          <w:rFonts w:cs="Times New Roman"/>
          <w:sz w:val="24"/>
          <w:szCs w:val="24"/>
        </w:rPr>
        <w:t xml:space="preserve">ultimate </w:t>
      </w:r>
      <w:r w:rsidR="00AC2F6A" w:rsidRPr="00724785">
        <w:rPr>
          <w:rFonts w:cs="Times New Roman"/>
          <w:sz w:val="24"/>
          <w:szCs w:val="24"/>
        </w:rPr>
        <w:t xml:space="preserve">risk </w:t>
      </w:r>
      <w:r w:rsidR="00DA6B5E" w:rsidRPr="00724785">
        <w:rPr>
          <w:rFonts w:cs="Times New Roman"/>
          <w:sz w:val="24"/>
          <w:szCs w:val="24"/>
        </w:rPr>
        <w:t>tolerance.</w:t>
      </w:r>
    </w:p>
    <w:p w:rsidR="00724785" w:rsidRDefault="002342D1" w:rsidP="00A056E0">
      <w:pPr>
        <w:spacing w:after="120"/>
        <w:rPr>
          <w:rFonts w:cs="Times New Roman"/>
          <w:sz w:val="24"/>
          <w:szCs w:val="24"/>
        </w:rPr>
      </w:pPr>
      <w:r w:rsidRPr="00724785">
        <w:rPr>
          <w:rFonts w:cs="Times New Roman"/>
          <w:sz w:val="24"/>
          <w:szCs w:val="24"/>
        </w:rPr>
        <w:t>Any</w:t>
      </w:r>
      <w:r w:rsidR="00BC4F3E">
        <w:rPr>
          <w:rFonts w:cs="Times New Roman"/>
          <w:sz w:val="24"/>
          <w:szCs w:val="24"/>
        </w:rPr>
        <w:t xml:space="preserve"> </w:t>
      </w:r>
      <w:r w:rsidRPr="00724785">
        <w:rPr>
          <w:rFonts w:cs="Times New Roman"/>
          <w:sz w:val="24"/>
          <w:szCs w:val="24"/>
        </w:rPr>
        <w:t>time risk metrics indicate that a</w:t>
      </w:r>
      <w:r w:rsidR="005B3C07" w:rsidRPr="00724785">
        <w:rPr>
          <w:rFonts w:cs="Times New Roman"/>
          <w:sz w:val="24"/>
          <w:szCs w:val="24"/>
        </w:rPr>
        <w:t>n</w:t>
      </w:r>
      <w:r w:rsidRPr="00724785">
        <w:rPr>
          <w:rFonts w:cs="Times New Roman"/>
          <w:sz w:val="24"/>
          <w:szCs w:val="24"/>
        </w:rPr>
        <w:t xml:space="preserve"> </w:t>
      </w:r>
      <w:r w:rsidR="005B3C07" w:rsidRPr="00724785">
        <w:rPr>
          <w:rFonts w:cs="Times New Roman"/>
          <w:sz w:val="24"/>
          <w:szCs w:val="24"/>
        </w:rPr>
        <w:t xml:space="preserve">action boundary </w:t>
      </w:r>
      <w:r w:rsidRPr="00724785">
        <w:rPr>
          <w:rFonts w:cs="Times New Roman"/>
          <w:sz w:val="24"/>
          <w:szCs w:val="24"/>
        </w:rPr>
        <w:t xml:space="preserve">could be breached over the </w:t>
      </w:r>
      <w:r w:rsidR="005B3C07" w:rsidRPr="00724785">
        <w:rPr>
          <w:rFonts w:cs="Times New Roman"/>
          <w:sz w:val="24"/>
          <w:szCs w:val="24"/>
        </w:rPr>
        <w:t>two-week</w:t>
      </w:r>
      <w:r w:rsidRPr="00724785">
        <w:rPr>
          <w:rFonts w:cs="Times New Roman"/>
          <w:sz w:val="24"/>
          <w:szCs w:val="24"/>
        </w:rPr>
        <w:t xml:space="preserve"> holding period, hedges would be placed in proportion to the </w:t>
      </w:r>
      <w:r w:rsidR="00BC4F3E">
        <w:rPr>
          <w:rFonts w:cs="Times New Roman"/>
          <w:sz w:val="24"/>
          <w:szCs w:val="24"/>
        </w:rPr>
        <w:t>VaR</w:t>
      </w:r>
      <w:r w:rsidRPr="00724785">
        <w:rPr>
          <w:rFonts w:cs="Times New Roman"/>
          <w:sz w:val="24"/>
          <w:szCs w:val="24"/>
        </w:rPr>
        <w:t xml:space="preserve"> that must be eliminated. In the design process, simulation of random price</w:t>
      </w:r>
      <w:r w:rsidR="00BC4F3E">
        <w:rPr>
          <w:rFonts w:cs="Times New Roman"/>
          <w:sz w:val="24"/>
          <w:szCs w:val="24"/>
        </w:rPr>
        <w:t>-</w:t>
      </w:r>
      <w:r w:rsidRPr="00724785">
        <w:rPr>
          <w:rFonts w:cs="Times New Roman"/>
          <w:sz w:val="24"/>
          <w:szCs w:val="24"/>
        </w:rPr>
        <w:t xml:space="preserve">walks facilitates exploration of the size and frequency of the hedges that would be required. </w:t>
      </w:r>
      <w:r w:rsidR="003D42F9" w:rsidRPr="00724785">
        <w:rPr>
          <w:rFonts w:cs="Times New Roman"/>
          <w:sz w:val="24"/>
          <w:szCs w:val="24"/>
        </w:rPr>
        <w:t xml:space="preserve">The following is an illustration of how tiered action boundaries could be designed, and as such, the percentages used are for </w:t>
      </w:r>
      <w:r w:rsidR="009C4511">
        <w:rPr>
          <w:rFonts w:cs="Times New Roman"/>
          <w:sz w:val="24"/>
          <w:szCs w:val="24"/>
        </w:rPr>
        <w:t>illustrative purposes</w:t>
      </w:r>
      <w:r w:rsidR="009C4511" w:rsidRPr="00724785">
        <w:rPr>
          <w:rFonts w:cs="Times New Roman"/>
          <w:sz w:val="24"/>
          <w:szCs w:val="24"/>
        </w:rPr>
        <w:t xml:space="preserve"> </w:t>
      </w:r>
      <w:r w:rsidR="003D42F9" w:rsidRPr="00724785">
        <w:rPr>
          <w:rFonts w:cs="Times New Roman"/>
          <w:sz w:val="24"/>
          <w:szCs w:val="24"/>
        </w:rPr>
        <w:t>only</w:t>
      </w:r>
      <w:r w:rsidR="00BC4F3E">
        <w:rPr>
          <w:rFonts w:cs="Times New Roman"/>
          <w:sz w:val="24"/>
          <w:szCs w:val="24"/>
        </w:rPr>
        <w:t>.</w:t>
      </w:r>
      <w:r w:rsidR="003D42F9" w:rsidRPr="007A0B87">
        <w:rPr>
          <w:rFonts w:cs="Times New Roman"/>
          <w:sz w:val="24"/>
          <w:szCs w:val="24"/>
        </w:rPr>
        <w:t xml:space="preserve"> </w:t>
      </w:r>
    </w:p>
    <w:p w:rsidR="002342D1" w:rsidRPr="00724785" w:rsidRDefault="007A0B87" w:rsidP="00A056E0">
      <w:pPr>
        <w:spacing w:after="120"/>
        <w:rPr>
          <w:rFonts w:cs="Times New Roman"/>
          <w:sz w:val="24"/>
          <w:szCs w:val="24"/>
        </w:rPr>
      </w:pPr>
      <w:r>
        <w:rPr>
          <w:rFonts w:cs="Times New Roman"/>
          <w:sz w:val="24"/>
          <w:szCs w:val="24"/>
        </w:rPr>
        <w:t>First, h</w:t>
      </w:r>
      <w:r w:rsidR="003D42F9" w:rsidRPr="00724785">
        <w:rPr>
          <w:rFonts w:cs="Times New Roman"/>
          <w:sz w:val="24"/>
          <w:szCs w:val="24"/>
        </w:rPr>
        <w:t xml:space="preserve">edge </w:t>
      </w:r>
      <w:r w:rsidR="002342D1" w:rsidRPr="00724785">
        <w:rPr>
          <w:rFonts w:cs="Times New Roman"/>
          <w:sz w:val="24"/>
          <w:szCs w:val="24"/>
        </w:rPr>
        <w:t xml:space="preserve">as necessary in defense of </w:t>
      </w:r>
      <w:r w:rsidR="00B76C17" w:rsidRPr="00724785">
        <w:rPr>
          <w:rFonts w:cs="Times New Roman"/>
          <w:sz w:val="24"/>
          <w:szCs w:val="24"/>
        </w:rPr>
        <w:t xml:space="preserve">boundary </w:t>
      </w:r>
      <w:r w:rsidR="002342D1" w:rsidRPr="00724785">
        <w:rPr>
          <w:rFonts w:cs="Times New Roman"/>
          <w:sz w:val="24"/>
          <w:szCs w:val="24"/>
        </w:rPr>
        <w:t xml:space="preserve">1 up to a </w:t>
      </w:r>
      <w:r w:rsidR="00F80C07" w:rsidRPr="00724785">
        <w:rPr>
          <w:rFonts w:cs="Times New Roman"/>
          <w:sz w:val="24"/>
          <w:szCs w:val="24"/>
        </w:rPr>
        <w:t xml:space="preserve">45 </w:t>
      </w:r>
      <w:r w:rsidR="003D42F9" w:rsidRPr="00724785">
        <w:rPr>
          <w:rFonts w:cs="Times New Roman"/>
          <w:sz w:val="24"/>
          <w:szCs w:val="24"/>
        </w:rPr>
        <w:t>percent</w:t>
      </w:r>
      <w:r w:rsidR="002342D1" w:rsidRPr="00724785">
        <w:rPr>
          <w:rFonts w:cs="Times New Roman"/>
          <w:sz w:val="24"/>
          <w:szCs w:val="24"/>
        </w:rPr>
        <w:t xml:space="preserve"> hedge ratio</w:t>
      </w:r>
      <w:r w:rsidR="003D42F9" w:rsidRPr="00724785">
        <w:rPr>
          <w:rFonts w:cs="Times New Roman"/>
          <w:sz w:val="24"/>
          <w:szCs w:val="24"/>
        </w:rPr>
        <w:t>;</w:t>
      </w:r>
      <w:r w:rsidR="002342D1" w:rsidRPr="00724785">
        <w:rPr>
          <w:rFonts w:cs="Times New Roman"/>
          <w:sz w:val="24"/>
          <w:szCs w:val="24"/>
        </w:rPr>
        <w:t xml:space="preserve"> then shift to </w:t>
      </w:r>
      <w:r w:rsidR="0077040A" w:rsidRPr="00724785">
        <w:rPr>
          <w:rFonts w:cs="Times New Roman"/>
          <w:sz w:val="24"/>
          <w:szCs w:val="24"/>
        </w:rPr>
        <w:t xml:space="preserve">defending </w:t>
      </w:r>
      <w:r w:rsidR="00B76C17" w:rsidRPr="00724785">
        <w:rPr>
          <w:rFonts w:cs="Times New Roman"/>
          <w:sz w:val="24"/>
          <w:szCs w:val="24"/>
        </w:rPr>
        <w:t xml:space="preserve">boundary </w:t>
      </w:r>
      <w:r w:rsidR="002342D1" w:rsidRPr="00724785">
        <w:rPr>
          <w:rFonts w:cs="Times New Roman"/>
          <w:sz w:val="24"/>
          <w:szCs w:val="24"/>
        </w:rPr>
        <w:t>2</w:t>
      </w:r>
      <w:r w:rsidR="00F65945">
        <w:rPr>
          <w:rFonts w:cs="Times New Roman"/>
          <w:sz w:val="24"/>
          <w:szCs w:val="24"/>
        </w:rPr>
        <w:t>;</w:t>
      </w:r>
      <w:r w:rsidR="00F65945" w:rsidRPr="00724785">
        <w:rPr>
          <w:rFonts w:cs="Times New Roman"/>
          <w:sz w:val="24"/>
          <w:szCs w:val="24"/>
        </w:rPr>
        <w:t xml:space="preserve"> </w:t>
      </w:r>
      <w:r w:rsidR="00DA6B5E" w:rsidRPr="00724785">
        <w:rPr>
          <w:rFonts w:cs="Times New Roman"/>
          <w:sz w:val="24"/>
          <w:szCs w:val="24"/>
        </w:rPr>
        <w:t xml:space="preserve">and hedge as necessary </w:t>
      </w:r>
      <w:r w:rsidR="002342D1" w:rsidRPr="00724785">
        <w:rPr>
          <w:rFonts w:cs="Times New Roman"/>
          <w:sz w:val="24"/>
          <w:szCs w:val="24"/>
        </w:rPr>
        <w:t xml:space="preserve">up to a </w:t>
      </w:r>
      <w:r w:rsidR="00F80C07" w:rsidRPr="00724785">
        <w:rPr>
          <w:rFonts w:cs="Times New Roman"/>
          <w:sz w:val="24"/>
          <w:szCs w:val="24"/>
        </w:rPr>
        <w:t xml:space="preserve">55 </w:t>
      </w:r>
      <w:r w:rsidR="003D42F9" w:rsidRPr="00724785">
        <w:rPr>
          <w:rFonts w:cs="Times New Roman"/>
          <w:sz w:val="24"/>
          <w:szCs w:val="24"/>
        </w:rPr>
        <w:t>percent</w:t>
      </w:r>
      <w:r w:rsidR="002342D1" w:rsidRPr="00724785">
        <w:rPr>
          <w:rFonts w:cs="Times New Roman"/>
          <w:sz w:val="24"/>
          <w:szCs w:val="24"/>
        </w:rPr>
        <w:t xml:space="preserve"> hedge ratio, etc</w:t>
      </w:r>
      <w:r w:rsidR="00D27F60" w:rsidRPr="00566E47">
        <w:rPr>
          <w:rFonts w:cs="Times New Roman"/>
          <w:sz w:val="24"/>
          <w:szCs w:val="24"/>
        </w:rPr>
        <w:t xml:space="preserve">. </w:t>
      </w:r>
      <w:r w:rsidR="003D42F9" w:rsidRPr="00724785">
        <w:rPr>
          <w:rFonts w:cs="Times New Roman"/>
          <w:sz w:val="24"/>
          <w:szCs w:val="24"/>
        </w:rPr>
        <w:t>T</w:t>
      </w:r>
      <w:r w:rsidR="002342D1" w:rsidRPr="00724785">
        <w:rPr>
          <w:rFonts w:cs="Times New Roman"/>
          <w:sz w:val="24"/>
          <w:szCs w:val="24"/>
        </w:rPr>
        <w:t xml:space="preserve">he hedge manager is not waiting for the potential breach of an ultimate </w:t>
      </w:r>
      <w:r w:rsidR="00F54ADA" w:rsidRPr="00724785">
        <w:rPr>
          <w:rFonts w:cs="Times New Roman"/>
          <w:sz w:val="24"/>
          <w:szCs w:val="24"/>
        </w:rPr>
        <w:t>tolerance boundary</w:t>
      </w:r>
      <w:r w:rsidR="002342D1" w:rsidRPr="00724785">
        <w:rPr>
          <w:rFonts w:cs="Times New Roman"/>
          <w:sz w:val="24"/>
          <w:szCs w:val="24"/>
        </w:rPr>
        <w:t xml:space="preserve"> to hedge all needs in a precipitous manner.</w:t>
      </w:r>
    </w:p>
    <w:p w:rsidR="002604D2" w:rsidRPr="007A0B87" w:rsidRDefault="00B53353" w:rsidP="00A056E0">
      <w:pPr>
        <w:spacing w:after="120"/>
        <w:rPr>
          <w:rFonts w:cs="Times New Roman"/>
          <w:sz w:val="24"/>
          <w:szCs w:val="24"/>
        </w:rPr>
      </w:pPr>
      <w:r w:rsidRPr="00724785">
        <w:rPr>
          <w:rFonts w:cs="Times New Roman"/>
          <w:sz w:val="24"/>
          <w:szCs w:val="24"/>
        </w:rPr>
        <w:t>I</w:t>
      </w:r>
      <w:r w:rsidR="00DA6B5E" w:rsidRPr="00724785">
        <w:rPr>
          <w:rFonts w:cs="Times New Roman"/>
          <w:sz w:val="24"/>
          <w:szCs w:val="24"/>
        </w:rPr>
        <w:t>n the example</w:t>
      </w:r>
      <w:r w:rsidR="003D42F9" w:rsidRPr="00724785">
        <w:rPr>
          <w:rFonts w:cs="Times New Roman"/>
          <w:sz w:val="24"/>
          <w:szCs w:val="24"/>
        </w:rPr>
        <w:t xml:space="preserve"> above</w:t>
      </w:r>
      <w:r w:rsidR="00FF7390" w:rsidRPr="00724785">
        <w:rPr>
          <w:rFonts w:cs="Times New Roman"/>
          <w:sz w:val="24"/>
          <w:szCs w:val="24"/>
        </w:rPr>
        <w:t>, the</w:t>
      </w:r>
      <w:r w:rsidR="003D42F9" w:rsidRPr="00724785">
        <w:rPr>
          <w:rFonts w:cs="Times New Roman"/>
          <w:sz w:val="24"/>
          <w:szCs w:val="24"/>
        </w:rPr>
        <w:t xml:space="preserve"> utility could add an additional </w:t>
      </w:r>
      <w:r w:rsidR="00F80C07" w:rsidRPr="00724785">
        <w:rPr>
          <w:rFonts w:cs="Times New Roman"/>
          <w:sz w:val="24"/>
          <w:szCs w:val="24"/>
        </w:rPr>
        <w:t xml:space="preserve">10 </w:t>
      </w:r>
      <w:r w:rsidR="003D42F9" w:rsidRPr="00724785">
        <w:rPr>
          <w:rFonts w:cs="Times New Roman"/>
          <w:sz w:val="24"/>
          <w:szCs w:val="24"/>
        </w:rPr>
        <w:t xml:space="preserve">percent to the hedge ratio </w:t>
      </w:r>
      <w:r w:rsidR="007A0B87">
        <w:rPr>
          <w:rFonts w:cs="Times New Roman"/>
          <w:sz w:val="24"/>
          <w:szCs w:val="24"/>
        </w:rPr>
        <w:t xml:space="preserve">from boundary 1 to boundary </w:t>
      </w:r>
      <w:r w:rsidR="00B76C17" w:rsidRPr="00724785">
        <w:rPr>
          <w:rFonts w:cs="Times New Roman"/>
          <w:sz w:val="24"/>
          <w:szCs w:val="24"/>
        </w:rPr>
        <w:t>2</w:t>
      </w:r>
      <w:r w:rsidR="003D42F9" w:rsidRPr="00724785">
        <w:rPr>
          <w:rFonts w:cs="Times New Roman"/>
          <w:sz w:val="24"/>
          <w:szCs w:val="24"/>
        </w:rPr>
        <w:t>.</w:t>
      </w:r>
      <w:r w:rsidR="00B76C17" w:rsidRPr="00724785">
        <w:rPr>
          <w:rFonts w:cs="Times New Roman"/>
          <w:sz w:val="24"/>
          <w:szCs w:val="24"/>
        </w:rPr>
        <w:t xml:space="preserve"> </w:t>
      </w:r>
      <w:r w:rsidR="003D42F9" w:rsidRPr="00724785">
        <w:rPr>
          <w:rFonts w:cs="Times New Roman"/>
          <w:sz w:val="24"/>
          <w:szCs w:val="24"/>
        </w:rPr>
        <w:t xml:space="preserve">The additional </w:t>
      </w:r>
      <w:r w:rsidR="00F80C07" w:rsidRPr="00724785">
        <w:rPr>
          <w:rFonts w:cs="Times New Roman"/>
          <w:sz w:val="24"/>
          <w:szCs w:val="24"/>
        </w:rPr>
        <w:t xml:space="preserve">10 </w:t>
      </w:r>
      <w:r w:rsidR="003D42F9" w:rsidRPr="00724785">
        <w:rPr>
          <w:rFonts w:cs="Times New Roman"/>
          <w:sz w:val="24"/>
          <w:szCs w:val="24"/>
        </w:rPr>
        <w:t xml:space="preserve">percent </w:t>
      </w:r>
      <w:r w:rsidR="0077040A" w:rsidRPr="00724785">
        <w:rPr>
          <w:rFonts w:cs="Times New Roman"/>
          <w:sz w:val="24"/>
          <w:szCs w:val="24"/>
        </w:rPr>
        <w:t>will</w:t>
      </w:r>
      <w:r w:rsidR="00B76C17" w:rsidRPr="00724785">
        <w:rPr>
          <w:rFonts w:cs="Times New Roman"/>
          <w:sz w:val="24"/>
          <w:szCs w:val="24"/>
        </w:rPr>
        <w:t xml:space="preserve"> not </w:t>
      </w:r>
      <w:r w:rsidR="0077040A" w:rsidRPr="00724785">
        <w:rPr>
          <w:rFonts w:cs="Times New Roman"/>
          <w:sz w:val="24"/>
          <w:szCs w:val="24"/>
        </w:rPr>
        <w:t xml:space="preserve">be </w:t>
      </w:r>
      <w:r w:rsidR="00B76C17" w:rsidRPr="00724785">
        <w:rPr>
          <w:rFonts w:cs="Times New Roman"/>
          <w:sz w:val="24"/>
          <w:szCs w:val="24"/>
        </w:rPr>
        <w:t>executed in one large tranche</w:t>
      </w:r>
      <w:r w:rsidR="003D42F9" w:rsidRPr="00724785">
        <w:rPr>
          <w:rFonts w:cs="Times New Roman"/>
          <w:sz w:val="24"/>
          <w:szCs w:val="24"/>
        </w:rPr>
        <w:t>, but rather</w:t>
      </w:r>
      <w:r w:rsidR="00FF7390" w:rsidRPr="00724785">
        <w:rPr>
          <w:rFonts w:cs="Times New Roman"/>
          <w:sz w:val="24"/>
          <w:szCs w:val="24"/>
        </w:rPr>
        <w:t xml:space="preserve"> </w:t>
      </w:r>
      <w:r w:rsidR="003D42F9" w:rsidRPr="00724785">
        <w:rPr>
          <w:rFonts w:cs="Times New Roman"/>
          <w:sz w:val="24"/>
          <w:szCs w:val="24"/>
        </w:rPr>
        <w:t>h</w:t>
      </w:r>
      <w:r w:rsidR="00B76C17" w:rsidRPr="00724785">
        <w:rPr>
          <w:rFonts w:cs="Times New Roman"/>
          <w:sz w:val="24"/>
          <w:szCs w:val="24"/>
        </w:rPr>
        <w:t xml:space="preserve">edges are placed in proportion to the value at risk that must be eliminated. Stated more precisely, if unhedged positions represent </w:t>
      </w:r>
      <w:r w:rsidR="004E00E7" w:rsidRPr="00724785">
        <w:rPr>
          <w:rFonts w:cs="Times New Roman"/>
          <w:sz w:val="24"/>
          <w:szCs w:val="24"/>
        </w:rPr>
        <w:t>6</w:t>
      </w:r>
      <w:r w:rsidR="00B76C17" w:rsidRPr="00724785">
        <w:rPr>
          <w:rFonts w:cs="Times New Roman"/>
          <w:sz w:val="24"/>
          <w:szCs w:val="24"/>
        </w:rPr>
        <w:t>0</w:t>
      </w:r>
      <w:r w:rsidR="003D42F9" w:rsidRPr="00724785">
        <w:rPr>
          <w:rFonts w:cs="Times New Roman"/>
          <w:sz w:val="24"/>
          <w:szCs w:val="24"/>
        </w:rPr>
        <w:t xml:space="preserve"> percent</w:t>
      </w:r>
      <w:r w:rsidR="004E00E7" w:rsidRPr="007A0B87">
        <w:rPr>
          <w:rStyle w:val="FootnoteReference"/>
          <w:rFonts w:ascii="Times New Roman" w:hAnsi="Times New Roman" w:cs="Times New Roman"/>
          <w:sz w:val="24"/>
          <w:szCs w:val="24"/>
        </w:rPr>
        <w:footnoteReference w:id="19"/>
      </w:r>
      <w:r w:rsidR="00B76C17" w:rsidRPr="007A0B87">
        <w:rPr>
          <w:rFonts w:cs="Times New Roman"/>
          <w:sz w:val="24"/>
          <w:szCs w:val="24"/>
        </w:rPr>
        <w:t xml:space="preserve"> of the portfolio, VaR</w:t>
      </w:r>
      <w:r w:rsidR="00B76C17" w:rsidRPr="007A0B87">
        <w:rPr>
          <w:rFonts w:cs="Times New Roman"/>
          <w:sz w:val="24"/>
          <w:szCs w:val="24"/>
        </w:rPr>
        <w:noBreakHyphen/>
        <w:t>C is entirely attributable to those positions</w:t>
      </w:r>
      <w:r w:rsidR="00D27F60" w:rsidRPr="00566E47">
        <w:rPr>
          <w:rFonts w:cs="Times New Roman"/>
          <w:sz w:val="24"/>
          <w:szCs w:val="24"/>
        </w:rPr>
        <w:t xml:space="preserve">. </w:t>
      </w:r>
      <w:r w:rsidR="00B76C17" w:rsidRPr="007A0B87">
        <w:rPr>
          <w:rFonts w:cs="Times New Roman"/>
          <w:sz w:val="24"/>
          <w:szCs w:val="24"/>
        </w:rPr>
        <w:t>So, when managing next year’s gas portfolio, if we need to eliminate $.05</w:t>
      </w:r>
      <w:r w:rsidR="004E00E7" w:rsidRPr="007A0B87">
        <w:rPr>
          <w:rFonts w:cs="Times New Roman"/>
          <w:sz w:val="24"/>
          <w:szCs w:val="24"/>
        </w:rPr>
        <w:t xml:space="preserve"> per MMBtu</w:t>
      </w:r>
      <w:r w:rsidR="00B76C17" w:rsidRPr="007A0B87">
        <w:rPr>
          <w:rFonts w:cs="Times New Roman"/>
          <w:sz w:val="24"/>
          <w:szCs w:val="24"/>
        </w:rPr>
        <w:t xml:space="preserve"> of excess </w:t>
      </w:r>
      <w:r w:rsidR="0077040A" w:rsidRPr="007A0B87">
        <w:rPr>
          <w:rFonts w:cs="Times New Roman"/>
          <w:sz w:val="24"/>
          <w:szCs w:val="24"/>
        </w:rPr>
        <w:t>VaR out of a total VaR-C of $1</w:t>
      </w:r>
      <w:r w:rsidR="004E00E7" w:rsidRPr="007A0B87">
        <w:rPr>
          <w:rFonts w:cs="Times New Roman"/>
          <w:sz w:val="24"/>
          <w:szCs w:val="24"/>
        </w:rPr>
        <w:t xml:space="preserve"> per MMBtu</w:t>
      </w:r>
      <w:r w:rsidR="00B76C17" w:rsidRPr="007A0B87">
        <w:rPr>
          <w:rFonts w:cs="Times New Roman"/>
          <w:sz w:val="24"/>
          <w:szCs w:val="24"/>
        </w:rPr>
        <w:t xml:space="preserve">, we would only add a hedge increment of </w:t>
      </w:r>
      <w:r w:rsidR="005E2198" w:rsidRPr="007A0B87">
        <w:rPr>
          <w:rFonts w:cs="Times New Roman"/>
          <w:sz w:val="24"/>
          <w:szCs w:val="24"/>
        </w:rPr>
        <w:t>three percent</w:t>
      </w:r>
      <w:r w:rsidR="00B76C17" w:rsidRPr="007A0B87">
        <w:rPr>
          <w:rFonts w:cs="Times New Roman"/>
          <w:sz w:val="24"/>
          <w:szCs w:val="24"/>
        </w:rPr>
        <w:t xml:space="preserve"> ($.05/$</w:t>
      </w:r>
      <w:r w:rsidR="0077040A" w:rsidRPr="007A0B87">
        <w:rPr>
          <w:rFonts w:cs="Times New Roman"/>
          <w:sz w:val="24"/>
          <w:szCs w:val="24"/>
        </w:rPr>
        <w:t xml:space="preserve">1 times </w:t>
      </w:r>
      <w:r w:rsidR="00F54ADA" w:rsidRPr="007A0B87">
        <w:rPr>
          <w:rFonts w:cs="Times New Roman"/>
          <w:sz w:val="24"/>
          <w:szCs w:val="24"/>
        </w:rPr>
        <w:t xml:space="preserve">the </w:t>
      </w:r>
      <w:r w:rsidR="004E00E7" w:rsidRPr="007A0B87">
        <w:rPr>
          <w:rFonts w:cs="Times New Roman"/>
          <w:sz w:val="24"/>
          <w:szCs w:val="24"/>
        </w:rPr>
        <w:t>6</w:t>
      </w:r>
      <w:r w:rsidR="00B76C17" w:rsidRPr="007A0B87">
        <w:rPr>
          <w:rFonts w:cs="Times New Roman"/>
          <w:sz w:val="24"/>
          <w:szCs w:val="24"/>
        </w:rPr>
        <w:t>0</w:t>
      </w:r>
      <w:r w:rsidR="005E2198" w:rsidRPr="007A0B87">
        <w:rPr>
          <w:rFonts w:cs="Times New Roman"/>
          <w:sz w:val="24"/>
          <w:szCs w:val="24"/>
        </w:rPr>
        <w:t xml:space="preserve"> percent</w:t>
      </w:r>
      <w:r w:rsidR="00B76C17" w:rsidRPr="007A0B87">
        <w:rPr>
          <w:rFonts w:cs="Times New Roman"/>
          <w:sz w:val="24"/>
          <w:szCs w:val="24"/>
        </w:rPr>
        <w:t xml:space="preserve"> open positions)</w:t>
      </w:r>
      <w:r w:rsidR="00D27F60" w:rsidRPr="00566E47">
        <w:rPr>
          <w:rFonts w:cs="Times New Roman"/>
          <w:sz w:val="24"/>
          <w:szCs w:val="24"/>
        </w:rPr>
        <w:t xml:space="preserve">. </w:t>
      </w:r>
      <w:r w:rsidR="002604D2" w:rsidRPr="007A0B87">
        <w:rPr>
          <w:rFonts w:cs="Times New Roman"/>
          <w:sz w:val="24"/>
          <w:szCs w:val="24"/>
        </w:rPr>
        <w:t>The effect is, as desired, to hedge only as necessary and in small increments.</w:t>
      </w:r>
    </w:p>
    <w:p w:rsidR="00F80C07" w:rsidRPr="007A0B87" w:rsidRDefault="00F80C07" w:rsidP="00A056E0">
      <w:pPr>
        <w:spacing w:after="120"/>
        <w:rPr>
          <w:rFonts w:cs="Times New Roman"/>
          <w:sz w:val="24"/>
          <w:szCs w:val="24"/>
        </w:rPr>
      </w:pPr>
      <w:r w:rsidRPr="007A0B87">
        <w:rPr>
          <w:rFonts w:cs="Times New Roman"/>
          <w:sz w:val="24"/>
          <w:szCs w:val="24"/>
        </w:rPr>
        <w:t xml:space="preserve">The </w:t>
      </w:r>
      <w:r w:rsidR="00B53353" w:rsidRPr="007A0B87">
        <w:rPr>
          <w:rFonts w:cs="Times New Roman"/>
          <w:sz w:val="24"/>
          <w:szCs w:val="24"/>
        </w:rPr>
        <w:t xml:space="preserve">illustration </w:t>
      </w:r>
      <w:r w:rsidR="000C7D63" w:rsidRPr="007A0B87">
        <w:rPr>
          <w:rFonts w:cs="Times New Roman"/>
          <w:sz w:val="24"/>
          <w:szCs w:val="24"/>
        </w:rPr>
        <w:t xml:space="preserve">in Figure </w:t>
      </w:r>
      <w:r w:rsidR="00CF560A" w:rsidRPr="007A0B87">
        <w:rPr>
          <w:rFonts w:cs="Times New Roman"/>
          <w:sz w:val="24"/>
          <w:szCs w:val="24"/>
        </w:rPr>
        <w:t xml:space="preserve">4 </w:t>
      </w:r>
      <w:r w:rsidRPr="007A0B87">
        <w:rPr>
          <w:rFonts w:cs="Times New Roman"/>
          <w:sz w:val="24"/>
          <w:szCs w:val="24"/>
        </w:rPr>
        <w:t>below shows a progression of defensive hedges under illustrative market conditions when prices rise by about 15</w:t>
      </w:r>
      <w:r w:rsidR="00B53353" w:rsidRPr="007A0B87">
        <w:rPr>
          <w:rFonts w:cs="Times New Roman"/>
          <w:sz w:val="24"/>
          <w:szCs w:val="24"/>
        </w:rPr>
        <w:t xml:space="preserve"> percent</w:t>
      </w:r>
      <w:r w:rsidRPr="007A0B87">
        <w:rPr>
          <w:rFonts w:cs="Times New Roman"/>
          <w:sz w:val="24"/>
          <w:szCs w:val="24"/>
        </w:rPr>
        <w:t xml:space="preserve"> over 13 weeks. It could be informative for those inclined to follow the calculations.</w:t>
      </w:r>
    </w:p>
    <w:p w:rsidR="00CF560A" w:rsidRPr="00CC3C06" w:rsidRDefault="000C7D63" w:rsidP="00332F77">
      <w:pPr>
        <w:keepNext/>
        <w:keepLines/>
        <w:pBdr>
          <w:top w:val="single" w:sz="4" w:space="1" w:color="auto"/>
        </w:pBdr>
        <w:spacing w:before="240" w:after="120"/>
        <w:jc w:val="both"/>
        <w:rPr>
          <w:b/>
          <w:sz w:val="21"/>
          <w:szCs w:val="21"/>
          <w:u w:val="single"/>
        </w:rPr>
      </w:pPr>
      <w:r w:rsidRPr="00CC3C06">
        <w:rPr>
          <w:b/>
          <w:sz w:val="21"/>
          <w:szCs w:val="21"/>
          <w:u w:val="single"/>
        </w:rPr>
        <w:t xml:space="preserve">Figure </w:t>
      </w:r>
      <w:r w:rsidR="00CF560A" w:rsidRPr="00CC3C06">
        <w:rPr>
          <w:b/>
          <w:sz w:val="21"/>
          <w:szCs w:val="21"/>
          <w:u w:val="single"/>
        </w:rPr>
        <w:t>4:  Defensive Hedging Illustration</w:t>
      </w:r>
    </w:p>
    <w:p w:rsidR="00CF560A" w:rsidRDefault="00496501" w:rsidP="006339CE">
      <w:pPr>
        <w:spacing w:after="120"/>
        <w:jc w:val="center"/>
      </w:pPr>
      <w:r>
        <w:rPr>
          <w:noProof/>
        </w:rPr>
        <w:drawing>
          <wp:inline distT="0" distB="0" distL="0" distR="0" wp14:anchorId="0BA80EB6" wp14:editId="01B2ABA8">
            <wp:extent cx="6209969" cy="4354940"/>
            <wp:effectExtent l="0" t="0" r="63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15150" cy="4358574"/>
                    </a:xfrm>
                    <a:prstGeom prst="rect">
                      <a:avLst/>
                    </a:prstGeom>
                  </pic:spPr>
                </pic:pic>
              </a:graphicData>
            </a:graphic>
          </wp:inline>
        </w:drawing>
      </w:r>
      <w:r w:rsidR="00CF560A" w:rsidRPr="00CF560A" w:rsidDel="00CF560A">
        <w:t xml:space="preserve"> </w:t>
      </w:r>
    </w:p>
    <w:p w:rsidR="00D35633" w:rsidRDefault="00D35633" w:rsidP="00332F77">
      <w:pPr>
        <w:pBdr>
          <w:top w:val="single" w:sz="4" w:space="1" w:color="auto"/>
        </w:pBdr>
        <w:spacing w:after="120"/>
        <w:jc w:val="center"/>
      </w:pPr>
    </w:p>
    <w:p w:rsidR="009F37BB" w:rsidRPr="0002468E" w:rsidRDefault="002342D1" w:rsidP="007A0B87">
      <w:pPr>
        <w:spacing w:after="120"/>
        <w:rPr>
          <w:sz w:val="24"/>
          <w:szCs w:val="24"/>
        </w:rPr>
      </w:pPr>
      <w:r w:rsidRPr="0002468E">
        <w:rPr>
          <w:b/>
          <w:sz w:val="24"/>
          <w:szCs w:val="24"/>
        </w:rPr>
        <w:t>Type A</w:t>
      </w:r>
      <w:r w:rsidR="005673B3" w:rsidRPr="0002468E">
        <w:rPr>
          <w:b/>
          <w:sz w:val="24"/>
          <w:szCs w:val="24"/>
        </w:rPr>
        <w:t>,</w:t>
      </w:r>
      <w:r w:rsidRPr="0002468E">
        <w:rPr>
          <w:b/>
          <w:sz w:val="24"/>
          <w:szCs w:val="24"/>
        </w:rPr>
        <w:t xml:space="preserve"> Programmatic Hedges:</w:t>
      </w:r>
      <w:r w:rsidRPr="0002468E">
        <w:rPr>
          <w:sz w:val="24"/>
          <w:szCs w:val="24"/>
        </w:rPr>
        <w:t xml:space="preserve"> If concerns persist that defensive hedges will be required in large tranches, programmatic hedges can be accumulated up to a low to moderate level, e.g., 10</w:t>
      </w:r>
      <w:r w:rsidR="001B0DC8" w:rsidRPr="0002468E">
        <w:rPr>
          <w:sz w:val="24"/>
          <w:szCs w:val="24"/>
        </w:rPr>
        <w:t xml:space="preserve"> percent</w:t>
      </w:r>
      <w:r w:rsidRPr="0002468E">
        <w:rPr>
          <w:sz w:val="24"/>
          <w:szCs w:val="24"/>
        </w:rPr>
        <w:t xml:space="preserve"> or 30</w:t>
      </w:r>
      <w:r w:rsidR="001B0DC8" w:rsidRPr="0002468E">
        <w:rPr>
          <w:sz w:val="24"/>
          <w:szCs w:val="24"/>
        </w:rPr>
        <w:t xml:space="preserve"> percent </w:t>
      </w:r>
      <w:r w:rsidRPr="0002468E">
        <w:rPr>
          <w:sz w:val="24"/>
          <w:szCs w:val="24"/>
        </w:rPr>
        <w:t>hedge ratio. The programmatic hedges will preempt the need for large defensive hedges later. Volatility tends to grow as each contract</w:t>
      </w:r>
      <w:r w:rsidR="00105684" w:rsidRPr="0002468E">
        <w:rPr>
          <w:sz w:val="24"/>
          <w:szCs w:val="24"/>
        </w:rPr>
        <w:t>-</w:t>
      </w:r>
      <w:r w:rsidRPr="0002468E">
        <w:rPr>
          <w:sz w:val="24"/>
          <w:szCs w:val="24"/>
        </w:rPr>
        <w:t xml:space="preserve">month grows closer, so early programmatic hedges provide a </w:t>
      </w:r>
      <w:r w:rsidR="009F37BB" w:rsidRPr="0002468E">
        <w:rPr>
          <w:sz w:val="24"/>
          <w:szCs w:val="24"/>
        </w:rPr>
        <w:t>constant-volume</w:t>
      </w:r>
      <w:r w:rsidR="00D71363" w:rsidRPr="0002468E">
        <w:rPr>
          <w:sz w:val="24"/>
          <w:szCs w:val="24"/>
        </w:rPr>
        <w:t xml:space="preserve"> </w:t>
      </w:r>
      <w:r w:rsidRPr="0002468E">
        <w:rPr>
          <w:sz w:val="24"/>
          <w:szCs w:val="24"/>
        </w:rPr>
        <w:t xml:space="preserve">averaging technique before the emergence of severe contract-month volatility. </w:t>
      </w:r>
      <w:r w:rsidR="00FF7390" w:rsidRPr="0002468E">
        <w:rPr>
          <w:sz w:val="24"/>
          <w:szCs w:val="24"/>
        </w:rPr>
        <w:t xml:space="preserve">The </w:t>
      </w:r>
      <w:r w:rsidRPr="0002468E">
        <w:rPr>
          <w:sz w:val="24"/>
          <w:szCs w:val="24"/>
        </w:rPr>
        <w:t>main objective</w:t>
      </w:r>
      <w:r w:rsidR="00FF7390" w:rsidRPr="0002468E">
        <w:rPr>
          <w:sz w:val="24"/>
          <w:szCs w:val="24"/>
        </w:rPr>
        <w:t xml:space="preserve"> of programmatic hedges</w:t>
      </w:r>
      <w:r w:rsidR="00F54ADA" w:rsidRPr="0002468E">
        <w:rPr>
          <w:sz w:val="24"/>
          <w:szCs w:val="24"/>
        </w:rPr>
        <w:t>, when necessary,</w:t>
      </w:r>
      <w:r w:rsidRPr="0002468E">
        <w:rPr>
          <w:sz w:val="24"/>
          <w:szCs w:val="24"/>
        </w:rPr>
        <w:t xml:space="preserve"> is to make the defensive hedging tranches manageable in high</w:t>
      </w:r>
      <w:r w:rsidR="00F10CA1" w:rsidRPr="0002468E">
        <w:rPr>
          <w:sz w:val="24"/>
          <w:szCs w:val="24"/>
        </w:rPr>
        <w:t>ly volatile</w:t>
      </w:r>
      <w:r w:rsidRPr="0002468E">
        <w:rPr>
          <w:sz w:val="24"/>
          <w:szCs w:val="24"/>
        </w:rPr>
        <w:t xml:space="preserve"> markets.</w:t>
      </w:r>
      <w:r w:rsidR="009F37BB" w:rsidRPr="0002468E">
        <w:rPr>
          <w:sz w:val="24"/>
          <w:szCs w:val="24"/>
        </w:rPr>
        <w:t xml:space="preserve">  </w:t>
      </w:r>
    </w:p>
    <w:p w:rsidR="002342D1" w:rsidRPr="0002468E" w:rsidRDefault="005E2198" w:rsidP="007A0B87">
      <w:pPr>
        <w:spacing w:after="120"/>
        <w:rPr>
          <w:sz w:val="24"/>
          <w:szCs w:val="24"/>
        </w:rPr>
      </w:pPr>
      <w:r w:rsidRPr="0002468E">
        <w:rPr>
          <w:sz w:val="24"/>
          <w:szCs w:val="24"/>
        </w:rPr>
        <w:t>I</w:t>
      </w:r>
      <w:r w:rsidR="009F37BB" w:rsidRPr="0002468E">
        <w:rPr>
          <w:sz w:val="24"/>
          <w:szCs w:val="24"/>
        </w:rPr>
        <w:t>f programmatic hedges are deployed, the first defensive boundary</w:t>
      </w:r>
      <w:r w:rsidR="000051A2" w:rsidRPr="0002468E">
        <w:rPr>
          <w:sz w:val="24"/>
          <w:szCs w:val="24"/>
        </w:rPr>
        <w:t>’s maximum hedge ratio</w:t>
      </w:r>
      <w:r w:rsidR="009F37BB" w:rsidRPr="0002468E">
        <w:rPr>
          <w:sz w:val="24"/>
          <w:szCs w:val="24"/>
        </w:rPr>
        <w:t xml:space="preserve"> would typically be raised to some</w:t>
      </w:r>
      <w:r w:rsidR="000051A2" w:rsidRPr="0002468E">
        <w:rPr>
          <w:sz w:val="24"/>
          <w:szCs w:val="24"/>
        </w:rPr>
        <w:t>thing</w:t>
      </w:r>
      <w:r w:rsidR="009F37BB" w:rsidRPr="0002468E">
        <w:rPr>
          <w:sz w:val="24"/>
          <w:szCs w:val="24"/>
        </w:rPr>
        <w:t xml:space="preserve"> greater than the programmatic level; i.e., in the example above, the defense of boundary 1 </w:t>
      </w:r>
      <w:r w:rsidR="000051A2" w:rsidRPr="0002468E">
        <w:rPr>
          <w:sz w:val="24"/>
          <w:szCs w:val="24"/>
        </w:rPr>
        <w:t xml:space="preserve">was illustrated as </w:t>
      </w:r>
      <w:r w:rsidR="009F37BB" w:rsidRPr="0002468E">
        <w:rPr>
          <w:sz w:val="24"/>
          <w:szCs w:val="24"/>
        </w:rPr>
        <w:t xml:space="preserve">up to a </w:t>
      </w:r>
      <w:r w:rsidR="00F80C07" w:rsidRPr="0002468E">
        <w:rPr>
          <w:sz w:val="24"/>
          <w:szCs w:val="24"/>
        </w:rPr>
        <w:t>45</w:t>
      </w:r>
      <w:r w:rsidR="001B0DC8" w:rsidRPr="0002468E">
        <w:rPr>
          <w:sz w:val="24"/>
          <w:szCs w:val="24"/>
        </w:rPr>
        <w:t xml:space="preserve"> percent</w:t>
      </w:r>
      <w:r w:rsidR="009F37BB" w:rsidRPr="0002468E">
        <w:rPr>
          <w:sz w:val="24"/>
          <w:szCs w:val="24"/>
        </w:rPr>
        <w:t xml:space="preserve"> hedge ratio</w:t>
      </w:r>
      <w:r w:rsidR="000051A2" w:rsidRPr="0002468E">
        <w:rPr>
          <w:sz w:val="24"/>
          <w:szCs w:val="24"/>
        </w:rPr>
        <w:t>; this</w:t>
      </w:r>
      <w:r w:rsidR="009F37BB" w:rsidRPr="0002468E">
        <w:rPr>
          <w:sz w:val="24"/>
          <w:szCs w:val="24"/>
        </w:rPr>
        <w:t xml:space="preserve"> might be </w:t>
      </w:r>
      <w:r w:rsidR="00F80C07" w:rsidRPr="0002468E">
        <w:rPr>
          <w:sz w:val="24"/>
          <w:szCs w:val="24"/>
        </w:rPr>
        <w:t>consistent with a 30</w:t>
      </w:r>
      <w:r w:rsidR="001B0DC8" w:rsidRPr="0002468E">
        <w:rPr>
          <w:sz w:val="24"/>
          <w:szCs w:val="24"/>
        </w:rPr>
        <w:t xml:space="preserve"> percent</w:t>
      </w:r>
      <w:r w:rsidR="009F37BB" w:rsidRPr="0002468E">
        <w:rPr>
          <w:sz w:val="24"/>
          <w:szCs w:val="24"/>
        </w:rPr>
        <w:t xml:space="preserve"> </w:t>
      </w:r>
      <w:r w:rsidR="00F80C07" w:rsidRPr="0002468E">
        <w:rPr>
          <w:sz w:val="24"/>
          <w:szCs w:val="24"/>
        </w:rPr>
        <w:t xml:space="preserve">programmatic hedge </w:t>
      </w:r>
      <w:r w:rsidR="009F37BB" w:rsidRPr="0002468E">
        <w:rPr>
          <w:sz w:val="24"/>
          <w:szCs w:val="24"/>
        </w:rPr>
        <w:t>rat</w:t>
      </w:r>
      <w:r w:rsidR="000051A2" w:rsidRPr="0002468E">
        <w:rPr>
          <w:sz w:val="24"/>
          <w:szCs w:val="24"/>
        </w:rPr>
        <w:t>io</w:t>
      </w:r>
      <w:r w:rsidR="009F37BB" w:rsidRPr="0002468E">
        <w:rPr>
          <w:sz w:val="24"/>
          <w:szCs w:val="24"/>
        </w:rPr>
        <w:t>.</w:t>
      </w:r>
    </w:p>
    <w:p w:rsidR="000051A2" w:rsidRPr="0002468E" w:rsidRDefault="002342D1" w:rsidP="007A0B87">
      <w:pPr>
        <w:spacing w:after="120"/>
        <w:rPr>
          <w:sz w:val="24"/>
          <w:szCs w:val="24"/>
        </w:rPr>
      </w:pPr>
      <w:r w:rsidRPr="0002468E">
        <w:rPr>
          <w:b/>
          <w:sz w:val="24"/>
          <w:szCs w:val="24"/>
        </w:rPr>
        <w:t xml:space="preserve">Type C, Contingent </w:t>
      </w:r>
      <w:r w:rsidR="00B1667F" w:rsidRPr="0002468E">
        <w:rPr>
          <w:b/>
          <w:sz w:val="24"/>
          <w:szCs w:val="24"/>
        </w:rPr>
        <w:t>Responses</w:t>
      </w:r>
      <w:r w:rsidRPr="0002468E">
        <w:rPr>
          <w:b/>
          <w:sz w:val="24"/>
          <w:szCs w:val="24"/>
        </w:rPr>
        <w:t>:</w:t>
      </w:r>
      <w:r w:rsidRPr="0002468E">
        <w:rPr>
          <w:sz w:val="24"/>
          <w:szCs w:val="24"/>
        </w:rPr>
        <w:t xml:space="preserve"> Contingent </w:t>
      </w:r>
      <w:r w:rsidR="00B1667F" w:rsidRPr="0002468E">
        <w:rPr>
          <w:sz w:val="24"/>
          <w:szCs w:val="24"/>
        </w:rPr>
        <w:t xml:space="preserve">responses </w:t>
      </w:r>
      <w:r w:rsidRPr="0002468E">
        <w:rPr>
          <w:sz w:val="24"/>
          <w:szCs w:val="24"/>
        </w:rPr>
        <w:t>aim to constrain losses in price collapses. If defensive and programmatic hedges are designed correctly and tolerances are compatible with market realities, contingent hedges are almost never necessary</w:t>
      </w:r>
      <w:r w:rsidR="008F22A4" w:rsidRPr="0002468E">
        <w:rPr>
          <w:sz w:val="24"/>
          <w:szCs w:val="24"/>
        </w:rPr>
        <w:t xml:space="preserve">. </w:t>
      </w:r>
      <w:r w:rsidR="00965A6F" w:rsidRPr="0002468E">
        <w:rPr>
          <w:sz w:val="24"/>
          <w:szCs w:val="24"/>
        </w:rPr>
        <w:t xml:space="preserve">For most </w:t>
      </w:r>
      <w:r w:rsidR="00D27F60" w:rsidRPr="0002468E">
        <w:rPr>
          <w:sz w:val="24"/>
          <w:szCs w:val="24"/>
        </w:rPr>
        <w:t>programs,</w:t>
      </w:r>
      <w:r w:rsidR="00965A6F" w:rsidRPr="0002468E">
        <w:rPr>
          <w:sz w:val="24"/>
          <w:szCs w:val="24"/>
        </w:rPr>
        <w:t xml:space="preserve"> t</w:t>
      </w:r>
      <w:r w:rsidRPr="0002468E">
        <w:rPr>
          <w:sz w:val="24"/>
          <w:szCs w:val="24"/>
        </w:rPr>
        <w:t xml:space="preserve">he collapsing prices </w:t>
      </w:r>
      <w:r w:rsidR="000E657F" w:rsidRPr="0002468E">
        <w:rPr>
          <w:sz w:val="24"/>
          <w:szCs w:val="24"/>
        </w:rPr>
        <w:t>following</w:t>
      </w:r>
      <w:r w:rsidRPr="0002468E">
        <w:rPr>
          <w:sz w:val="24"/>
          <w:szCs w:val="24"/>
        </w:rPr>
        <w:t xml:space="preserve"> the 2008 financial crisis presented </w:t>
      </w:r>
      <w:r w:rsidR="00965A6F" w:rsidRPr="0002468E">
        <w:rPr>
          <w:sz w:val="24"/>
          <w:szCs w:val="24"/>
        </w:rPr>
        <w:t xml:space="preserve">the only </w:t>
      </w:r>
      <w:r w:rsidRPr="0002468E">
        <w:rPr>
          <w:sz w:val="24"/>
          <w:szCs w:val="24"/>
        </w:rPr>
        <w:t>such environment</w:t>
      </w:r>
      <w:r w:rsidR="000051A2" w:rsidRPr="0002468E">
        <w:rPr>
          <w:sz w:val="24"/>
          <w:szCs w:val="24"/>
        </w:rPr>
        <w:t xml:space="preserve"> in the last decade</w:t>
      </w:r>
      <w:r w:rsidRPr="0002468E">
        <w:rPr>
          <w:sz w:val="24"/>
          <w:szCs w:val="24"/>
        </w:rPr>
        <w:t xml:space="preserve">. Contingent </w:t>
      </w:r>
      <w:r w:rsidR="00B1667F" w:rsidRPr="0002468E">
        <w:rPr>
          <w:sz w:val="24"/>
          <w:szCs w:val="24"/>
        </w:rPr>
        <w:t xml:space="preserve">responses </w:t>
      </w:r>
      <w:r w:rsidRPr="0002468E">
        <w:rPr>
          <w:sz w:val="24"/>
          <w:szCs w:val="24"/>
        </w:rPr>
        <w:t xml:space="preserve">are placed in response to a potential breach of a hedge-loss tolerance. </w:t>
      </w:r>
      <w:r w:rsidR="001B0DC8" w:rsidRPr="0002468E">
        <w:rPr>
          <w:sz w:val="24"/>
          <w:szCs w:val="24"/>
        </w:rPr>
        <w:t xml:space="preserve">Notably, </w:t>
      </w:r>
      <w:r w:rsidRPr="0002468E">
        <w:rPr>
          <w:sz w:val="24"/>
          <w:szCs w:val="24"/>
        </w:rPr>
        <w:t xml:space="preserve">the potential for a breach will be recognized long before the actual losses are reflected in market prices. The only time contingent </w:t>
      </w:r>
      <w:r w:rsidR="00B1667F" w:rsidRPr="0002468E">
        <w:rPr>
          <w:sz w:val="24"/>
          <w:szCs w:val="24"/>
        </w:rPr>
        <w:t xml:space="preserve">responses </w:t>
      </w:r>
      <w:r w:rsidR="000E657F" w:rsidRPr="0002468E">
        <w:rPr>
          <w:sz w:val="24"/>
          <w:szCs w:val="24"/>
        </w:rPr>
        <w:t>might be</w:t>
      </w:r>
      <w:r w:rsidRPr="0002468E">
        <w:rPr>
          <w:sz w:val="24"/>
          <w:szCs w:val="24"/>
        </w:rPr>
        <w:t xml:space="preserve"> </w:t>
      </w:r>
      <w:r w:rsidR="000E657F" w:rsidRPr="0002468E">
        <w:rPr>
          <w:sz w:val="24"/>
          <w:szCs w:val="24"/>
        </w:rPr>
        <w:t>triggered</w:t>
      </w:r>
      <w:r w:rsidRPr="0002468E">
        <w:rPr>
          <w:sz w:val="24"/>
          <w:szCs w:val="24"/>
        </w:rPr>
        <w:t xml:space="preserve"> is when prices run up very rapidly (driving defensive hedges) and then down very rapidly; in other words</w:t>
      </w:r>
      <w:r w:rsidR="001B0DC8" w:rsidRPr="0002468E">
        <w:rPr>
          <w:sz w:val="24"/>
          <w:szCs w:val="24"/>
        </w:rPr>
        <w:t>,</w:t>
      </w:r>
      <w:r w:rsidRPr="0002468E">
        <w:rPr>
          <w:sz w:val="24"/>
          <w:szCs w:val="24"/>
        </w:rPr>
        <w:t xml:space="preserve"> volatility is very high</w:t>
      </w:r>
      <w:r w:rsidR="000E657F" w:rsidRPr="0002468E">
        <w:rPr>
          <w:sz w:val="24"/>
          <w:szCs w:val="24"/>
        </w:rPr>
        <w:t xml:space="preserve"> and price trends reverse dramatically</w:t>
      </w:r>
      <w:r w:rsidRPr="0002468E">
        <w:rPr>
          <w:sz w:val="24"/>
          <w:szCs w:val="24"/>
        </w:rPr>
        <w:t xml:space="preserve">. When volatility is very high, so is the </w:t>
      </w:r>
      <w:r w:rsidR="00105684" w:rsidRPr="0002468E">
        <w:rPr>
          <w:sz w:val="24"/>
          <w:szCs w:val="24"/>
        </w:rPr>
        <w:t>VaR</w:t>
      </w:r>
      <w:r w:rsidRPr="0002468E">
        <w:rPr>
          <w:sz w:val="24"/>
          <w:szCs w:val="24"/>
        </w:rPr>
        <w:t xml:space="preserve">, so </w:t>
      </w:r>
      <w:r w:rsidR="000E657F" w:rsidRPr="0002468E">
        <w:rPr>
          <w:sz w:val="24"/>
          <w:szCs w:val="24"/>
        </w:rPr>
        <w:t xml:space="preserve">for a company monitoring VaR-L, </w:t>
      </w:r>
      <w:r w:rsidRPr="0002468E">
        <w:rPr>
          <w:sz w:val="24"/>
          <w:szCs w:val="24"/>
        </w:rPr>
        <w:t xml:space="preserve">the potential for outlier-sized losses would be identified before </w:t>
      </w:r>
      <w:r w:rsidR="008C6198" w:rsidRPr="0002468E">
        <w:rPr>
          <w:sz w:val="24"/>
          <w:szCs w:val="24"/>
        </w:rPr>
        <w:t>they actually develop</w:t>
      </w:r>
      <w:r w:rsidRPr="0002468E">
        <w:rPr>
          <w:sz w:val="24"/>
          <w:szCs w:val="24"/>
        </w:rPr>
        <w:t xml:space="preserve">. Contingent hedge decisions might consist of overlaying options (premiums, while high, could be a bargain in the rare crisis environment) or simply reversing prior hedges via counter positions.  </w:t>
      </w:r>
    </w:p>
    <w:p w:rsidR="002342D1" w:rsidRPr="0002468E" w:rsidRDefault="000051A2" w:rsidP="007A0B87">
      <w:pPr>
        <w:spacing w:after="120"/>
        <w:rPr>
          <w:sz w:val="24"/>
          <w:szCs w:val="24"/>
        </w:rPr>
      </w:pPr>
      <w:r w:rsidRPr="0002468E">
        <w:rPr>
          <w:sz w:val="24"/>
          <w:szCs w:val="24"/>
        </w:rPr>
        <w:t xml:space="preserve">It is worth noting how the defensive protocols work in conjunction with the contingent </w:t>
      </w:r>
      <w:r w:rsidR="00F74DF6" w:rsidRPr="0002468E">
        <w:rPr>
          <w:sz w:val="24"/>
          <w:szCs w:val="24"/>
        </w:rPr>
        <w:t>responses</w:t>
      </w:r>
      <w:r w:rsidRPr="0002468E">
        <w:rPr>
          <w:sz w:val="24"/>
          <w:szCs w:val="24"/>
        </w:rPr>
        <w:t xml:space="preserve">. Since the defensive hedges are added as graduated responses to tiered boundaries, each new defensive hedge is added to </w:t>
      </w:r>
      <w:r w:rsidR="00616978" w:rsidRPr="0002468E">
        <w:rPr>
          <w:sz w:val="24"/>
          <w:szCs w:val="24"/>
        </w:rPr>
        <w:t>prior hedges that look very favorable to the then-current market price; in other words, as more defensive hedges are added, the mark to market is increasingly favorable</w:t>
      </w:r>
      <w:r w:rsidRPr="0002468E">
        <w:rPr>
          <w:sz w:val="24"/>
          <w:szCs w:val="24"/>
        </w:rPr>
        <w:t>. The contingent hedges, as just explained, are only triggered when prices run up very rapidly and then down very rapidly. At the price apex where the reversal occurs, the portfolio will exhibit a very favorable mark to market, so even under extreme volatility, there is time to execute the contingent responses.</w:t>
      </w:r>
      <w:r w:rsidR="00F74DF6" w:rsidRPr="0002468E">
        <w:rPr>
          <w:sz w:val="24"/>
          <w:szCs w:val="24"/>
        </w:rPr>
        <w:t xml:space="preserve"> </w:t>
      </w:r>
      <w:r w:rsidR="00616978" w:rsidRPr="0002468E">
        <w:rPr>
          <w:sz w:val="24"/>
          <w:szCs w:val="24"/>
        </w:rPr>
        <w:t>Having said that</w:t>
      </w:r>
      <w:r w:rsidR="00F74DF6" w:rsidRPr="0002468E">
        <w:rPr>
          <w:sz w:val="24"/>
          <w:szCs w:val="24"/>
        </w:rPr>
        <w:t xml:space="preserve">, </w:t>
      </w:r>
      <w:r w:rsidR="00616978" w:rsidRPr="0002468E">
        <w:rPr>
          <w:sz w:val="24"/>
          <w:szCs w:val="24"/>
        </w:rPr>
        <w:t xml:space="preserve">given </w:t>
      </w:r>
      <w:r w:rsidR="00F74DF6" w:rsidRPr="0002468E">
        <w:rPr>
          <w:sz w:val="24"/>
          <w:szCs w:val="24"/>
        </w:rPr>
        <w:t>the general aversion to hedge losses and the collateral implications of unfavorable mark to market, it is often advisable to use a longer holding period when measuring the contingent VaR-L risk</w:t>
      </w:r>
      <w:r w:rsidR="00616978" w:rsidRPr="0002468E">
        <w:rPr>
          <w:sz w:val="24"/>
          <w:szCs w:val="24"/>
        </w:rPr>
        <w:t xml:space="preserve"> in order to provide a more advance warning of potential losses</w:t>
      </w:r>
      <w:r w:rsidR="00F74DF6" w:rsidRPr="0002468E">
        <w:rPr>
          <w:sz w:val="24"/>
          <w:szCs w:val="24"/>
        </w:rPr>
        <w:t>.</w:t>
      </w:r>
    </w:p>
    <w:p w:rsidR="008D5122" w:rsidRPr="0002468E" w:rsidRDefault="008D5122" w:rsidP="008D5122">
      <w:pPr>
        <w:spacing w:after="120"/>
        <w:rPr>
          <w:sz w:val="24"/>
          <w:szCs w:val="24"/>
        </w:rPr>
      </w:pPr>
      <w:r w:rsidRPr="0002468E">
        <w:rPr>
          <w:sz w:val="24"/>
          <w:szCs w:val="24"/>
        </w:rPr>
        <w:t>The illustration in Figure 5 shows a steadily decreasing market, and how contingent responses could be used to constrain hedge loss potential.</w:t>
      </w:r>
    </w:p>
    <w:p w:rsidR="00CF560A" w:rsidRPr="00CC3C06" w:rsidRDefault="000C7D63" w:rsidP="00CF560A">
      <w:pPr>
        <w:keepNext/>
        <w:keepLines/>
        <w:pBdr>
          <w:top w:val="single" w:sz="4" w:space="1" w:color="auto"/>
        </w:pBdr>
        <w:spacing w:before="240" w:after="120"/>
        <w:jc w:val="both"/>
        <w:rPr>
          <w:b/>
          <w:sz w:val="21"/>
          <w:szCs w:val="21"/>
          <w:u w:val="single"/>
        </w:rPr>
      </w:pPr>
      <w:r w:rsidRPr="00CC3C06">
        <w:rPr>
          <w:b/>
          <w:sz w:val="21"/>
          <w:szCs w:val="21"/>
          <w:u w:val="single"/>
        </w:rPr>
        <w:t xml:space="preserve">Figure </w:t>
      </w:r>
      <w:r w:rsidR="00CF560A" w:rsidRPr="00CC3C06">
        <w:rPr>
          <w:b/>
          <w:sz w:val="21"/>
          <w:szCs w:val="21"/>
          <w:u w:val="single"/>
        </w:rPr>
        <w:t>5:  Contingent Response Illustration</w:t>
      </w:r>
    </w:p>
    <w:p w:rsidR="00CF560A" w:rsidRDefault="00496501" w:rsidP="00CF560A">
      <w:pPr>
        <w:keepNext/>
        <w:keepLines/>
        <w:spacing w:after="120"/>
        <w:jc w:val="both"/>
      </w:pPr>
      <w:r w:rsidRPr="00496501">
        <w:drawing>
          <wp:inline distT="0" distB="0" distL="0" distR="0" wp14:anchorId="0E7CBA8B" wp14:editId="196D8D98">
            <wp:extent cx="6036445" cy="3164619"/>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37592" cy="3165220"/>
                    </a:xfrm>
                    <a:prstGeom prst="rect">
                      <a:avLst/>
                    </a:prstGeom>
                  </pic:spPr>
                </pic:pic>
              </a:graphicData>
            </a:graphic>
          </wp:inline>
        </w:drawing>
      </w:r>
    </w:p>
    <w:p w:rsidR="00CF560A" w:rsidRDefault="00CF560A" w:rsidP="00332F77">
      <w:pPr>
        <w:pBdr>
          <w:top w:val="single" w:sz="4" w:space="1" w:color="auto"/>
        </w:pBdr>
        <w:spacing w:after="120"/>
        <w:jc w:val="both"/>
      </w:pPr>
    </w:p>
    <w:p w:rsidR="00FC27C4" w:rsidRPr="0002468E" w:rsidRDefault="002342D1" w:rsidP="00F13BCB">
      <w:pPr>
        <w:spacing w:before="240" w:after="120"/>
        <w:rPr>
          <w:sz w:val="24"/>
        </w:rPr>
      </w:pPr>
      <w:r w:rsidRPr="0002468E">
        <w:rPr>
          <w:b/>
          <w:sz w:val="24"/>
        </w:rPr>
        <w:t>Type D, Discretionary “Hedges”</w:t>
      </w:r>
      <w:r w:rsidRPr="0002468E">
        <w:rPr>
          <w:sz w:val="24"/>
        </w:rPr>
        <w:t xml:space="preserve"> are opportunity</w:t>
      </w:r>
      <w:r w:rsidRPr="0002468E">
        <w:rPr>
          <w:sz w:val="24"/>
        </w:rPr>
        <w:noBreakHyphen/>
        <w:t>focused rather than risk</w:t>
      </w:r>
      <w:r w:rsidRPr="0002468E">
        <w:rPr>
          <w:sz w:val="24"/>
        </w:rPr>
        <w:noBreakHyphen/>
        <w:t xml:space="preserve">focused, and they are very susceptible to prudence issues if executed early, so they are best left to managing near-term gas needs. In the short term, LDC managers often have specialized knowledge of system and pipeline factors that can influence price and reliability, so discretionary hedges become more an extension of operating discretion. </w:t>
      </w:r>
      <w:r w:rsidR="008C6198" w:rsidRPr="0002468E">
        <w:rPr>
          <w:sz w:val="24"/>
        </w:rPr>
        <w:t xml:space="preserve"> </w:t>
      </w:r>
    </w:p>
    <w:p w:rsidR="002342D1" w:rsidRPr="0002468E" w:rsidRDefault="00FC27C4" w:rsidP="00F13BCB">
      <w:pPr>
        <w:spacing w:before="240" w:after="120"/>
        <w:rPr>
          <w:b/>
          <w:iCs/>
          <w:sz w:val="24"/>
        </w:rPr>
      </w:pPr>
      <w:r w:rsidRPr="0002468E">
        <w:rPr>
          <w:b/>
          <w:iCs/>
          <w:sz w:val="24"/>
        </w:rPr>
        <w:t>Conflict Resolution:</w:t>
      </w:r>
      <w:r w:rsidRPr="0002468E">
        <w:rPr>
          <w:iCs/>
          <w:sz w:val="24"/>
        </w:rPr>
        <w:t xml:space="preserve"> When volatility reaches outlier proportions, a </w:t>
      </w:r>
      <w:r w:rsidR="00CD316B" w:rsidRPr="0002468E">
        <w:rPr>
          <w:iCs/>
          <w:sz w:val="24"/>
        </w:rPr>
        <w:t xml:space="preserve">rare </w:t>
      </w:r>
      <w:r w:rsidRPr="0002468E">
        <w:rPr>
          <w:iCs/>
          <w:sz w:val="24"/>
        </w:rPr>
        <w:t>conflict might arise where both VaR-C and VaR-L indicate potential breaches of boundaries. In other words, the risk of cost increases exceeds tolerance, and the risk of hedge losses also exceeds tolerance</w:t>
      </w:r>
      <w:r w:rsidR="00D27F60" w:rsidRPr="0002468E">
        <w:rPr>
          <w:iCs/>
          <w:sz w:val="24"/>
        </w:rPr>
        <w:t xml:space="preserve">. </w:t>
      </w:r>
      <w:r w:rsidRPr="0002468E">
        <w:rPr>
          <w:iCs/>
          <w:sz w:val="24"/>
        </w:rPr>
        <w:t>This rare situation</w:t>
      </w:r>
      <w:r w:rsidR="00EC6E2E" w:rsidRPr="0002468E">
        <w:rPr>
          <w:iCs/>
          <w:sz w:val="24"/>
        </w:rPr>
        <w:t xml:space="preserve"> requires management to decide if they are more risk averse with respect to cost increases or hedge losses. It is typically better to make such decisions at the time of strategy development, rather than waiting until the realit</w:t>
      </w:r>
      <w:r w:rsidR="008C6198" w:rsidRPr="0002468E">
        <w:rPr>
          <w:iCs/>
          <w:sz w:val="24"/>
        </w:rPr>
        <w:t>ies</w:t>
      </w:r>
      <w:r w:rsidR="00EC6E2E" w:rsidRPr="0002468E">
        <w:rPr>
          <w:iCs/>
          <w:sz w:val="24"/>
        </w:rPr>
        <w:t xml:space="preserve"> of crisis management.</w:t>
      </w:r>
      <w:r w:rsidR="00CD316B" w:rsidRPr="0002468E">
        <w:rPr>
          <w:iCs/>
          <w:sz w:val="24"/>
        </w:rPr>
        <w:t xml:space="preserve"> The history would indicate that, in terms of economic results, allowing contingent protocols to dominate and suspending new hedges produces superior results because typically, such a conflict would only arise at or near extreme market peaks, and recall from Figure 1 that such peaks tend to be transient. Having said that, the company’s risk aversion preference should </w:t>
      </w:r>
      <w:r w:rsidR="004219EE" w:rsidRPr="0002468E">
        <w:rPr>
          <w:iCs/>
          <w:sz w:val="24"/>
        </w:rPr>
        <w:t xml:space="preserve">guide </w:t>
      </w:r>
      <w:r w:rsidR="00CD316B" w:rsidRPr="0002468E">
        <w:rPr>
          <w:iCs/>
          <w:sz w:val="24"/>
        </w:rPr>
        <w:t>this decision.</w:t>
      </w:r>
    </w:p>
    <w:p w:rsidR="009327BE" w:rsidRPr="008E4C1D" w:rsidRDefault="009C1ADE" w:rsidP="008E4C1D">
      <w:pPr>
        <w:pStyle w:val="Heading1"/>
      </w:pPr>
      <w:bookmarkStart w:id="28" w:name="_Toc411341380"/>
      <w:bookmarkStart w:id="29" w:name="_Toc424039090"/>
      <w:r w:rsidRPr="008E4C1D">
        <w:t xml:space="preserve">Illustrative Strategy </w:t>
      </w:r>
      <w:r w:rsidR="00B42AC7" w:rsidRPr="008E4C1D">
        <w:t>Comparisons</w:t>
      </w:r>
      <w:bookmarkEnd w:id="28"/>
      <w:bookmarkEnd w:id="29"/>
    </w:p>
    <w:p w:rsidR="009C1ADE" w:rsidRPr="0002468E" w:rsidRDefault="009C1ADE" w:rsidP="004D6148">
      <w:pPr>
        <w:rPr>
          <w:sz w:val="24"/>
        </w:rPr>
      </w:pPr>
      <w:r w:rsidRPr="0002468E">
        <w:rPr>
          <w:sz w:val="24"/>
        </w:rPr>
        <w:t>The conceptual discussions</w:t>
      </w:r>
      <w:r w:rsidR="003655A4" w:rsidRPr="0002468E">
        <w:rPr>
          <w:sz w:val="24"/>
        </w:rPr>
        <w:t xml:space="preserve"> above</w:t>
      </w:r>
      <w:r w:rsidR="00720DAB" w:rsidRPr="0002468E">
        <w:rPr>
          <w:sz w:val="24"/>
        </w:rPr>
        <w:t xml:space="preserve"> may</w:t>
      </w:r>
      <w:r w:rsidR="00B42AC7" w:rsidRPr="0002468E">
        <w:rPr>
          <w:sz w:val="24"/>
        </w:rPr>
        <w:t xml:space="preserve"> be</w:t>
      </w:r>
      <w:r w:rsidRPr="0002468E">
        <w:rPr>
          <w:sz w:val="24"/>
        </w:rPr>
        <w:t xml:space="preserve"> more easily understood by way of examples. </w:t>
      </w:r>
      <w:r w:rsidR="00B97A6A" w:rsidRPr="0002468E">
        <w:rPr>
          <w:sz w:val="24"/>
        </w:rPr>
        <w:t>S</w:t>
      </w:r>
      <w:r w:rsidR="00B42AC7" w:rsidRPr="0002468E">
        <w:rPr>
          <w:sz w:val="24"/>
        </w:rPr>
        <w:t xml:space="preserve">imulations were run for contrasting strategies using the actual historical prices and daily forward curves from 2000 to 2014. </w:t>
      </w:r>
      <w:r w:rsidR="00720DAB" w:rsidRPr="0002468E">
        <w:rPr>
          <w:sz w:val="24"/>
        </w:rPr>
        <w:t>F</w:t>
      </w:r>
      <w:r w:rsidR="00D31079" w:rsidRPr="0002468E">
        <w:rPr>
          <w:sz w:val="24"/>
        </w:rPr>
        <w:t xml:space="preserve">or </w:t>
      </w:r>
      <w:r w:rsidR="0012442A" w:rsidRPr="0002468E">
        <w:rPr>
          <w:sz w:val="24"/>
        </w:rPr>
        <w:t>each day of the 15</w:t>
      </w:r>
      <w:r w:rsidR="0012442A" w:rsidRPr="0002468E">
        <w:rPr>
          <w:sz w:val="24"/>
        </w:rPr>
        <w:noBreakHyphen/>
      </w:r>
      <w:r w:rsidR="00B42AC7" w:rsidRPr="0002468E">
        <w:rPr>
          <w:sz w:val="24"/>
        </w:rPr>
        <w:t>year history</w:t>
      </w:r>
      <w:r w:rsidR="00720DAB" w:rsidRPr="0002468E">
        <w:rPr>
          <w:sz w:val="24"/>
        </w:rPr>
        <w:t>,</w:t>
      </w:r>
      <w:r w:rsidR="00B42AC7" w:rsidRPr="0002468E">
        <w:rPr>
          <w:sz w:val="24"/>
        </w:rPr>
        <w:t xml:space="preserve"> the simulation used the prevailing forward curve to calculate portfolio values, VaR-C</w:t>
      </w:r>
      <w:r w:rsidR="00720DAB" w:rsidRPr="0002468E">
        <w:rPr>
          <w:sz w:val="24"/>
        </w:rPr>
        <w:t>,</w:t>
      </w:r>
      <w:r w:rsidR="00B42AC7" w:rsidRPr="0002468E">
        <w:rPr>
          <w:sz w:val="24"/>
        </w:rPr>
        <w:t xml:space="preserve"> and VaR</w:t>
      </w:r>
      <w:r w:rsidR="0062088B" w:rsidRPr="0002468E">
        <w:rPr>
          <w:sz w:val="24"/>
        </w:rPr>
        <w:noBreakHyphen/>
      </w:r>
      <w:r w:rsidR="00B42AC7" w:rsidRPr="0002468E">
        <w:rPr>
          <w:sz w:val="24"/>
        </w:rPr>
        <w:t xml:space="preserve">L for a </w:t>
      </w:r>
      <w:r w:rsidR="0012442A" w:rsidRPr="0002468E">
        <w:rPr>
          <w:sz w:val="24"/>
        </w:rPr>
        <w:t xml:space="preserve">forward </w:t>
      </w:r>
      <w:r w:rsidR="00D31079" w:rsidRPr="0002468E">
        <w:rPr>
          <w:sz w:val="24"/>
        </w:rPr>
        <w:t xml:space="preserve">horizon of </w:t>
      </w:r>
      <w:r w:rsidR="00B42AC7" w:rsidRPr="0002468E">
        <w:rPr>
          <w:sz w:val="24"/>
        </w:rPr>
        <w:t xml:space="preserve">two </w:t>
      </w:r>
      <w:r w:rsidR="00D31079" w:rsidRPr="0002468E">
        <w:rPr>
          <w:sz w:val="24"/>
        </w:rPr>
        <w:t xml:space="preserve">calendar </w:t>
      </w:r>
      <w:r w:rsidR="00B42AC7" w:rsidRPr="0002468E">
        <w:rPr>
          <w:sz w:val="24"/>
        </w:rPr>
        <w:t>year</w:t>
      </w:r>
      <w:r w:rsidR="00D31079" w:rsidRPr="0002468E">
        <w:rPr>
          <w:sz w:val="24"/>
        </w:rPr>
        <w:t>s</w:t>
      </w:r>
      <w:r w:rsidR="00B42AC7" w:rsidRPr="0002468E">
        <w:rPr>
          <w:sz w:val="24"/>
        </w:rPr>
        <w:t xml:space="preserve">. It then made decisions to hedge or not </w:t>
      </w:r>
      <w:r w:rsidR="004C1A29" w:rsidRPr="0002468E">
        <w:rPr>
          <w:sz w:val="24"/>
        </w:rPr>
        <w:t xml:space="preserve">to hedge </w:t>
      </w:r>
      <w:r w:rsidR="00B42AC7" w:rsidRPr="0002468E">
        <w:rPr>
          <w:sz w:val="24"/>
        </w:rPr>
        <w:t>based on decision rules postulated for each strategy.</w:t>
      </w:r>
    </w:p>
    <w:p w:rsidR="00811D73" w:rsidRPr="0002468E" w:rsidRDefault="00844A85" w:rsidP="004D6148">
      <w:pPr>
        <w:rPr>
          <w:sz w:val="24"/>
        </w:rPr>
      </w:pPr>
      <w:r w:rsidRPr="0002468E">
        <w:rPr>
          <w:sz w:val="24"/>
        </w:rPr>
        <w:t>T</w:t>
      </w:r>
      <w:r w:rsidR="004C1A29" w:rsidRPr="0002468E">
        <w:rPr>
          <w:sz w:val="24"/>
        </w:rPr>
        <w:t xml:space="preserve">wo </w:t>
      </w:r>
      <w:r w:rsidR="00B42AC7" w:rsidRPr="0002468E">
        <w:rPr>
          <w:sz w:val="24"/>
        </w:rPr>
        <w:t xml:space="preserve">hedge strategies </w:t>
      </w:r>
      <w:r w:rsidRPr="0002468E">
        <w:rPr>
          <w:sz w:val="24"/>
        </w:rPr>
        <w:t xml:space="preserve">are </w:t>
      </w:r>
      <w:r w:rsidR="00D31079" w:rsidRPr="0002468E">
        <w:rPr>
          <w:sz w:val="24"/>
        </w:rPr>
        <w:t>compared</w:t>
      </w:r>
      <w:r w:rsidR="00B42AC7" w:rsidRPr="0002468E">
        <w:rPr>
          <w:sz w:val="24"/>
        </w:rPr>
        <w:t xml:space="preserve"> </w:t>
      </w:r>
      <w:r w:rsidRPr="0002468E">
        <w:rPr>
          <w:sz w:val="24"/>
        </w:rPr>
        <w:t xml:space="preserve">and </w:t>
      </w:r>
      <w:r w:rsidR="00B42AC7" w:rsidRPr="0002468E">
        <w:rPr>
          <w:sz w:val="24"/>
        </w:rPr>
        <w:t>summarized in Table 1 below</w:t>
      </w:r>
      <w:r w:rsidR="00CD51BD" w:rsidRPr="0002468E">
        <w:rPr>
          <w:sz w:val="24"/>
        </w:rPr>
        <w:t xml:space="preserve">. </w:t>
      </w:r>
      <w:r w:rsidR="00720DAB" w:rsidRPr="0002468E">
        <w:rPr>
          <w:sz w:val="24"/>
        </w:rPr>
        <w:t xml:space="preserve">The first strategy </w:t>
      </w:r>
      <w:r w:rsidR="00CD51BD" w:rsidRPr="0002468E">
        <w:rPr>
          <w:sz w:val="24"/>
        </w:rPr>
        <w:t>reflects a programmatic</w:t>
      </w:r>
      <w:r w:rsidR="00CD51BD" w:rsidRPr="0002468E">
        <w:rPr>
          <w:sz w:val="24"/>
        </w:rPr>
        <w:noBreakHyphen/>
        <w:t>only accumulation up to a 65</w:t>
      </w:r>
      <w:r w:rsidR="00720DAB" w:rsidRPr="0002468E">
        <w:rPr>
          <w:sz w:val="24"/>
        </w:rPr>
        <w:t xml:space="preserve"> percent</w:t>
      </w:r>
      <w:r w:rsidR="00CD51BD" w:rsidRPr="0002468E">
        <w:rPr>
          <w:sz w:val="24"/>
        </w:rPr>
        <w:t xml:space="preserve"> hedge ratio</w:t>
      </w:r>
      <w:r w:rsidR="00105684" w:rsidRPr="0002468E">
        <w:rPr>
          <w:sz w:val="24"/>
        </w:rPr>
        <w:t>.</w:t>
      </w:r>
      <w:r w:rsidR="00CD51BD" w:rsidRPr="0002468E">
        <w:rPr>
          <w:sz w:val="24"/>
        </w:rPr>
        <w:t xml:space="preserve"> </w:t>
      </w:r>
      <w:r w:rsidR="00105684" w:rsidRPr="0002468E">
        <w:rPr>
          <w:sz w:val="24"/>
        </w:rPr>
        <w:t xml:space="preserve">This is </w:t>
      </w:r>
      <w:r w:rsidR="006558ED" w:rsidRPr="0002468E">
        <w:rPr>
          <w:sz w:val="24"/>
        </w:rPr>
        <w:t>a</w:t>
      </w:r>
      <w:r w:rsidR="00CD51BD" w:rsidRPr="0002468E">
        <w:rPr>
          <w:sz w:val="24"/>
        </w:rPr>
        <w:t xml:space="preserve"> </w:t>
      </w:r>
      <w:r w:rsidR="0001706F" w:rsidRPr="0002468E">
        <w:rPr>
          <w:sz w:val="24"/>
        </w:rPr>
        <w:t>typical</w:t>
      </w:r>
      <w:r w:rsidR="00CD51BD" w:rsidRPr="0002468E">
        <w:rPr>
          <w:sz w:val="24"/>
        </w:rPr>
        <w:t xml:space="preserve"> investor-owned </w:t>
      </w:r>
      <w:r w:rsidR="00105684" w:rsidRPr="0002468E">
        <w:rPr>
          <w:sz w:val="24"/>
        </w:rPr>
        <w:t xml:space="preserve">utility </w:t>
      </w:r>
      <w:r w:rsidR="00CD51BD" w:rsidRPr="0002468E">
        <w:rPr>
          <w:sz w:val="24"/>
        </w:rPr>
        <w:t>practice</w:t>
      </w:r>
      <w:r w:rsidR="0001706F" w:rsidRPr="0002468E">
        <w:rPr>
          <w:sz w:val="24"/>
        </w:rPr>
        <w:t>, but is not intended to reflect any specific company’s history or</w:t>
      </w:r>
      <w:r w:rsidR="008D5122" w:rsidRPr="0002468E">
        <w:rPr>
          <w:sz w:val="24"/>
        </w:rPr>
        <w:t xml:space="preserve"> be</w:t>
      </w:r>
      <w:r w:rsidR="0001706F" w:rsidRPr="0002468E">
        <w:rPr>
          <w:sz w:val="24"/>
        </w:rPr>
        <w:t xml:space="preserve"> representative</w:t>
      </w:r>
      <w:r w:rsidR="008D5122" w:rsidRPr="0002468E">
        <w:rPr>
          <w:sz w:val="24"/>
        </w:rPr>
        <w:t xml:space="preserve"> of</w:t>
      </w:r>
      <w:r w:rsidR="0001706F" w:rsidRPr="0002468E">
        <w:rPr>
          <w:sz w:val="24"/>
        </w:rPr>
        <w:t xml:space="preserve"> Washington </w:t>
      </w:r>
      <w:proofErr w:type="gramStart"/>
      <w:r w:rsidR="00105684" w:rsidRPr="0002468E">
        <w:rPr>
          <w:sz w:val="24"/>
        </w:rPr>
        <w:t>state</w:t>
      </w:r>
      <w:r w:rsidR="008D5122" w:rsidRPr="0002468E">
        <w:rPr>
          <w:sz w:val="24"/>
        </w:rPr>
        <w:t>’s</w:t>
      </w:r>
      <w:proofErr w:type="gramEnd"/>
      <w:r w:rsidR="00105684" w:rsidRPr="0002468E">
        <w:rPr>
          <w:sz w:val="24"/>
        </w:rPr>
        <w:t xml:space="preserve"> </w:t>
      </w:r>
      <w:r w:rsidR="0001706F" w:rsidRPr="0002468E">
        <w:rPr>
          <w:sz w:val="24"/>
        </w:rPr>
        <w:t>average</w:t>
      </w:r>
      <w:r w:rsidR="00CD51BD" w:rsidRPr="0002468E">
        <w:rPr>
          <w:sz w:val="24"/>
        </w:rPr>
        <w:t>. The second strategy dramatically reduces programmatic hedges</w:t>
      </w:r>
      <w:r w:rsidR="004219EE" w:rsidRPr="0002468E">
        <w:rPr>
          <w:sz w:val="24"/>
        </w:rPr>
        <w:t xml:space="preserve"> </w:t>
      </w:r>
      <w:r w:rsidR="0062088B" w:rsidRPr="0002468E">
        <w:rPr>
          <w:sz w:val="24"/>
        </w:rPr>
        <w:t xml:space="preserve">to a </w:t>
      </w:r>
      <w:r w:rsidR="004219EE" w:rsidRPr="0002468E">
        <w:rPr>
          <w:sz w:val="24"/>
        </w:rPr>
        <w:t>limited 24 percent maximum</w:t>
      </w:r>
      <w:r w:rsidR="00CD51BD" w:rsidRPr="0002468E">
        <w:rPr>
          <w:sz w:val="24"/>
        </w:rPr>
        <w:t xml:space="preserve">, but when </w:t>
      </w:r>
      <w:r w:rsidR="00996C63" w:rsidRPr="0002468E">
        <w:rPr>
          <w:sz w:val="24"/>
        </w:rPr>
        <w:t>appropriate</w:t>
      </w:r>
      <w:r w:rsidR="00CD51BD" w:rsidRPr="0002468E">
        <w:rPr>
          <w:sz w:val="24"/>
        </w:rPr>
        <w:t xml:space="preserve">, uses defensive hedges to reach a </w:t>
      </w:r>
      <w:r w:rsidR="004219EE" w:rsidRPr="0002468E">
        <w:rPr>
          <w:sz w:val="24"/>
        </w:rPr>
        <w:t xml:space="preserve">maximum </w:t>
      </w:r>
      <w:r w:rsidR="00CD51BD" w:rsidRPr="0002468E">
        <w:rPr>
          <w:sz w:val="24"/>
        </w:rPr>
        <w:t>80</w:t>
      </w:r>
      <w:r w:rsidR="00720DAB" w:rsidRPr="0002468E">
        <w:rPr>
          <w:sz w:val="24"/>
        </w:rPr>
        <w:t xml:space="preserve"> percent</w:t>
      </w:r>
      <w:r w:rsidR="00CD51BD" w:rsidRPr="0002468E">
        <w:rPr>
          <w:sz w:val="24"/>
        </w:rPr>
        <w:t xml:space="preserve"> hedge ratio</w:t>
      </w:r>
      <w:r w:rsidR="00105684" w:rsidRPr="0002468E">
        <w:rPr>
          <w:sz w:val="24"/>
        </w:rPr>
        <w:t>. I</w:t>
      </w:r>
      <w:r w:rsidR="004C1A29" w:rsidRPr="0002468E">
        <w:rPr>
          <w:sz w:val="24"/>
        </w:rPr>
        <w:t>t also</w:t>
      </w:r>
      <w:r w:rsidR="00CD51BD" w:rsidRPr="0002468E">
        <w:rPr>
          <w:sz w:val="24"/>
        </w:rPr>
        <w:t xml:space="preserve"> </w:t>
      </w:r>
      <w:r w:rsidR="004C1A29" w:rsidRPr="0002468E">
        <w:rPr>
          <w:sz w:val="24"/>
        </w:rPr>
        <w:t>deploys</w:t>
      </w:r>
      <w:r w:rsidR="00CD51BD" w:rsidRPr="0002468E">
        <w:rPr>
          <w:sz w:val="24"/>
        </w:rPr>
        <w:t xml:space="preserve"> contingent protocols to protect against large hedge losses.  </w:t>
      </w:r>
    </w:p>
    <w:p w:rsidR="00880861" w:rsidRPr="0002468E" w:rsidRDefault="004C1A29" w:rsidP="004D6148">
      <w:pPr>
        <w:rPr>
          <w:sz w:val="24"/>
        </w:rPr>
      </w:pPr>
      <w:r w:rsidRPr="0002468E">
        <w:rPr>
          <w:sz w:val="24"/>
        </w:rPr>
        <w:t xml:space="preserve">Note that these two </w:t>
      </w:r>
      <w:r w:rsidR="00417A1B" w:rsidRPr="0002468E">
        <w:rPr>
          <w:sz w:val="24"/>
        </w:rPr>
        <w:t xml:space="preserve">strategies </w:t>
      </w:r>
      <w:r w:rsidRPr="0002468E">
        <w:rPr>
          <w:sz w:val="24"/>
        </w:rPr>
        <w:t>illustrate a simple contrast of fixed-ratio swaps versus responsive swap decisions. The strategies have</w:t>
      </w:r>
      <w:r w:rsidR="008966BF" w:rsidRPr="0002468E">
        <w:rPr>
          <w:sz w:val="24"/>
        </w:rPr>
        <w:t xml:space="preserve"> not been customized in any way, </w:t>
      </w:r>
      <w:r w:rsidRPr="0002468E">
        <w:rPr>
          <w:sz w:val="24"/>
        </w:rPr>
        <w:t>further benefits could be gained by adjusting the parameters of the responsive strategy. Boundaries could be tighter or looser</w:t>
      </w:r>
      <w:r w:rsidR="00720DAB" w:rsidRPr="0002468E">
        <w:rPr>
          <w:sz w:val="24"/>
        </w:rPr>
        <w:t>,</w:t>
      </w:r>
      <w:r w:rsidRPr="0002468E">
        <w:rPr>
          <w:sz w:val="24"/>
        </w:rPr>
        <w:t xml:space="preserve"> options could be used in contingent protocols, and so on. </w:t>
      </w:r>
      <w:r w:rsidR="00CD51BD" w:rsidRPr="0002468E">
        <w:rPr>
          <w:sz w:val="24"/>
        </w:rPr>
        <w:t xml:space="preserve">The strategy </w:t>
      </w:r>
      <w:r w:rsidRPr="0002468E">
        <w:rPr>
          <w:sz w:val="24"/>
        </w:rPr>
        <w:t xml:space="preserve">design </w:t>
      </w:r>
      <w:r w:rsidR="00CD51BD" w:rsidRPr="0002468E">
        <w:rPr>
          <w:sz w:val="24"/>
        </w:rPr>
        <w:t xml:space="preserve">summaries </w:t>
      </w:r>
      <w:r w:rsidR="004219EE" w:rsidRPr="0002468E">
        <w:rPr>
          <w:sz w:val="24"/>
        </w:rPr>
        <w:t>are shown in Table 1</w:t>
      </w:r>
      <w:r w:rsidR="008966BF" w:rsidRPr="0002468E">
        <w:rPr>
          <w:sz w:val="24"/>
        </w:rPr>
        <w:t>.</w:t>
      </w:r>
    </w:p>
    <w:p w:rsidR="00A24C4B" w:rsidRDefault="00A24C4B" w:rsidP="004D6148"/>
    <w:p w:rsidR="007C28F6" w:rsidRDefault="007C28F6" w:rsidP="004D6148">
      <w:pPr>
        <w:sectPr w:rsidR="007C28F6" w:rsidSect="00845B9D">
          <w:type w:val="continuous"/>
          <w:pgSz w:w="12240" w:h="15840" w:code="1"/>
          <w:pgMar w:top="1440" w:right="1440" w:bottom="1440" w:left="1440" w:header="720" w:footer="720" w:gutter="0"/>
          <w:pgBorders w:offsetFrom="page">
            <w:top w:val="single" w:sz="4" w:space="24" w:color="548DD4" w:themeColor="text2" w:themeTint="99"/>
            <w:bottom w:val="single" w:sz="4" w:space="24" w:color="548DD4" w:themeColor="text2" w:themeTint="99"/>
          </w:pgBorders>
          <w:pgNumType w:start="0"/>
          <w:cols w:space="720"/>
          <w:titlePg/>
          <w:docGrid w:linePitch="360"/>
        </w:sectPr>
      </w:pPr>
    </w:p>
    <w:p w:rsidR="00880861" w:rsidRDefault="00880861" w:rsidP="00B42AC7">
      <w:pPr>
        <w:jc w:val="both"/>
      </w:pPr>
    </w:p>
    <w:p w:rsidR="00880861" w:rsidRDefault="00880861" w:rsidP="0012442A">
      <w:pPr>
        <w:spacing w:after="120"/>
        <w:jc w:val="both"/>
        <w:rPr>
          <w:b/>
          <w:sz w:val="20"/>
          <w:u w:val="single"/>
        </w:rPr>
      </w:pPr>
      <w:r w:rsidRPr="00880861">
        <w:rPr>
          <w:b/>
          <w:sz w:val="20"/>
          <w:u w:val="single"/>
        </w:rPr>
        <w:t>Table 1:  Summary of Simulated Hedge Decision Rules</w:t>
      </w:r>
    </w:p>
    <w:p w:rsidR="00B42AC7" w:rsidRDefault="002C4614" w:rsidP="006339CE">
      <w:pPr>
        <w:spacing w:after="0"/>
        <w:jc w:val="both"/>
      </w:pPr>
      <w:r w:rsidRPr="002C4614" w:rsidDel="002C4614">
        <w:t xml:space="preserve"> </w:t>
      </w:r>
      <w:r w:rsidR="005414A0" w:rsidRPr="005414A0">
        <w:rPr>
          <w:noProof/>
        </w:rPr>
        <w:drawing>
          <wp:inline distT="0" distB="0" distL="0" distR="0" wp14:anchorId="1F9F3CAE" wp14:editId="3AE7A891">
            <wp:extent cx="7833815" cy="4866145"/>
            <wp:effectExtent l="19050" t="19050" r="15240"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37776" cy="4868606"/>
                    </a:xfrm>
                    <a:prstGeom prst="rect">
                      <a:avLst/>
                    </a:prstGeom>
                    <a:noFill/>
                    <a:ln w="12700">
                      <a:solidFill>
                        <a:schemeClr val="tx2"/>
                      </a:solidFill>
                    </a:ln>
                  </pic:spPr>
                </pic:pic>
              </a:graphicData>
            </a:graphic>
          </wp:inline>
        </w:drawing>
      </w:r>
    </w:p>
    <w:p w:rsidR="00880861" w:rsidRDefault="00880861" w:rsidP="00B42AC7">
      <w:pPr>
        <w:jc w:val="both"/>
      </w:pPr>
    </w:p>
    <w:p w:rsidR="00A24C4B" w:rsidRDefault="00A24C4B" w:rsidP="00B42AC7">
      <w:pPr>
        <w:jc w:val="both"/>
        <w:sectPr w:rsidR="00A24C4B" w:rsidSect="00845B9D">
          <w:pgSz w:w="15840" w:h="12240" w:orient="landscape"/>
          <w:pgMar w:top="1440" w:right="1440" w:bottom="1440" w:left="1440" w:header="720" w:footer="720" w:gutter="0"/>
          <w:pgBorders w:offsetFrom="page">
            <w:top w:val="single" w:sz="4" w:space="24" w:color="548DD4" w:themeColor="text2" w:themeTint="99"/>
            <w:bottom w:val="single" w:sz="4" w:space="24" w:color="548DD4" w:themeColor="text2" w:themeTint="99"/>
          </w:pgBorders>
          <w:cols w:space="720"/>
          <w:docGrid w:linePitch="360"/>
        </w:sectPr>
      </w:pPr>
    </w:p>
    <w:p w:rsidR="006558ED" w:rsidRPr="0002468E" w:rsidRDefault="006558ED" w:rsidP="00952D24">
      <w:pPr>
        <w:pStyle w:val="Heading2"/>
        <w:rPr>
          <w:sz w:val="24"/>
        </w:rPr>
      </w:pPr>
      <w:bookmarkStart w:id="30" w:name="_Toc424039091"/>
      <w:r w:rsidRPr="0002468E">
        <w:rPr>
          <w:sz w:val="24"/>
        </w:rPr>
        <w:t>Simulation Clarifications</w:t>
      </w:r>
      <w:bookmarkEnd w:id="30"/>
    </w:p>
    <w:p w:rsidR="004E21A7" w:rsidRPr="0002468E" w:rsidRDefault="004E21A7" w:rsidP="008966BF">
      <w:pPr>
        <w:rPr>
          <w:sz w:val="24"/>
        </w:rPr>
      </w:pPr>
      <w:r w:rsidRPr="0002468E">
        <w:rPr>
          <w:sz w:val="24"/>
        </w:rPr>
        <w:t xml:space="preserve">A few clarifications regarding the </w:t>
      </w:r>
      <w:r w:rsidR="0038324B" w:rsidRPr="0002468E">
        <w:rPr>
          <w:sz w:val="24"/>
        </w:rPr>
        <w:t xml:space="preserve">simulation's </w:t>
      </w:r>
      <w:r w:rsidR="007C28F6" w:rsidRPr="0002468E">
        <w:rPr>
          <w:sz w:val="24"/>
        </w:rPr>
        <w:t>risk</w:t>
      </w:r>
      <w:r w:rsidR="007C28F6" w:rsidRPr="0002468E">
        <w:rPr>
          <w:sz w:val="24"/>
        </w:rPr>
        <w:noBreakHyphen/>
      </w:r>
      <w:r w:rsidRPr="0002468E">
        <w:rPr>
          <w:sz w:val="24"/>
        </w:rPr>
        <w:t xml:space="preserve">responsive hedge </w:t>
      </w:r>
      <w:r w:rsidR="0038324B" w:rsidRPr="0002468E">
        <w:rPr>
          <w:sz w:val="24"/>
        </w:rPr>
        <w:t>strategy</w:t>
      </w:r>
      <w:r w:rsidR="006558ED" w:rsidRPr="0002468E">
        <w:rPr>
          <w:sz w:val="24"/>
        </w:rPr>
        <w:t xml:space="preserve"> </w:t>
      </w:r>
      <w:r w:rsidRPr="0002468E">
        <w:rPr>
          <w:sz w:val="24"/>
        </w:rPr>
        <w:t xml:space="preserve">might be helpful. </w:t>
      </w:r>
      <w:r w:rsidR="008966BF" w:rsidRPr="0002468E">
        <w:rPr>
          <w:sz w:val="24"/>
        </w:rPr>
        <w:t>F</w:t>
      </w:r>
      <w:r w:rsidR="0038324B" w:rsidRPr="0002468E">
        <w:rPr>
          <w:sz w:val="24"/>
        </w:rPr>
        <w:t>irst</w:t>
      </w:r>
      <w:r w:rsidR="008966BF" w:rsidRPr="0002468E">
        <w:rPr>
          <w:sz w:val="24"/>
        </w:rPr>
        <w:t xml:space="preserve">, </w:t>
      </w:r>
      <w:r w:rsidRPr="0002468E">
        <w:rPr>
          <w:sz w:val="24"/>
        </w:rPr>
        <w:t xml:space="preserve">the </w:t>
      </w:r>
      <w:r w:rsidR="008966BF" w:rsidRPr="0002468E">
        <w:rPr>
          <w:sz w:val="24"/>
        </w:rPr>
        <w:t xml:space="preserve">simulation’s </w:t>
      </w:r>
      <w:r w:rsidRPr="0002468E">
        <w:rPr>
          <w:sz w:val="24"/>
        </w:rPr>
        <w:t>80</w:t>
      </w:r>
      <w:r w:rsidR="004219EE" w:rsidRPr="0002468E">
        <w:rPr>
          <w:sz w:val="24"/>
        </w:rPr>
        <w:t xml:space="preserve"> percent</w:t>
      </w:r>
      <w:r w:rsidRPr="0002468E">
        <w:rPr>
          <w:sz w:val="24"/>
        </w:rPr>
        <w:t xml:space="preserve"> maximum hedge ratio, this</w:t>
      </w:r>
      <w:r w:rsidR="008966BF" w:rsidRPr="0002468E">
        <w:rPr>
          <w:sz w:val="24"/>
        </w:rPr>
        <w:t xml:space="preserve"> ratio</w:t>
      </w:r>
      <w:r w:rsidRPr="0002468E">
        <w:rPr>
          <w:sz w:val="24"/>
        </w:rPr>
        <w:t xml:space="preserve"> would typically be set at whatever level reflects a high</w:t>
      </w:r>
      <w:r w:rsidRPr="0002468E">
        <w:rPr>
          <w:sz w:val="24"/>
        </w:rPr>
        <w:noBreakHyphen/>
        <w:t xml:space="preserve">confidence supply requirement. </w:t>
      </w:r>
      <w:r w:rsidR="00582E5B" w:rsidRPr="0002468E">
        <w:rPr>
          <w:sz w:val="24"/>
        </w:rPr>
        <w:t xml:space="preserve">In many </w:t>
      </w:r>
      <w:r w:rsidR="00D27F60" w:rsidRPr="0002468E">
        <w:rPr>
          <w:sz w:val="24"/>
        </w:rPr>
        <w:t>respects,</w:t>
      </w:r>
      <w:r w:rsidR="00582E5B" w:rsidRPr="0002468E">
        <w:rPr>
          <w:sz w:val="24"/>
        </w:rPr>
        <w:t xml:space="preserve"> a higher number is better. </w:t>
      </w:r>
      <w:r w:rsidRPr="0002468E">
        <w:rPr>
          <w:sz w:val="24"/>
        </w:rPr>
        <w:t>The risk</w:t>
      </w:r>
      <w:r w:rsidR="00582E5B" w:rsidRPr="0002468E">
        <w:rPr>
          <w:sz w:val="24"/>
        </w:rPr>
        <w:noBreakHyphen/>
      </w:r>
      <w:r w:rsidRPr="0002468E">
        <w:rPr>
          <w:sz w:val="24"/>
        </w:rPr>
        <w:t>responsive hedge strategy can typically constrain losses despite using a higher maximum ratio, and</w:t>
      </w:r>
      <w:r w:rsidR="006558ED" w:rsidRPr="0002468E">
        <w:rPr>
          <w:sz w:val="24"/>
        </w:rPr>
        <w:t xml:space="preserve"> </w:t>
      </w:r>
      <w:r w:rsidRPr="0002468E">
        <w:rPr>
          <w:sz w:val="24"/>
        </w:rPr>
        <w:t>any supply requirements in excess of the imposed maximum will be exposed to full market price changes. However, actual volumetric needs will depend on weather and other factors, and it is preferable to avoid hedging volumes that might not be needed. The 80</w:t>
      </w:r>
      <w:r w:rsidR="004219EE" w:rsidRPr="0002468E">
        <w:rPr>
          <w:sz w:val="24"/>
        </w:rPr>
        <w:t xml:space="preserve"> percent</w:t>
      </w:r>
      <w:r w:rsidRPr="0002468E">
        <w:rPr>
          <w:sz w:val="24"/>
        </w:rPr>
        <w:t xml:space="preserve"> maximum has been used here as an estimate of how the desire for full mitigation might be reconciled with the uncertainty of volumetric requirements.  </w:t>
      </w:r>
    </w:p>
    <w:p w:rsidR="00744128" w:rsidRPr="0002468E" w:rsidRDefault="0038324B" w:rsidP="008966BF">
      <w:pPr>
        <w:rPr>
          <w:sz w:val="24"/>
        </w:rPr>
      </w:pPr>
      <w:r w:rsidRPr="0002468E">
        <w:rPr>
          <w:sz w:val="24"/>
        </w:rPr>
        <w:t>Secondly, i</w:t>
      </w:r>
      <w:r w:rsidR="002C4614" w:rsidRPr="0002468E">
        <w:rPr>
          <w:sz w:val="24"/>
        </w:rPr>
        <w:t xml:space="preserve">n practice, action boundaries would be set by management, but for the purposes of computer </w:t>
      </w:r>
      <w:r w:rsidR="00D27F60" w:rsidRPr="0002468E">
        <w:rPr>
          <w:sz w:val="24"/>
        </w:rPr>
        <w:t>simulation,</w:t>
      </w:r>
      <w:r w:rsidR="002C4614" w:rsidRPr="0002468E">
        <w:rPr>
          <w:sz w:val="24"/>
        </w:rPr>
        <w:t xml:space="preserve"> “management” intervention is impractical. So for the simulations, the price to defend for each action boundary </w:t>
      </w:r>
      <w:r w:rsidR="00744128" w:rsidRPr="0002468E">
        <w:rPr>
          <w:sz w:val="24"/>
        </w:rPr>
        <w:t>was</w:t>
      </w:r>
      <w:r w:rsidR="002C4614" w:rsidRPr="0002468E">
        <w:rPr>
          <w:sz w:val="24"/>
        </w:rPr>
        <w:t xml:space="preserve"> calculated as a specified percentage increment over the portfolio values on the first of December prior to each year’s hedging activities. </w:t>
      </w:r>
    </w:p>
    <w:p w:rsidR="002C4614" w:rsidRPr="0002468E" w:rsidRDefault="002C4614" w:rsidP="008966BF">
      <w:pPr>
        <w:rPr>
          <w:sz w:val="24"/>
        </w:rPr>
      </w:pPr>
      <w:r w:rsidRPr="0002468E">
        <w:rPr>
          <w:sz w:val="24"/>
        </w:rPr>
        <w:t xml:space="preserve">Similarly, the maximum hedge ratio for each boundary has been set at </w:t>
      </w:r>
      <w:r w:rsidR="00D04A84" w:rsidRPr="0002468E">
        <w:rPr>
          <w:sz w:val="24"/>
        </w:rPr>
        <w:t xml:space="preserve">a consistent </w:t>
      </w:r>
      <w:r w:rsidRPr="0002468E">
        <w:rPr>
          <w:sz w:val="24"/>
        </w:rPr>
        <w:t>40</w:t>
      </w:r>
      <w:r w:rsidR="00583443" w:rsidRPr="0002468E">
        <w:rPr>
          <w:sz w:val="24"/>
        </w:rPr>
        <w:t xml:space="preserve"> percent</w:t>
      </w:r>
      <w:r w:rsidRPr="0002468E">
        <w:rPr>
          <w:sz w:val="24"/>
        </w:rPr>
        <w:t>, 60</w:t>
      </w:r>
      <w:r w:rsidR="00583443" w:rsidRPr="0002468E">
        <w:rPr>
          <w:sz w:val="24"/>
        </w:rPr>
        <w:t xml:space="preserve"> percent,</w:t>
      </w:r>
      <w:r w:rsidRPr="0002468E">
        <w:rPr>
          <w:sz w:val="24"/>
        </w:rPr>
        <w:t xml:space="preserve"> and 80</w:t>
      </w:r>
      <w:r w:rsidR="00583443" w:rsidRPr="0002468E">
        <w:rPr>
          <w:sz w:val="24"/>
        </w:rPr>
        <w:t xml:space="preserve"> percent</w:t>
      </w:r>
      <w:r w:rsidRPr="0002468E">
        <w:rPr>
          <w:sz w:val="24"/>
        </w:rPr>
        <w:t xml:space="preserve"> respectively. These could be </w:t>
      </w:r>
      <w:r w:rsidR="00D04A84" w:rsidRPr="0002468E">
        <w:rPr>
          <w:sz w:val="24"/>
        </w:rPr>
        <w:t>changed each year depending on the hedge ratio already established as the year starts</w:t>
      </w:r>
      <w:r w:rsidR="00105684" w:rsidRPr="0002468E">
        <w:rPr>
          <w:sz w:val="24"/>
        </w:rPr>
        <w:t>. As an</w:t>
      </w:r>
      <w:r w:rsidR="00D04A84" w:rsidRPr="0002468E">
        <w:rPr>
          <w:sz w:val="24"/>
        </w:rPr>
        <w:t xml:space="preserve"> example, </w:t>
      </w:r>
      <w:r w:rsidR="00105684" w:rsidRPr="0002468E">
        <w:rPr>
          <w:sz w:val="24"/>
        </w:rPr>
        <w:t xml:space="preserve">because </w:t>
      </w:r>
      <w:r w:rsidR="00D04A84" w:rsidRPr="0002468E">
        <w:rPr>
          <w:sz w:val="24"/>
        </w:rPr>
        <w:t>the defensive hedges look forward two years, some years will begin with a higher hedge ratio than 40</w:t>
      </w:r>
      <w:r w:rsidR="004219EE" w:rsidRPr="0002468E">
        <w:rPr>
          <w:sz w:val="24"/>
        </w:rPr>
        <w:t xml:space="preserve"> percent,</w:t>
      </w:r>
      <w:r w:rsidR="00D04A84" w:rsidRPr="0002468E">
        <w:rPr>
          <w:sz w:val="24"/>
        </w:rPr>
        <w:t xml:space="preserve"> rendering the first boundary moot. In such cases, management could set smaller increments for the coming year’s maximum hedge ratios, effectively resulting </w:t>
      </w:r>
      <w:r w:rsidR="00582E5B" w:rsidRPr="0002468E">
        <w:rPr>
          <w:sz w:val="24"/>
        </w:rPr>
        <w:t xml:space="preserve">in </w:t>
      </w:r>
      <w:r w:rsidR="00D04A84" w:rsidRPr="0002468E">
        <w:rPr>
          <w:sz w:val="24"/>
        </w:rPr>
        <w:t>smaller defensive hedge increments.</w:t>
      </w:r>
      <w:r w:rsidRPr="0002468E">
        <w:rPr>
          <w:sz w:val="24"/>
        </w:rPr>
        <w:t xml:space="preserve"> </w:t>
      </w:r>
    </w:p>
    <w:p w:rsidR="00D04A84" w:rsidRPr="0002468E" w:rsidRDefault="002C4614" w:rsidP="008966BF">
      <w:pPr>
        <w:rPr>
          <w:sz w:val="24"/>
        </w:rPr>
      </w:pPr>
      <w:r w:rsidRPr="0002468E">
        <w:rPr>
          <w:sz w:val="24"/>
        </w:rPr>
        <w:t xml:space="preserve">Finally, </w:t>
      </w:r>
      <w:r w:rsidR="004E21A7" w:rsidRPr="0002468E">
        <w:rPr>
          <w:sz w:val="24"/>
        </w:rPr>
        <w:t>the contingent rules specify that in the event of a breach, hedging will be suspended for one month. This provision is aimed at resolving potential conflicts in the simulations</w:t>
      </w:r>
      <w:r w:rsidRPr="0002468E">
        <w:rPr>
          <w:sz w:val="24"/>
        </w:rPr>
        <w:t xml:space="preserve"> – again without management intervention - </w:t>
      </w:r>
      <w:r w:rsidR="004E21A7" w:rsidRPr="0002468E">
        <w:rPr>
          <w:sz w:val="24"/>
        </w:rPr>
        <w:t>avoiding a series of weekly decisions calling for unwinding</w:t>
      </w:r>
      <w:r w:rsidR="009C4511" w:rsidRPr="0002468E">
        <w:rPr>
          <w:sz w:val="24"/>
        </w:rPr>
        <w:t xml:space="preserve"> then </w:t>
      </w:r>
      <w:r w:rsidR="004E21A7" w:rsidRPr="0002468E">
        <w:rPr>
          <w:sz w:val="24"/>
        </w:rPr>
        <w:t>re</w:t>
      </w:r>
      <w:r w:rsidR="00582E5B" w:rsidRPr="0002468E">
        <w:rPr>
          <w:sz w:val="24"/>
        </w:rPr>
        <w:t>-</w:t>
      </w:r>
      <w:r w:rsidR="004E21A7" w:rsidRPr="0002468E">
        <w:rPr>
          <w:sz w:val="24"/>
        </w:rPr>
        <w:t>hedging</w:t>
      </w:r>
      <w:r w:rsidR="009C4511" w:rsidRPr="0002468E">
        <w:rPr>
          <w:sz w:val="24"/>
        </w:rPr>
        <w:t xml:space="preserve"> then </w:t>
      </w:r>
      <w:r w:rsidR="004E21A7" w:rsidRPr="0002468E">
        <w:rPr>
          <w:sz w:val="24"/>
        </w:rPr>
        <w:t xml:space="preserve">unwinding. It effectively makes the contingent protocol superior to any defensive protocols for one month. </w:t>
      </w:r>
    </w:p>
    <w:p w:rsidR="00811D73" w:rsidRPr="0002468E" w:rsidRDefault="00D04A84" w:rsidP="008966BF">
      <w:pPr>
        <w:rPr>
          <w:sz w:val="24"/>
        </w:rPr>
      </w:pPr>
      <w:r w:rsidRPr="0002468E">
        <w:rPr>
          <w:sz w:val="24"/>
        </w:rPr>
        <w:t>The clarifications mentioned here simply facilitate the computer simulations, and offer opportunities for improvements when management judgment is deployed on each annual review.</w:t>
      </w:r>
    </w:p>
    <w:p w:rsidR="00880861" w:rsidRPr="0002468E" w:rsidRDefault="00FD3582" w:rsidP="00952D24">
      <w:pPr>
        <w:pStyle w:val="Heading2"/>
        <w:rPr>
          <w:sz w:val="24"/>
          <w:szCs w:val="24"/>
        </w:rPr>
      </w:pPr>
      <w:bookmarkStart w:id="31" w:name="_Toc411341381"/>
      <w:bookmarkStart w:id="32" w:name="_Toc424039092"/>
      <w:r w:rsidRPr="0002468E">
        <w:rPr>
          <w:sz w:val="24"/>
          <w:szCs w:val="24"/>
        </w:rPr>
        <w:t>Simulation Results</w:t>
      </w:r>
      <w:bookmarkEnd w:id="31"/>
      <w:bookmarkEnd w:id="32"/>
    </w:p>
    <w:p w:rsidR="005C6A61" w:rsidRPr="0002468E" w:rsidRDefault="00653592" w:rsidP="00B42AC7">
      <w:pPr>
        <w:jc w:val="both"/>
        <w:rPr>
          <w:sz w:val="24"/>
          <w:szCs w:val="24"/>
        </w:rPr>
      </w:pPr>
      <w:r w:rsidRPr="0002468E">
        <w:rPr>
          <w:sz w:val="24"/>
          <w:szCs w:val="24"/>
        </w:rPr>
        <w:t>The r</w:t>
      </w:r>
      <w:r w:rsidR="00BD0A81" w:rsidRPr="0002468E">
        <w:rPr>
          <w:sz w:val="24"/>
          <w:szCs w:val="24"/>
        </w:rPr>
        <w:t>esults of the simulations confirm expectations</w:t>
      </w:r>
      <w:r w:rsidR="008648FD" w:rsidRPr="0002468E">
        <w:rPr>
          <w:sz w:val="24"/>
          <w:szCs w:val="24"/>
        </w:rPr>
        <w:t xml:space="preserve">. </w:t>
      </w:r>
      <w:r w:rsidR="00865927" w:rsidRPr="0002468E">
        <w:rPr>
          <w:sz w:val="24"/>
          <w:szCs w:val="24"/>
        </w:rPr>
        <w:t xml:space="preserve">Using a flat 120 </w:t>
      </w:r>
      <w:proofErr w:type="spellStart"/>
      <w:r w:rsidR="00865927" w:rsidRPr="0002468E">
        <w:rPr>
          <w:sz w:val="24"/>
          <w:szCs w:val="24"/>
        </w:rPr>
        <w:t>Bcf</w:t>
      </w:r>
      <w:proofErr w:type="spellEnd"/>
      <w:r w:rsidR="00865927" w:rsidRPr="0002468E">
        <w:rPr>
          <w:sz w:val="24"/>
          <w:szCs w:val="24"/>
        </w:rPr>
        <w:t xml:space="preserve"> per year portfolio as a benchmark, the average annual cost at market prices</w:t>
      </w:r>
      <w:r w:rsidR="00BD0A81" w:rsidRPr="0002468E">
        <w:rPr>
          <w:sz w:val="24"/>
          <w:szCs w:val="24"/>
        </w:rPr>
        <w:t xml:space="preserve"> </w:t>
      </w:r>
      <w:r w:rsidR="00865927" w:rsidRPr="0002468E">
        <w:rPr>
          <w:sz w:val="24"/>
          <w:szCs w:val="24"/>
        </w:rPr>
        <w:t>over the study period would have been $624 million annually. The fixed hedge ratio produced a $662 million average annual cost, and the risk</w:t>
      </w:r>
      <w:r w:rsidR="00865927" w:rsidRPr="0002468E">
        <w:rPr>
          <w:sz w:val="24"/>
          <w:szCs w:val="24"/>
        </w:rPr>
        <w:noBreakHyphen/>
        <w:t>responsive strategy produced a $614 million average annual cost. Superficially, the costs look to be advantageous with the risk</w:t>
      </w:r>
      <w:r w:rsidR="00865927" w:rsidRPr="0002468E">
        <w:rPr>
          <w:sz w:val="24"/>
          <w:szCs w:val="24"/>
        </w:rPr>
        <w:noBreakHyphen/>
        <w:t xml:space="preserve">responsive strategy, but cost reduction is not the goal and those results could be accidental.  </w:t>
      </w:r>
    </w:p>
    <w:p w:rsidR="005C6A61" w:rsidRPr="0002468E" w:rsidRDefault="00865927" w:rsidP="00A7259D">
      <w:pPr>
        <w:rPr>
          <w:sz w:val="24"/>
          <w:szCs w:val="24"/>
        </w:rPr>
      </w:pPr>
      <w:r w:rsidRPr="0002468E">
        <w:rPr>
          <w:sz w:val="24"/>
          <w:szCs w:val="24"/>
        </w:rPr>
        <w:t xml:space="preserve">The more important question from a risk perspective is how the respective strategies perform in stressful markets, and that </w:t>
      </w:r>
      <w:r w:rsidR="00EE6D7A" w:rsidRPr="0002468E">
        <w:rPr>
          <w:sz w:val="24"/>
          <w:szCs w:val="24"/>
        </w:rPr>
        <w:t>contrast is</w:t>
      </w:r>
      <w:r w:rsidRPr="0002468E">
        <w:rPr>
          <w:sz w:val="24"/>
          <w:szCs w:val="24"/>
        </w:rPr>
        <w:t xml:space="preserve"> </w:t>
      </w:r>
      <w:r w:rsidR="00EE6D7A" w:rsidRPr="0002468E">
        <w:rPr>
          <w:sz w:val="24"/>
          <w:szCs w:val="24"/>
        </w:rPr>
        <w:t>dramatic</w:t>
      </w:r>
      <w:r w:rsidRPr="0002468E">
        <w:rPr>
          <w:sz w:val="24"/>
          <w:szCs w:val="24"/>
        </w:rPr>
        <w:t>.</w:t>
      </w:r>
      <w:r w:rsidR="00834781" w:rsidRPr="0002468E">
        <w:rPr>
          <w:sz w:val="24"/>
          <w:szCs w:val="24"/>
        </w:rPr>
        <w:t xml:space="preserve"> </w:t>
      </w:r>
      <w:r w:rsidRPr="0002468E">
        <w:rPr>
          <w:sz w:val="24"/>
          <w:szCs w:val="24"/>
        </w:rPr>
        <w:t xml:space="preserve">With respect to mitigation, </w:t>
      </w:r>
      <w:r w:rsidR="005C6A61" w:rsidRPr="0002468E">
        <w:rPr>
          <w:sz w:val="24"/>
          <w:szCs w:val="24"/>
        </w:rPr>
        <w:t>the best mitigation for the fixed hedge ratio occurred in the twelve months ending February 2006 following hurricane Katrina, and it totaled $268 million, while the worst mark to market occurred in the twelve months ending December 2009 and was $377 million.</w:t>
      </w:r>
      <w:r w:rsidR="00EE6D7A" w:rsidRPr="0002468E">
        <w:rPr>
          <w:sz w:val="24"/>
          <w:szCs w:val="24"/>
        </w:rPr>
        <w:t xml:space="preserve"> </w:t>
      </w:r>
      <w:r w:rsidR="005C6A61" w:rsidRPr="0002468E">
        <w:rPr>
          <w:sz w:val="24"/>
          <w:szCs w:val="24"/>
        </w:rPr>
        <w:t>The risk</w:t>
      </w:r>
      <w:r w:rsidR="005C6A61" w:rsidRPr="0002468E">
        <w:rPr>
          <w:sz w:val="24"/>
          <w:szCs w:val="24"/>
        </w:rPr>
        <w:noBreakHyphen/>
        <w:t xml:space="preserve">responsive strategy was </w:t>
      </w:r>
      <w:r w:rsidR="00EE6D7A" w:rsidRPr="0002468E">
        <w:rPr>
          <w:sz w:val="24"/>
          <w:szCs w:val="24"/>
        </w:rPr>
        <w:t>far</w:t>
      </w:r>
      <w:r w:rsidR="005C6A61" w:rsidRPr="0002468E">
        <w:rPr>
          <w:sz w:val="24"/>
          <w:szCs w:val="24"/>
        </w:rPr>
        <w:t xml:space="preserve"> better. The best mitigation was $361 million, again following Katrina, while the worst mark to market occurred in the twelve months ending September 2009 and totaled $190 million.</w:t>
      </w:r>
    </w:p>
    <w:p w:rsidR="005C6A61" w:rsidRPr="0002468E" w:rsidRDefault="005C6A61" w:rsidP="00A7259D">
      <w:pPr>
        <w:rPr>
          <w:sz w:val="24"/>
          <w:szCs w:val="24"/>
        </w:rPr>
      </w:pPr>
      <w:r w:rsidRPr="0002468E">
        <w:rPr>
          <w:sz w:val="24"/>
          <w:szCs w:val="24"/>
        </w:rPr>
        <w:t>So to summarize, at market extremes</w:t>
      </w:r>
      <w:r w:rsidR="00EE6D7A" w:rsidRPr="0002468E">
        <w:rPr>
          <w:sz w:val="24"/>
          <w:szCs w:val="24"/>
        </w:rPr>
        <w:t xml:space="preserve"> between 2000 and 2014</w:t>
      </w:r>
      <w:r w:rsidRPr="0002468E">
        <w:rPr>
          <w:sz w:val="24"/>
          <w:szCs w:val="24"/>
        </w:rPr>
        <w:t xml:space="preserve">, </w:t>
      </w:r>
      <w:r w:rsidR="00EE6D7A" w:rsidRPr="0002468E">
        <w:rPr>
          <w:sz w:val="24"/>
          <w:szCs w:val="24"/>
        </w:rPr>
        <w:t>the risk</w:t>
      </w:r>
      <w:r w:rsidR="00EE6D7A" w:rsidRPr="0002468E">
        <w:rPr>
          <w:sz w:val="24"/>
          <w:szCs w:val="24"/>
        </w:rPr>
        <w:noBreakHyphen/>
      </w:r>
      <w:r w:rsidRPr="0002468E">
        <w:rPr>
          <w:sz w:val="24"/>
          <w:szCs w:val="24"/>
        </w:rPr>
        <w:t>responsive strategy provided 35</w:t>
      </w:r>
      <w:r w:rsidR="00834781" w:rsidRPr="0002468E">
        <w:rPr>
          <w:sz w:val="24"/>
          <w:szCs w:val="24"/>
        </w:rPr>
        <w:t xml:space="preserve"> percent</w:t>
      </w:r>
      <w:r w:rsidRPr="0002468E">
        <w:rPr>
          <w:sz w:val="24"/>
          <w:szCs w:val="24"/>
        </w:rPr>
        <w:t xml:space="preserve"> more cost mitigation</w:t>
      </w:r>
      <w:r w:rsidR="00EE6D7A" w:rsidRPr="0002468E">
        <w:rPr>
          <w:sz w:val="24"/>
          <w:szCs w:val="24"/>
        </w:rPr>
        <w:t xml:space="preserve"> while constraining worst</w:t>
      </w:r>
      <w:r w:rsidR="00EE6D7A" w:rsidRPr="0002468E">
        <w:rPr>
          <w:sz w:val="24"/>
          <w:szCs w:val="24"/>
        </w:rPr>
        <w:noBreakHyphen/>
        <w:t>case</w:t>
      </w:r>
      <w:r w:rsidR="00A7259D" w:rsidRPr="0002468E">
        <w:rPr>
          <w:sz w:val="24"/>
          <w:szCs w:val="24"/>
        </w:rPr>
        <w:t xml:space="preserve"> hedging</w:t>
      </w:r>
      <w:r w:rsidR="00EE6D7A" w:rsidRPr="0002468E">
        <w:rPr>
          <w:sz w:val="24"/>
          <w:szCs w:val="24"/>
        </w:rPr>
        <w:t xml:space="preserve"> losses to 50</w:t>
      </w:r>
      <w:r w:rsidR="00834781" w:rsidRPr="0002468E">
        <w:rPr>
          <w:sz w:val="24"/>
          <w:szCs w:val="24"/>
        </w:rPr>
        <w:t xml:space="preserve"> percent</w:t>
      </w:r>
      <w:r w:rsidR="00EE6D7A" w:rsidRPr="0002468E">
        <w:rPr>
          <w:sz w:val="24"/>
          <w:szCs w:val="24"/>
        </w:rPr>
        <w:t xml:space="preserve"> of the fixed-ratio strategy.</w:t>
      </w:r>
    </w:p>
    <w:p w:rsidR="00FD3582" w:rsidRPr="0002468E" w:rsidRDefault="00BD0A81" w:rsidP="00A7259D">
      <w:pPr>
        <w:rPr>
          <w:sz w:val="24"/>
          <w:szCs w:val="24"/>
        </w:rPr>
      </w:pPr>
      <w:r w:rsidRPr="0002468E">
        <w:rPr>
          <w:sz w:val="24"/>
          <w:szCs w:val="24"/>
        </w:rPr>
        <w:t xml:space="preserve">Figure </w:t>
      </w:r>
      <w:r w:rsidR="00B51D51" w:rsidRPr="0002468E">
        <w:rPr>
          <w:sz w:val="24"/>
          <w:szCs w:val="24"/>
        </w:rPr>
        <w:t xml:space="preserve">6 </w:t>
      </w:r>
      <w:r w:rsidR="006558ED" w:rsidRPr="0002468E">
        <w:rPr>
          <w:sz w:val="24"/>
          <w:szCs w:val="24"/>
        </w:rPr>
        <w:t xml:space="preserve">below </w:t>
      </w:r>
      <w:r w:rsidR="00C83570" w:rsidRPr="0002468E">
        <w:rPr>
          <w:sz w:val="24"/>
          <w:szCs w:val="24"/>
        </w:rPr>
        <w:t>shows a graphic representation of the costs resulting from each strategy</w:t>
      </w:r>
      <w:r w:rsidR="00D27F60" w:rsidRPr="0002468E">
        <w:rPr>
          <w:sz w:val="24"/>
          <w:szCs w:val="24"/>
        </w:rPr>
        <w:t xml:space="preserve">. </w:t>
      </w:r>
      <w:r w:rsidR="00C83570" w:rsidRPr="0002468E">
        <w:rPr>
          <w:sz w:val="24"/>
          <w:szCs w:val="24"/>
        </w:rPr>
        <w:t xml:space="preserve">Note that </w:t>
      </w:r>
      <w:r w:rsidR="00B978D7" w:rsidRPr="0002468E">
        <w:rPr>
          <w:sz w:val="24"/>
          <w:szCs w:val="24"/>
        </w:rPr>
        <w:t>for periods where the fixed ratio produces lower expense than market costs, the savings show as green; where the fixed ratio produces higher expense, hedge losses show as red. The risk-responsive strategy is shown as the blue line, and it produces comparable results to the fixed ratio in price peaks, but far superior results in declining markets.</w:t>
      </w:r>
    </w:p>
    <w:p w:rsidR="004C1A29" w:rsidRPr="00CC3C06" w:rsidRDefault="004C1A29" w:rsidP="00A7259D">
      <w:pPr>
        <w:keepNext/>
        <w:keepLines/>
        <w:pBdr>
          <w:top w:val="single" w:sz="4" w:space="0" w:color="auto"/>
        </w:pBdr>
        <w:spacing w:after="120"/>
        <w:jc w:val="both"/>
        <w:rPr>
          <w:b/>
          <w:sz w:val="21"/>
          <w:szCs w:val="21"/>
          <w:u w:val="single"/>
        </w:rPr>
      </w:pPr>
      <w:r w:rsidRPr="00CC3C06">
        <w:rPr>
          <w:b/>
          <w:sz w:val="21"/>
          <w:szCs w:val="21"/>
          <w:u w:val="single"/>
        </w:rPr>
        <w:t xml:space="preserve">Figure </w:t>
      </w:r>
      <w:r w:rsidR="00B51D51" w:rsidRPr="00CC3C06">
        <w:rPr>
          <w:b/>
          <w:sz w:val="21"/>
          <w:szCs w:val="21"/>
          <w:u w:val="single"/>
        </w:rPr>
        <w:t>6</w:t>
      </w:r>
      <w:r w:rsidRPr="00CC3C06">
        <w:rPr>
          <w:b/>
          <w:sz w:val="21"/>
          <w:szCs w:val="21"/>
          <w:u w:val="single"/>
        </w:rPr>
        <w:t>:  Cost of Gas Comparison</w:t>
      </w:r>
    </w:p>
    <w:p w:rsidR="00E261CF" w:rsidRDefault="00E261CF" w:rsidP="00996C63">
      <w:pPr>
        <w:keepNext/>
        <w:keepLines/>
        <w:spacing w:after="120"/>
        <w:jc w:val="both"/>
        <w:rPr>
          <w:b/>
          <w:sz w:val="20"/>
          <w:u w:val="single"/>
        </w:rPr>
      </w:pPr>
      <w:r>
        <w:rPr>
          <w:noProof/>
        </w:rPr>
        <w:drawing>
          <wp:inline distT="0" distB="0" distL="0" distR="0" wp14:anchorId="643A95D8" wp14:editId="36937123">
            <wp:extent cx="5943600" cy="373697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stretch>
                      <a:fillRect/>
                    </a:stretch>
                  </pic:blipFill>
                  <pic:spPr>
                    <a:xfrm>
                      <a:off x="0" y="0"/>
                      <a:ext cx="5943600" cy="3736975"/>
                    </a:xfrm>
                    <a:prstGeom prst="rect">
                      <a:avLst/>
                    </a:prstGeom>
                  </pic:spPr>
                </pic:pic>
              </a:graphicData>
            </a:graphic>
          </wp:inline>
        </w:drawing>
      </w:r>
    </w:p>
    <w:p w:rsidR="00B978D7" w:rsidRDefault="00B978D7" w:rsidP="00E261CF">
      <w:pPr>
        <w:pBdr>
          <w:top w:val="single" w:sz="4" w:space="1" w:color="auto"/>
        </w:pBdr>
        <w:spacing w:after="120"/>
        <w:jc w:val="both"/>
        <w:rPr>
          <w:sz w:val="20"/>
        </w:rPr>
      </w:pPr>
    </w:p>
    <w:p w:rsidR="00B978D7" w:rsidRPr="0002468E" w:rsidRDefault="00B978D7" w:rsidP="00A7259D">
      <w:pPr>
        <w:spacing w:after="240"/>
        <w:rPr>
          <w:sz w:val="24"/>
          <w:szCs w:val="24"/>
        </w:rPr>
      </w:pPr>
      <w:r w:rsidRPr="0002468E">
        <w:rPr>
          <w:sz w:val="24"/>
          <w:szCs w:val="24"/>
        </w:rPr>
        <w:t xml:space="preserve">Figure </w:t>
      </w:r>
      <w:r w:rsidR="00B51D51" w:rsidRPr="0002468E">
        <w:rPr>
          <w:sz w:val="24"/>
          <w:szCs w:val="24"/>
        </w:rPr>
        <w:t xml:space="preserve">7 </w:t>
      </w:r>
      <w:r w:rsidR="004219EE" w:rsidRPr="0002468E">
        <w:rPr>
          <w:sz w:val="24"/>
          <w:szCs w:val="24"/>
        </w:rPr>
        <w:t>below</w:t>
      </w:r>
      <w:r w:rsidR="00A41B49" w:rsidRPr="0002468E">
        <w:rPr>
          <w:sz w:val="24"/>
          <w:szCs w:val="24"/>
        </w:rPr>
        <w:t xml:space="preserve"> </w:t>
      </w:r>
      <w:r w:rsidRPr="0002468E">
        <w:rPr>
          <w:sz w:val="24"/>
          <w:szCs w:val="24"/>
        </w:rPr>
        <w:t xml:space="preserve">reflects the </w:t>
      </w:r>
      <w:r w:rsidR="00133E0B" w:rsidRPr="0002468E">
        <w:rPr>
          <w:sz w:val="24"/>
          <w:szCs w:val="24"/>
        </w:rPr>
        <w:t xml:space="preserve">same results as shown in Figure </w:t>
      </w:r>
      <w:r w:rsidR="00B51D51" w:rsidRPr="0002468E">
        <w:rPr>
          <w:sz w:val="24"/>
          <w:szCs w:val="24"/>
        </w:rPr>
        <w:t>6</w:t>
      </w:r>
      <w:r w:rsidR="00133E0B" w:rsidRPr="0002468E">
        <w:rPr>
          <w:sz w:val="24"/>
          <w:szCs w:val="24"/>
        </w:rPr>
        <w:t>, but focuses on the mark to market</w:t>
      </w:r>
      <w:r w:rsidR="004219EE" w:rsidRPr="0002468E">
        <w:rPr>
          <w:sz w:val="24"/>
          <w:szCs w:val="24"/>
        </w:rPr>
        <w:t xml:space="preserve"> outcomes</w:t>
      </w:r>
      <w:r w:rsidR="00B51D51" w:rsidRPr="0002468E">
        <w:rPr>
          <w:sz w:val="24"/>
          <w:szCs w:val="24"/>
        </w:rPr>
        <w:t>; it</w:t>
      </w:r>
      <w:r w:rsidR="00653592" w:rsidRPr="0002468E">
        <w:rPr>
          <w:sz w:val="24"/>
          <w:szCs w:val="24"/>
        </w:rPr>
        <w:t xml:space="preserve"> </w:t>
      </w:r>
      <w:r w:rsidR="00E809DB" w:rsidRPr="0002468E">
        <w:rPr>
          <w:sz w:val="24"/>
          <w:szCs w:val="24"/>
        </w:rPr>
        <w:t xml:space="preserve">also </w:t>
      </w:r>
      <w:r w:rsidR="00653592" w:rsidRPr="0002468E">
        <w:rPr>
          <w:sz w:val="24"/>
          <w:szCs w:val="24"/>
        </w:rPr>
        <w:t xml:space="preserve">shows </w:t>
      </w:r>
      <w:r w:rsidR="00E809DB" w:rsidRPr="0002468E">
        <w:rPr>
          <w:sz w:val="24"/>
          <w:szCs w:val="24"/>
        </w:rPr>
        <w:t>the superiority of the risk</w:t>
      </w:r>
      <w:r w:rsidR="00E809DB" w:rsidRPr="0002468E">
        <w:rPr>
          <w:sz w:val="24"/>
          <w:szCs w:val="24"/>
        </w:rPr>
        <w:noBreakHyphen/>
        <w:t>responsive strategy</w:t>
      </w:r>
      <w:r w:rsidR="00133E0B" w:rsidRPr="0002468E">
        <w:rPr>
          <w:sz w:val="24"/>
          <w:szCs w:val="24"/>
        </w:rPr>
        <w:t xml:space="preserve">. In Figure </w:t>
      </w:r>
      <w:r w:rsidR="00B51D51" w:rsidRPr="0002468E">
        <w:rPr>
          <w:sz w:val="24"/>
          <w:szCs w:val="24"/>
        </w:rPr>
        <w:t>7</w:t>
      </w:r>
      <w:r w:rsidR="00133E0B" w:rsidRPr="0002468E">
        <w:rPr>
          <w:sz w:val="24"/>
          <w:szCs w:val="24"/>
        </w:rPr>
        <w:t>, green columns represent favorable outcomes versus market for the fixed hedge ratio and light red columns represent the hedge losses of that strategy. For the risk</w:t>
      </w:r>
      <w:r w:rsidR="00133E0B" w:rsidRPr="0002468E">
        <w:rPr>
          <w:sz w:val="24"/>
          <w:szCs w:val="24"/>
        </w:rPr>
        <w:noBreakHyphen/>
        <w:t>responsive strategy, hedge gains and losses are shown in yellow and dark red respectively. The risk</w:t>
      </w:r>
      <w:r w:rsidR="00133E0B" w:rsidRPr="0002468E">
        <w:rPr>
          <w:sz w:val="24"/>
          <w:szCs w:val="24"/>
        </w:rPr>
        <w:noBreakHyphen/>
        <w:t>responsive strategy is superior for the vast majority of the decade-plus study period</w:t>
      </w:r>
      <w:r w:rsidR="00196AD2" w:rsidRPr="0002468E">
        <w:rPr>
          <w:sz w:val="24"/>
          <w:szCs w:val="24"/>
        </w:rPr>
        <w:t>. T</w:t>
      </w:r>
      <w:r w:rsidR="00133E0B" w:rsidRPr="0002468E">
        <w:rPr>
          <w:sz w:val="24"/>
          <w:szCs w:val="24"/>
        </w:rPr>
        <w:t>here are only small periods where the responsi</w:t>
      </w:r>
      <w:r w:rsidR="00514DF3" w:rsidRPr="0002468E">
        <w:rPr>
          <w:sz w:val="24"/>
          <w:szCs w:val="24"/>
        </w:rPr>
        <w:t xml:space="preserve">ve strategy produces worse mark to </w:t>
      </w:r>
      <w:r w:rsidR="00133E0B" w:rsidRPr="0002468E">
        <w:rPr>
          <w:sz w:val="24"/>
          <w:szCs w:val="24"/>
        </w:rPr>
        <w:t>market results, and they show as purple columns.</w:t>
      </w:r>
    </w:p>
    <w:p w:rsidR="00B978D7" w:rsidRPr="00CC3C06" w:rsidRDefault="00CC3C06" w:rsidP="00E261CF">
      <w:pPr>
        <w:keepNext/>
        <w:keepLines/>
        <w:pBdr>
          <w:top w:val="single" w:sz="4" w:space="1" w:color="auto"/>
        </w:pBdr>
        <w:spacing w:after="120"/>
        <w:jc w:val="both"/>
        <w:rPr>
          <w:sz w:val="21"/>
          <w:szCs w:val="21"/>
        </w:rPr>
      </w:pPr>
      <w:r>
        <w:rPr>
          <w:b/>
          <w:sz w:val="21"/>
          <w:szCs w:val="21"/>
          <w:u w:val="single"/>
        </w:rPr>
        <w:t>Figure 7</w:t>
      </w:r>
      <w:r w:rsidR="00133E0B" w:rsidRPr="00CC3C06">
        <w:rPr>
          <w:b/>
          <w:sz w:val="21"/>
          <w:szCs w:val="21"/>
          <w:u w:val="single"/>
        </w:rPr>
        <w:t>:  Mark to Market Comparison</w:t>
      </w:r>
    </w:p>
    <w:p w:rsidR="008C6198" w:rsidRDefault="00627823" w:rsidP="00133E0B">
      <w:pPr>
        <w:keepNext/>
        <w:keepLines/>
        <w:pBdr>
          <w:bottom w:val="single" w:sz="4" w:space="1" w:color="auto"/>
        </w:pBdr>
        <w:jc w:val="center"/>
        <w:rPr>
          <w:sz w:val="36"/>
        </w:rPr>
      </w:pPr>
      <w:r>
        <w:rPr>
          <w:noProof/>
        </w:rPr>
        <w:drawing>
          <wp:anchor distT="0" distB="0" distL="114300" distR="114300" simplePos="0" relativeHeight="251658240" behindDoc="0" locked="0" layoutInCell="1" allowOverlap="1" wp14:anchorId="5168143F" wp14:editId="20DD8822">
            <wp:simplePos x="0" y="0"/>
            <wp:positionH relativeFrom="column">
              <wp:posOffset>3286125</wp:posOffset>
            </wp:positionH>
            <wp:positionV relativeFrom="paragraph">
              <wp:posOffset>361950</wp:posOffset>
            </wp:positionV>
            <wp:extent cx="2087245" cy="638653"/>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7245" cy="638653"/>
                    </a:xfrm>
                    <a:prstGeom prst="rect">
                      <a:avLst/>
                    </a:prstGeom>
                    <a:noFill/>
                  </pic:spPr>
                </pic:pic>
              </a:graphicData>
            </a:graphic>
            <wp14:sizeRelH relativeFrom="page">
              <wp14:pctWidth>0</wp14:pctWidth>
            </wp14:sizeRelH>
            <wp14:sizeRelV relativeFrom="page">
              <wp14:pctHeight>0</wp14:pctHeight>
            </wp14:sizeRelV>
          </wp:anchor>
        </w:drawing>
      </w:r>
      <w:r w:rsidR="00B978D7" w:rsidRPr="00B978D7">
        <w:rPr>
          <w:noProof/>
          <w:sz w:val="36"/>
        </w:rPr>
        <w:drawing>
          <wp:inline distT="0" distB="0" distL="0" distR="0" wp14:anchorId="6DBC529F" wp14:editId="6CBA8888">
            <wp:extent cx="5943600" cy="37398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739896"/>
                    </a:xfrm>
                    <a:prstGeom prst="rect">
                      <a:avLst/>
                    </a:prstGeom>
                    <a:noFill/>
                  </pic:spPr>
                </pic:pic>
              </a:graphicData>
            </a:graphic>
          </wp:inline>
        </w:drawing>
      </w:r>
    </w:p>
    <w:p w:rsidR="00133E0B" w:rsidRPr="0002468E" w:rsidRDefault="00A62933" w:rsidP="00952D24">
      <w:pPr>
        <w:spacing w:before="240"/>
        <w:rPr>
          <w:sz w:val="24"/>
          <w:szCs w:val="24"/>
        </w:rPr>
      </w:pPr>
      <w:r w:rsidRPr="0002468E">
        <w:rPr>
          <w:sz w:val="24"/>
          <w:szCs w:val="24"/>
        </w:rPr>
        <w:t xml:space="preserve">It is worth repeating that these strategies </w:t>
      </w:r>
      <w:r w:rsidR="00952D24" w:rsidRPr="0002468E">
        <w:rPr>
          <w:sz w:val="24"/>
          <w:szCs w:val="24"/>
        </w:rPr>
        <w:t>were</w:t>
      </w:r>
      <w:r w:rsidRPr="0002468E">
        <w:rPr>
          <w:sz w:val="24"/>
          <w:szCs w:val="24"/>
        </w:rPr>
        <w:t xml:space="preserve"> not customized or optimized in any way</w:t>
      </w:r>
      <w:r w:rsidR="00D27F60" w:rsidRPr="0002468E">
        <w:rPr>
          <w:sz w:val="24"/>
          <w:szCs w:val="24"/>
        </w:rPr>
        <w:t xml:space="preserve">. </w:t>
      </w:r>
      <w:r w:rsidRPr="0002468E">
        <w:rPr>
          <w:sz w:val="24"/>
          <w:szCs w:val="24"/>
        </w:rPr>
        <w:t xml:space="preserve">Different </w:t>
      </w:r>
      <w:r w:rsidR="00952D24" w:rsidRPr="0002468E">
        <w:rPr>
          <w:sz w:val="24"/>
          <w:szCs w:val="24"/>
        </w:rPr>
        <w:t>companies</w:t>
      </w:r>
      <w:r w:rsidRPr="0002468E">
        <w:rPr>
          <w:sz w:val="24"/>
          <w:szCs w:val="24"/>
        </w:rPr>
        <w:t xml:space="preserve"> have different risk appetites, and some might prefer tighter or looser defensive boundaries, higher or lower hedge ratios, or more stringent confidence levels and holding periods</w:t>
      </w:r>
      <w:r w:rsidR="00952D24" w:rsidRPr="0002468E">
        <w:rPr>
          <w:sz w:val="24"/>
          <w:szCs w:val="24"/>
        </w:rPr>
        <w:t>. Also, o</w:t>
      </w:r>
      <w:r w:rsidRPr="0002468E">
        <w:rPr>
          <w:sz w:val="24"/>
          <w:szCs w:val="24"/>
        </w:rPr>
        <w:t xml:space="preserve">ptions can often be deployed to pay a </w:t>
      </w:r>
      <w:r w:rsidR="00E261CF" w:rsidRPr="0002468E">
        <w:rPr>
          <w:sz w:val="24"/>
          <w:szCs w:val="24"/>
        </w:rPr>
        <w:t>modest</w:t>
      </w:r>
      <w:r w:rsidRPr="0002468E">
        <w:rPr>
          <w:sz w:val="24"/>
          <w:szCs w:val="24"/>
        </w:rPr>
        <w:t xml:space="preserve"> premium thereby gaining cost mitigation while </w:t>
      </w:r>
      <w:r w:rsidR="00E261CF" w:rsidRPr="0002468E">
        <w:rPr>
          <w:sz w:val="24"/>
          <w:szCs w:val="24"/>
        </w:rPr>
        <w:t xml:space="preserve">further </w:t>
      </w:r>
      <w:r w:rsidRPr="0002468E">
        <w:rPr>
          <w:sz w:val="24"/>
          <w:szCs w:val="24"/>
        </w:rPr>
        <w:t xml:space="preserve">constraining hedge loss potential. The strategies </w:t>
      </w:r>
      <w:r w:rsidR="00653592" w:rsidRPr="0002468E">
        <w:rPr>
          <w:sz w:val="24"/>
          <w:szCs w:val="24"/>
        </w:rPr>
        <w:t xml:space="preserve">used in the simulations </w:t>
      </w:r>
      <w:r w:rsidRPr="0002468E">
        <w:rPr>
          <w:sz w:val="24"/>
          <w:szCs w:val="24"/>
        </w:rPr>
        <w:t xml:space="preserve">were chosen </w:t>
      </w:r>
      <w:r w:rsidR="00417A1B" w:rsidRPr="0002468E">
        <w:rPr>
          <w:sz w:val="24"/>
          <w:szCs w:val="24"/>
        </w:rPr>
        <w:t xml:space="preserve">simply </w:t>
      </w:r>
      <w:r w:rsidRPr="0002468E">
        <w:rPr>
          <w:sz w:val="24"/>
          <w:szCs w:val="24"/>
        </w:rPr>
        <w:t>to illustrate the points discussed earlier.</w:t>
      </w:r>
    </w:p>
    <w:p w:rsidR="00952D24" w:rsidRDefault="00952D24">
      <w:r>
        <w:br w:type="page"/>
      </w:r>
    </w:p>
    <w:p w:rsidR="00C83570" w:rsidRPr="00C83570" w:rsidRDefault="002C35AD" w:rsidP="002C35AD">
      <w:pPr>
        <w:pStyle w:val="Heading1"/>
      </w:pPr>
      <w:bookmarkStart w:id="33" w:name="_Toc411341382"/>
      <w:bookmarkStart w:id="34" w:name="_Toc424039093"/>
      <w:r>
        <w:t>Regulatory Choices</w:t>
      </w:r>
      <w:bookmarkEnd w:id="33"/>
      <w:bookmarkEnd w:id="34"/>
    </w:p>
    <w:p w:rsidR="002C35AD" w:rsidRPr="00952D24" w:rsidRDefault="002C35AD" w:rsidP="00952D24">
      <w:pPr>
        <w:rPr>
          <w:sz w:val="24"/>
          <w:szCs w:val="24"/>
        </w:rPr>
      </w:pPr>
      <w:r w:rsidRPr="00952D24">
        <w:rPr>
          <w:sz w:val="24"/>
          <w:szCs w:val="24"/>
        </w:rPr>
        <w:t>If superior hedge results can be attained by monitoring risk and responding to evolving conditions</w:t>
      </w:r>
      <w:r w:rsidR="00FD799D" w:rsidRPr="00952D24">
        <w:rPr>
          <w:sz w:val="24"/>
          <w:szCs w:val="24"/>
        </w:rPr>
        <w:t>,</w:t>
      </w:r>
      <w:r w:rsidRPr="00952D24">
        <w:rPr>
          <w:sz w:val="24"/>
          <w:szCs w:val="24"/>
        </w:rPr>
        <w:t xml:space="preserve"> there are implications for regulatory policy regarding hedges.</w:t>
      </w:r>
      <w:r w:rsidR="00952D24">
        <w:rPr>
          <w:sz w:val="24"/>
          <w:szCs w:val="24"/>
        </w:rPr>
        <w:t xml:space="preserve"> </w:t>
      </w:r>
      <w:r w:rsidR="00952D24" w:rsidRPr="00952D24">
        <w:rPr>
          <w:sz w:val="24"/>
          <w:szCs w:val="24"/>
        </w:rPr>
        <w:t>In this section, the following questions are addressed</w:t>
      </w:r>
      <w:r w:rsidR="00B97A6A">
        <w:rPr>
          <w:sz w:val="24"/>
          <w:szCs w:val="24"/>
        </w:rPr>
        <w:t>;</w:t>
      </w:r>
      <w:r w:rsidR="00952D24">
        <w:rPr>
          <w:sz w:val="24"/>
          <w:szCs w:val="24"/>
        </w:rPr>
        <w:t xml:space="preserve"> t</w:t>
      </w:r>
      <w:r w:rsidR="00F10CA1">
        <w:rPr>
          <w:sz w:val="24"/>
          <w:szCs w:val="24"/>
        </w:rPr>
        <w:t xml:space="preserve">hey </w:t>
      </w:r>
      <w:r w:rsidR="00952D24" w:rsidRPr="00952D24">
        <w:rPr>
          <w:sz w:val="24"/>
          <w:szCs w:val="24"/>
        </w:rPr>
        <w:t>are offered to stimulate discussion</w:t>
      </w:r>
      <w:r w:rsidR="00653592" w:rsidRPr="00952D24">
        <w:rPr>
          <w:sz w:val="24"/>
          <w:szCs w:val="24"/>
        </w:rPr>
        <w:t xml:space="preserve"> and</w:t>
      </w:r>
      <w:r w:rsidR="00D7230E" w:rsidRPr="00952D24">
        <w:rPr>
          <w:sz w:val="24"/>
          <w:szCs w:val="24"/>
        </w:rPr>
        <w:t xml:space="preserve"> not to present a finalized approach.</w:t>
      </w:r>
    </w:p>
    <w:p w:rsidR="002C35AD" w:rsidRPr="00952D24" w:rsidRDefault="002C35AD" w:rsidP="00952D24">
      <w:pPr>
        <w:pStyle w:val="ListParagraph"/>
        <w:numPr>
          <w:ilvl w:val="0"/>
          <w:numId w:val="15"/>
        </w:numPr>
        <w:rPr>
          <w:sz w:val="24"/>
          <w:szCs w:val="24"/>
        </w:rPr>
      </w:pPr>
      <w:r w:rsidRPr="00952D24">
        <w:rPr>
          <w:sz w:val="24"/>
          <w:szCs w:val="24"/>
        </w:rPr>
        <w:t>How can the regulatory environment be modified to support more robust risk management practices?</w:t>
      </w:r>
    </w:p>
    <w:p w:rsidR="002C35AD" w:rsidRPr="00952D24" w:rsidRDefault="002C35AD" w:rsidP="00952D24">
      <w:pPr>
        <w:pStyle w:val="ListParagraph"/>
        <w:numPr>
          <w:ilvl w:val="0"/>
          <w:numId w:val="15"/>
        </w:numPr>
        <w:rPr>
          <w:sz w:val="24"/>
          <w:szCs w:val="24"/>
        </w:rPr>
      </w:pPr>
      <w:r w:rsidRPr="00952D24">
        <w:rPr>
          <w:sz w:val="24"/>
          <w:szCs w:val="24"/>
        </w:rPr>
        <w:t>What sort of prudenc</w:t>
      </w:r>
      <w:r w:rsidR="00C709B8" w:rsidRPr="00952D24">
        <w:rPr>
          <w:sz w:val="24"/>
          <w:szCs w:val="24"/>
        </w:rPr>
        <w:t>e</w:t>
      </w:r>
      <w:r w:rsidRPr="00952D24">
        <w:rPr>
          <w:sz w:val="24"/>
          <w:szCs w:val="24"/>
        </w:rPr>
        <w:t xml:space="preserve"> standards are appropriate?</w:t>
      </w:r>
    </w:p>
    <w:p w:rsidR="002C35AD" w:rsidRPr="00952D24" w:rsidRDefault="002C35AD" w:rsidP="00952D24">
      <w:pPr>
        <w:pStyle w:val="ListParagraph"/>
        <w:numPr>
          <w:ilvl w:val="0"/>
          <w:numId w:val="15"/>
        </w:numPr>
        <w:rPr>
          <w:sz w:val="24"/>
          <w:szCs w:val="24"/>
        </w:rPr>
      </w:pPr>
      <w:r w:rsidRPr="00952D24">
        <w:rPr>
          <w:sz w:val="24"/>
          <w:szCs w:val="24"/>
        </w:rPr>
        <w:t>What reporting requirements would be appropriate?</w:t>
      </w:r>
    </w:p>
    <w:p w:rsidR="002C35AD" w:rsidRPr="00952D24" w:rsidRDefault="002C35AD" w:rsidP="00952D24">
      <w:pPr>
        <w:pStyle w:val="ListParagraph"/>
        <w:numPr>
          <w:ilvl w:val="0"/>
          <w:numId w:val="15"/>
        </w:numPr>
        <w:rPr>
          <w:sz w:val="24"/>
          <w:szCs w:val="24"/>
        </w:rPr>
      </w:pPr>
      <w:r w:rsidRPr="00952D24">
        <w:rPr>
          <w:sz w:val="24"/>
          <w:szCs w:val="24"/>
        </w:rPr>
        <w:t>What would be a reasonable schedule of adoption with respect to hedge methodology and regulatory standards?</w:t>
      </w:r>
    </w:p>
    <w:p w:rsidR="002C35AD" w:rsidRDefault="002C35AD" w:rsidP="00952D24">
      <w:pPr>
        <w:pStyle w:val="Heading2"/>
      </w:pPr>
      <w:bookmarkStart w:id="35" w:name="_Toc411341383"/>
      <w:bookmarkStart w:id="36" w:name="_Toc424039094"/>
      <w:r>
        <w:t xml:space="preserve">Supportive </w:t>
      </w:r>
      <w:r w:rsidRPr="00952D24">
        <w:t>Regulatory</w:t>
      </w:r>
      <w:r>
        <w:t xml:space="preserve"> Environment</w:t>
      </w:r>
      <w:bookmarkEnd w:id="35"/>
      <w:bookmarkEnd w:id="36"/>
    </w:p>
    <w:p w:rsidR="00382EEE" w:rsidRPr="00952D24" w:rsidRDefault="00F71948" w:rsidP="00952D24">
      <w:pPr>
        <w:rPr>
          <w:sz w:val="24"/>
          <w:szCs w:val="24"/>
        </w:rPr>
      </w:pPr>
      <w:r w:rsidRPr="00952D24">
        <w:rPr>
          <w:sz w:val="24"/>
          <w:szCs w:val="24"/>
        </w:rPr>
        <w:t xml:space="preserve">Prudence risk is a necessary component of economic regulation. This risk, borne by </w:t>
      </w:r>
      <w:r w:rsidR="000644C1" w:rsidRPr="00952D24">
        <w:rPr>
          <w:sz w:val="24"/>
          <w:szCs w:val="24"/>
        </w:rPr>
        <w:t xml:space="preserve">regulated </w:t>
      </w:r>
      <w:r w:rsidRPr="00952D24">
        <w:rPr>
          <w:sz w:val="24"/>
          <w:szCs w:val="24"/>
        </w:rPr>
        <w:t xml:space="preserve">utilities, </w:t>
      </w:r>
      <w:r w:rsidR="00C709B8" w:rsidRPr="00952D24">
        <w:rPr>
          <w:sz w:val="24"/>
          <w:szCs w:val="24"/>
        </w:rPr>
        <w:t xml:space="preserve">is reasonable and necessary </w:t>
      </w:r>
      <w:r w:rsidR="00382EEE" w:rsidRPr="00952D24">
        <w:rPr>
          <w:sz w:val="24"/>
          <w:szCs w:val="24"/>
        </w:rPr>
        <w:t xml:space="preserve">in order </w:t>
      </w:r>
      <w:r w:rsidR="00C709B8" w:rsidRPr="00952D24">
        <w:rPr>
          <w:sz w:val="24"/>
          <w:szCs w:val="24"/>
        </w:rPr>
        <w:t xml:space="preserve">to protect consumers given the </w:t>
      </w:r>
      <w:r w:rsidRPr="00952D24">
        <w:rPr>
          <w:sz w:val="24"/>
          <w:szCs w:val="24"/>
        </w:rPr>
        <w:t>market</w:t>
      </w:r>
      <w:r w:rsidR="00430412" w:rsidRPr="00952D24">
        <w:rPr>
          <w:sz w:val="24"/>
          <w:szCs w:val="24"/>
        </w:rPr>
        <w:t xml:space="preserve"> power </w:t>
      </w:r>
      <w:r w:rsidR="00E809DB" w:rsidRPr="00952D24">
        <w:rPr>
          <w:sz w:val="24"/>
          <w:szCs w:val="24"/>
        </w:rPr>
        <w:t>utilities</w:t>
      </w:r>
      <w:r w:rsidR="00E809DB" w:rsidRPr="00952D24" w:rsidDel="00E809DB">
        <w:rPr>
          <w:sz w:val="24"/>
          <w:szCs w:val="24"/>
        </w:rPr>
        <w:t xml:space="preserve"> </w:t>
      </w:r>
      <w:r w:rsidR="00430412" w:rsidRPr="00952D24">
        <w:rPr>
          <w:sz w:val="24"/>
          <w:szCs w:val="24"/>
        </w:rPr>
        <w:t>possess</w:t>
      </w:r>
      <w:r w:rsidR="00C709B8" w:rsidRPr="00952D24">
        <w:rPr>
          <w:sz w:val="24"/>
          <w:szCs w:val="24"/>
        </w:rPr>
        <w:t>.</w:t>
      </w:r>
      <w:r w:rsidRPr="00952D24">
        <w:rPr>
          <w:sz w:val="24"/>
          <w:szCs w:val="24"/>
        </w:rPr>
        <w:t xml:space="preserve"> Because </w:t>
      </w:r>
      <w:r w:rsidR="00DC6192">
        <w:rPr>
          <w:sz w:val="24"/>
          <w:szCs w:val="24"/>
        </w:rPr>
        <w:t>a utility</w:t>
      </w:r>
      <w:r w:rsidR="00D61DBF" w:rsidRPr="00952D24">
        <w:rPr>
          <w:sz w:val="24"/>
          <w:szCs w:val="24"/>
        </w:rPr>
        <w:t xml:space="preserve"> must protect </w:t>
      </w:r>
      <w:r w:rsidR="00952D24">
        <w:rPr>
          <w:sz w:val="24"/>
          <w:szCs w:val="24"/>
        </w:rPr>
        <w:t xml:space="preserve">its </w:t>
      </w:r>
      <w:r w:rsidR="00D61DBF" w:rsidRPr="00952D24">
        <w:rPr>
          <w:sz w:val="24"/>
          <w:szCs w:val="24"/>
        </w:rPr>
        <w:t>shareholders from undue prudence risk</w:t>
      </w:r>
      <w:r w:rsidR="001C1B4A" w:rsidRPr="00952D24">
        <w:rPr>
          <w:sz w:val="24"/>
          <w:szCs w:val="24"/>
        </w:rPr>
        <w:t xml:space="preserve">, </w:t>
      </w:r>
      <w:r w:rsidRPr="00952D24">
        <w:rPr>
          <w:sz w:val="24"/>
          <w:szCs w:val="24"/>
        </w:rPr>
        <w:t xml:space="preserve">prudence risk naturally </w:t>
      </w:r>
      <w:r w:rsidR="00D61DBF" w:rsidRPr="00952D24">
        <w:rPr>
          <w:sz w:val="24"/>
          <w:szCs w:val="24"/>
        </w:rPr>
        <w:t xml:space="preserve">affects </w:t>
      </w:r>
      <w:r w:rsidR="00DC6192">
        <w:rPr>
          <w:sz w:val="24"/>
          <w:szCs w:val="24"/>
        </w:rPr>
        <w:t>a utility’s</w:t>
      </w:r>
      <w:r w:rsidR="001C1B4A" w:rsidRPr="00952D24">
        <w:rPr>
          <w:sz w:val="24"/>
          <w:szCs w:val="24"/>
        </w:rPr>
        <w:t xml:space="preserve"> </w:t>
      </w:r>
      <w:r w:rsidR="00D61DBF" w:rsidRPr="00952D24">
        <w:rPr>
          <w:sz w:val="24"/>
          <w:szCs w:val="24"/>
        </w:rPr>
        <w:t>behavior</w:t>
      </w:r>
      <w:r w:rsidR="00DC6192">
        <w:rPr>
          <w:sz w:val="24"/>
          <w:szCs w:val="24"/>
        </w:rPr>
        <w:t xml:space="preserve"> and its willingness to change</w:t>
      </w:r>
      <w:r w:rsidR="00C709B8" w:rsidRPr="00952D24">
        <w:rPr>
          <w:sz w:val="24"/>
          <w:szCs w:val="24"/>
        </w:rPr>
        <w:t xml:space="preserve">. Traditionally with respect to hedging, most utilities have </w:t>
      </w:r>
      <w:r w:rsidR="00382EEE" w:rsidRPr="00952D24">
        <w:rPr>
          <w:sz w:val="24"/>
          <w:szCs w:val="24"/>
        </w:rPr>
        <w:t>protected shareholders by focusing</w:t>
      </w:r>
      <w:r w:rsidR="00C709B8" w:rsidRPr="00952D24">
        <w:rPr>
          <w:sz w:val="24"/>
          <w:szCs w:val="24"/>
        </w:rPr>
        <w:t xml:space="preserve"> on keeping things simple and then executing </w:t>
      </w:r>
      <w:r w:rsidR="009D4982">
        <w:rPr>
          <w:sz w:val="24"/>
          <w:szCs w:val="24"/>
        </w:rPr>
        <w:t xml:space="preserve">its strategies </w:t>
      </w:r>
      <w:r w:rsidR="00C709B8" w:rsidRPr="00952D24">
        <w:rPr>
          <w:sz w:val="24"/>
          <w:szCs w:val="24"/>
        </w:rPr>
        <w:t xml:space="preserve">well. Simple methodologies are easier to </w:t>
      </w:r>
      <w:r w:rsidR="00382EEE" w:rsidRPr="00952D24">
        <w:rPr>
          <w:sz w:val="24"/>
          <w:szCs w:val="24"/>
        </w:rPr>
        <w:t>execute</w:t>
      </w:r>
      <w:r w:rsidR="00C709B8" w:rsidRPr="00952D24">
        <w:rPr>
          <w:sz w:val="24"/>
          <w:szCs w:val="24"/>
        </w:rPr>
        <w:t xml:space="preserve"> well</w:t>
      </w:r>
      <w:r w:rsidR="00E12222" w:rsidRPr="00952D24">
        <w:rPr>
          <w:sz w:val="24"/>
          <w:szCs w:val="24"/>
        </w:rPr>
        <w:t>. T</w:t>
      </w:r>
      <w:r w:rsidR="00382EEE" w:rsidRPr="00952D24">
        <w:rPr>
          <w:sz w:val="24"/>
          <w:szCs w:val="24"/>
        </w:rPr>
        <w:t>hey also</w:t>
      </w:r>
      <w:r w:rsidR="00C709B8" w:rsidRPr="00952D24">
        <w:rPr>
          <w:sz w:val="24"/>
          <w:szCs w:val="24"/>
        </w:rPr>
        <w:t xml:space="preserve"> </w:t>
      </w:r>
      <w:r w:rsidR="00DC6192">
        <w:rPr>
          <w:sz w:val="24"/>
          <w:szCs w:val="24"/>
        </w:rPr>
        <w:t xml:space="preserve">allow utilities to </w:t>
      </w:r>
      <w:r w:rsidR="00C709B8" w:rsidRPr="00952D24">
        <w:rPr>
          <w:sz w:val="24"/>
          <w:szCs w:val="24"/>
        </w:rPr>
        <w:t>avoid the difficulties of explaining complex methodologies, and the</w:t>
      </w:r>
      <w:r w:rsidR="006E1E05" w:rsidRPr="00952D24">
        <w:rPr>
          <w:sz w:val="24"/>
          <w:szCs w:val="24"/>
        </w:rPr>
        <w:t>n</w:t>
      </w:r>
      <w:r w:rsidR="00C709B8" w:rsidRPr="00952D24">
        <w:rPr>
          <w:sz w:val="24"/>
          <w:szCs w:val="24"/>
        </w:rPr>
        <w:t xml:space="preserve"> defending complex decisions</w:t>
      </w:r>
      <w:r w:rsidR="00382EEE" w:rsidRPr="00952D24">
        <w:rPr>
          <w:sz w:val="24"/>
          <w:szCs w:val="24"/>
        </w:rPr>
        <w:t xml:space="preserve"> on </w:t>
      </w:r>
      <w:r w:rsidR="006558ED" w:rsidRPr="00952D24">
        <w:rPr>
          <w:sz w:val="24"/>
          <w:szCs w:val="24"/>
        </w:rPr>
        <w:t xml:space="preserve">regulatory </w:t>
      </w:r>
      <w:r w:rsidR="00382EEE" w:rsidRPr="00952D24">
        <w:rPr>
          <w:sz w:val="24"/>
          <w:szCs w:val="24"/>
        </w:rPr>
        <w:t>review</w:t>
      </w:r>
      <w:r w:rsidR="00C709B8" w:rsidRPr="00952D24">
        <w:rPr>
          <w:sz w:val="24"/>
          <w:szCs w:val="24"/>
        </w:rPr>
        <w:t xml:space="preserve">. </w:t>
      </w:r>
      <w:r w:rsidR="00382EEE" w:rsidRPr="00952D24">
        <w:rPr>
          <w:sz w:val="24"/>
          <w:szCs w:val="24"/>
        </w:rPr>
        <w:t xml:space="preserve"> </w:t>
      </w:r>
    </w:p>
    <w:p w:rsidR="00D61DBF" w:rsidRPr="00952D24" w:rsidRDefault="00F71948" w:rsidP="00952D24">
      <w:pPr>
        <w:rPr>
          <w:sz w:val="24"/>
          <w:szCs w:val="24"/>
        </w:rPr>
      </w:pPr>
      <w:r w:rsidRPr="00952D24">
        <w:rPr>
          <w:sz w:val="24"/>
          <w:szCs w:val="24"/>
        </w:rPr>
        <w:t>T</w:t>
      </w:r>
      <w:r w:rsidR="00C709B8" w:rsidRPr="00952D24">
        <w:rPr>
          <w:sz w:val="24"/>
          <w:szCs w:val="24"/>
        </w:rPr>
        <w:t xml:space="preserve">o be effective, </w:t>
      </w:r>
      <w:r w:rsidR="00FD799D" w:rsidRPr="00952D24">
        <w:rPr>
          <w:sz w:val="24"/>
          <w:szCs w:val="24"/>
        </w:rPr>
        <w:t>regulatory</w:t>
      </w:r>
      <w:r w:rsidR="00C709B8" w:rsidRPr="00952D24">
        <w:rPr>
          <w:sz w:val="24"/>
          <w:szCs w:val="24"/>
        </w:rPr>
        <w:t xml:space="preserve"> </w:t>
      </w:r>
      <w:r w:rsidR="00FD799D" w:rsidRPr="00952D24">
        <w:rPr>
          <w:sz w:val="24"/>
          <w:szCs w:val="24"/>
        </w:rPr>
        <w:t>policy</w:t>
      </w:r>
      <w:r w:rsidR="00C709B8" w:rsidRPr="00952D24">
        <w:rPr>
          <w:sz w:val="24"/>
          <w:szCs w:val="24"/>
        </w:rPr>
        <w:t xml:space="preserve"> must promote “doing the right things” as well as “</w:t>
      </w:r>
      <w:r w:rsidR="00382EEE" w:rsidRPr="00952D24">
        <w:rPr>
          <w:sz w:val="24"/>
          <w:szCs w:val="24"/>
        </w:rPr>
        <w:t xml:space="preserve">doing things </w:t>
      </w:r>
      <w:r w:rsidR="00FD799D" w:rsidRPr="00952D24">
        <w:rPr>
          <w:sz w:val="24"/>
          <w:szCs w:val="24"/>
        </w:rPr>
        <w:t>well</w:t>
      </w:r>
      <w:r w:rsidRPr="00952D24">
        <w:rPr>
          <w:sz w:val="24"/>
          <w:szCs w:val="24"/>
        </w:rPr>
        <w:t>.</w:t>
      </w:r>
      <w:r w:rsidR="00C709B8" w:rsidRPr="00952D24">
        <w:rPr>
          <w:sz w:val="24"/>
          <w:szCs w:val="24"/>
        </w:rPr>
        <w:t>”</w:t>
      </w:r>
      <w:r w:rsidR="00382EEE" w:rsidRPr="00952D24">
        <w:rPr>
          <w:sz w:val="24"/>
          <w:szCs w:val="24"/>
        </w:rPr>
        <w:t xml:space="preserve"> </w:t>
      </w:r>
      <w:r w:rsidRPr="00952D24">
        <w:rPr>
          <w:sz w:val="24"/>
          <w:szCs w:val="24"/>
        </w:rPr>
        <w:t>Unfortunately, utilities have generally responded to prudence risk by defaulting to fixed-rate, lock-and-leave hedge programs in their attempt to “do things right.”</w:t>
      </w:r>
      <w:r w:rsidR="00D61DBF" w:rsidRPr="00952D24">
        <w:rPr>
          <w:sz w:val="24"/>
          <w:szCs w:val="24"/>
        </w:rPr>
        <w:t xml:space="preserve"> As discussed earlier, this </w:t>
      </w:r>
      <w:r w:rsidR="00627823" w:rsidRPr="00952D24">
        <w:rPr>
          <w:sz w:val="24"/>
          <w:szCs w:val="24"/>
        </w:rPr>
        <w:t>results in an unspecified</w:t>
      </w:r>
      <w:r w:rsidR="000644C1" w:rsidRPr="00952D24">
        <w:rPr>
          <w:sz w:val="24"/>
          <w:szCs w:val="24"/>
        </w:rPr>
        <w:t xml:space="preserve"> </w:t>
      </w:r>
      <w:r w:rsidR="00D61DBF" w:rsidRPr="00952D24">
        <w:rPr>
          <w:sz w:val="24"/>
          <w:szCs w:val="24"/>
        </w:rPr>
        <w:t>loss tolerance, which is never articulated</w:t>
      </w:r>
      <w:r w:rsidR="00430412" w:rsidRPr="00952D24">
        <w:rPr>
          <w:sz w:val="24"/>
          <w:szCs w:val="24"/>
        </w:rPr>
        <w:t xml:space="preserve"> but rather</w:t>
      </w:r>
      <w:r w:rsidR="00D61DBF" w:rsidRPr="00952D24">
        <w:rPr>
          <w:sz w:val="24"/>
          <w:szCs w:val="24"/>
        </w:rPr>
        <w:t xml:space="preserve"> a random consequence of the chosen hedge ratio. Given the radical price movements over the last decade, </w:t>
      </w:r>
      <w:r w:rsidR="00FD799D" w:rsidRPr="00952D24">
        <w:rPr>
          <w:sz w:val="24"/>
          <w:szCs w:val="24"/>
        </w:rPr>
        <w:t xml:space="preserve">large losses </w:t>
      </w:r>
      <w:r w:rsidR="00D61DBF" w:rsidRPr="00952D24">
        <w:rPr>
          <w:sz w:val="24"/>
          <w:szCs w:val="24"/>
        </w:rPr>
        <w:t>have resulted when</w:t>
      </w:r>
      <w:r w:rsidR="00FD799D" w:rsidRPr="00952D24">
        <w:rPr>
          <w:sz w:val="24"/>
          <w:szCs w:val="24"/>
        </w:rPr>
        <w:t xml:space="preserve"> natural gas market</w:t>
      </w:r>
      <w:r w:rsidR="00D61DBF" w:rsidRPr="00952D24">
        <w:rPr>
          <w:sz w:val="24"/>
          <w:szCs w:val="24"/>
        </w:rPr>
        <w:t xml:space="preserve"> price</w:t>
      </w:r>
      <w:r w:rsidR="00FD799D" w:rsidRPr="00952D24">
        <w:rPr>
          <w:sz w:val="24"/>
          <w:szCs w:val="24"/>
        </w:rPr>
        <w:t>s</w:t>
      </w:r>
      <w:r w:rsidR="00D61DBF" w:rsidRPr="00952D24">
        <w:rPr>
          <w:sz w:val="24"/>
          <w:szCs w:val="24"/>
        </w:rPr>
        <w:t xml:space="preserve"> </w:t>
      </w:r>
      <w:r w:rsidR="00627823" w:rsidRPr="00952D24">
        <w:rPr>
          <w:sz w:val="24"/>
          <w:szCs w:val="24"/>
        </w:rPr>
        <w:t xml:space="preserve">have </w:t>
      </w:r>
      <w:r w:rsidR="00D61DBF" w:rsidRPr="00952D24">
        <w:rPr>
          <w:sz w:val="24"/>
          <w:szCs w:val="24"/>
        </w:rPr>
        <w:t>fall</w:t>
      </w:r>
      <w:r w:rsidR="00627823" w:rsidRPr="00952D24">
        <w:rPr>
          <w:sz w:val="24"/>
          <w:szCs w:val="24"/>
        </w:rPr>
        <w:t>en</w:t>
      </w:r>
      <w:r w:rsidR="00D61DBF" w:rsidRPr="00952D24">
        <w:rPr>
          <w:sz w:val="24"/>
          <w:szCs w:val="24"/>
        </w:rPr>
        <w:t xml:space="preserve"> precipitously</w:t>
      </w:r>
      <w:r w:rsidR="00382EEE" w:rsidRPr="00952D24">
        <w:rPr>
          <w:sz w:val="24"/>
          <w:szCs w:val="24"/>
        </w:rPr>
        <w:t xml:space="preserve">.  </w:t>
      </w:r>
    </w:p>
    <w:p w:rsidR="00627823" w:rsidRPr="00DC6192" w:rsidRDefault="00EB2C2C" w:rsidP="00952D24">
      <w:pPr>
        <w:rPr>
          <w:sz w:val="24"/>
          <w:szCs w:val="24"/>
        </w:rPr>
      </w:pPr>
      <w:r>
        <w:rPr>
          <w:sz w:val="24"/>
          <w:szCs w:val="24"/>
        </w:rPr>
        <w:t>R</w:t>
      </w:r>
      <w:r w:rsidR="00FD799D" w:rsidRPr="00DC6192">
        <w:rPr>
          <w:sz w:val="24"/>
          <w:szCs w:val="24"/>
        </w:rPr>
        <w:t xml:space="preserve">egulators should not be </w:t>
      </w:r>
      <w:r w:rsidR="006E1E05" w:rsidRPr="00DC6192">
        <w:rPr>
          <w:sz w:val="24"/>
          <w:szCs w:val="24"/>
        </w:rPr>
        <w:t xml:space="preserve">unduly </w:t>
      </w:r>
      <w:r w:rsidR="00FD799D" w:rsidRPr="00DC6192">
        <w:rPr>
          <w:sz w:val="24"/>
          <w:szCs w:val="24"/>
        </w:rPr>
        <w:t xml:space="preserve">prescriptive with respect to </w:t>
      </w:r>
      <w:r w:rsidR="00417A1B" w:rsidRPr="00DC6192">
        <w:rPr>
          <w:sz w:val="24"/>
          <w:szCs w:val="24"/>
        </w:rPr>
        <w:t xml:space="preserve">what constitutes </w:t>
      </w:r>
      <w:r w:rsidR="00FD799D" w:rsidRPr="00DC6192">
        <w:rPr>
          <w:sz w:val="24"/>
          <w:szCs w:val="24"/>
        </w:rPr>
        <w:t>best hedging practices</w:t>
      </w:r>
      <w:r>
        <w:rPr>
          <w:sz w:val="24"/>
          <w:szCs w:val="24"/>
        </w:rPr>
        <w:t>, but should focus on establishing appropriate oversight while supporting robust risk management</w:t>
      </w:r>
      <w:r w:rsidR="00F71948" w:rsidRPr="00DC6192">
        <w:rPr>
          <w:sz w:val="24"/>
          <w:szCs w:val="24"/>
        </w:rPr>
        <w:t>. I</w:t>
      </w:r>
      <w:r w:rsidR="00FD799D" w:rsidRPr="00DC6192">
        <w:rPr>
          <w:sz w:val="24"/>
          <w:szCs w:val="24"/>
        </w:rPr>
        <w:t>f</w:t>
      </w:r>
      <w:r w:rsidR="00F71948" w:rsidRPr="00DC6192">
        <w:rPr>
          <w:sz w:val="24"/>
          <w:szCs w:val="24"/>
        </w:rPr>
        <w:t xml:space="preserve"> utility</w:t>
      </w:r>
      <w:r w:rsidR="00FD799D" w:rsidRPr="00DC6192">
        <w:rPr>
          <w:sz w:val="24"/>
          <w:szCs w:val="24"/>
        </w:rPr>
        <w:t xml:space="preserve"> management is to be accountable for the effectiveness of its decisions, those decisions must be </w:t>
      </w:r>
      <w:r w:rsidR="00D61DBF" w:rsidRPr="00DC6192">
        <w:rPr>
          <w:sz w:val="24"/>
          <w:szCs w:val="24"/>
        </w:rPr>
        <w:t>owned by management</w:t>
      </w:r>
      <w:r w:rsidR="00FD799D" w:rsidRPr="00DC6192">
        <w:rPr>
          <w:sz w:val="24"/>
          <w:szCs w:val="24"/>
        </w:rPr>
        <w:t>. Also, best practices today could be supplanted by new methodologies in the future, and institutionalizing an approach could result in stagnation.</w:t>
      </w:r>
      <w:r w:rsidR="00A24BEA" w:rsidRPr="00DC6192">
        <w:rPr>
          <w:sz w:val="24"/>
          <w:szCs w:val="24"/>
        </w:rPr>
        <w:t xml:space="preserve">  </w:t>
      </w:r>
    </w:p>
    <w:p w:rsidR="00D64042" w:rsidRPr="00DC6192" w:rsidRDefault="00EB2C2C" w:rsidP="00952D24">
      <w:pPr>
        <w:rPr>
          <w:sz w:val="24"/>
          <w:szCs w:val="24"/>
        </w:rPr>
      </w:pPr>
      <w:r>
        <w:rPr>
          <w:sz w:val="24"/>
          <w:szCs w:val="24"/>
        </w:rPr>
        <w:t>S</w:t>
      </w:r>
      <w:r w:rsidR="00C5122E" w:rsidRPr="00DC6192">
        <w:rPr>
          <w:sz w:val="24"/>
          <w:szCs w:val="24"/>
        </w:rPr>
        <w:t>ome changes seem appropriate</w:t>
      </w:r>
      <w:r>
        <w:rPr>
          <w:sz w:val="24"/>
          <w:szCs w:val="24"/>
        </w:rPr>
        <w:t>, and</w:t>
      </w:r>
      <w:r w:rsidR="005C5482">
        <w:rPr>
          <w:sz w:val="24"/>
          <w:szCs w:val="24"/>
        </w:rPr>
        <w:t xml:space="preserve"> </w:t>
      </w:r>
      <w:r>
        <w:rPr>
          <w:sz w:val="24"/>
          <w:szCs w:val="24"/>
        </w:rPr>
        <w:t>m</w:t>
      </w:r>
      <w:r w:rsidR="00AD509A" w:rsidRPr="00DC6192">
        <w:rPr>
          <w:sz w:val="24"/>
          <w:szCs w:val="24"/>
        </w:rPr>
        <w:t xml:space="preserve">aterial </w:t>
      </w:r>
      <w:r w:rsidR="00D64042" w:rsidRPr="00DC6192">
        <w:rPr>
          <w:sz w:val="24"/>
          <w:szCs w:val="24"/>
        </w:rPr>
        <w:t xml:space="preserve">effort and some cost </w:t>
      </w:r>
      <w:r w:rsidR="00C5122E" w:rsidRPr="00DC6192">
        <w:rPr>
          <w:sz w:val="24"/>
          <w:szCs w:val="24"/>
        </w:rPr>
        <w:t xml:space="preserve">would be necessary to </w:t>
      </w:r>
      <w:r w:rsidR="00D64042" w:rsidRPr="00DC6192">
        <w:rPr>
          <w:sz w:val="24"/>
          <w:szCs w:val="24"/>
        </w:rPr>
        <w:t>improv</w:t>
      </w:r>
      <w:r w:rsidR="00C5122E" w:rsidRPr="00DC6192">
        <w:rPr>
          <w:sz w:val="24"/>
          <w:szCs w:val="24"/>
        </w:rPr>
        <w:t>e</w:t>
      </w:r>
      <w:r w:rsidR="00D64042" w:rsidRPr="00DC6192">
        <w:rPr>
          <w:sz w:val="24"/>
          <w:szCs w:val="24"/>
        </w:rPr>
        <w:t xml:space="preserve"> hedging </w:t>
      </w:r>
      <w:r w:rsidR="00AD509A" w:rsidRPr="00DC6192">
        <w:rPr>
          <w:sz w:val="24"/>
          <w:szCs w:val="24"/>
        </w:rPr>
        <w:t>capabilities</w:t>
      </w:r>
      <w:r w:rsidR="00D27F60">
        <w:rPr>
          <w:sz w:val="24"/>
          <w:szCs w:val="24"/>
        </w:rPr>
        <w:t xml:space="preserve">. </w:t>
      </w:r>
      <w:r>
        <w:rPr>
          <w:sz w:val="24"/>
          <w:szCs w:val="24"/>
        </w:rPr>
        <w:t>T</w:t>
      </w:r>
      <w:r w:rsidR="00D64042" w:rsidRPr="00DC6192">
        <w:rPr>
          <w:sz w:val="24"/>
          <w:szCs w:val="24"/>
        </w:rPr>
        <w:t xml:space="preserve">he results detailed in the staff report (Appendix A) </w:t>
      </w:r>
      <w:r w:rsidR="00C5122E" w:rsidRPr="00DC6192">
        <w:rPr>
          <w:sz w:val="24"/>
          <w:szCs w:val="24"/>
        </w:rPr>
        <w:t xml:space="preserve">and the economics shown by the contrasted simulation results </w:t>
      </w:r>
      <w:r w:rsidR="00D64042" w:rsidRPr="00DC6192">
        <w:rPr>
          <w:sz w:val="24"/>
          <w:szCs w:val="24"/>
        </w:rPr>
        <w:t>clearly justify material effort and cost.</w:t>
      </w:r>
      <w:r w:rsidR="00AD509A" w:rsidRPr="00DC6192">
        <w:rPr>
          <w:sz w:val="24"/>
          <w:szCs w:val="24"/>
        </w:rPr>
        <w:t xml:space="preserve"> </w:t>
      </w:r>
      <w:r w:rsidR="00F71948" w:rsidRPr="00DC6192">
        <w:rPr>
          <w:sz w:val="24"/>
          <w:szCs w:val="24"/>
        </w:rPr>
        <w:t>T</w:t>
      </w:r>
      <w:r w:rsidR="00AD509A" w:rsidRPr="00DC6192">
        <w:rPr>
          <w:sz w:val="24"/>
          <w:szCs w:val="24"/>
        </w:rPr>
        <w:t>he balance between cost and expected results should be determined by management and subject to regulatory review using clear standards.</w:t>
      </w:r>
    </w:p>
    <w:p w:rsidR="00FD799D" w:rsidRPr="00DD4AB8" w:rsidRDefault="006E1E05" w:rsidP="00952D24">
      <w:pPr>
        <w:rPr>
          <w:sz w:val="24"/>
          <w:szCs w:val="24"/>
        </w:rPr>
      </w:pPr>
      <w:r w:rsidRPr="00DC6192">
        <w:rPr>
          <w:sz w:val="24"/>
          <w:szCs w:val="24"/>
        </w:rPr>
        <w:t>So</w:t>
      </w:r>
      <w:r w:rsidR="00F509DD" w:rsidRPr="00DC6192">
        <w:rPr>
          <w:sz w:val="24"/>
          <w:szCs w:val="24"/>
        </w:rPr>
        <w:t>,</w:t>
      </w:r>
      <w:r w:rsidRPr="00DC6192">
        <w:rPr>
          <w:sz w:val="24"/>
          <w:szCs w:val="24"/>
        </w:rPr>
        <w:t xml:space="preserve"> what would constitute a constructive regulatory framework without being unduly prescriptive? The answer seems to lie in defining language</w:t>
      </w:r>
      <w:r w:rsidR="008C6EBF" w:rsidRPr="00DC6192">
        <w:rPr>
          <w:sz w:val="24"/>
          <w:szCs w:val="24"/>
        </w:rPr>
        <w:t>,</w:t>
      </w:r>
      <w:r w:rsidRPr="00DC6192">
        <w:rPr>
          <w:sz w:val="24"/>
          <w:szCs w:val="24"/>
        </w:rPr>
        <w:t xml:space="preserve"> </w:t>
      </w:r>
      <w:r w:rsidR="00D61DBF" w:rsidRPr="00DC6192">
        <w:rPr>
          <w:sz w:val="24"/>
          <w:szCs w:val="24"/>
        </w:rPr>
        <w:t>defining</w:t>
      </w:r>
      <w:r w:rsidRPr="00DC6192">
        <w:rPr>
          <w:sz w:val="24"/>
          <w:szCs w:val="24"/>
        </w:rPr>
        <w:t xml:space="preserve"> assessment criteria for strategies, and then </w:t>
      </w:r>
      <w:r w:rsidR="00B23477" w:rsidRPr="00DC6192">
        <w:rPr>
          <w:sz w:val="24"/>
          <w:szCs w:val="24"/>
        </w:rPr>
        <w:t xml:space="preserve">establishing processes through which the utility </w:t>
      </w:r>
      <w:r w:rsidR="00782592" w:rsidRPr="00DC6192">
        <w:rPr>
          <w:sz w:val="24"/>
          <w:szCs w:val="24"/>
        </w:rPr>
        <w:t xml:space="preserve">would </w:t>
      </w:r>
      <w:r w:rsidR="00B23477" w:rsidRPr="00DC6192">
        <w:rPr>
          <w:sz w:val="24"/>
          <w:szCs w:val="24"/>
        </w:rPr>
        <w:t>articulate its risk management strategy to the regulator</w:t>
      </w:r>
      <w:r w:rsidR="00D27F60">
        <w:rPr>
          <w:sz w:val="24"/>
          <w:szCs w:val="24"/>
        </w:rPr>
        <w:t xml:space="preserve">. </w:t>
      </w:r>
      <w:r w:rsidR="00EB2C2C">
        <w:rPr>
          <w:sz w:val="24"/>
          <w:szCs w:val="24"/>
        </w:rPr>
        <w:t>In addition,</w:t>
      </w:r>
      <w:r w:rsidRPr="00DD4AB8">
        <w:rPr>
          <w:sz w:val="24"/>
          <w:szCs w:val="24"/>
        </w:rPr>
        <w:t xml:space="preserve"> reporting require</w:t>
      </w:r>
      <w:r w:rsidR="00A24BEA" w:rsidRPr="00DD4AB8">
        <w:rPr>
          <w:sz w:val="24"/>
          <w:szCs w:val="24"/>
        </w:rPr>
        <w:t>ments to facilitate</w:t>
      </w:r>
      <w:r w:rsidR="00B23477" w:rsidRPr="00DD4AB8">
        <w:rPr>
          <w:sz w:val="24"/>
          <w:szCs w:val="24"/>
        </w:rPr>
        <w:t xml:space="preserve"> the regulator’s</w:t>
      </w:r>
      <w:r w:rsidR="00A24BEA" w:rsidRPr="00DD4AB8">
        <w:rPr>
          <w:sz w:val="24"/>
          <w:szCs w:val="24"/>
        </w:rPr>
        <w:t xml:space="preserve"> review</w:t>
      </w:r>
      <w:r w:rsidR="00EB2C2C">
        <w:rPr>
          <w:sz w:val="24"/>
          <w:szCs w:val="24"/>
        </w:rPr>
        <w:t xml:space="preserve"> should be established</w:t>
      </w:r>
      <w:r w:rsidR="00A24BEA" w:rsidRPr="00DD4AB8">
        <w:rPr>
          <w:sz w:val="24"/>
          <w:szCs w:val="24"/>
        </w:rPr>
        <w:t>.</w:t>
      </w:r>
      <w:r w:rsidRPr="00DD4AB8">
        <w:rPr>
          <w:sz w:val="24"/>
          <w:szCs w:val="24"/>
        </w:rPr>
        <w:t xml:space="preserve"> The definition of language would address the problem of explaining complex methodologies, </w:t>
      </w:r>
      <w:r w:rsidR="00F509DD" w:rsidRPr="00DD4AB8">
        <w:rPr>
          <w:sz w:val="24"/>
          <w:szCs w:val="24"/>
        </w:rPr>
        <w:t xml:space="preserve">while </w:t>
      </w:r>
      <w:r w:rsidR="00A24BEA" w:rsidRPr="00DD4AB8">
        <w:rPr>
          <w:sz w:val="24"/>
          <w:szCs w:val="24"/>
        </w:rPr>
        <w:t xml:space="preserve">the </w:t>
      </w:r>
      <w:r w:rsidRPr="00DD4AB8">
        <w:rPr>
          <w:sz w:val="24"/>
          <w:szCs w:val="24"/>
        </w:rPr>
        <w:t>clear assessment criteria and reporting requirements would address the problem of defending complex decisions on review.</w:t>
      </w:r>
    </w:p>
    <w:p w:rsidR="002C35AD" w:rsidRPr="00DD4AB8" w:rsidRDefault="00AD509A" w:rsidP="00952D24">
      <w:pPr>
        <w:rPr>
          <w:sz w:val="24"/>
          <w:szCs w:val="24"/>
        </w:rPr>
      </w:pPr>
      <w:r w:rsidRPr="00DD4AB8">
        <w:rPr>
          <w:sz w:val="24"/>
          <w:szCs w:val="24"/>
        </w:rPr>
        <w:t xml:space="preserve">As to language, the preceding discussion should </w:t>
      </w:r>
      <w:r w:rsidR="00F509DD" w:rsidRPr="00DD4AB8">
        <w:rPr>
          <w:sz w:val="24"/>
          <w:szCs w:val="24"/>
        </w:rPr>
        <w:t>materially assist in</w:t>
      </w:r>
      <w:r w:rsidRPr="00DD4AB8">
        <w:rPr>
          <w:sz w:val="24"/>
          <w:szCs w:val="24"/>
        </w:rPr>
        <w:t xml:space="preserve"> defining risk metrics, hedge decision types, and the elements of strategy formulation</w:t>
      </w:r>
      <w:r w:rsidR="00D27F60" w:rsidRPr="00566E47">
        <w:rPr>
          <w:sz w:val="24"/>
          <w:szCs w:val="24"/>
        </w:rPr>
        <w:t xml:space="preserve">. </w:t>
      </w:r>
      <w:r w:rsidRPr="00DD4AB8">
        <w:rPr>
          <w:sz w:val="24"/>
          <w:szCs w:val="24"/>
        </w:rPr>
        <w:t>Similarly, strategy</w:t>
      </w:r>
      <w:r w:rsidRPr="00DD4AB8">
        <w:rPr>
          <w:sz w:val="24"/>
          <w:szCs w:val="24"/>
        </w:rPr>
        <w:noBreakHyphen/>
        <w:t xml:space="preserve">assessment criteria are articulated in the “Strategy </w:t>
      </w:r>
      <w:r w:rsidR="00DD4AB8">
        <w:rPr>
          <w:sz w:val="24"/>
          <w:szCs w:val="24"/>
        </w:rPr>
        <w:t>Development</w:t>
      </w:r>
      <w:r w:rsidRPr="00DD4AB8">
        <w:rPr>
          <w:sz w:val="24"/>
          <w:szCs w:val="24"/>
        </w:rPr>
        <w:t xml:space="preserve">” section above. These concepts will be further explored in </w:t>
      </w:r>
      <w:r w:rsidR="00430412" w:rsidRPr="00DD4AB8">
        <w:rPr>
          <w:sz w:val="24"/>
          <w:szCs w:val="24"/>
        </w:rPr>
        <w:t xml:space="preserve">this </w:t>
      </w:r>
      <w:r w:rsidR="00EB2C2C">
        <w:rPr>
          <w:sz w:val="24"/>
          <w:szCs w:val="24"/>
        </w:rPr>
        <w:t>inquiry</w:t>
      </w:r>
      <w:r w:rsidRPr="00DD4AB8">
        <w:rPr>
          <w:sz w:val="24"/>
          <w:szCs w:val="24"/>
        </w:rPr>
        <w:t xml:space="preserve">. </w:t>
      </w:r>
    </w:p>
    <w:p w:rsidR="002C35AD" w:rsidRPr="00CC3C06" w:rsidRDefault="00A24BEA" w:rsidP="001075FC">
      <w:pPr>
        <w:pStyle w:val="Heading1"/>
      </w:pPr>
      <w:bookmarkStart w:id="37" w:name="_Toc411341384"/>
      <w:bookmarkStart w:id="38" w:name="_Toc424039095"/>
      <w:r w:rsidRPr="00CC3C06">
        <w:t>Prudence Standards</w:t>
      </w:r>
      <w:r w:rsidR="001455FA" w:rsidRPr="00CC3C06">
        <w:t xml:space="preserve"> </w:t>
      </w:r>
      <w:r w:rsidR="00196AD2">
        <w:t>and</w:t>
      </w:r>
      <w:r w:rsidR="001455FA" w:rsidRPr="00CC3C06">
        <w:t xml:space="preserve"> Reporting Needs</w:t>
      </w:r>
      <w:bookmarkEnd w:id="37"/>
      <w:bookmarkEnd w:id="38"/>
    </w:p>
    <w:p w:rsidR="00EB53BB" w:rsidRPr="00DD4AB8" w:rsidRDefault="00A24BEA" w:rsidP="00DD4AB8">
      <w:pPr>
        <w:rPr>
          <w:rFonts w:cs="Times New Roman"/>
          <w:sz w:val="24"/>
          <w:szCs w:val="24"/>
        </w:rPr>
      </w:pPr>
      <w:r w:rsidRPr="00DD4AB8">
        <w:rPr>
          <w:rFonts w:cs="Times New Roman"/>
          <w:sz w:val="24"/>
          <w:szCs w:val="24"/>
        </w:rPr>
        <w:t xml:space="preserve">Again, prudence standards might </w:t>
      </w:r>
      <w:r w:rsidR="006F24DA">
        <w:rPr>
          <w:rFonts w:cs="Times New Roman"/>
          <w:sz w:val="24"/>
          <w:szCs w:val="24"/>
        </w:rPr>
        <w:t>apply to</w:t>
      </w:r>
      <w:r w:rsidR="006F24DA" w:rsidRPr="00DD4AB8">
        <w:rPr>
          <w:rFonts w:cs="Times New Roman"/>
          <w:sz w:val="24"/>
          <w:szCs w:val="24"/>
        </w:rPr>
        <w:t xml:space="preserve"> </w:t>
      </w:r>
      <w:r w:rsidRPr="00DD4AB8">
        <w:rPr>
          <w:rFonts w:cs="Times New Roman"/>
          <w:sz w:val="24"/>
          <w:szCs w:val="24"/>
        </w:rPr>
        <w:t xml:space="preserve">two </w:t>
      </w:r>
      <w:r w:rsidR="006F24DA">
        <w:rPr>
          <w:rFonts w:cs="Times New Roman"/>
          <w:sz w:val="24"/>
          <w:szCs w:val="24"/>
        </w:rPr>
        <w:t>elements</w:t>
      </w:r>
      <w:r w:rsidRPr="00DD4AB8">
        <w:rPr>
          <w:rFonts w:cs="Times New Roman"/>
          <w:sz w:val="24"/>
          <w:szCs w:val="24"/>
        </w:rPr>
        <w:t xml:space="preserve">: strategy formulation and </w:t>
      </w:r>
      <w:r w:rsidR="00EC4D92" w:rsidRPr="00DD4AB8">
        <w:rPr>
          <w:rFonts w:cs="Times New Roman"/>
          <w:sz w:val="24"/>
          <w:szCs w:val="24"/>
        </w:rPr>
        <w:t xml:space="preserve">then </w:t>
      </w:r>
      <w:r w:rsidRPr="00DD4AB8">
        <w:rPr>
          <w:rFonts w:cs="Times New Roman"/>
          <w:sz w:val="24"/>
          <w:szCs w:val="24"/>
        </w:rPr>
        <w:t xml:space="preserve">execution, </w:t>
      </w:r>
      <w:r w:rsidR="00DD4AB8">
        <w:rPr>
          <w:rFonts w:cs="Times New Roman"/>
          <w:sz w:val="24"/>
          <w:szCs w:val="24"/>
        </w:rPr>
        <w:t>whereas</w:t>
      </w:r>
      <w:r w:rsidRPr="00DD4AB8">
        <w:rPr>
          <w:rFonts w:cs="Times New Roman"/>
          <w:sz w:val="24"/>
          <w:szCs w:val="24"/>
        </w:rPr>
        <w:t xml:space="preserve"> </w:t>
      </w:r>
      <w:r w:rsidR="006F24DA">
        <w:rPr>
          <w:rFonts w:cs="Times New Roman"/>
          <w:sz w:val="24"/>
          <w:szCs w:val="24"/>
        </w:rPr>
        <w:t>regulatory review</w:t>
      </w:r>
      <w:r w:rsidR="006F24DA" w:rsidRPr="00DD4AB8">
        <w:rPr>
          <w:rFonts w:cs="Times New Roman"/>
          <w:sz w:val="24"/>
          <w:szCs w:val="24"/>
        </w:rPr>
        <w:t xml:space="preserve"> </w:t>
      </w:r>
      <w:r w:rsidRPr="00DD4AB8">
        <w:rPr>
          <w:rFonts w:cs="Times New Roman"/>
          <w:sz w:val="24"/>
          <w:szCs w:val="24"/>
        </w:rPr>
        <w:t>could be incorporated in</w:t>
      </w:r>
      <w:r w:rsidR="00DD6538">
        <w:rPr>
          <w:rFonts w:cs="Times New Roman"/>
          <w:sz w:val="24"/>
          <w:szCs w:val="24"/>
        </w:rPr>
        <w:t>to</w:t>
      </w:r>
      <w:r w:rsidRPr="008F22A4">
        <w:rPr>
          <w:rFonts w:cs="Times New Roman"/>
          <w:sz w:val="24"/>
          <w:szCs w:val="24"/>
        </w:rPr>
        <w:t xml:space="preserve"> annual </w:t>
      </w:r>
      <w:r w:rsidR="00430412" w:rsidRPr="008F22A4">
        <w:rPr>
          <w:rFonts w:cs="Times New Roman"/>
          <w:sz w:val="24"/>
          <w:szCs w:val="24"/>
        </w:rPr>
        <w:t xml:space="preserve">natural </w:t>
      </w:r>
      <w:r w:rsidRPr="008F22A4">
        <w:rPr>
          <w:rFonts w:cs="Times New Roman"/>
          <w:sz w:val="24"/>
          <w:szCs w:val="24"/>
        </w:rPr>
        <w:t>gas</w:t>
      </w:r>
      <w:r w:rsidR="00430412" w:rsidRPr="008F22A4">
        <w:rPr>
          <w:rFonts w:cs="Times New Roman"/>
          <w:sz w:val="24"/>
          <w:szCs w:val="24"/>
        </w:rPr>
        <w:t xml:space="preserve"> </w:t>
      </w:r>
      <w:r w:rsidRPr="008F22A4">
        <w:rPr>
          <w:rFonts w:cs="Times New Roman"/>
          <w:sz w:val="24"/>
          <w:szCs w:val="24"/>
        </w:rPr>
        <w:t>cost</w:t>
      </w:r>
      <w:r w:rsidR="00430412" w:rsidRPr="008F22A4">
        <w:rPr>
          <w:rFonts w:cs="Times New Roman"/>
          <w:sz w:val="24"/>
          <w:szCs w:val="24"/>
        </w:rPr>
        <w:t xml:space="preserve"> </w:t>
      </w:r>
      <w:r w:rsidRPr="008F22A4">
        <w:rPr>
          <w:rFonts w:cs="Times New Roman"/>
          <w:sz w:val="24"/>
          <w:szCs w:val="24"/>
        </w:rPr>
        <w:t>recovery filings</w:t>
      </w:r>
      <w:r w:rsidR="00C5122E" w:rsidRPr="008F22A4">
        <w:rPr>
          <w:rFonts w:cs="Times New Roman"/>
          <w:sz w:val="24"/>
          <w:szCs w:val="24"/>
        </w:rPr>
        <w:t xml:space="preserve">, or if </w:t>
      </w:r>
      <w:r w:rsidR="00D86EEE">
        <w:rPr>
          <w:rFonts w:cs="Times New Roman"/>
          <w:sz w:val="24"/>
          <w:szCs w:val="24"/>
        </w:rPr>
        <w:t>needed</w:t>
      </w:r>
      <w:r w:rsidR="00C5122E" w:rsidRPr="00DD4AB8">
        <w:rPr>
          <w:rFonts w:cs="Times New Roman"/>
          <w:sz w:val="24"/>
          <w:szCs w:val="24"/>
        </w:rPr>
        <w:t>, in a separate process</w:t>
      </w:r>
      <w:r w:rsidRPr="00DD4AB8">
        <w:rPr>
          <w:rFonts w:cs="Times New Roman"/>
          <w:sz w:val="24"/>
          <w:szCs w:val="24"/>
        </w:rPr>
        <w:t xml:space="preserve">. </w:t>
      </w:r>
      <w:r w:rsidR="00F509DD" w:rsidRPr="00DD4AB8">
        <w:rPr>
          <w:rFonts w:cs="Times New Roman"/>
          <w:sz w:val="24"/>
          <w:szCs w:val="24"/>
        </w:rPr>
        <w:t>Importantly</w:t>
      </w:r>
      <w:r w:rsidR="00EB53BB" w:rsidRPr="00DD4AB8">
        <w:rPr>
          <w:rFonts w:cs="Times New Roman"/>
          <w:sz w:val="24"/>
          <w:szCs w:val="24"/>
        </w:rPr>
        <w:t xml:space="preserve">, such standards </w:t>
      </w:r>
      <w:r w:rsidR="00133A7B">
        <w:rPr>
          <w:rFonts w:cs="Times New Roman"/>
          <w:sz w:val="24"/>
          <w:szCs w:val="24"/>
        </w:rPr>
        <w:t>can</w:t>
      </w:r>
      <w:r w:rsidR="00133A7B" w:rsidRPr="00DD4AB8">
        <w:rPr>
          <w:rFonts w:cs="Times New Roman"/>
          <w:sz w:val="24"/>
          <w:szCs w:val="24"/>
        </w:rPr>
        <w:t>not</w:t>
      </w:r>
      <w:r w:rsidR="00EB53BB" w:rsidRPr="00DD4AB8">
        <w:rPr>
          <w:rFonts w:cs="Times New Roman"/>
          <w:sz w:val="24"/>
          <w:szCs w:val="24"/>
        </w:rPr>
        <w:t xml:space="preserve"> include arbitrary judgments of retrospective results</w:t>
      </w:r>
      <w:r w:rsidR="00133A7B">
        <w:rPr>
          <w:rFonts w:cs="Times New Roman"/>
          <w:sz w:val="24"/>
          <w:szCs w:val="24"/>
        </w:rPr>
        <w:t xml:space="preserve"> since c</w:t>
      </w:r>
      <w:r w:rsidR="00EB53BB" w:rsidRPr="00DD4AB8">
        <w:rPr>
          <w:rFonts w:cs="Times New Roman"/>
          <w:sz w:val="24"/>
          <w:szCs w:val="24"/>
        </w:rPr>
        <w:t xml:space="preserve">ost increases or hedge losses are probable outcomes of any hedging program. </w:t>
      </w:r>
      <w:r w:rsidR="00133A7B">
        <w:rPr>
          <w:rFonts w:cs="Times New Roman"/>
          <w:sz w:val="24"/>
          <w:szCs w:val="24"/>
        </w:rPr>
        <w:t xml:space="preserve">Instead, prudence standards should be developed for both strategy formulation and </w:t>
      </w:r>
      <w:r w:rsidR="005E628D">
        <w:rPr>
          <w:rFonts w:cs="Times New Roman"/>
          <w:sz w:val="24"/>
          <w:szCs w:val="24"/>
        </w:rPr>
        <w:t>execution</w:t>
      </w:r>
      <w:r w:rsidR="00133A7B">
        <w:rPr>
          <w:rFonts w:cs="Times New Roman"/>
          <w:sz w:val="24"/>
          <w:szCs w:val="24"/>
        </w:rPr>
        <w:t xml:space="preserve"> from which company actions and decisions can be assessed</w:t>
      </w:r>
    </w:p>
    <w:p w:rsidR="005F51C4" w:rsidRPr="00655027" w:rsidRDefault="008C6EBF" w:rsidP="00DD4AB8">
      <w:pPr>
        <w:rPr>
          <w:rFonts w:cs="Times New Roman"/>
          <w:sz w:val="24"/>
          <w:szCs w:val="24"/>
        </w:rPr>
      </w:pPr>
      <w:r w:rsidRPr="00DD4AB8">
        <w:rPr>
          <w:rFonts w:cs="Times New Roman"/>
          <w:b/>
          <w:sz w:val="24"/>
          <w:szCs w:val="24"/>
        </w:rPr>
        <w:t xml:space="preserve">Prudence of </w:t>
      </w:r>
      <w:r w:rsidR="00DE362D" w:rsidRPr="00DD4AB8">
        <w:rPr>
          <w:rFonts w:cs="Times New Roman"/>
          <w:b/>
          <w:sz w:val="24"/>
          <w:szCs w:val="24"/>
        </w:rPr>
        <w:t>Strategy</w:t>
      </w:r>
      <w:r w:rsidRPr="00DD4AB8">
        <w:rPr>
          <w:rFonts w:cs="Times New Roman"/>
          <w:b/>
          <w:sz w:val="24"/>
          <w:szCs w:val="24"/>
        </w:rPr>
        <w:t xml:space="preserve"> Formulation</w:t>
      </w:r>
      <w:r w:rsidR="00DE362D" w:rsidRPr="00DD4AB8">
        <w:rPr>
          <w:rFonts w:cs="Times New Roman"/>
          <w:b/>
          <w:sz w:val="24"/>
          <w:szCs w:val="24"/>
        </w:rPr>
        <w:t>:</w:t>
      </w:r>
      <w:r w:rsidR="00DE362D" w:rsidRPr="00DD4AB8">
        <w:rPr>
          <w:rFonts w:cs="Times New Roman"/>
          <w:sz w:val="24"/>
          <w:szCs w:val="24"/>
        </w:rPr>
        <w:t xml:space="preserve">  P</w:t>
      </w:r>
      <w:r w:rsidR="00EB53BB" w:rsidRPr="00DD4AB8">
        <w:rPr>
          <w:rFonts w:cs="Times New Roman"/>
          <w:sz w:val="24"/>
          <w:szCs w:val="24"/>
        </w:rPr>
        <w:t xml:space="preserve">rudence with respect to strategy formulation would </w:t>
      </w:r>
      <w:r w:rsidR="007971EF" w:rsidRPr="00DD4AB8">
        <w:rPr>
          <w:rFonts w:cs="Times New Roman"/>
          <w:sz w:val="24"/>
          <w:szCs w:val="24"/>
        </w:rPr>
        <w:t>be assessed by assuming that the coming risk environment could exhibit historically high volatility.</w:t>
      </w:r>
      <w:r w:rsidR="007971EF" w:rsidRPr="00655027">
        <w:rPr>
          <w:rStyle w:val="FootnoteReference"/>
          <w:rFonts w:ascii="Times New Roman" w:hAnsi="Times New Roman" w:cs="Times New Roman"/>
          <w:sz w:val="24"/>
          <w:szCs w:val="24"/>
        </w:rPr>
        <w:footnoteReference w:id="20"/>
      </w:r>
      <w:r w:rsidR="007971EF" w:rsidRPr="00655027">
        <w:rPr>
          <w:rFonts w:cs="Times New Roman"/>
          <w:sz w:val="24"/>
          <w:szCs w:val="24"/>
        </w:rPr>
        <w:t xml:space="preserve"> Then</w:t>
      </w:r>
      <w:r w:rsidR="00F509DD" w:rsidRPr="00655027">
        <w:rPr>
          <w:rFonts w:cs="Times New Roman"/>
          <w:sz w:val="24"/>
          <w:szCs w:val="24"/>
        </w:rPr>
        <w:t>,</w:t>
      </w:r>
      <w:r w:rsidR="007971EF" w:rsidRPr="00655027">
        <w:rPr>
          <w:rFonts w:cs="Times New Roman"/>
          <w:sz w:val="24"/>
          <w:szCs w:val="24"/>
        </w:rPr>
        <w:t xml:space="preserve"> the prospective </w:t>
      </w:r>
      <w:r w:rsidR="00EB53BB" w:rsidRPr="00655027">
        <w:rPr>
          <w:rFonts w:cs="Times New Roman"/>
          <w:sz w:val="24"/>
          <w:szCs w:val="24"/>
        </w:rPr>
        <w:t xml:space="preserve">cost outcomes and hedge losses that the strategy would produce in </w:t>
      </w:r>
      <w:r w:rsidR="007971EF" w:rsidRPr="00655027">
        <w:rPr>
          <w:rFonts w:cs="Times New Roman"/>
          <w:sz w:val="24"/>
          <w:szCs w:val="24"/>
        </w:rPr>
        <w:t>statistically high</w:t>
      </w:r>
      <w:r w:rsidR="00EB53BB" w:rsidRPr="00655027">
        <w:rPr>
          <w:rFonts w:cs="Times New Roman"/>
          <w:sz w:val="24"/>
          <w:szCs w:val="24"/>
        </w:rPr>
        <w:t xml:space="preserve"> upward-price markets and </w:t>
      </w:r>
      <w:r w:rsidR="00D62268" w:rsidRPr="00655027">
        <w:rPr>
          <w:rFonts w:cs="Times New Roman"/>
          <w:sz w:val="24"/>
          <w:szCs w:val="24"/>
        </w:rPr>
        <w:t xml:space="preserve">respective </w:t>
      </w:r>
      <w:r w:rsidR="00EB53BB" w:rsidRPr="00655027">
        <w:rPr>
          <w:rFonts w:cs="Times New Roman"/>
          <w:sz w:val="24"/>
          <w:szCs w:val="24"/>
        </w:rPr>
        <w:t xml:space="preserve">downward-price markets </w:t>
      </w:r>
      <w:r w:rsidR="007971EF" w:rsidRPr="00655027">
        <w:rPr>
          <w:rFonts w:cs="Times New Roman"/>
          <w:sz w:val="24"/>
          <w:szCs w:val="24"/>
        </w:rPr>
        <w:t>could be assessed against a fixed-hedge-ratio benchmark</w:t>
      </w:r>
      <w:r w:rsidR="00EB53BB" w:rsidRPr="00655027">
        <w:rPr>
          <w:rFonts w:cs="Times New Roman"/>
          <w:sz w:val="24"/>
          <w:szCs w:val="24"/>
        </w:rPr>
        <w:t xml:space="preserve">.  </w:t>
      </w:r>
    </w:p>
    <w:p w:rsidR="00384865" w:rsidRDefault="005F51C4" w:rsidP="00DD4AB8">
      <w:r w:rsidRPr="00655027">
        <w:rPr>
          <w:rFonts w:cs="Times New Roman"/>
          <w:sz w:val="24"/>
          <w:szCs w:val="24"/>
        </w:rPr>
        <w:t xml:space="preserve">To illustrate, Figure </w:t>
      </w:r>
      <w:r w:rsidR="00E809DB" w:rsidRPr="00655027">
        <w:rPr>
          <w:rFonts w:cs="Times New Roman"/>
          <w:sz w:val="24"/>
          <w:szCs w:val="24"/>
        </w:rPr>
        <w:t xml:space="preserve">8 </w:t>
      </w:r>
      <w:r w:rsidRPr="00655027">
        <w:rPr>
          <w:rFonts w:cs="Times New Roman"/>
          <w:sz w:val="24"/>
          <w:szCs w:val="24"/>
        </w:rPr>
        <w:t>shows how the simulated strategy discussed earlier would look against a 65</w:t>
      </w:r>
      <w:r w:rsidR="00430412" w:rsidRPr="00655027">
        <w:rPr>
          <w:rFonts w:cs="Times New Roman"/>
          <w:sz w:val="24"/>
          <w:szCs w:val="24"/>
        </w:rPr>
        <w:t xml:space="preserve"> percent</w:t>
      </w:r>
      <w:r w:rsidRPr="00655027">
        <w:rPr>
          <w:rFonts w:cs="Times New Roman"/>
          <w:sz w:val="24"/>
          <w:szCs w:val="24"/>
        </w:rPr>
        <w:t xml:space="preserve"> f</w:t>
      </w:r>
      <w:r w:rsidR="00986F60" w:rsidRPr="00655027">
        <w:rPr>
          <w:rFonts w:cs="Times New Roman"/>
          <w:sz w:val="24"/>
          <w:szCs w:val="24"/>
        </w:rPr>
        <w:t>ixed</w:t>
      </w:r>
      <w:r w:rsidR="00430412" w:rsidRPr="00655027">
        <w:rPr>
          <w:rFonts w:cs="Times New Roman"/>
          <w:sz w:val="24"/>
          <w:szCs w:val="24"/>
        </w:rPr>
        <w:t xml:space="preserve"> </w:t>
      </w:r>
      <w:r w:rsidR="00986F60" w:rsidRPr="00655027">
        <w:rPr>
          <w:rFonts w:cs="Times New Roman"/>
          <w:sz w:val="24"/>
          <w:szCs w:val="24"/>
        </w:rPr>
        <w:t>hedge</w:t>
      </w:r>
      <w:r w:rsidR="00430412" w:rsidRPr="00655027">
        <w:rPr>
          <w:rFonts w:cs="Times New Roman"/>
          <w:sz w:val="24"/>
          <w:szCs w:val="24"/>
        </w:rPr>
        <w:t xml:space="preserve"> </w:t>
      </w:r>
      <w:r w:rsidR="00986F60" w:rsidRPr="00655027">
        <w:rPr>
          <w:rFonts w:cs="Times New Roman"/>
          <w:sz w:val="24"/>
          <w:szCs w:val="24"/>
        </w:rPr>
        <w:t xml:space="preserve">ratio benchmark </w:t>
      </w:r>
      <w:r w:rsidRPr="00655027">
        <w:rPr>
          <w:rFonts w:cs="Times New Roman"/>
          <w:sz w:val="24"/>
          <w:szCs w:val="24"/>
        </w:rPr>
        <w:t>as a</w:t>
      </w:r>
      <w:r w:rsidR="00986F60" w:rsidRPr="00655027">
        <w:rPr>
          <w:rFonts w:cs="Times New Roman"/>
          <w:sz w:val="24"/>
          <w:szCs w:val="24"/>
        </w:rPr>
        <w:t xml:space="preserve"> </w:t>
      </w:r>
      <w:r w:rsidRPr="00655027">
        <w:rPr>
          <w:rFonts w:cs="Times New Roman"/>
          <w:sz w:val="24"/>
          <w:szCs w:val="24"/>
        </w:rPr>
        <w:t xml:space="preserve">reference.  </w:t>
      </w:r>
    </w:p>
    <w:p w:rsidR="00384865" w:rsidRPr="00D62268" w:rsidRDefault="00384865" w:rsidP="00384865">
      <w:pPr>
        <w:keepNext/>
        <w:keepLines/>
        <w:pBdr>
          <w:top w:val="single" w:sz="4" w:space="1" w:color="auto"/>
        </w:pBdr>
        <w:spacing w:after="120"/>
        <w:jc w:val="both"/>
        <w:rPr>
          <w:b/>
          <w:sz w:val="20"/>
          <w:u w:val="single"/>
        </w:rPr>
      </w:pPr>
      <w:r w:rsidRPr="00D62268">
        <w:rPr>
          <w:b/>
          <w:sz w:val="20"/>
          <w:u w:val="single"/>
        </w:rPr>
        <w:t xml:space="preserve">Figure </w:t>
      </w:r>
      <w:r w:rsidR="00E809DB">
        <w:rPr>
          <w:b/>
          <w:sz w:val="20"/>
          <w:u w:val="single"/>
        </w:rPr>
        <w:t>8</w:t>
      </w:r>
      <w:r>
        <w:rPr>
          <w:b/>
          <w:sz w:val="20"/>
          <w:u w:val="single"/>
        </w:rPr>
        <w:t>,</w:t>
      </w:r>
      <w:r w:rsidRPr="00D62268">
        <w:rPr>
          <w:b/>
          <w:sz w:val="20"/>
          <w:u w:val="single"/>
        </w:rPr>
        <w:t xml:space="preserve"> Illustrative Strategy Assessment</w:t>
      </w:r>
    </w:p>
    <w:p w:rsidR="00384865" w:rsidRDefault="00E809DB" w:rsidP="00384865">
      <w:pPr>
        <w:pBdr>
          <w:bottom w:val="single" w:sz="4" w:space="1" w:color="auto"/>
        </w:pBdr>
        <w:jc w:val="center"/>
      </w:pPr>
      <w:r>
        <w:rPr>
          <w:noProof/>
        </w:rPr>
        <w:drawing>
          <wp:inline distT="0" distB="0" distL="0" distR="0" wp14:anchorId="4B14C377" wp14:editId="769B8205">
            <wp:extent cx="4114800" cy="345643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0" cy="3456432"/>
                    </a:xfrm>
                    <a:prstGeom prst="rect">
                      <a:avLst/>
                    </a:prstGeom>
                    <a:noFill/>
                  </pic:spPr>
                </pic:pic>
              </a:graphicData>
            </a:graphic>
          </wp:inline>
        </w:drawing>
      </w:r>
    </w:p>
    <w:p w:rsidR="00384865" w:rsidRPr="00655027" w:rsidRDefault="005F51C4" w:rsidP="00655027">
      <w:pPr>
        <w:rPr>
          <w:rFonts w:cs="Times New Roman"/>
          <w:sz w:val="24"/>
          <w:szCs w:val="24"/>
        </w:rPr>
      </w:pPr>
      <w:r w:rsidRPr="00655027">
        <w:rPr>
          <w:rFonts w:cs="Times New Roman"/>
          <w:sz w:val="24"/>
          <w:szCs w:val="24"/>
        </w:rPr>
        <w:t>The points on each</w:t>
      </w:r>
      <w:r w:rsidR="00706F01" w:rsidRPr="00655027">
        <w:rPr>
          <w:rFonts w:cs="Times New Roman"/>
          <w:sz w:val="24"/>
          <w:szCs w:val="24"/>
        </w:rPr>
        <w:t xml:space="preserve"> triangle </w:t>
      </w:r>
      <w:r w:rsidR="00384865" w:rsidRPr="00655027">
        <w:rPr>
          <w:rFonts w:cs="Times New Roman"/>
          <w:sz w:val="24"/>
          <w:szCs w:val="24"/>
        </w:rPr>
        <w:t xml:space="preserve">in Figure </w:t>
      </w:r>
      <w:r w:rsidR="00E809DB" w:rsidRPr="00655027">
        <w:rPr>
          <w:rFonts w:cs="Times New Roman"/>
          <w:sz w:val="24"/>
          <w:szCs w:val="24"/>
        </w:rPr>
        <w:t xml:space="preserve">8 </w:t>
      </w:r>
      <w:r w:rsidR="00706F01" w:rsidRPr="00655027">
        <w:rPr>
          <w:rFonts w:cs="Times New Roman"/>
          <w:sz w:val="24"/>
          <w:szCs w:val="24"/>
        </w:rPr>
        <w:t xml:space="preserve">are drawn from </w:t>
      </w:r>
      <w:r w:rsidRPr="00655027">
        <w:rPr>
          <w:rFonts w:cs="Times New Roman"/>
          <w:sz w:val="24"/>
          <w:szCs w:val="24"/>
        </w:rPr>
        <w:t xml:space="preserve">the most extreme </w:t>
      </w:r>
      <w:r w:rsidR="00706F01" w:rsidRPr="00655027">
        <w:rPr>
          <w:rFonts w:cs="Times New Roman"/>
          <w:sz w:val="24"/>
          <w:szCs w:val="24"/>
        </w:rPr>
        <w:t>environments of the last decade. Recall that at market extremes, following Katrina and the price collapse of 2008, the risk</w:t>
      </w:r>
      <w:r w:rsidR="006558ED" w:rsidRPr="00655027">
        <w:rPr>
          <w:rFonts w:cs="Times New Roman"/>
          <w:sz w:val="24"/>
          <w:szCs w:val="24"/>
        </w:rPr>
        <w:t>-</w:t>
      </w:r>
      <w:r w:rsidR="00706F01" w:rsidRPr="00655027">
        <w:rPr>
          <w:rFonts w:cs="Times New Roman"/>
          <w:sz w:val="24"/>
          <w:szCs w:val="24"/>
        </w:rPr>
        <w:t>responsive strategy provided 35</w:t>
      </w:r>
      <w:r w:rsidR="00430412" w:rsidRPr="00655027">
        <w:rPr>
          <w:rFonts w:cs="Times New Roman"/>
          <w:sz w:val="24"/>
          <w:szCs w:val="24"/>
        </w:rPr>
        <w:t xml:space="preserve"> percent</w:t>
      </w:r>
      <w:r w:rsidR="00706F01" w:rsidRPr="00655027">
        <w:rPr>
          <w:rFonts w:cs="Times New Roman"/>
          <w:sz w:val="24"/>
          <w:szCs w:val="24"/>
        </w:rPr>
        <w:t xml:space="preserve"> more cost mitigation while constraining worst</w:t>
      </w:r>
      <w:r w:rsidR="006558ED" w:rsidRPr="00655027">
        <w:rPr>
          <w:rFonts w:cs="Times New Roman"/>
          <w:sz w:val="24"/>
          <w:szCs w:val="24"/>
        </w:rPr>
        <w:t>-</w:t>
      </w:r>
      <w:r w:rsidR="00706F01" w:rsidRPr="00655027">
        <w:rPr>
          <w:rFonts w:cs="Times New Roman"/>
          <w:sz w:val="24"/>
          <w:szCs w:val="24"/>
        </w:rPr>
        <w:t>case losses to 50</w:t>
      </w:r>
      <w:r w:rsidR="00430412" w:rsidRPr="00655027">
        <w:rPr>
          <w:rFonts w:cs="Times New Roman"/>
          <w:sz w:val="24"/>
          <w:szCs w:val="24"/>
        </w:rPr>
        <w:t xml:space="preserve"> percent</w:t>
      </w:r>
      <w:r w:rsidR="00706F01" w:rsidRPr="00655027">
        <w:rPr>
          <w:rFonts w:cs="Times New Roman"/>
          <w:sz w:val="24"/>
          <w:szCs w:val="24"/>
        </w:rPr>
        <w:t xml:space="preserve"> of the fixed-ratio strategy</w:t>
      </w:r>
      <w:r w:rsidR="00F20F81">
        <w:rPr>
          <w:rFonts w:cs="Times New Roman"/>
          <w:sz w:val="24"/>
          <w:szCs w:val="24"/>
        </w:rPr>
        <w:t>. T</w:t>
      </w:r>
      <w:r w:rsidR="00384865" w:rsidRPr="00655027">
        <w:rPr>
          <w:rFonts w:cs="Times New Roman"/>
          <w:sz w:val="24"/>
          <w:szCs w:val="24"/>
        </w:rPr>
        <w:t>he triangular graphic highlights that distinction</w:t>
      </w:r>
      <w:r w:rsidR="00706F01" w:rsidRPr="00655027">
        <w:rPr>
          <w:rFonts w:cs="Times New Roman"/>
          <w:sz w:val="24"/>
          <w:szCs w:val="24"/>
        </w:rPr>
        <w:t>.</w:t>
      </w:r>
      <w:r w:rsidR="00986F60" w:rsidRPr="00655027">
        <w:rPr>
          <w:rFonts w:cs="Times New Roman"/>
          <w:sz w:val="24"/>
          <w:szCs w:val="24"/>
        </w:rPr>
        <w:t xml:space="preserve"> </w:t>
      </w:r>
      <w:r w:rsidR="00706F01" w:rsidRPr="00655027">
        <w:rPr>
          <w:rFonts w:cs="Times New Roman"/>
          <w:sz w:val="24"/>
          <w:szCs w:val="24"/>
        </w:rPr>
        <w:t xml:space="preserve"> </w:t>
      </w:r>
    </w:p>
    <w:p w:rsidR="008C6EBF" w:rsidRPr="00655027" w:rsidRDefault="008C6EBF" w:rsidP="00655027">
      <w:pPr>
        <w:rPr>
          <w:rFonts w:cs="Times New Roman"/>
          <w:sz w:val="24"/>
          <w:szCs w:val="24"/>
        </w:rPr>
      </w:pPr>
      <w:r w:rsidRPr="00655027">
        <w:rPr>
          <w:rFonts w:cs="Times New Roman"/>
          <w:sz w:val="24"/>
          <w:szCs w:val="24"/>
        </w:rPr>
        <w:t xml:space="preserve">It </w:t>
      </w:r>
      <w:r w:rsidR="006A30AB" w:rsidRPr="00655027">
        <w:rPr>
          <w:rFonts w:cs="Times New Roman"/>
          <w:sz w:val="24"/>
          <w:szCs w:val="24"/>
        </w:rPr>
        <w:t xml:space="preserve">quickly </w:t>
      </w:r>
      <w:r w:rsidRPr="00655027">
        <w:rPr>
          <w:rFonts w:cs="Times New Roman"/>
          <w:sz w:val="24"/>
          <w:szCs w:val="24"/>
        </w:rPr>
        <w:t>becomes apparent that simply mandating a representation of strategy outcomes should cause most companies to abandon a lock</w:t>
      </w:r>
      <w:r w:rsidRPr="00655027">
        <w:rPr>
          <w:rFonts w:cs="Times New Roman"/>
          <w:sz w:val="24"/>
          <w:szCs w:val="24"/>
        </w:rPr>
        <w:noBreakHyphen/>
        <w:t>and</w:t>
      </w:r>
      <w:r w:rsidRPr="00655027">
        <w:rPr>
          <w:rFonts w:cs="Times New Roman"/>
          <w:sz w:val="24"/>
          <w:szCs w:val="24"/>
        </w:rPr>
        <w:noBreakHyphen/>
        <w:t>leave, fixed-ratio approach.</w:t>
      </w:r>
      <w:r w:rsidR="00384865" w:rsidRPr="00655027">
        <w:rPr>
          <w:rFonts w:cs="Times New Roman"/>
          <w:sz w:val="24"/>
          <w:szCs w:val="24"/>
        </w:rPr>
        <w:t xml:space="preserve"> Consider Figure </w:t>
      </w:r>
      <w:r w:rsidR="002B09FD" w:rsidRPr="00655027">
        <w:rPr>
          <w:rFonts w:cs="Times New Roman"/>
          <w:sz w:val="24"/>
          <w:szCs w:val="24"/>
        </w:rPr>
        <w:t xml:space="preserve">8A </w:t>
      </w:r>
      <w:r w:rsidR="00655027">
        <w:rPr>
          <w:rFonts w:cs="Times New Roman"/>
          <w:sz w:val="24"/>
          <w:szCs w:val="24"/>
        </w:rPr>
        <w:t xml:space="preserve">below </w:t>
      </w:r>
      <w:r w:rsidR="00384865" w:rsidRPr="00655027">
        <w:rPr>
          <w:rFonts w:cs="Times New Roman"/>
          <w:sz w:val="24"/>
          <w:szCs w:val="24"/>
        </w:rPr>
        <w:t>which contrasts two hypothetical company submittals. Company #1 submits a plan calling for a 65</w:t>
      </w:r>
      <w:r w:rsidR="00430412" w:rsidRPr="00655027">
        <w:rPr>
          <w:rFonts w:cs="Times New Roman"/>
          <w:sz w:val="24"/>
          <w:szCs w:val="24"/>
        </w:rPr>
        <w:t xml:space="preserve"> percent</w:t>
      </w:r>
      <w:r w:rsidR="00384865" w:rsidRPr="00655027">
        <w:rPr>
          <w:rFonts w:cs="Times New Roman"/>
          <w:sz w:val="24"/>
          <w:szCs w:val="24"/>
        </w:rPr>
        <w:t xml:space="preserve"> programmatic-onl</w:t>
      </w:r>
      <w:r w:rsidR="00CC3C06" w:rsidRPr="00655027">
        <w:rPr>
          <w:rFonts w:cs="Times New Roman"/>
          <w:sz w:val="24"/>
          <w:szCs w:val="24"/>
        </w:rPr>
        <w:t>y hedge strategy, while C</w:t>
      </w:r>
      <w:r w:rsidR="00384865" w:rsidRPr="00655027">
        <w:rPr>
          <w:rFonts w:cs="Times New Roman"/>
          <w:sz w:val="24"/>
          <w:szCs w:val="24"/>
        </w:rPr>
        <w:t>ompany #2 submits the simulated strategy</w:t>
      </w:r>
      <w:r w:rsidR="009B2D56" w:rsidRPr="00655027">
        <w:rPr>
          <w:rFonts w:cs="Times New Roman"/>
          <w:sz w:val="24"/>
          <w:szCs w:val="24"/>
        </w:rPr>
        <w:t xml:space="preserve"> enhanced by some options expenditures. To create some </w:t>
      </w:r>
      <w:r w:rsidR="00CC3344" w:rsidRPr="00655027">
        <w:rPr>
          <w:rFonts w:cs="Times New Roman"/>
          <w:sz w:val="24"/>
          <w:szCs w:val="24"/>
        </w:rPr>
        <w:t>improvement</w:t>
      </w:r>
      <w:r w:rsidR="009B2D56" w:rsidRPr="00655027">
        <w:rPr>
          <w:rFonts w:cs="Times New Roman"/>
          <w:sz w:val="24"/>
          <w:szCs w:val="24"/>
        </w:rPr>
        <w:t xml:space="preserve"> from the reference, the programmatic strategy also has been</w:t>
      </w:r>
      <w:r w:rsidR="00384865" w:rsidRPr="00655027">
        <w:rPr>
          <w:rFonts w:cs="Times New Roman"/>
          <w:sz w:val="24"/>
          <w:szCs w:val="24"/>
        </w:rPr>
        <w:t xml:space="preserve"> enhanced with modest options expenditures.</w:t>
      </w:r>
      <w:r w:rsidR="009B2D56" w:rsidRPr="00655027">
        <w:rPr>
          <w:rFonts w:cs="Times New Roman"/>
          <w:sz w:val="24"/>
          <w:szCs w:val="24"/>
        </w:rPr>
        <w:t xml:space="preserve"> The regulatory view of Company #2’s strategy would likely be meritorious</w:t>
      </w:r>
      <w:r w:rsidR="00430412" w:rsidRPr="00655027">
        <w:rPr>
          <w:rFonts w:cs="Times New Roman"/>
          <w:sz w:val="24"/>
          <w:szCs w:val="24"/>
        </w:rPr>
        <w:t>, while</w:t>
      </w:r>
      <w:r w:rsidR="009B2D56" w:rsidRPr="00655027">
        <w:rPr>
          <w:rFonts w:cs="Times New Roman"/>
          <w:sz w:val="24"/>
          <w:szCs w:val="24"/>
        </w:rPr>
        <w:t xml:space="preserve"> Company #1</w:t>
      </w:r>
      <w:r w:rsidR="00430412" w:rsidRPr="00655027">
        <w:rPr>
          <w:rFonts w:cs="Times New Roman"/>
          <w:sz w:val="24"/>
          <w:szCs w:val="24"/>
        </w:rPr>
        <w:t xml:space="preserve"> may face challenges</w:t>
      </w:r>
      <w:r w:rsidR="009B2D56" w:rsidRPr="00655027">
        <w:rPr>
          <w:rFonts w:cs="Times New Roman"/>
          <w:sz w:val="24"/>
          <w:szCs w:val="24"/>
        </w:rPr>
        <w:t>.</w:t>
      </w:r>
      <w:r w:rsidR="00A719AD" w:rsidRPr="00655027">
        <w:rPr>
          <w:rFonts w:cs="Times New Roman"/>
          <w:sz w:val="24"/>
          <w:szCs w:val="24"/>
        </w:rPr>
        <w:t xml:space="preserve"> Even if Company #1’s plan were accepted in the first year because of some constraining issues, as practices evolve state-wide, all firms should move toward more effective strategies.</w:t>
      </w:r>
      <w:r w:rsidR="00E436AC">
        <w:rPr>
          <w:rFonts w:cs="Times New Roman"/>
          <w:sz w:val="24"/>
          <w:szCs w:val="24"/>
        </w:rPr>
        <w:t xml:space="preserve"> In this regard, companies are expected to utilize lessons learned in prior periods when formulating their strategies for the next period.</w:t>
      </w:r>
    </w:p>
    <w:p w:rsidR="0007784F" w:rsidRPr="00D62268" w:rsidRDefault="0007784F" w:rsidP="00A62933">
      <w:pPr>
        <w:keepNext/>
        <w:keepLines/>
        <w:pBdr>
          <w:top w:val="single" w:sz="4" w:space="1" w:color="auto"/>
        </w:pBdr>
        <w:spacing w:after="120"/>
        <w:jc w:val="both"/>
        <w:rPr>
          <w:b/>
          <w:sz w:val="20"/>
          <w:u w:val="single"/>
        </w:rPr>
      </w:pPr>
      <w:r w:rsidRPr="00D62268">
        <w:rPr>
          <w:b/>
          <w:sz w:val="20"/>
          <w:u w:val="single"/>
        </w:rPr>
        <w:t xml:space="preserve">Figure </w:t>
      </w:r>
      <w:r w:rsidR="002B09FD">
        <w:rPr>
          <w:b/>
          <w:sz w:val="20"/>
          <w:u w:val="single"/>
        </w:rPr>
        <w:t>8A</w:t>
      </w:r>
      <w:r w:rsidR="00D62268">
        <w:rPr>
          <w:b/>
          <w:sz w:val="20"/>
          <w:u w:val="single"/>
        </w:rPr>
        <w:t>,</w:t>
      </w:r>
      <w:r w:rsidR="00D62268" w:rsidRPr="00D62268">
        <w:rPr>
          <w:b/>
          <w:sz w:val="20"/>
          <w:u w:val="single"/>
        </w:rPr>
        <w:t xml:space="preserve"> Illustrative</w:t>
      </w:r>
      <w:r w:rsidRPr="00D62268">
        <w:rPr>
          <w:b/>
          <w:sz w:val="20"/>
          <w:u w:val="single"/>
        </w:rPr>
        <w:t xml:space="preserve"> Strategy Assessment</w:t>
      </w:r>
    </w:p>
    <w:p w:rsidR="0007784F" w:rsidRPr="002C35AD" w:rsidRDefault="009B2D56" w:rsidP="00E261CF">
      <w:pPr>
        <w:keepNext/>
        <w:keepLines/>
        <w:pBdr>
          <w:bottom w:val="single" w:sz="4" w:space="1" w:color="auto"/>
        </w:pBdr>
        <w:spacing w:after="360"/>
        <w:jc w:val="center"/>
      </w:pPr>
      <w:r>
        <w:rPr>
          <w:noProof/>
        </w:rPr>
        <w:drawing>
          <wp:inline distT="0" distB="0" distL="0" distR="0" wp14:anchorId="46D7F932" wp14:editId="667FC4E9">
            <wp:extent cx="5943600" cy="277063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770632"/>
                    </a:xfrm>
                    <a:prstGeom prst="rect">
                      <a:avLst/>
                    </a:prstGeom>
                    <a:noFill/>
                  </pic:spPr>
                </pic:pic>
              </a:graphicData>
            </a:graphic>
          </wp:inline>
        </w:drawing>
      </w:r>
      <w:r w:rsidR="008C6EBF">
        <w:br w:type="textWrapping" w:clear="all"/>
      </w:r>
    </w:p>
    <w:p w:rsidR="00655027" w:rsidRDefault="00DE362D" w:rsidP="00655027">
      <w:pPr>
        <w:rPr>
          <w:rFonts w:cs="Times New Roman"/>
          <w:sz w:val="24"/>
          <w:szCs w:val="24"/>
        </w:rPr>
      </w:pPr>
      <w:r w:rsidRPr="00655027">
        <w:rPr>
          <w:rFonts w:cs="Times New Roman"/>
          <w:b/>
          <w:sz w:val="24"/>
          <w:szCs w:val="24"/>
        </w:rPr>
        <w:t>Execution Prudence:</w:t>
      </w:r>
      <w:r w:rsidRPr="00655027">
        <w:rPr>
          <w:rFonts w:cs="Times New Roman"/>
          <w:sz w:val="24"/>
          <w:szCs w:val="24"/>
        </w:rPr>
        <w:t xml:space="preserve"> </w:t>
      </w:r>
      <w:r w:rsidR="004307AA">
        <w:rPr>
          <w:rFonts w:cs="Times New Roman"/>
          <w:sz w:val="24"/>
          <w:szCs w:val="24"/>
        </w:rPr>
        <w:t xml:space="preserve">Because </w:t>
      </w:r>
      <w:r w:rsidRPr="00655027">
        <w:rPr>
          <w:rFonts w:cs="Times New Roman"/>
          <w:sz w:val="24"/>
          <w:szCs w:val="24"/>
        </w:rPr>
        <w:t xml:space="preserve">the strategy specification would include the timing of programmatic hedges, the risk conditions driving defensive responses, and </w:t>
      </w:r>
      <w:r w:rsidR="00F509DD" w:rsidRPr="00655027">
        <w:rPr>
          <w:rFonts w:cs="Times New Roman"/>
          <w:sz w:val="24"/>
          <w:szCs w:val="24"/>
        </w:rPr>
        <w:t xml:space="preserve">the </w:t>
      </w:r>
      <w:r w:rsidRPr="00655027">
        <w:rPr>
          <w:rFonts w:cs="Times New Roman"/>
          <w:sz w:val="24"/>
          <w:szCs w:val="24"/>
        </w:rPr>
        <w:t xml:space="preserve">contingent response triggers, the only element needed to test strategy compliance would be </w:t>
      </w:r>
      <w:r w:rsidR="00D7230E" w:rsidRPr="00655027">
        <w:rPr>
          <w:rFonts w:cs="Times New Roman"/>
          <w:sz w:val="24"/>
          <w:szCs w:val="24"/>
        </w:rPr>
        <w:t xml:space="preserve">hedge accumulation data and </w:t>
      </w:r>
      <w:r w:rsidRPr="00655027">
        <w:rPr>
          <w:rFonts w:cs="Times New Roman"/>
          <w:sz w:val="24"/>
          <w:szCs w:val="24"/>
        </w:rPr>
        <w:t xml:space="preserve">weekly risk metrics. Companies could be required to file an annual </w:t>
      </w:r>
      <w:r w:rsidR="00894D0C" w:rsidRPr="00655027">
        <w:rPr>
          <w:rFonts w:cs="Times New Roman"/>
          <w:sz w:val="24"/>
          <w:szCs w:val="24"/>
        </w:rPr>
        <w:t>summary</w:t>
      </w:r>
      <w:r w:rsidRPr="00655027">
        <w:rPr>
          <w:rFonts w:cs="Times New Roman"/>
          <w:sz w:val="24"/>
          <w:szCs w:val="24"/>
        </w:rPr>
        <w:t xml:space="preserve"> of risk metrics and hedge responses. </w:t>
      </w:r>
      <w:r w:rsidR="00894D0C" w:rsidRPr="00655027">
        <w:rPr>
          <w:rFonts w:cs="Times New Roman"/>
          <w:sz w:val="24"/>
          <w:szCs w:val="24"/>
        </w:rPr>
        <w:t>Of course</w:t>
      </w:r>
      <w:r w:rsidR="00F509DD" w:rsidRPr="00655027">
        <w:rPr>
          <w:rFonts w:cs="Times New Roman"/>
          <w:sz w:val="24"/>
          <w:szCs w:val="24"/>
        </w:rPr>
        <w:t>,</w:t>
      </w:r>
      <w:r w:rsidR="00894D0C" w:rsidRPr="00655027">
        <w:rPr>
          <w:rFonts w:cs="Times New Roman"/>
          <w:sz w:val="24"/>
          <w:szCs w:val="24"/>
        </w:rPr>
        <w:t xml:space="preserve"> </w:t>
      </w:r>
      <w:r w:rsidR="00D27F60" w:rsidRPr="00566E47">
        <w:rPr>
          <w:rFonts w:cs="Times New Roman"/>
          <w:sz w:val="24"/>
          <w:szCs w:val="24"/>
        </w:rPr>
        <w:t>records that are more detailed</w:t>
      </w:r>
      <w:r w:rsidR="00894D0C" w:rsidRPr="00655027">
        <w:rPr>
          <w:rFonts w:cs="Times New Roman"/>
          <w:sz w:val="24"/>
          <w:szCs w:val="24"/>
        </w:rPr>
        <w:t xml:space="preserve"> would be maintained in support of these summaries</w:t>
      </w:r>
      <w:r w:rsidR="00F509DD" w:rsidRPr="00655027">
        <w:rPr>
          <w:rFonts w:cs="Times New Roman"/>
          <w:sz w:val="24"/>
          <w:szCs w:val="24"/>
        </w:rPr>
        <w:t xml:space="preserve">, and should be made available to the regulator, and </w:t>
      </w:r>
      <w:r w:rsidR="009D6889" w:rsidRPr="00655027">
        <w:rPr>
          <w:rFonts w:cs="Times New Roman"/>
          <w:sz w:val="24"/>
          <w:szCs w:val="24"/>
        </w:rPr>
        <w:t>upon review,</w:t>
      </w:r>
      <w:r w:rsidR="00F509DD" w:rsidRPr="00655027">
        <w:rPr>
          <w:rFonts w:cs="Times New Roman"/>
          <w:sz w:val="24"/>
          <w:szCs w:val="24"/>
        </w:rPr>
        <w:t xml:space="preserve"> </w:t>
      </w:r>
      <w:r w:rsidR="002B09FD" w:rsidRPr="00655027">
        <w:rPr>
          <w:rFonts w:cs="Times New Roman"/>
          <w:sz w:val="24"/>
          <w:szCs w:val="24"/>
        </w:rPr>
        <w:t xml:space="preserve">certain </w:t>
      </w:r>
      <w:r w:rsidR="00F509DD" w:rsidRPr="00655027">
        <w:rPr>
          <w:rFonts w:cs="Times New Roman"/>
          <w:sz w:val="24"/>
          <w:szCs w:val="24"/>
        </w:rPr>
        <w:t>stakeholders,</w:t>
      </w:r>
      <w:r w:rsidR="00B23477" w:rsidRPr="00655027">
        <w:rPr>
          <w:rStyle w:val="FootnoteReference"/>
          <w:rFonts w:ascii="Times New Roman" w:hAnsi="Times New Roman" w:cs="Times New Roman"/>
          <w:sz w:val="24"/>
          <w:szCs w:val="24"/>
        </w:rPr>
        <w:footnoteReference w:id="21"/>
      </w:r>
      <w:r w:rsidR="00F509DD" w:rsidRPr="00655027">
        <w:rPr>
          <w:rFonts w:cs="Times New Roman"/>
          <w:sz w:val="24"/>
          <w:szCs w:val="24"/>
        </w:rPr>
        <w:t xml:space="preserve"> upon request</w:t>
      </w:r>
      <w:r w:rsidR="00894D0C" w:rsidRPr="00655027">
        <w:rPr>
          <w:rFonts w:cs="Times New Roman"/>
          <w:sz w:val="24"/>
          <w:szCs w:val="24"/>
        </w:rPr>
        <w:t xml:space="preserve">.  </w:t>
      </w:r>
    </w:p>
    <w:p w:rsidR="00894D0C" w:rsidRPr="00655027" w:rsidRDefault="00D7230E" w:rsidP="001075FC">
      <w:pPr>
        <w:rPr>
          <w:rFonts w:cs="Times New Roman"/>
          <w:sz w:val="24"/>
          <w:szCs w:val="24"/>
        </w:rPr>
      </w:pPr>
      <w:r w:rsidRPr="00655027">
        <w:rPr>
          <w:rFonts w:cs="Times New Roman"/>
          <w:sz w:val="24"/>
          <w:szCs w:val="24"/>
        </w:rPr>
        <w:t>Under this construct</w:t>
      </w:r>
      <w:r w:rsidR="00F509DD" w:rsidRPr="00655027">
        <w:rPr>
          <w:rFonts w:cs="Times New Roman"/>
          <w:sz w:val="24"/>
          <w:szCs w:val="24"/>
        </w:rPr>
        <w:t>,</w:t>
      </w:r>
      <w:r w:rsidRPr="00655027">
        <w:rPr>
          <w:rFonts w:cs="Times New Roman"/>
          <w:sz w:val="24"/>
          <w:szCs w:val="24"/>
        </w:rPr>
        <w:t xml:space="preserve"> t</w:t>
      </w:r>
      <w:r w:rsidR="00894D0C" w:rsidRPr="00655027">
        <w:rPr>
          <w:rFonts w:cs="Times New Roman"/>
          <w:sz w:val="24"/>
          <w:szCs w:val="24"/>
        </w:rPr>
        <w:t>he report would list 52 weeks</w:t>
      </w:r>
      <w:r w:rsidR="00497138" w:rsidRPr="00655027">
        <w:rPr>
          <w:rStyle w:val="FootnoteReference"/>
          <w:rFonts w:ascii="Times New Roman" w:hAnsi="Times New Roman" w:cs="Times New Roman"/>
          <w:sz w:val="24"/>
          <w:szCs w:val="24"/>
        </w:rPr>
        <w:footnoteReference w:id="22"/>
      </w:r>
      <w:r w:rsidR="00894D0C" w:rsidRPr="00655027">
        <w:rPr>
          <w:rFonts w:cs="Times New Roman"/>
          <w:sz w:val="24"/>
          <w:szCs w:val="24"/>
        </w:rPr>
        <w:t xml:space="preserve"> for each </w:t>
      </w:r>
      <w:r w:rsidR="000D09E6" w:rsidRPr="00655027">
        <w:rPr>
          <w:rFonts w:cs="Times New Roman"/>
          <w:sz w:val="24"/>
          <w:szCs w:val="24"/>
        </w:rPr>
        <w:t xml:space="preserve">natural </w:t>
      </w:r>
      <w:r w:rsidR="00894D0C" w:rsidRPr="00655027">
        <w:rPr>
          <w:rFonts w:cs="Times New Roman"/>
          <w:sz w:val="24"/>
          <w:szCs w:val="24"/>
        </w:rPr>
        <w:t xml:space="preserve">gas year within the program horizon. An illustration of such a </w:t>
      </w:r>
      <w:r w:rsidR="004C0ACC" w:rsidRPr="00655027">
        <w:rPr>
          <w:rFonts w:cs="Times New Roman"/>
          <w:sz w:val="24"/>
          <w:szCs w:val="24"/>
        </w:rPr>
        <w:t>“Hedge Program Summary R</w:t>
      </w:r>
      <w:r w:rsidR="00894D0C" w:rsidRPr="00655027">
        <w:rPr>
          <w:rFonts w:cs="Times New Roman"/>
          <w:sz w:val="24"/>
          <w:szCs w:val="24"/>
        </w:rPr>
        <w:t>eport</w:t>
      </w:r>
      <w:r w:rsidR="004C0ACC" w:rsidRPr="00655027">
        <w:rPr>
          <w:rFonts w:cs="Times New Roman"/>
          <w:sz w:val="24"/>
          <w:szCs w:val="24"/>
        </w:rPr>
        <w:t>”</w:t>
      </w:r>
      <w:r w:rsidR="00894D0C" w:rsidRPr="00655027">
        <w:rPr>
          <w:rFonts w:cs="Times New Roman"/>
          <w:sz w:val="24"/>
          <w:szCs w:val="24"/>
        </w:rPr>
        <w:t xml:space="preserve"> is presented in Table 2</w:t>
      </w:r>
      <w:r w:rsidR="006558ED" w:rsidRPr="00655027">
        <w:rPr>
          <w:rFonts w:cs="Times New Roman"/>
          <w:sz w:val="24"/>
          <w:szCs w:val="24"/>
        </w:rPr>
        <w:t xml:space="preserve"> below</w:t>
      </w:r>
      <w:r w:rsidR="00894D0C" w:rsidRPr="00655027">
        <w:rPr>
          <w:rFonts w:cs="Times New Roman"/>
          <w:sz w:val="24"/>
          <w:szCs w:val="24"/>
        </w:rPr>
        <w:t>.</w:t>
      </w:r>
      <w:r w:rsidRPr="00655027">
        <w:rPr>
          <w:rFonts w:cs="Times New Roman"/>
          <w:sz w:val="24"/>
          <w:szCs w:val="24"/>
        </w:rPr>
        <w:t xml:space="preserve"> </w:t>
      </w:r>
      <w:r w:rsidR="00894D0C" w:rsidRPr="00655027">
        <w:rPr>
          <w:rFonts w:cs="Times New Roman"/>
          <w:sz w:val="24"/>
          <w:szCs w:val="24"/>
        </w:rPr>
        <w:t>Not</w:t>
      </w:r>
      <w:r w:rsidR="00655027">
        <w:rPr>
          <w:rFonts w:cs="Times New Roman"/>
          <w:sz w:val="24"/>
          <w:szCs w:val="24"/>
        </w:rPr>
        <w:t>ice</w:t>
      </w:r>
      <w:r w:rsidR="00894D0C" w:rsidRPr="00655027">
        <w:rPr>
          <w:rFonts w:cs="Times New Roman"/>
          <w:sz w:val="24"/>
          <w:szCs w:val="24"/>
        </w:rPr>
        <w:t xml:space="preserve"> that the report provides a column for “Notes” on the assumption that management will occasionally exercise judgment rather than following the originally filed strategy by rote. </w:t>
      </w:r>
      <w:r w:rsidR="001455FA" w:rsidRPr="00655027">
        <w:rPr>
          <w:rFonts w:cs="Times New Roman"/>
          <w:sz w:val="24"/>
          <w:szCs w:val="24"/>
        </w:rPr>
        <w:t>I</w:t>
      </w:r>
      <w:r w:rsidR="00894D0C" w:rsidRPr="00655027">
        <w:rPr>
          <w:rFonts w:cs="Times New Roman"/>
          <w:sz w:val="24"/>
          <w:szCs w:val="24"/>
        </w:rPr>
        <w:t xml:space="preserve">t would be </w:t>
      </w:r>
      <w:r w:rsidR="00B64E16" w:rsidRPr="00655027">
        <w:rPr>
          <w:rFonts w:cs="Times New Roman"/>
          <w:sz w:val="24"/>
          <w:szCs w:val="24"/>
        </w:rPr>
        <w:t>expected</w:t>
      </w:r>
      <w:r w:rsidR="00894D0C" w:rsidRPr="00655027">
        <w:rPr>
          <w:rFonts w:cs="Times New Roman"/>
          <w:sz w:val="24"/>
          <w:szCs w:val="24"/>
        </w:rPr>
        <w:t xml:space="preserve"> that contemporaneous documentation would be kept for such </w:t>
      </w:r>
      <w:r w:rsidRPr="00655027">
        <w:rPr>
          <w:rFonts w:cs="Times New Roman"/>
          <w:sz w:val="24"/>
          <w:szCs w:val="24"/>
        </w:rPr>
        <w:t>occasion</w:t>
      </w:r>
      <w:r w:rsidR="00B64E16" w:rsidRPr="00655027">
        <w:rPr>
          <w:rFonts w:cs="Times New Roman"/>
          <w:sz w:val="24"/>
          <w:szCs w:val="24"/>
        </w:rPr>
        <w:t xml:space="preserve">s to explain the reasoning and timeliness of any strategy deviations. No plan is perfect for all eventualities, so </w:t>
      </w:r>
      <w:r w:rsidR="00EC4D92" w:rsidRPr="00655027">
        <w:rPr>
          <w:rFonts w:cs="Times New Roman"/>
          <w:sz w:val="24"/>
          <w:szCs w:val="24"/>
        </w:rPr>
        <w:t xml:space="preserve">overriding </w:t>
      </w:r>
      <w:r w:rsidR="00B64E16" w:rsidRPr="00655027">
        <w:rPr>
          <w:rFonts w:cs="Times New Roman"/>
          <w:sz w:val="24"/>
          <w:szCs w:val="24"/>
        </w:rPr>
        <w:t xml:space="preserve">judgment is </w:t>
      </w:r>
      <w:r w:rsidR="00EC4D92" w:rsidRPr="00655027">
        <w:rPr>
          <w:rFonts w:cs="Times New Roman"/>
          <w:sz w:val="24"/>
          <w:szCs w:val="24"/>
        </w:rPr>
        <w:t>sometimes</w:t>
      </w:r>
      <w:r w:rsidR="00B64E16" w:rsidRPr="00655027">
        <w:rPr>
          <w:rFonts w:cs="Times New Roman"/>
          <w:sz w:val="24"/>
          <w:szCs w:val="24"/>
        </w:rPr>
        <w:t xml:space="preserve"> necessary. If the strategy is well conceived, such judgments should be fairly rare</w:t>
      </w:r>
      <w:r w:rsidR="00F509DD" w:rsidRPr="00655027">
        <w:rPr>
          <w:rFonts w:cs="Times New Roman"/>
          <w:sz w:val="24"/>
          <w:szCs w:val="24"/>
        </w:rPr>
        <w:t>. R</w:t>
      </w:r>
      <w:r w:rsidR="00B64E16" w:rsidRPr="00655027">
        <w:rPr>
          <w:rFonts w:cs="Times New Roman"/>
          <w:sz w:val="24"/>
          <w:szCs w:val="24"/>
        </w:rPr>
        <w:t xml:space="preserve">egulators should assess </w:t>
      </w:r>
      <w:r w:rsidR="00F509DD" w:rsidRPr="00655027">
        <w:rPr>
          <w:rFonts w:cs="Times New Roman"/>
          <w:sz w:val="24"/>
          <w:szCs w:val="24"/>
        </w:rPr>
        <w:t xml:space="preserve">the judgments </w:t>
      </w:r>
      <w:r w:rsidR="00B64E16" w:rsidRPr="00655027">
        <w:rPr>
          <w:rFonts w:cs="Times New Roman"/>
          <w:sz w:val="24"/>
          <w:szCs w:val="24"/>
        </w:rPr>
        <w:t>in the context of information known at the time</w:t>
      </w:r>
      <w:r w:rsidR="000D09E6" w:rsidRPr="00655027">
        <w:rPr>
          <w:rFonts w:cs="Times New Roman"/>
          <w:sz w:val="24"/>
          <w:szCs w:val="24"/>
        </w:rPr>
        <w:t>,</w:t>
      </w:r>
      <w:r w:rsidR="00B64E16" w:rsidRPr="00655027">
        <w:rPr>
          <w:rFonts w:cs="Times New Roman"/>
          <w:sz w:val="24"/>
          <w:szCs w:val="24"/>
        </w:rPr>
        <w:t xml:space="preserve"> rather than </w:t>
      </w:r>
      <w:r w:rsidRPr="00655027">
        <w:rPr>
          <w:rFonts w:cs="Times New Roman"/>
          <w:sz w:val="24"/>
          <w:szCs w:val="24"/>
        </w:rPr>
        <w:t xml:space="preserve">doing so </w:t>
      </w:r>
      <w:r w:rsidR="00B64E16" w:rsidRPr="00655027">
        <w:rPr>
          <w:rFonts w:cs="Times New Roman"/>
          <w:sz w:val="24"/>
          <w:szCs w:val="24"/>
        </w:rPr>
        <w:t>with the benefit of perfect hindsight.</w:t>
      </w:r>
    </w:p>
    <w:p w:rsidR="003F6494" w:rsidRPr="0002468E" w:rsidRDefault="003F6494" w:rsidP="00952D24">
      <w:pPr>
        <w:pStyle w:val="Heading2"/>
        <w:rPr>
          <w:sz w:val="24"/>
          <w:szCs w:val="24"/>
        </w:rPr>
      </w:pPr>
      <w:bookmarkStart w:id="39" w:name="_Toc411341385"/>
      <w:bookmarkStart w:id="40" w:name="_Toc424039096"/>
      <w:r w:rsidRPr="0002468E">
        <w:rPr>
          <w:sz w:val="24"/>
          <w:szCs w:val="24"/>
        </w:rPr>
        <w:t>Standards for Review</w:t>
      </w:r>
      <w:bookmarkEnd w:id="39"/>
      <w:bookmarkEnd w:id="40"/>
    </w:p>
    <w:p w:rsidR="00655027" w:rsidRPr="0002468E" w:rsidRDefault="003F6494" w:rsidP="001075FC">
      <w:pPr>
        <w:rPr>
          <w:sz w:val="24"/>
          <w:szCs w:val="24"/>
        </w:rPr>
      </w:pPr>
      <w:r w:rsidRPr="0002468E">
        <w:rPr>
          <w:sz w:val="24"/>
          <w:szCs w:val="24"/>
        </w:rPr>
        <w:t xml:space="preserve">To </w:t>
      </w:r>
      <w:r w:rsidR="00F509DD" w:rsidRPr="0002468E">
        <w:rPr>
          <w:sz w:val="24"/>
          <w:szCs w:val="24"/>
        </w:rPr>
        <w:t>support</w:t>
      </w:r>
      <w:r w:rsidRPr="0002468E">
        <w:rPr>
          <w:sz w:val="24"/>
          <w:szCs w:val="24"/>
        </w:rPr>
        <w:t xml:space="preserve"> the adoption of more complex methods, the prudence review should be governed by certain guidelines. </w:t>
      </w:r>
    </w:p>
    <w:p w:rsidR="00655027" w:rsidRDefault="003F6494" w:rsidP="001075FC">
      <w:pPr>
        <w:pStyle w:val="ListParagraph"/>
        <w:keepNext/>
        <w:keepLines/>
        <w:numPr>
          <w:ilvl w:val="0"/>
          <w:numId w:val="16"/>
        </w:numPr>
        <w:spacing w:after="120"/>
        <w:contextualSpacing w:val="0"/>
        <w:rPr>
          <w:sz w:val="24"/>
          <w:szCs w:val="24"/>
        </w:rPr>
      </w:pPr>
      <w:r w:rsidRPr="00655027">
        <w:rPr>
          <w:sz w:val="24"/>
          <w:szCs w:val="24"/>
        </w:rPr>
        <w:t xml:space="preserve">A utility’s accepted strategy development and diligently applied execution process, </w:t>
      </w:r>
      <w:r w:rsidR="003B600D" w:rsidRPr="00655027">
        <w:rPr>
          <w:sz w:val="24"/>
          <w:szCs w:val="24"/>
        </w:rPr>
        <w:t>does not relieve the utility of its duty to demonstrate the prudence of its actions, but may create a presumption that it acted appropriately when a party recommends a disallowance</w:t>
      </w:r>
      <w:r w:rsidR="00D46B18" w:rsidRPr="00655027">
        <w:rPr>
          <w:sz w:val="24"/>
          <w:szCs w:val="24"/>
        </w:rPr>
        <w:t>;</w:t>
      </w:r>
      <w:r w:rsidRPr="00655027">
        <w:rPr>
          <w:sz w:val="24"/>
          <w:szCs w:val="24"/>
        </w:rPr>
        <w:t xml:space="preserve"> and</w:t>
      </w:r>
    </w:p>
    <w:p w:rsidR="003F6494" w:rsidRPr="00655027" w:rsidRDefault="003F6494" w:rsidP="001075FC">
      <w:pPr>
        <w:pStyle w:val="ListParagraph"/>
        <w:keepNext/>
        <w:keepLines/>
        <w:numPr>
          <w:ilvl w:val="0"/>
          <w:numId w:val="16"/>
        </w:numPr>
        <w:spacing w:after="120"/>
        <w:contextualSpacing w:val="0"/>
        <w:rPr>
          <w:sz w:val="24"/>
          <w:szCs w:val="24"/>
        </w:rPr>
      </w:pPr>
      <w:r w:rsidRPr="00655027">
        <w:rPr>
          <w:sz w:val="24"/>
          <w:szCs w:val="24"/>
        </w:rPr>
        <w:t>Hedge outcomes should fall within tolerances except when market conditions are more extreme than design standards</w:t>
      </w:r>
      <w:r w:rsidR="00EA692A" w:rsidRPr="00655027">
        <w:rPr>
          <w:sz w:val="24"/>
          <w:szCs w:val="24"/>
        </w:rPr>
        <w:t>,</w:t>
      </w:r>
      <w:r w:rsidRPr="00655027">
        <w:rPr>
          <w:sz w:val="24"/>
          <w:szCs w:val="24"/>
        </w:rPr>
        <w:t xml:space="preserve"> or </w:t>
      </w:r>
      <w:r w:rsidR="00EA692A" w:rsidRPr="00655027">
        <w:rPr>
          <w:sz w:val="24"/>
          <w:szCs w:val="24"/>
        </w:rPr>
        <w:t xml:space="preserve">when </w:t>
      </w:r>
      <w:r w:rsidRPr="00655027">
        <w:rPr>
          <w:sz w:val="24"/>
          <w:szCs w:val="24"/>
        </w:rPr>
        <w:t xml:space="preserve">hedge ratios max out per policy. Outcomes </w:t>
      </w:r>
      <w:r w:rsidR="00EA692A" w:rsidRPr="00655027">
        <w:rPr>
          <w:sz w:val="24"/>
          <w:szCs w:val="24"/>
        </w:rPr>
        <w:t xml:space="preserve">that fall </w:t>
      </w:r>
      <w:r w:rsidRPr="00655027">
        <w:rPr>
          <w:sz w:val="24"/>
          <w:szCs w:val="24"/>
        </w:rPr>
        <w:t>within tolerance</w:t>
      </w:r>
      <w:r w:rsidR="00EA692A" w:rsidRPr="00655027">
        <w:rPr>
          <w:sz w:val="24"/>
          <w:szCs w:val="24"/>
        </w:rPr>
        <w:t>s</w:t>
      </w:r>
      <w:r w:rsidRPr="00655027">
        <w:rPr>
          <w:sz w:val="24"/>
          <w:szCs w:val="24"/>
        </w:rPr>
        <w:t xml:space="preserve"> </w:t>
      </w:r>
      <w:r w:rsidR="00EA692A" w:rsidRPr="00655027">
        <w:rPr>
          <w:sz w:val="24"/>
          <w:szCs w:val="24"/>
        </w:rPr>
        <w:t>carry an assumption of prudence barring material irregularities, and outcomes outside of tolerances carry a burden that the company demonstrate extreme market conditions or the constraints of the maximum hedge accumulation in accordance with the accepted strategy.</w:t>
      </w:r>
    </w:p>
    <w:p w:rsidR="00EC4D92" w:rsidRDefault="00EA692A" w:rsidP="001075FC">
      <w:pPr>
        <w:sectPr w:rsidR="00EC4D92" w:rsidSect="00845B9D">
          <w:footerReference w:type="default" r:id="rId22"/>
          <w:pgSz w:w="12240" w:h="15840"/>
          <w:pgMar w:top="1440" w:right="1440" w:bottom="1440" w:left="1440" w:header="720" w:footer="720" w:gutter="0"/>
          <w:pgBorders w:offsetFrom="page">
            <w:top w:val="single" w:sz="4" w:space="24" w:color="548DD4" w:themeColor="text2" w:themeTint="99"/>
            <w:bottom w:val="single" w:sz="4" w:space="24" w:color="548DD4" w:themeColor="text2" w:themeTint="99"/>
          </w:pgBorders>
          <w:cols w:space="720"/>
          <w:docGrid w:linePitch="360"/>
        </w:sectPr>
      </w:pPr>
      <w:r w:rsidRPr="00655027">
        <w:rPr>
          <w:sz w:val="24"/>
          <w:szCs w:val="24"/>
        </w:rPr>
        <w:t>There is also an issue of confidentiality. I</w:t>
      </w:r>
      <w:r w:rsidR="004C0ACC" w:rsidRPr="00655027">
        <w:rPr>
          <w:sz w:val="24"/>
          <w:szCs w:val="24"/>
        </w:rPr>
        <w:t xml:space="preserve">t should be recognized that both the strategy and the Hedge Program Summary Report constitute </w:t>
      </w:r>
      <w:r w:rsidRPr="00655027">
        <w:rPr>
          <w:sz w:val="24"/>
          <w:szCs w:val="24"/>
        </w:rPr>
        <w:t xml:space="preserve">proprietary </w:t>
      </w:r>
      <w:r w:rsidR="004C0ACC" w:rsidRPr="00655027">
        <w:rPr>
          <w:sz w:val="24"/>
          <w:szCs w:val="24"/>
        </w:rPr>
        <w:t>commercial “trading” information, and broad dissemination of this material could jeopardize a utility’s ability to access fair price quotes for prospective hedges.</w:t>
      </w:r>
      <w:r w:rsidR="003F6494" w:rsidRPr="00655027">
        <w:rPr>
          <w:sz w:val="24"/>
          <w:szCs w:val="24"/>
        </w:rPr>
        <w:t xml:space="preserve"> Regulators should provide whatever protections are available in the submittal and review process</w:t>
      </w:r>
      <w:r w:rsidR="00D27F60" w:rsidRPr="00566E47">
        <w:rPr>
          <w:sz w:val="24"/>
          <w:szCs w:val="24"/>
        </w:rPr>
        <w:t>.</w:t>
      </w:r>
      <w:r w:rsidR="00D27F60">
        <w:t xml:space="preserve"> </w:t>
      </w:r>
    </w:p>
    <w:p w:rsidR="00EC4D92" w:rsidRDefault="00EC4D92" w:rsidP="00EC4D92">
      <w:pPr>
        <w:keepNext/>
        <w:keepLines/>
        <w:jc w:val="both"/>
        <w:rPr>
          <w:b/>
        </w:rPr>
      </w:pPr>
      <w:r w:rsidRPr="00894D0C">
        <w:rPr>
          <w:b/>
        </w:rPr>
        <w:t>Table2, Illustrative Summary Report Template</w:t>
      </w:r>
    </w:p>
    <w:p w:rsidR="00EC4D92" w:rsidRDefault="00EC4D92" w:rsidP="00EC4D92">
      <w:pPr>
        <w:keepNext/>
        <w:keepLines/>
        <w:jc w:val="both"/>
        <w:sectPr w:rsidR="00EC4D92" w:rsidSect="00845B9D">
          <w:pgSz w:w="15840" w:h="12240" w:orient="landscape"/>
          <w:pgMar w:top="1440" w:right="1440" w:bottom="1440" w:left="1440" w:header="720" w:footer="720" w:gutter="0"/>
          <w:pgBorders w:offsetFrom="page">
            <w:top w:val="single" w:sz="4" w:space="24" w:color="548DD4" w:themeColor="text2" w:themeTint="99"/>
            <w:bottom w:val="single" w:sz="4" w:space="24" w:color="548DD4" w:themeColor="text2" w:themeTint="99"/>
          </w:pgBorders>
          <w:cols w:space="720"/>
          <w:docGrid w:linePitch="360"/>
        </w:sectPr>
      </w:pPr>
      <w:r w:rsidRPr="00894D0C">
        <w:rPr>
          <w:noProof/>
        </w:rPr>
        <w:drawing>
          <wp:inline distT="0" distB="0" distL="0" distR="0" wp14:anchorId="4EB1FF00" wp14:editId="1D909378">
            <wp:extent cx="8229600" cy="4355064"/>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29600" cy="4355064"/>
                    </a:xfrm>
                    <a:prstGeom prst="rect">
                      <a:avLst/>
                    </a:prstGeom>
                    <a:noFill/>
                    <a:ln>
                      <a:noFill/>
                    </a:ln>
                  </pic:spPr>
                </pic:pic>
              </a:graphicData>
            </a:graphic>
          </wp:inline>
        </w:drawing>
      </w:r>
    </w:p>
    <w:p w:rsidR="00894D0C" w:rsidRDefault="001455FA" w:rsidP="001075FC">
      <w:pPr>
        <w:pStyle w:val="Heading2"/>
      </w:pPr>
      <w:bookmarkStart w:id="41" w:name="_Toc411341386"/>
      <w:bookmarkStart w:id="42" w:name="_Toc424039097"/>
      <w:r>
        <w:t>Schedule of A</w:t>
      </w:r>
      <w:r w:rsidRPr="001455FA">
        <w:t>doption</w:t>
      </w:r>
      <w:bookmarkEnd w:id="41"/>
      <w:bookmarkEnd w:id="42"/>
    </w:p>
    <w:p w:rsidR="00497138" w:rsidRPr="00750DDD" w:rsidRDefault="001455FA" w:rsidP="001075FC">
      <w:pPr>
        <w:rPr>
          <w:color w:val="FFFFFF"/>
          <w:sz w:val="24"/>
          <w:szCs w:val="24"/>
        </w:rPr>
      </w:pPr>
      <w:r w:rsidRPr="003F249C">
        <w:rPr>
          <w:sz w:val="24"/>
          <w:szCs w:val="24"/>
        </w:rPr>
        <w:t xml:space="preserve">Should this construct be </w:t>
      </w:r>
      <w:r w:rsidR="00497138" w:rsidRPr="003F249C">
        <w:rPr>
          <w:sz w:val="24"/>
          <w:szCs w:val="24"/>
        </w:rPr>
        <w:t xml:space="preserve">favored and </w:t>
      </w:r>
      <w:r w:rsidRPr="003F249C">
        <w:rPr>
          <w:sz w:val="24"/>
          <w:szCs w:val="24"/>
        </w:rPr>
        <w:t xml:space="preserve">adopted, it cannot happen all at once. </w:t>
      </w:r>
      <w:r w:rsidR="00497138" w:rsidRPr="003F249C">
        <w:rPr>
          <w:sz w:val="24"/>
          <w:szCs w:val="24"/>
        </w:rPr>
        <w:t>Utilities will need to build expertise and management systems. The following schedule is offered to start discussion</w:t>
      </w:r>
      <w:r w:rsidR="00F556B6" w:rsidRPr="003F249C">
        <w:rPr>
          <w:sz w:val="24"/>
          <w:szCs w:val="24"/>
        </w:rPr>
        <w:t xml:space="preserve"> of a reasonable adoption process</w:t>
      </w:r>
      <w:r w:rsidR="00497138" w:rsidRPr="003F249C">
        <w:rPr>
          <w:sz w:val="24"/>
          <w:szCs w:val="24"/>
        </w:rPr>
        <w:t>.</w:t>
      </w:r>
      <w:r w:rsidR="000D09E6" w:rsidRPr="003F249C">
        <w:rPr>
          <w:sz w:val="24"/>
          <w:szCs w:val="24"/>
        </w:rPr>
        <w:t xml:space="preserve"> It assumes that the regulatory review of companies’ hedge programs happens within the existing PGA structure. However, that review may take place in a separate proceeding</w:t>
      </w:r>
      <w:r w:rsidR="00D27F60" w:rsidRPr="00566E47">
        <w:rPr>
          <w:sz w:val="24"/>
          <w:szCs w:val="24"/>
        </w:rPr>
        <w:t xml:space="preserve">. </w:t>
      </w:r>
      <w:r w:rsidR="00F556B6" w:rsidRPr="003F249C">
        <w:rPr>
          <w:sz w:val="24"/>
          <w:szCs w:val="24"/>
        </w:rPr>
        <w:t>It</w:t>
      </w:r>
      <w:r w:rsidR="000D09E6" w:rsidRPr="003F249C">
        <w:rPr>
          <w:sz w:val="24"/>
          <w:szCs w:val="24"/>
        </w:rPr>
        <w:t xml:space="preserve"> also</w:t>
      </w:r>
      <w:r w:rsidR="00F556B6" w:rsidRPr="003F249C">
        <w:rPr>
          <w:sz w:val="24"/>
          <w:szCs w:val="24"/>
        </w:rPr>
        <w:t xml:space="preserve"> assumes that each company will adopt a more robust strategy</w:t>
      </w:r>
      <w:r w:rsidR="006A6A95" w:rsidRPr="003F249C">
        <w:rPr>
          <w:sz w:val="24"/>
          <w:szCs w:val="24"/>
        </w:rPr>
        <w:t xml:space="preserve"> of its own desi</w:t>
      </w:r>
      <w:bookmarkStart w:id="43" w:name="_GoBack"/>
      <w:bookmarkEnd w:id="43"/>
      <w:r w:rsidR="006A6A95" w:rsidRPr="003F249C">
        <w:rPr>
          <w:sz w:val="24"/>
          <w:szCs w:val="24"/>
        </w:rPr>
        <w:t xml:space="preserve">gn and </w:t>
      </w:r>
      <w:r w:rsidR="00F556B6" w:rsidRPr="003F249C">
        <w:rPr>
          <w:sz w:val="24"/>
          <w:szCs w:val="24"/>
        </w:rPr>
        <w:t>at its own pace</w:t>
      </w:r>
      <w:r w:rsidR="000C2933" w:rsidRPr="003F249C">
        <w:rPr>
          <w:sz w:val="24"/>
          <w:szCs w:val="24"/>
        </w:rPr>
        <w:t xml:space="preserve"> over two years</w:t>
      </w:r>
      <w:r w:rsidR="00F556B6" w:rsidRPr="003F249C">
        <w:rPr>
          <w:sz w:val="24"/>
          <w:szCs w:val="24"/>
        </w:rPr>
        <w:t xml:space="preserve">, modestly at first, beginning with the 2017 calendar year. Then by 2018, all parties will have </w:t>
      </w:r>
      <w:r w:rsidR="006A6A95" w:rsidRPr="003F249C">
        <w:rPr>
          <w:sz w:val="24"/>
          <w:szCs w:val="24"/>
        </w:rPr>
        <w:t>accumulated substantial expertise and experience, so that strategies and review processes can be fully functional</w:t>
      </w:r>
      <w:r w:rsidR="006A6A95" w:rsidRPr="00750DDD">
        <w:rPr>
          <w:color w:val="FFFFFF"/>
          <w:sz w:val="24"/>
          <w:szCs w:val="24"/>
        </w:rPr>
        <w:t>.</w:t>
      </w:r>
    </w:p>
    <w:tbl>
      <w:tblPr>
        <w:tblStyle w:val="GridTable4-Accent12"/>
        <w:tblW w:w="0" w:type="auto"/>
        <w:tblLook w:val="06A0" w:firstRow="1" w:lastRow="0" w:firstColumn="1" w:lastColumn="0" w:noHBand="1" w:noVBand="1"/>
      </w:tblPr>
      <w:tblGrid>
        <w:gridCol w:w="2155"/>
        <w:gridCol w:w="1710"/>
        <w:gridCol w:w="5485"/>
      </w:tblGrid>
      <w:tr w:rsidR="00750DDD" w:rsidRPr="00750DDD" w:rsidTr="00750D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2760DD" w:rsidRPr="00750DDD" w:rsidRDefault="002760DD" w:rsidP="00497138">
            <w:pPr>
              <w:keepNext/>
              <w:keepLines/>
              <w:jc w:val="center"/>
              <w:rPr>
                <w:color w:val="FFFFFF"/>
              </w:rPr>
            </w:pPr>
            <w:r w:rsidRPr="00750DDD">
              <w:rPr>
                <w:color w:val="FFFFFF"/>
              </w:rPr>
              <w:t>Task</w:t>
            </w:r>
          </w:p>
        </w:tc>
        <w:tc>
          <w:tcPr>
            <w:tcW w:w="1710" w:type="dxa"/>
          </w:tcPr>
          <w:p w:rsidR="002760DD" w:rsidRPr="00750DDD" w:rsidRDefault="002760DD" w:rsidP="00EC0675">
            <w:pPr>
              <w:keepNext/>
              <w:keepLines/>
              <w:jc w:val="center"/>
              <w:cnfStyle w:val="100000000000" w:firstRow="1" w:lastRow="0" w:firstColumn="0" w:lastColumn="0" w:oddVBand="0" w:evenVBand="0" w:oddHBand="0" w:evenHBand="0" w:firstRowFirstColumn="0" w:firstRowLastColumn="0" w:lastRowFirstColumn="0" w:lastRowLastColumn="0"/>
              <w:rPr>
                <w:color w:val="FFFFFF"/>
              </w:rPr>
            </w:pPr>
            <w:r w:rsidRPr="00750DDD">
              <w:rPr>
                <w:color w:val="FFFFFF"/>
              </w:rPr>
              <w:t>Schedule</w:t>
            </w:r>
          </w:p>
        </w:tc>
        <w:tc>
          <w:tcPr>
            <w:tcW w:w="5485" w:type="dxa"/>
          </w:tcPr>
          <w:p w:rsidR="002760DD" w:rsidRPr="00750DDD" w:rsidRDefault="002760DD" w:rsidP="00497138">
            <w:pPr>
              <w:keepNext/>
              <w:keepLines/>
              <w:jc w:val="center"/>
              <w:cnfStyle w:val="100000000000" w:firstRow="1" w:lastRow="0" w:firstColumn="0" w:lastColumn="0" w:oddVBand="0" w:evenVBand="0" w:oddHBand="0" w:evenHBand="0" w:firstRowFirstColumn="0" w:firstRowLastColumn="0" w:lastRowFirstColumn="0" w:lastRowLastColumn="0"/>
              <w:rPr>
                <w:color w:val="FFFFFF"/>
              </w:rPr>
            </w:pPr>
            <w:r w:rsidRPr="00750DDD">
              <w:rPr>
                <w:color w:val="FFFFFF"/>
              </w:rPr>
              <w:t>Comments</w:t>
            </w:r>
          </w:p>
        </w:tc>
      </w:tr>
      <w:tr w:rsidR="00CC3344" w:rsidRPr="00F00926" w:rsidTr="00750DDD">
        <w:tc>
          <w:tcPr>
            <w:cnfStyle w:val="001000000000" w:firstRow="0" w:lastRow="0" w:firstColumn="1" w:lastColumn="0" w:oddVBand="0" w:evenVBand="0" w:oddHBand="0" w:evenHBand="0" w:firstRowFirstColumn="0" w:firstRowLastColumn="0" w:lastRowFirstColumn="0" w:lastRowLastColumn="0"/>
            <w:tcW w:w="2155" w:type="dxa"/>
          </w:tcPr>
          <w:p w:rsidR="00A1796F" w:rsidRDefault="00A1796F" w:rsidP="0058137F">
            <w:pPr>
              <w:keepNext/>
              <w:keepLines/>
              <w:rPr>
                <w:b w:val="0"/>
              </w:rPr>
            </w:pPr>
            <w:r>
              <w:rPr>
                <w:b w:val="0"/>
              </w:rPr>
              <w:t xml:space="preserve">Complete workshop </w:t>
            </w:r>
            <w:r w:rsidR="0058137F">
              <w:rPr>
                <w:b w:val="0"/>
              </w:rPr>
              <w:t xml:space="preserve">and </w:t>
            </w:r>
            <w:r>
              <w:rPr>
                <w:b w:val="0"/>
              </w:rPr>
              <w:t>follow ups</w:t>
            </w:r>
          </w:p>
        </w:tc>
        <w:tc>
          <w:tcPr>
            <w:tcW w:w="1710" w:type="dxa"/>
          </w:tcPr>
          <w:p w:rsidR="00A1796F" w:rsidRDefault="00A1796F" w:rsidP="00EC0675">
            <w:pPr>
              <w:keepNext/>
              <w:keepLines/>
              <w:jc w:val="center"/>
              <w:cnfStyle w:val="000000000000" w:firstRow="0" w:lastRow="0" w:firstColumn="0" w:lastColumn="0" w:oddVBand="0" w:evenVBand="0" w:oddHBand="0" w:evenHBand="0" w:firstRowFirstColumn="0" w:firstRowLastColumn="0" w:lastRowFirstColumn="0" w:lastRowLastColumn="0"/>
            </w:pPr>
            <w:r>
              <w:t>Q-4, 2015</w:t>
            </w:r>
          </w:p>
        </w:tc>
        <w:tc>
          <w:tcPr>
            <w:tcW w:w="5485" w:type="dxa"/>
          </w:tcPr>
          <w:p w:rsidR="00A1796F" w:rsidRPr="00F00926" w:rsidRDefault="00F556B6" w:rsidP="00F00926">
            <w:pPr>
              <w:keepNext/>
              <w:keepLines/>
              <w:cnfStyle w:val="000000000000" w:firstRow="0" w:lastRow="0" w:firstColumn="0" w:lastColumn="0" w:oddVBand="0" w:evenVBand="0" w:oddHBand="0" w:evenHBand="0" w:firstRowFirstColumn="0" w:firstRowLastColumn="0" w:lastRowFirstColumn="0" w:lastRowLastColumn="0"/>
            </w:pPr>
            <w:r>
              <w:t>In progress</w:t>
            </w:r>
          </w:p>
        </w:tc>
      </w:tr>
      <w:tr w:rsidR="00EC0675" w:rsidRPr="00F00926" w:rsidTr="00750DDD">
        <w:tc>
          <w:tcPr>
            <w:cnfStyle w:val="001000000000" w:firstRow="0" w:lastRow="0" w:firstColumn="1" w:lastColumn="0" w:oddVBand="0" w:evenVBand="0" w:oddHBand="0" w:evenHBand="0" w:firstRowFirstColumn="0" w:firstRowLastColumn="0" w:lastRowFirstColumn="0" w:lastRowLastColumn="0"/>
            <w:tcW w:w="2155" w:type="dxa"/>
          </w:tcPr>
          <w:p w:rsidR="00EC0675" w:rsidRPr="00F00926" w:rsidRDefault="00EC0675" w:rsidP="002760DD">
            <w:pPr>
              <w:keepNext/>
              <w:keepLines/>
              <w:rPr>
                <w:b w:val="0"/>
              </w:rPr>
            </w:pPr>
            <w:r>
              <w:rPr>
                <w:b w:val="0"/>
              </w:rPr>
              <w:t>Interim</w:t>
            </w:r>
            <w:r w:rsidRPr="00F00926">
              <w:rPr>
                <w:b w:val="0"/>
              </w:rPr>
              <w:t xml:space="preserve"> </w:t>
            </w:r>
            <w:r>
              <w:rPr>
                <w:b w:val="0"/>
              </w:rPr>
              <w:t xml:space="preserve">draft </w:t>
            </w:r>
            <w:r w:rsidRPr="00F00926">
              <w:rPr>
                <w:b w:val="0"/>
              </w:rPr>
              <w:t>strategy design</w:t>
            </w:r>
          </w:p>
        </w:tc>
        <w:tc>
          <w:tcPr>
            <w:tcW w:w="1710" w:type="dxa"/>
          </w:tcPr>
          <w:p w:rsidR="00EC0675" w:rsidRPr="00F00926" w:rsidRDefault="00EC0675" w:rsidP="008D75C8">
            <w:pPr>
              <w:keepNext/>
              <w:keepLines/>
              <w:jc w:val="center"/>
              <w:cnfStyle w:val="000000000000" w:firstRow="0" w:lastRow="0" w:firstColumn="0" w:lastColumn="0" w:oddVBand="0" w:evenVBand="0" w:oddHBand="0" w:evenHBand="0" w:firstRowFirstColumn="0" w:firstRowLastColumn="0" w:lastRowFirstColumn="0" w:lastRowLastColumn="0"/>
            </w:pPr>
            <w:r>
              <w:t>Feb</w:t>
            </w:r>
            <w:r w:rsidR="008D75C8">
              <w:t xml:space="preserve">. </w:t>
            </w:r>
            <w:r>
              <w:t>2016</w:t>
            </w:r>
          </w:p>
        </w:tc>
        <w:tc>
          <w:tcPr>
            <w:tcW w:w="5485" w:type="dxa"/>
          </w:tcPr>
          <w:p w:rsidR="00EC0675" w:rsidRPr="00F00926" w:rsidRDefault="006A6A95" w:rsidP="0058137F">
            <w:pPr>
              <w:keepNext/>
              <w:keepLines/>
              <w:cnfStyle w:val="000000000000" w:firstRow="0" w:lastRow="0" w:firstColumn="0" w:lastColumn="0" w:oddVBand="0" w:evenVBand="0" w:oddHBand="0" w:evenHBand="0" w:firstRowFirstColumn="0" w:firstRowLastColumn="0" w:lastRowFirstColumn="0" w:lastRowLastColumn="0"/>
            </w:pPr>
            <w:r>
              <w:t>Modest</w:t>
            </w:r>
            <w:r w:rsidR="00EC0675" w:rsidRPr="00F00926">
              <w:t xml:space="preserve"> step: Reduce programmatic ratio; initiate modest defensive protocols, maybe contingent protocols</w:t>
            </w:r>
          </w:p>
        </w:tc>
      </w:tr>
      <w:tr w:rsidR="00CC3344" w:rsidRPr="00F00926" w:rsidTr="00750DDD">
        <w:tc>
          <w:tcPr>
            <w:cnfStyle w:val="001000000000" w:firstRow="0" w:lastRow="0" w:firstColumn="1" w:lastColumn="0" w:oddVBand="0" w:evenVBand="0" w:oddHBand="0" w:evenHBand="0" w:firstRowFirstColumn="0" w:firstRowLastColumn="0" w:lastRowFirstColumn="0" w:lastRowLastColumn="0"/>
            <w:tcW w:w="2155" w:type="dxa"/>
          </w:tcPr>
          <w:p w:rsidR="00EC0675" w:rsidRPr="00F00926" w:rsidRDefault="00EC0675" w:rsidP="00EC0675">
            <w:pPr>
              <w:keepNext/>
              <w:keepLines/>
              <w:rPr>
                <w:b w:val="0"/>
              </w:rPr>
            </w:pPr>
            <w:r w:rsidRPr="00F00926">
              <w:rPr>
                <w:b w:val="0"/>
              </w:rPr>
              <w:t xml:space="preserve">File </w:t>
            </w:r>
            <w:r>
              <w:rPr>
                <w:b w:val="0"/>
              </w:rPr>
              <w:t>draft plan</w:t>
            </w:r>
          </w:p>
        </w:tc>
        <w:tc>
          <w:tcPr>
            <w:tcW w:w="1710" w:type="dxa"/>
          </w:tcPr>
          <w:p w:rsidR="00EC0675" w:rsidRPr="00F00926" w:rsidRDefault="00EC0675" w:rsidP="008D75C8">
            <w:pPr>
              <w:keepNext/>
              <w:keepLines/>
              <w:jc w:val="center"/>
              <w:cnfStyle w:val="000000000000" w:firstRow="0" w:lastRow="0" w:firstColumn="0" w:lastColumn="0" w:oddVBand="0" w:evenVBand="0" w:oddHBand="0" w:evenHBand="0" w:firstRowFirstColumn="0" w:firstRowLastColumn="0" w:lastRowFirstColumn="0" w:lastRowLastColumn="0"/>
            </w:pPr>
            <w:r w:rsidRPr="00EC0675">
              <w:t>Feb</w:t>
            </w:r>
            <w:r w:rsidR="008D75C8">
              <w:t xml:space="preserve">. </w:t>
            </w:r>
            <w:r w:rsidRPr="00EC0675">
              <w:t>2016</w:t>
            </w:r>
          </w:p>
        </w:tc>
        <w:tc>
          <w:tcPr>
            <w:tcW w:w="5485" w:type="dxa"/>
          </w:tcPr>
          <w:p w:rsidR="00EC0675" w:rsidRPr="00F00926" w:rsidRDefault="00EC0675" w:rsidP="00A1796F">
            <w:pPr>
              <w:keepNext/>
              <w:keepLines/>
              <w:cnfStyle w:val="000000000000" w:firstRow="0" w:lastRow="0" w:firstColumn="0" w:lastColumn="0" w:oddVBand="0" w:evenVBand="0" w:oddHBand="0" w:evenHBand="0" w:firstRowFirstColumn="0" w:firstRowLastColumn="0" w:lastRowFirstColumn="0" w:lastRowLastColumn="0"/>
            </w:pPr>
            <w:r w:rsidRPr="00F00926">
              <w:t xml:space="preserve">Including </w:t>
            </w:r>
            <w:r w:rsidR="00A1796F">
              <w:t xml:space="preserve">draft </w:t>
            </w:r>
            <w:r w:rsidRPr="00F00926">
              <w:t xml:space="preserve">strategy and </w:t>
            </w:r>
            <w:r w:rsidR="00A1796F">
              <w:t xml:space="preserve">draft </w:t>
            </w:r>
            <w:r w:rsidR="00A1796F" w:rsidRPr="00F00926">
              <w:t xml:space="preserve">implementation </w:t>
            </w:r>
            <w:r w:rsidR="00A1796F">
              <w:t>plan</w:t>
            </w:r>
          </w:p>
        </w:tc>
      </w:tr>
      <w:tr w:rsidR="00EC0675" w:rsidRPr="00F00926" w:rsidTr="00750DDD">
        <w:tc>
          <w:tcPr>
            <w:cnfStyle w:val="001000000000" w:firstRow="0" w:lastRow="0" w:firstColumn="1" w:lastColumn="0" w:oddVBand="0" w:evenVBand="0" w:oddHBand="0" w:evenHBand="0" w:firstRowFirstColumn="0" w:firstRowLastColumn="0" w:lastRowFirstColumn="0" w:lastRowLastColumn="0"/>
            <w:tcW w:w="2155" w:type="dxa"/>
          </w:tcPr>
          <w:p w:rsidR="00EC0675" w:rsidRDefault="00EC0675" w:rsidP="0058137F">
            <w:pPr>
              <w:keepNext/>
              <w:keepLines/>
              <w:rPr>
                <w:b w:val="0"/>
              </w:rPr>
            </w:pPr>
            <w:r>
              <w:rPr>
                <w:b w:val="0"/>
              </w:rPr>
              <w:t xml:space="preserve">Staff </w:t>
            </w:r>
            <w:r w:rsidR="0058137F">
              <w:rPr>
                <w:b w:val="0"/>
              </w:rPr>
              <w:t xml:space="preserve">and parties review </w:t>
            </w:r>
          </w:p>
        </w:tc>
        <w:tc>
          <w:tcPr>
            <w:tcW w:w="1710" w:type="dxa"/>
          </w:tcPr>
          <w:p w:rsidR="00EC0675" w:rsidRDefault="00EC0675" w:rsidP="008D75C8">
            <w:pPr>
              <w:keepNext/>
              <w:keepLines/>
              <w:jc w:val="center"/>
              <w:cnfStyle w:val="000000000000" w:firstRow="0" w:lastRow="0" w:firstColumn="0" w:lastColumn="0" w:oddVBand="0" w:evenVBand="0" w:oddHBand="0" w:evenHBand="0" w:firstRowFirstColumn="0" w:firstRowLastColumn="0" w:lastRowFirstColumn="0" w:lastRowLastColumn="0"/>
            </w:pPr>
            <w:r>
              <w:t>May</w:t>
            </w:r>
            <w:r w:rsidR="008D75C8">
              <w:t xml:space="preserve"> </w:t>
            </w:r>
            <w:r>
              <w:t>2016</w:t>
            </w:r>
          </w:p>
        </w:tc>
        <w:tc>
          <w:tcPr>
            <w:tcW w:w="5485" w:type="dxa"/>
          </w:tcPr>
          <w:p w:rsidR="00EC0675" w:rsidRDefault="00A1796F" w:rsidP="00A1796F">
            <w:pPr>
              <w:keepNext/>
              <w:keepLines/>
              <w:cnfStyle w:val="000000000000" w:firstRow="0" w:lastRow="0" w:firstColumn="0" w:lastColumn="0" w:oddVBand="0" w:evenVBand="0" w:oddHBand="0" w:evenHBand="0" w:firstRowFirstColumn="0" w:firstRowLastColumn="0" w:lastRowFirstColumn="0" w:lastRowLastColumn="0"/>
            </w:pPr>
            <w:r>
              <w:t>Comments on draft</w:t>
            </w:r>
          </w:p>
        </w:tc>
      </w:tr>
      <w:tr w:rsidR="00EC0675" w:rsidRPr="00F00926" w:rsidTr="00750DDD">
        <w:tc>
          <w:tcPr>
            <w:cnfStyle w:val="001000000000" w:firstRow="0" w:lastRow="0" w:firstColumn="1" w:lastColumn="0" w:oddVBand="0" w:evenVBand="0" w:oddHBand="0" w:evenHBand="0" w:firstRowFirstColumn="0" w:firstRowLastColumn="0" w:lastRowFirstColumn="0" w:lastRowLastColumn="0"/>
            <w:tcW w:w="2155" w:type="dxa"/>
          </w:tcPr>
          <w:p w:rsidR="00EC0675" w:rsidRPr="00F00926" w:rsidRDefault="00EC0675" w:rsidP="0058137F">
            <w:pPr>
              <w:keepNext/>
              <w:keepLines/>
              <w:rPr>
                <w:b w:val="0"/>
              </w:rPr>
            </w:pPr>
            <w:r>
              <w:rPr>
                <w:b w:val="0"/>
              </w:rPr>
              <w:t xml:space="preserve">Design </w:t>
            </w:r>
            <w:r w:rsidR="0058137F">
              <w:rPr>
                <w:b w:val="0"/>
              </w:rPr>
              <w:t xml:space="preserve">and </w:t>
            </w:r>
            <w:r>
              <w:rPr>
                <w:b w:val="0"/>
              </w:rPr>
              <w:t xml:space="preserve">file </w:t>
            </w:r>
            <w:r w:rsidR="00C32C0A">
              <w:rPr>
                <w:b w:val="0"/>
              </w:rPr>
              <w:t>formal</w:t>
            </w:r>
            <w:r>
              <w:rPr>
                <w:b w:val="0"/>
              </w:rPr>
              <w:t xml:space="preserve"> strategy</w:t>
            </w:r>
            <w:r w:rsidR="00A1796F">
              <w:rPr>
                <w:b w:val="0"/>
              </w:rPr>
              <w:t xml:space="preserve"> w</w:t>
            </w:r>
            <w:r w:rsidR="000D09E6">
              <w:rPr>
                <w:b w:val="0"/>
              </w:rPr>
              <w:t>ith</w:t>
            </w:r>
            <w:r w:rsidR="00A1796F">
              <w:rPr>
                <w:b w:val="0"/>
              </w:rPr>
              <w:t xml:space="preserve"> PGA</w:t>
            </w:r>
          </w:p>
        </w:tc>
        <w:tc>
          <w:tcPr>
            <w:tcW w:w="1710" w:type="dxa"/>
          </w:tcPr>
          <w:p w:rsidR="00A1796F" w:rsidRDefault="00A1796F" w:rsidP="00A1796F">
            <w:pPr>
              <w:keepNext/>
              <w:keepLines/>
              <w:jc w:val="center"/>
              <w:cnfStyle w:val="000000000000" w:firstRow="0" w:lastRow="0" w:firstColumn="0" w:lastColumn="0" w:oddVBand="0" w:evenVBand="0" w:oddHBand="0" w:evenHBand="0" w:firstRowFirstColumn="0" w:firstRowLastColumn="0" w:lastRowFirstColumn="0" w:lastRowLastColumn="0"/>
            </w:pPr>
            <w:r>
              <w:t>F</w:t>
            </w:r>
            <w:r w:rsidRPr="00A1796F">
              <w:t xml:space="preserve">ile </w:t>
            </w:r>
            <w:r w:rsidR="00EC0675">
              <w:t>PGA</w:t>
            </w:r>
            <w:r>
              <w:t>:</w:t>
            </w:r>
            <w:r w:rsidR="00EC0675">
              <w:t xml:space="preserve"> </w:t>
            </w:r>
          </w:p>
          <w:p w:rsidR="00EC0675" w:rsidRPr="00F00926" w:rsidRDefault="00A1796F" w:rsidP="008D75C8">
            <w:pPr>
              <w:keepNext/>
              <w:keepLines/>
              <w:jc w:val="center"/>
              <w:cnfStyle w:val="000000000000" w:firstRow="0" w:lastRow="0" w:firstColumn="0" w:lastColumn="0" w:oddVBand="0" w:evenVBand="0" w:oddHBand="0" w:evenHBand="0" w:firstRowFirstColumn="0" w:firstRowLastColumn="0" w:lastRowFirstColumn="0" w:lastRowLastColumn="0"/>
            </w:pPr>
            <w:r>
              <w:t>Sep</w:t>
            </w:r>
            <w:r w:rsidR="008D75C8">
              <w:t xml:space="preserve">t. </w:t>
            </w:r>
            <w:r>
              <w:t>1</w:t>
            </w:r>
            <w:r w:rsidR="008D75C8">
              <w:t xml:space="preserve">, </w:t>
            </w:r>
            <w:r w:rsidR="00EC0675">
              <w:t>2016</w:t>
            </w:r>
          </w:p>
        </w:tc>
        <w:tc>
          <w:tcPr>
            <w:tcW w:w="5485" w:type="dxa"/>
          </w:tcPr>
          <w:p w:rsidR="00EC0675" w:rsidRPr="00F00926" w:rsidRDefault="00C32C0A" w:rsidP="0058137F">
            <w:pPr>
              <w:keepNext/>
              <w:keepLines/>
              <w:cnfStyle w:val="000000000000" w:firstRow="0" w:lastRow="0" w:firstColumn="0" w:lastColumn="0" w:oddVBand="0" w:evenVBand="0" w:oddHBand="0" w:evenHBand="0" w:firstRowFirstColumn="0" w:firstRowLastColumn="0" w:lastRowFirstColumn="0" w:lastRowLastColumn="0"/>
            </w:pPr>
            <w:r>
              <w:t>First intended strategy</w:t>
            </w:r>
            <w:r w:rsidR="00EC0675" w:rsidRPr="00F00926">
              <w:t>: Reduce programmatic ratio; initiate defensive protocols</w:t>
            </w:r>
            <w:r w:rsidR="00A1796F">
              <w:t xml:space="preserve"> </w:t>
            </w:r>
            <w:r w:rsidR="0058137F">
              <w:t>and</w:t>
            </w:r>
            <w:r w:rsidR="0058137F" w:rsidRPr="00F00926">
              <w:t xml:space="preserve"> </w:t>
            </w:r>
            <w:r w:rsidR="00EC0675" w:rsidRPr="00F00926">
              <w:t>contingent protocols</w:t>
            </w:r>
          </w:p>
        </w:tc>
      </w:tr>
      <w:tr w:rsidR="00CC3344" w:rsidRPr="00F00926" w:rsidTr="00750DDD">
        <w:tc>
          <w:tcPr>
            <w:cnfStyle w:val="001000000000" w:firstRow="0" w:lastRow="0" w:firstColumn="1" w:lastColumn="0" w:oddVBand="0" w:evenVBand="0" w:oddHBand="0" w:evenHBand="0" w:firstRowFirstColumn="0" w:firstRowLastColumn="0" w:lastRowFirstColumn="0" w:lastRowLastColumn="0"/>
            <w:tcW w:w="2155" w:type="dxa"/>
          </w:tcPr>
          <w:p w:rsidR="00EC0675" w:rsidRDefault="00C32C0A" w:rsidP="0058137F">
            <w:pPr>
              <w:keepNext/>
              <w:keepLines/>
              <w:rPr>
                <w:b w:val="0"/>
              </w:rPr>
            </w:pPr>
            <w:r>
              <w:rPr>
                <w:b w:val="0"/>
              </w:rPr>
              <w:t xml:space="preserve">PGA review, ex </w:t>
            </w:r>
            <w:r w:rsidR="0058137F">
              <w:rPr>
                <w:b w:val="0"/>
              </w:rPr>
              <w:t xml:space="preserve">hedge </w:t>
            </w:r>
            <w:r>
              <w:rPr>
                <w:b w:val="0"/>
              </w:rPr>
              <w:t>plan</w:t>
            </w:r>
          </w:p>
        </w:tc>
        <w:tc>
          <w:tcPr>
            <w:tcW w:w="1710" w:type="dxa"/>
          </w:tcPr>
          <w:p w:rsidR="00EC0675" w:rsidRDefault="00A1796F" w:rsidP="008D75C8">
            <w:pPr>
              <w:keepNext/>
              <w:keepLines/>
              <w:jc w:val="center"/>
              <w:cnfStyle w:val="000000000000" w:firstRow="0" w:lastRow="0" w:firstColumn="0" w:lastColumn="0" w:oddVBand="0" w:evenVBand="0" w:oddHBand="0" w:evenHBand="0" w:firstRowFirstColumn="0" w:firstRowLastColumn="0" w:lastRowFirstColumn="0" w:lastRowLastColumn="0"/>
            </w:pPr>
            <w:r>
              <w:t>Oct</w:t>
            </w:r>
            <w:r w:rsidR="008D75C8">
              <w:t xml:space="preserve">. </w:t>
            </w:r>
            <w:r>
              <w:t>21</w:t>
            </w:r>
            <w:r w:rsidR="008D75C8">
              <w:t xml:space="preserve">, </w:t>
            </w:r>
            <w:r>
              <w:t>2016</w:t>
            </w:r>
          </w:p>
        </w:tc>
        <w:tc>
          <w:tcPr>
            <w:tcW w:w="5485" w:type="dxa"/>
          </w:tcPr>
          <w:p w:rsidR="00EC0675" w:rsidRDefault="00A1796F" w:rsidP="0058137F">
            <w:pPr>
              <w:keepNext/>
              <w:keepLines/>
              <w:cnfStyle w:val="000000000000" w:firstRow="0" w:lastRow="0" w:firstColumn="0" w:lastColumn="0" w:oddVBand="0" w:evenVBand="0" w:oddHBand="0" w:evenHBand="0" w:firstRowFirstColumn="0" w:firstRowLastColumn="0" w:lastRowFirstColumn="0" w:lastRowLastColumn="0"/>
            </w:pPr>
            <w:r>
              <w:t xml:space="preserve">Tariffs effective </w:t>
            </w:r>
            <w:r w:rsidR="0058137F">
              <w:t xml:space="preserve">Nov. </w:t>
            </w:r>
            <w:r>
              <w:t>1</w:t>
            </w:r>
          </w:p>
        </w:tc>
      </w:tr>
      <w:tr w:rsidR="00EC0675" w:rsidRPr="00F00926" w:rsidTr="00750DDD">
        <w:tc>
          <w:tcPr>
            <w:cnfStyle w:val="001000000000" w:firstRow="0" w:lastRow="0" w:firstColumn="1" w:lastColumn="0" w:oddVBand="0" w:evenVBand="0" w:oddHBand="0" w:evenHBand="0" w:firstRowFirstColumn="0" w:firstRowLastColumn="0" w:lastRowFirstColumn="0" w:lastRowLastColumn="0"/>
            <w:tcW w:w="2155" w:type="dxa"/>
          </w:tcPr>
          <w:p w:rsidR="00EC0675" w:rsidRPr="00F00926" w:rsidRDefault="00C32C0A" w:rsidP="00C32C0A">
            <w:pPr>
              <w:keepNext/>
              <w:keepLines/>
              <w:rPr>
                <w:b w:val="0"/>
              </w:rPr>
            </w:pPr>
            <w:r w:rsidRPr="00C32C0A">
              <w:rPr>
                <w:b w:val="0"/>
              </w:rPr>
              <w:t>PGA</w:t>
            </w:r>
            <w:r>
              <w:rPr>
                <w:b w:val="0"/>
              </w:rPr>
              <w:t xml:space="preserve"> </w:t>
            </w:r>
            <w:r w:rsidR="00F556B6">
              <w:rPr>
                <w:b w:val="0"/>
              </w:rPr>
              <w:t>h</w:t>
            </w:r>
            <w:r w:rsidRPr="00C32C0A">
              <w:rPr>
                <w:b w:val="0"/>
              </w:rPr>
              <w:t>edge plan review</w:t>
            </w:r>
            <w:r w:rsidR="00F556B6">
              <w:rPr>
                <w:b w:val="0"/>
              </w:rPr>
              <w:t xml:space="preserve"> complete</w:t>
            </w:r>
          </w:p>
        </w:tc>
        <w:tc>
          <w:tcPr>
            <w:tcW w:w="1710" w:type="dxa"/>
          </w:tcPr>
          <w:p w:rsidR="00EC0675" w:rsidRPr="00F00926" w:rsidRDefault="00A1796F" w:rsidP="008D75C8">
            <w:pPr>
              <w:keepNext/>
              <w:keepLines/>
              <w:jc w:val="center"/>
              <w:cnfStyle w:val="000000000000" w:firstRow="0" w:lastRow="0" w:firstColumn="0" w:lastColumn="0" w:oddVBand="0" w:evenVBand="0" w:oddHBand="0" w:evenHBand="0" w:firstRowFirstColumn="0" w:firstRowLastColumn="0" w:lastRowFirstColumn="0" w:lastRowLastColumn="0"/>
            </w:pPr>
            <w:r>
              <w:t>Dec</w:t>
            </w:r>
            <w:r w:rsidR="008D75C8">
              <w:t xml:space="preserve">. </w:t>
            </w:r>
            <w:r>
              <w:t>10</w:t>
            </w:r>
            <w:r w:rsidR="008D75C8">
              <w:t xml:space="preserve">, </w:t>
            </w:r>
            <w:r>
              <w:t>2016</w:t>
            </w:r>
          </w:p>
        </w:tc>
        <w:tc>
          <w:tcPr>
            <w:tcW w:w="5485" w:type="dxa"/>
          </w:tcPr>
          <w:p w:rsidR="00EC0675" w:rsidRPr="00F00926" w:rsidRDefault="00F556B6" w:rsidP="00F556B6">
            <w:pPr>
              <w:keepNext/>
              <w:keepLines/>
              <w:cnfStyle w:val="000000000000" w:firstRow="0" w:lastRow="0" w:firstColumn="0" w:lastColumn="0" w:oddVBand="0" w:evenVBand="0" w:oddHBand="0" w:evenHBand="0" w:firstRowFirstColumn="0" w:firstRowLastColumn="0" w:lastRowFirstColumn="0" w:lastRowLastColumn="0"/>
            </w:pPr>
            <w:r>
              <w:t>Prudence criteria framework to be specified</w:t>
            </w:r>
          </w:p>
        </w:tc>
      </w:tr>
      <w:tr w:rsidR="00CC3344" w:rsidRPr="00F00926" w:rsidTr="00750DDD">
        <w:tc>
          <w:tcPr>
            <w:cnfStyle w:val="001000000000" w:firstRow="0" w:lastRow="0" w:firstColumn="1" w:lastColumn="0" w:oddVBand="0" w:evenVBand="0" w:oddHBand="0" w:evenHBand="0" w:firstRowFirstColumn="0" w:firstRowLastColumn="0" w:lastRowFirstColumn="0" w:lastRowLastColumn="0"/>
            <w:tcW w:w="2155" w:type="dxa"/>
          </w:tcPr>
          <w:p w:rsidR="00F556B6" w:rsidRDefault="00F556B6" w:rsidP="002760DD">
            <w:pPr>
              <w:keepNext/>
              <w:keepLines/>
              <w:rPr>
                <w:b w:val="0"/>
              </w:rPr>
            </w:pPr>
            <w:r>
              <w:rPr>
                <w:b w:val="0"/>
              </w:rPr>
              <w:t>Implement first new strategy</w:t>
            </w:r>
          </w:p>
        </w:tc>
        <w:tc>
          <w:tcPr>
            <w:tcW w:w="1710" w:type="dxa"/>
          </w:tcPr>
          <w:p w:rsidR="00F556B6" w:rsidRPr="00F00926" w:rsidRDefault="00F556B6" w:rsidP="008D75C8">
            <w:pPr>
              <w:keepNext/>
              <w:keepLines/>
              <w:jc w:val="center"/>
              <w:cnfStyle w:val="000000000000" w:firstRow="0" w:lastRow="0" w:firstColumn="0" w:lastColumn="0" w:oddVBand="0" w:evenVBand="0" w:oddHBand="0" w:evenHBand="0" w:firstRowFirstColumn="0" w:firstRowLastColumn="0" w:lastRowFirstColumn="0" w:lastRowLastColumn="0"/>
            </w:pPr>
            <w:r>
              <w:t>Jan</w:t>
            </w:r>
            <w:r w:rsidR="008D75C8">
              <w:t xml:space="preserve">. </w:t>
            </w:r>
            <w:r>
              <w:t>1</w:t>
            </w:r>
            <w:r w:rsidR="008D75C8">
              <w:t xml:space="preserve">, </w:t>
            </w:r>
            <w:r>
              <w:t>2017</w:t>
            </w:r>
          </w:p>
        </w:tc>
        <w:tc>
          <w:tcPr>
            <w:tcW w:w="5485" w:type="dxa"/>
          </w:tcPr>
          <w:p w:rsidR="00F556B6" w:rsidRPr="00F00926" w:rsidRDefault="00F556B6" w:rsidP="00F00926">
            <w:pPr>
              <w:keepNext/>
              <w:keepLines/>
              <w:cnfStyle w:val="000000000000" w:firstRow="0" w:lastRow="0" w:firstColumn="0" w:lastColumn="0" w:oddVBand="0" w:evenVBand="0" w:oddHBand="0" w:evenHBand="0" w:firstRowFirstColumn="0" w:firstRowLastColumn="0" w:lastRowFirstColumn="0" w:lastRowLastColumn="0"/>
            </w:pPr>
          </w:p>
        </w:tc>
      </w:tr>
      <w:tr w:rsidR="00EC0675" w:rsidRPr="00F00926" w:rsidTr="00750DDD">
        <w:tc>
          <w:tcPr>
            <w:cnfStyle w:val="001000000000" w:firstRow="0" w:lastRow="0" w:firstColumn="1" w:lastColumn="0" w:oddVBand="0" w:evenVBand="0" w:oddHBand="0" w:evenHBand="0" w:firstRowFirstColumn="0" w:firstRowLastColumn="0" w:lastRowFirstColumn="0" w:lastRowLastColumn="0"/>
            <w:tcW w:w="2155" w:type="dxa"/>
          </w:tcPr>
          <w:p w:rsidR="00EC0675" w:rsidRPr="00F00926" w:rsidRDefault="00A1796F" w:rsidP="002760DD">
            <w:pPr>
              <w:keepNext/>
              <w:keepLines/>
              <w:rPr>
                <w:b w:val="0"/>
              </w:rPr>
            </w:pPr>
            <w:r>
              <w:rPr>
                <w:b w:val="0"/>
              </w:rPr>
              <w:t>Full strategy implementation</w:t>
            </w:r>
          </w:p>
        </w:tc>
        <w:tc>
          <w:tcPr>
            <w:tcW w:w="1710" w:type="dxa"/>
          </w:tcPr>
          <w:p w:rsidR="00EC0675" w:rsidRPr="00F00926" w:rsidRDefault="00F556B6" w:rsidP="008D75C8">
            <w:pPr>
              <w:keepNext/>
              <w:keepLines/>
              <w:jc w:val="center"/>
              <w:cnfStyle w:val="000000000000" w:firstRow="0" w:lastRow="0" w:firstColumn="0" w:lastColumn="0" w:oddVBand="0" w:evenVBand="0" w:oddHBand="0" w:evenHBand="0" w:firstRowFirstColumn="0" w:firstRowLastColumn="0" w:lastRowFirstColumn="0" w:lastRowLastColumn="0"/>
            </w:pPr>
            <w:r>
              <w:t>Jan</w:t>
            </w:r>
            <w:r w:rsidR="008D75C8">
              <w:t xml:space="preserve">. </w:t>
            </w:r>
            <w:r>
              <w:t>1</w:t>
            </w:r>
            <w:r w:rsidR="008D75C8">
              <w:t xml:space="preserve">, </w:t>
            </w:r>
            <w:r>
              <w:t>2018</w:t>
            </w:r>
          </w:p>
        </w:tc>
        <w:tc>
          <w:tcPr>
            <w:tcW w:w="5485" w:type="dxa"/>
          </w:tcPr>
          <w:p w:rsidR="00EC0675" w:rsidRPr="00F00926" w:rsidRDefault="00F556B6" w:rsidP="008D75C8">
            <w:pPr>
              <w:keepNext/>
              <w:keepLines/>
              <w:cnfStyle w:val="000000000000" w:firstRow="0" w:lastRow="0" w:firstColumn="0" w:lastColumn="0" w:oddVBand="0" w:evenVBand="0" w:oddHBand="0" w:evenHBand="0" w:firstRowFirstColumn="0" w:firstRowLastColumn="0" w:lastRowFirstColumn="0" w:lastRowLastColumn="0"/>
            </w:pPr>
            <w:r>
              <w:t>Follow similar schedule for 2017 PGA;  implement full strategies by Jan</w:t>
            </w:r>
            <w:r w:rsidR="008D75C8">
              <w:t xml:space="preserve">. </w:t>
            </w:r>
            <w:r>
              <w:t>1</w:t>
            </w:r>
            <w:r w:rsidR="008D75C8">
              <w:t xml:space="preserve">, </w:t>
            </w:r>
            <w:r>
              <w:t>2018</w:t>
            </w:r>
          </w:p>
        </w:tc>
      </w:tr>
    </w:tbl>
    <w:p w:rsidR="00E1307E" w:rsidRDefault="00EA692A" w:rsidP="00EA692A">
      <w:pPr>
        <w:pStyle w:val="Heading1"/>
      </w:pPr>
      <w:bookmarkStart w:id="44" w:name="_Toc411341387"/>
      <w:bookmarkStart w:id="45" w:name="_Toc424039098"/>
      <w:r>
        <w:t>Closing Comments</w:t>
      </w:r>
      <w:bookmarkEnd w:id="44"/>
      <w:bookmarkEnd w:id="45"/>
    </w:p>
    <w:p w:rsidR="008F22A4" w:rsidRDefault="008D75C8" w:rsidP="003F249C">
      <w:pPr>
        <w:spacing w:after="120"/>
        <w:rPr>
          <w:sz w:val="24"/>
          <w:szCs w:val="24"/>
        </w:rPr>
      </w:pPr>
      <w:r>
        <w:rPr>
          <w:sz w:val="24"/>
          <w:szCs w:val="24"/>
        </w:rPr>
        <w:t>This paper is intended to be</w:t>
      </w:r>
      <w:r w:rsidR="00CB3B70" w:rsidRPr="003F249C">
        <w:rPr>
          <w:sz w:val="24"/>
          <w:szCs w:val="24"/>
        </w:rPr>
        <w:t xml:space="preserve"> a catalyst for discussion</w:t>
      </w:r>
      <w:r w:rsidR="007A0C95" w:rsidRPr="003F249C">
        <w:rPr>
          <w:sz w:val="24"/>
          <w:szCs w:val="24"/>
        </w:rPr>
        <w:t xml:space="preserve"> </w:t>
      </w:r>
      <w:r w:rsidR="00F85288">
        <w:rPr>
          <w:sz w:val="24"/>
          <w:szCs w:val="24"/>
        </w:rPr>
        <w:t>that</w:t>
      </w:r>
      <w:r w:rsidR="00F85288" w:rsidRPr="003F249C">
        <w:rPr>
          <w:sz w:val="24"/>
          <w:szCs w:val="24"/>
        </w:rPr>
        <w:t xml:space="preserve"> </w:t>
      </w:r>
      <w:r w:rsidR="009D6889" w:rsidRPr="003F249C">
        <w:rPr>
          <w:sz w:val="24"/>
          <w:szCs w:val="24"/>
        </w:rPr>
        <w:t>help</w:t>
      </w:r>
      <w:r w:rsidR="00F85288">
        <w:rPr>
          <w:sz w:val="24"/>
          <w:szCs w:val="24"/>
        </w:rPr>
        <w:t>s</w:t>
      </w:r>
      <w:r w:rsidR="009D6889" w:rsidRPr="003F249C">
        <w:rPr>
          <w:sz w:val="24"/>
          <w:szCs w:val="24"/>
        </w:rPr>
        <w:t xml:space="preserve"> guide</w:t>
      </w:r>
      <w:r w:rsidR="007A0C95" w:rsidRPr="003F249C">
        <w:rPr>
          <w:sz w:val="24"/>
          <w:szCs w:val="24"/>
        </w:rPr>
        <w:t xml:space="preserve"> </w:t>
      </w:r>
      <w:r w:rsidR="00081499" w:rsidRPr="003F249C">
        <w:rPr>
          <w:sz w:val="24"/>
          <w:szCs w:val="24"/>
        </w:rPr>
        <w:t xml:space="preserve">all parties </w:t>
      </w:r>
      <w:r w:rsidR="007A0C95" w:rsidRPr="003F249C">
        <w:rPr>
          <w:sz w:val="24"/>
          <w:szCs w:val="24"/>
        </w:rPr>
        <w:t xml:space="preserve">toward a consensus </w:t>
      </w:r>
      <w:r>
        <w:rPr>
          <w:sz w:val="24"/>
          <w:szCs w:val="24"/>
        </w:rPr>
        <w:t>about</w:t>
      </w:r>
      <w:r w:rsidRPr="003F249C">
        <w:rPr>
          <w:sz w:val="24"/>
          <w:szCs w:val="24"/>
        </w:rPr>
        <w:t xml:space="preserve"> </w:t>
      </w:r>
      <w:r w:rsidR="007A0C95" w:rsidRPr="003F249C">
        <w:rPr>
          <w:sz w:val="24"/>
          <w:szCs w:val="24"/>
        </w:rPr>
        <w:t>improvements that are consistent with the needs of all stakeholders</w:t>
      </w:r>
      <w:r w:rsidR="00CB3B70" w:rsidRPr="003F249C">
        <w:rPr>
          <w:sz w:val="24"/>
          <w:szCs w:val="24"/>
        </w:rPr>
        <w:t xml:space="preserve">. The goal is to establish a clear regulatory compact </w:t>
      </w:r>
      <w:r w:rsidR="007A0C95" w:rsidRPr="003F249C">
        <w:rPr>
          <w:sz w:val="24"/>
          <w:szCs w:val="24"/>
        </w:rPr>
        <w:t xml:space="preserve">that enables </w:t>
      </w:r>
      <w:proofErr w:type="gramStart"/>
      <w:r w:rsidR="007A0C95" w:rsidRPr="003F249C">
        <w:rPr>
          <w:sz w:val="24"/>
          <w:szCs w:val="24"/>
        </w:rPr>
        <w:t xml:space="preserve">more robust </w:t>
      </w:r>
      <w:r w:rsidR="00CB3B70" w:rsidRPr="003F249C">
        <w:rPr>
          <w:sz w:val="24"/>
          <w:szCs w:val="24"/>
        </w:rPr>
        <w:t xml:space="preserve">natural gas hedging </w:t>
      </w:r>
      <w:r w:rsidR="007A0C95" w:rsidRPr="003F249C">
        <w:rPr>
          <w:sz w:val="24"/>
          <w:szCs w:val="24"/>
        </w:rPr>
        <w:t xml:space="preserve">practices </w:t>
      </w:r>
      <w:r w:rsidR="00DD6538">
        <w:rPr>
          <w:sz w:val="24"/>
          <w:szCs w:val="24"/>
        </w:rPr>
        <w:t xml:space="preserve">by </w:t>
      </w:r>
      <w:r w:rsidR="00566E47">
        <w:rPr>
          <w:sz w:val="24"/>
          <w:szCs w:val="24"/>
        </w:rPr>
        <w:t xml:space="preserve">Washington’s </w:t>
      </w:r>
      <w:r w:rsidR="00DD6538">
        <w:rPr>
          <w:sz w:val="24"/>
          <w:szCs w:val="24"/>
        </w:rPr>
        <w:t>investor-owned uti</w:t>
      </w:r>
      <w:r w:rsidR="008F22A4">
        <w:rPr>
          <w:sz w:val="24"/>
          <w:szCs w:val="24"/>
        </w:rPr>
        <w:t>lities while providing benefits to consumers and common understanding for regulatory oversight</w:t>
      </w:r>
      <w:proofErr w:type="gramEnd"/>
      <w:r w:rsidR="008F22A4">
        <w:rPr>
          <w:sz w:val="24"/>
          <w:szCs w:val="24"/>
        </w:rPr>
        <w:t>.</w:t>
      </w:r>
      <w:r w:rsidR="00D27F60" w:rsidRPr="00566E47">
        <w:rPr>
          <w:sz w:val="24"/>
          <w:szCs w:val="24"/>
        </w:rPr>
        <w:t xml:space="preserve"> </w:t>
      </w:r>
    </w:p>
    <w:p w:rsidR="006F3C3D" w:rsidRPr="003F249C" w:rsidRDefault="00961576" w:rsidP="003F249C">
      <w:pPr>
        <w:spacing w:after="120"/>
        <w:rPr>
          <w:sz w:val="24"/>
          <w:szCs w:val="24"/>
        </w:rPr>
      </w:pPr>
      <w:r w:rsidRPr="003F249C">
        <w:rPr>
          <w:sz w:val="24"/>
          <w:szCs w:val="24"/>
        </w:rPr>
        <w:t>We</w:t>
      </w:r>
      <w:r w:rsidR="007A0C95" w:rsidRPr="003F249C">
        <w:rPr>
          <w:sz w:val="24"/>
          <w:szCs w:val="24"/>
        </w:rPr>
        <w:t xml:space="preserve"> look forward to the workshop and discussions to follow</w:t>
      </w:r>
      <w:r w:rsidR="00CB3B70" w:rsidRPr="003F249C">
        <w:rPr>
          <w:sz w:val="24"/>
          <w:szCs w:val="24"/>
        </w:rPr>
        <w:t xml:space="preserve">.  </w:t>
      </w:r>
    </w:p>
    <w:p w:rsidR="00D35358" w:rsidRDefault="00D35358" w:rsidP="00D44A51">
      <w:pPr>
        <w:spacing w:after="120"/>
        <w:jc w:val="both"/>
        <w:sectPr w:rsidR="00D35358" w:rsidSect="00845B9D">
          <w:footerReference w:type="default" r:id="rId24"/>
          <w:pgSz w:w="12240" w:h="15840"/>
          <w:pgMar w:top="1440" w:right="1440" w:bottom="1440" w:left="1440" w:header="720" w:footer="720" w:gutter="0"/>
          <w:pgBorders w:offsetFrom="page">
            <w:top w:val="single" w:sz="4" w:space="24" w:color="548DD4" w:themeColor="text2" w:themeTint="99"/>
            <w:bottom w:val="single" w:sz="4" w:space="24" w:color="548DD4" w:themeColor="text2" w:themeTint="99"/>
          </w:pgBorders>
          <w:cols w:space="720"/>
          <w:docGrid w:linePitch="360"/>
        </w:sectPr>
      </w:pPr>
    </w:p>
    <w:p w:rsidR="006F3C3D" w:rsidRDefault="006F3C3D" w:rsidP="00D44A51">
      <w:pPr>
        <w:spacing w:after="120"/>
        <w:jc w:val="both"/>
      </w:pPr>
    </w:p>
    <w:p w:rsidR="004C7D56" w:rsidRPr="000269F1" w:rsidRDefault="004C7D56" w:rsidP="00D44A51">
      <w:pPr>
        <w:spacing w:after="120"/>
        <w:jc w:val="both"/>
      </w:pPr>
    </w:p>
    <w:p w:rsidR="00AC2AEE" w:rsidRDefault="00AC2AEE" w:rsidP="00244E71">
      <w:pPr>
        <w:pStyle w:val="Heading1"/>
      </w:pPr>
    </w:p>
    <w:p w:rsidR="00AC2AEE" w:rsidRDefault="00AC2AEE" w:rsidP="00244E71">
      <w:pPr>
        <w:pStyle w:val="Heading1"/>
      </w:pPr>
    </w:p>
    <w:p w:rsidR="00AC2AEE" w:rsidRDefault="00AC2AEE" w:rsidP="00244E71">
      <w:pPr>
        <w:pStyle w:val="Heading1"/>
      </w:pPr>
    </w:p>
    <w:p w:rsidR="00AC2AEE" w:rsidRDefault="00AC2AEE" w:rsidP="00244E71">
      <w:pPr>
        <w:pStyle w:val="Heading1"/>
      </w:pPr>
    </w:p>
    <w:p w:rsidR="00AC2AEE" w:rsidRDefault="00AC2AEE" w:rsidP="00244E71">
      <w:pPr>
        <w:pStyle w:val="Heading1"/>
      </w:pPr>
    </w:p>
    <w:p w:rsidR="00C53FBC" w:rsidRDefault="00C53FBC" w:rsidP="00244E71">
      <w:pPr>
        <w:pStyle w:val="Heading1"/>
      </w:pPr>
      <w:bookmarkStart w:id="46" w:name="_Toc424039099"/>
      <w:r w:rsidRPr="00AC2AEE">
        <w:rPr>
          <w:b/>
        </w:rPr>
        <w:t>Appendix A</w:t>
      </w:r>
      <w:r w:rsidRPr="000269F1">
        <w:t>:  Commission Staff Report</w:t>
      </w:r>
      <w:r w:rsidR="00AC2AEE">
        <w:t xml:space="preserve"> Attachment B (</w:t>
      </w:r>
      <w:r w:rsidR="00AC2AEE" w:rsidRPr="000269F1">
        <w:t>March 1, 2013</w:t>
      </w:r>
      <w:r w:rsidR="00AC2AEE">
        <w:t>)</w:t>
      </w:r>
      <w:bookmarkEnd w:id="46"/>
    </w:p>
    <w:p w:rsidR="009058EE" w:rsidRDefault="009058EE" w:rsidP="00D35358">
      <w:pPr>
        <w:pBdr>
          <w:top w:val="single" w:sz="4" w:space="0" w:color="auto"/>
        </w:pBdr>
        <w:tabs>
          <w:tab w:val="left" w:pos="1440"/>
        </w:tabs>
        <w:spacing w:after="120"/>
        <w:jc w:val="both"/>
      </w:pPr>
    </w:p>
    <w:p w:rsidR="00A77866" w:rsidRDefault="00A77866" w:rsidP="00430768">
      <w:pPr>
        <w:pBdr>
          <w:top w:val="single" w:sz="4" w:space="1" w:color="auto"/>
        </w:pBdr>
        <w:tabs>
          <w:tab w:val="left" w:pos="1440"/>
        </w:tabs>
        <w:spacing w:after="120"/>
        <w:jc w:val="both"/>
        <w:sectPr w:rsidR="00A77866" w:rsidSect="00845B9D">
          <w:footerReference w:type="default" r:id="rId25"/>
          <w:type w:val="continuous"/>
          <w:pgSz w:w="12240" w:h="15840"/>
          <w:pgMar w:top="1440" w:right="1440" w:bottom="1440" w:left="1440" w:header="720" w:footer="720" w:gutter="0"/>
          <w:pgBorders w:offsetFrom="page">
            <w:top w:val="single" w:sz="4" w:space="24" w:color="548DD4" w:themeColor="text2" w:themeTint="99"/>
            <w:bottom w:val="single" w:sz="4" w:space="24" w:color="548DD4" w:themeColor="text2" w:themeTint="99"/>
          </w:pgBorders>
          <w:cols w:space="720"/>
          <w:docGrid w:linePitch="360"/>
        </w:sectPr>
      </w:pPr>
    </w:p>
    <w:p w:rsidR="00AC2AEE" w:rsidRDefault="00AC2AEE" w:rsidP="009058EE">
      <w:pPr>
        <w:pStyle w:val="Heading1"/>
        <w:ind w:left="1530" w:hanging="1530"/>
      </w:pPr>
    </w:p>
    <w:p w:rsidR="00AC2AEE" w:rsidRDefault="00AC2AEE" w:rsidP="009058EE">
      <w:pPr>
        <w:pStyle w:val="Heading1"/>
        <w:ind w:left="1530" w:hanging="1530"/>
      </w:pPr>
    </w:p>
    <w:p w:rsidR="00AC2AEE" w:rsidRPr="00AC2AEE" w:rsidRDefault="00AC2AEE" w:rsidP="00AC2AEE"/>
    <w:p w:rsidR="00AC2AEE" w:rsidRDefault="00AC2AEE" w:rsidP="009058EE">
      <w:pPr>
        <w:pStyle w:val="Heading1"/>
        <w:ind w:left="1530" w:hanging="1530"/>
      </w:pPr>
    </w:p>
    <w:p w:rsidR="00AC2AEE" w:rsidRDefault="00AC2AEE" w:rsidP="009058EE">
      <w:pPr>
        <w:pStyle w:val="Heading1"/>
        <w:ind w:left="1530" w:hanging="1530"/>
      </w:pPr>
    </w:p>
    <w:p w:rsidR="00AC2AEE" w:rsidRDefault="00AC2AEE" w:rsidP="009058EE">
      <w:pPr>
        <w:pStyle w:val="Heading1"/>
        <w:ind w:left="1530" w:hanging="1530"/>
      </w:pPr>
    </w:p>
    <w:p w:rsidR="00A77866" w:rsidRDefault="00430768" w:rsidP="009058EE">
      <w:pPr>
        <w:pStyle w:val="Heading1"/>
        <w:ind w:left="1530" w:hanging="1530"/>
      </w:pPr>
      <w:bookmarkStart w:id="47" w:name="_Toc424039100"/>
      <w:r w:rsidRPr="00AC2AEE">
        <w:rPr>
          <w:b/>
        </w:rPr>
        <w:t>Appendix B</w:t>
      </w:r>
      <w:r w:rsidRPr="000269F1">
        <w:t>: December 18, 2013 Notice of Opportunity to File Written Comments</w:t>
      </w:r>
      <w:bookmarkEnd w:id="47"/>
      <w:r w:rsidRPr="000269F1">
        <w:t xml:space="preserve"> </w:t>
      </w:r>
    </w:p>
    <w:p w:rsidR="0012165F" w:rsidRDefault="0012165F" w:rsidP="0012165F">
      <w:pPr>
        <w:sectPr w:rsidR="0012165F" w:rsidSect="00845B9D">
          <w:pgSz w:w="12240" w:h="15840"/>
          <w:pgMar w:top="1440" w:right="1440" w:bottom="1440" w:left="1440" w:header="720" w:footer="720" w:gutter="0"/>
          <w:pgBorders w:offsetFrom="page">
            <w:top w:val="single" w:sz="4" w:space="24" w:color="548DD4" w:themeColor="text2" w:themeTint="99"/>
            <w:bottom w:val="single" w:sz="4" w:space="24" w:color="548DD4" w:themeColor="text2" w:themeTint="99"/>
          </w:pgBorders>
          <w:cols w:space="720"/>
          <w:docGrid w:linePitch="360"/>
        </w:sectPr>
      </w:pPr>
    </w:p>
    <w:p w:rsidR="009737C1" w:rsidRPr="009737C1" w:rsidRDefault="009737C1" w:rsidP="009737C1"/>
    <w:p w:rsidR="00AC2AEE" w:rsidRDefault="00AC2AEE" w:rsidP="008312A7">
      <w:pPr>
        <w:pStyle w:val="Heading1"/>
        <w:spacing w:after="0"/>
        <w:ind w:left="1710" w:hanging="1710"/>
      </w:pPr>
    </w:p>
    <w:p w:rsidR="00AC2AEE" w:rsidRDefault="00AC2AEE" w:rsidP="008312A7">
      <w:pPr>
        <w:pStyle w:val="Heading1"/>
        <w:spacing w:after="0"/>
        <w:ind w:left="1710" w:hanging="1710"/>
      </w:pPr>
    </w:p>
    <w:p w:rsidR="00AC2AEE" w:rsidRDefault="00AC2AEE" w:rsidP="008312A7">
      <w:pPr>
        <w:pStyle w:val="Heading1"/>
        <w:spacing w:after="0"/>
        <w:ind w:left="1710" w:hanging="1710"/>
      </w:pPr>
    </w:p>
    <w:p w:rsidR="00AC2AEE" w:rsidRDefault="00AC2AEE" w:rsidP="008312A7">
      <w:pPr>
        <w:pStyle w:val="Heading1"/>
        <w:spacing w:after="0"/>
        <w:ind w:left="1710" w:hanging="1710"/>
      </w:pPr>
    </w:p>
    <w:p w:rsidR="00AC2AEE" w:rsidRDefault="00AC2AEE" w:rsidP="008312A7">
      <w:pPr>
        <w:pStyle w:val="Heading1"/>
        <w:spacing w:after="0"/>
        <w:ind w:left="1710" w:hanging="1710"/>
      </w:pPr>
    </w:p>
    <w:p w:rsidR="008312A7" w:rsidRDefault="003945C4" w:rsidP="008312A7">
      <w:pPr>
        <w:pStyle w:val="Heading1"/>
        <w:spacing w:after="0"/>
        <w:ind w:left="1710" w:hanging="1710"/>
      </w:pPr>
      <w:bookmarkStart w:id="48" w:name="_Toc424039101"/>
      <w:r w:rsidRPr="00AC2AEE">
        <w:rPr>
          <w:b/>
        </w:rPr>
        <w:t>Appendix C:</w:t>
      </w:r>
      <w:r>
        <w:t xml:space="preserve">  </w:t>
      </w:r>
      <w:r w:rsidR="00837E3E">
        <w:t>January 13, 2014, Comments of Michael A. Gettings, RiskCentrix,</w:t>
      </w:r>
      <w:bookmarkEnd w:id="48"/>
    </w:p>
    <w:sectPr w:rsidR="008312A7" w:rsidSect="00845B9D">
      <w:headerReference w:type="default" r:id="rId26"/>
      <w:headerReference w:type="first" r:id="rId27"/>
      <w:pgSz w:w="12240" w:h="15840"/>
      <w:pgMar w:top="1440" w:right="1440" w:bottom="1440" w:left="1440" w:header="720" w:footer="720" w:gutter="0"/>
      <w:pgBorders w:offsetFrom="page">
        <w:top w:val="single" w:sz="4" w:space="24" w:color="548DD4" w:themeColor="text2" w:themeTint="99"/>
        <w:bottom w:val="single" w:sz="4" w:space="24" w:color="548DD4" w:themeColor="text2" w:themeTint="99"/>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70A0" w:rsidRDefault="007470A0" w:rsidP="0007582D">
      <w:pPr>
        <w:spacing w:after="0" w:line="240" w:lineRule="auto"/>
      </w:pPr>
      <w:r>
        <w:separator/>
      </w:r>
    </w:p>
  </w:endnote>
  <w:endnote w:type="continuationSeparator" w:id="0">
    <w:p w:rsidR="007470A0" w:rsidRDefault="007470A0" w:rsidP="0007582D">
      <w:pPr>
        <w:spacing w:after="0" w:line="240" w:lineRule="auto"/>
      </w:pPr>
      <w:r>
        <w:continuationSeparator/>
      </w:r>
    </w:p>
  </w:endnote>
  <w:endnote w:type="continuationNotice" w:id="1">
    <w:p w:rsidR="007470A0" w:rsidRDefault="007470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501" w:rsidRPr="00845B9D" w:rsidRDefault="00496501">
    <w:pPr>
      <w:pStyle w:val="Footer"/>
      <w:jc w:val="right"/>
      <w:rPr>
        <w:color w:val="548DD4" w:themeColor="text2" w:themeTint="99"/>
      </w:rPr>
    </w:pPr>
    <w:sdt>
      <w:sdtPr>
        <w:rPr>
          <w:color w:val="548DD4" w:themeColor="text2" w:themeTint="99"/>
        </w:rPr>
        <w:id w:val="-1164161011"/>
        <w:docPartObj>
          <w:docPartGallery w:val="Page Numbers (Bottom of Page)"/>
          <w:docPartUnique/>
        </w:docPartObj>
      </w:sdtPr>
      <w:sdtEndPr>
        <w:rPr>
          <w:noProof/>
        </w:rPr>
      </w:sdtEndPr>
      <w:sdtContent>
        <w:r w:rsidRPr="00845B9D">
          <w:rPr>
            <w:color w:val="548DD4" w:themeColor="text2" w:themeTint="99"/>
          </w:rPr>
          <w:t xml:space="preserve">Page </w:t>
        </w:r>
        <w:r w:rsidRPr="00845B9D">
          <w:rPr>
            <w:color w:val="548DD4" w:themeColor="text2" w:themeTint="99"/>
          </w:rPr>
          <w:fldChar w:fldCharType="begin"/>
        </w:r>
        <w:r w:rsidRPr="00845B9D">
          <w:rPr>
            <w:color w:val="548DD4" w:themeColor="text2" w:themeTint="99"/>
          </w:rPr>
          <w:instrText xml:space="preserve"> PAGE   \* MERGEFORMAT </w:instrText>
        </w:r>
        <w:r w:rsidRPr="00845B9D">
          <w:rPr>
            <w:color w:val="548DD4" w:themeColor="text2" w:themeTint="99"/>
          </w:rPr>
          <w:fldChar w:fldCharType="separate"/>
        </w:r>
        <w:r w:rsidR="00750DDD">
          <w:rPr>
            <w:noProof/>
            <w:color w:val="548DD4" w:themeColor="text2" w:themeTint="99"/>
          </w:rPr>
          <w:t>25</w:t>
        </w:r>
        <w:r w:rsidRPr="00845B9D">
          <w:rPr>
            <w:noProof/>
            <w:color w:val="548DD4" w:themeColor="text2" w:themeTint="99"/>
          </w:rPr>
          <w:fldChar w:fldCharType="end"/>
        </w:r>
      </w:sdtContent>
    </w:sdt>
  </w:p>
  <w:p w:rsidR="00496501" w:rsidRPr="00845B9D" w:rsidRDefault="00496501">
    <w:pPr>
      <w:pStyle w:val="Footer"/>
      <w:rPr>
        <w:color w:val="548DD4" w:themeColor="text2" w:themeTint="9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501" w:rsidRPr="00845B9D" w:rsidRDefault="00496501">
    <w:pPr>
      <w:pStyle w:val="Footer"/>
      <w:jc w:val="right"/>
      <w:rPr>
        <w:color w:val="548DD4" w:themeColor="text2" w:themeTint="99"/>
      </w:rPr>
    </w:pPr>
    <w:sdt>
      <w:sdtPr>
        <w:rPr>
          <w:color w:val="548DD4" w:themeColor="text2" w:themeTint="99"/>
        </w:rPr>
        <w:id w:val="-531574838"/>
        <w:docPartObj>
          <w:docPartGallery w:val="Page Numbers (Bottom of Page)"/>
          <w:docPartUnique/>
        </w:docPartObj>
      </w:sdtPr>
      <w:sdtEndPr>
        <w:rPr>
          <w:noProof/>
        </w:rPr>
      </w:sdtEndPr>
      <w:sdtContent>
        <w:r w:rsidRPr="00845B9D">
          <w:rPr>
            <w:color w:val="548DD4" w:themeColor="text2" w:themeTint="99"/>
          </w:rPr>
          <w:t xml:space="preserve">Page </w:t>
        </w:r>
        <w:r w:rsidRPr="00845B9D">
          <w:rPr>
            <w:color w:val="548DD4" w:themeColor="text2" w:themeTint="99"/>
          </w:rPr>
          <w:fldChar w:fldCharType="begin"/>
        </w:r>
        <w:r w:rsidRPr="00845B9D">
          <w:rPr>
            <w:color w:val="548DD4" w:themeColor="text2" w:themeTint="99"/>
          </w:rPr>
          <w:instrText xml:space="preserve"> PAGE   \* MERGEFORMAT </w:instrText>
        </w:r>
        <w:r w:rsidRPr="00845B9D">
          <w:rPr>
            <w:color w:val="548DD4" w:themeColor="text2" w:themeTint="99"/>
          </w:rPr>
          <w:fldChar w:fldCharType="separate"/>
        </w:r>
        <w:r w:rsidR="00750DDD">
          <w:rPr>
            <w:noProof/>
            <w:color w:val="548DD4" w:themeColor="text2" w:themeTint="99"/>
          </w:rPr>
          <w:t>34</w:t>
        </w:r>
        <w:r w:rsidRPr="00845B9D">
          <w:rPr>
            <w:noProof/>
            <w:color w:val="548DD4" w:themeColor="text2" w:themeTint="99"/>
          </w:rPr>
          <w:fldChar w:fldCharType="end"/>
        </w:r>
      </w:sdtContent>
    </w:sdt>
  </w:p>
  <w:p w:rsidR="00496501" w:rsidRDefault="0049650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501" w:rsidRPr="00845B9D" w:rsidRDefault="00496501" w:rsidP="005C226D">
    <w:pPr>
      <w:pStyle w:val="Footer"/>
      <w:jc w:val="right"/>
      <w:rPr>
        <w:color w:val="548DD4" w:themeColor="text2" w:themeTint="99"/>
      </w:rPr>
    </w:pPr>
    <w:sdt>
      <w:sdtPr>
        <w:rPr>
          <w:color w:val="548DD4" w:themeColor="text2" w:themeTint="99"/>
        </w:rPr>
        <w:id w:val="1258102051"/>
        <w:docPartObj>
          <w:docPartGallery w:val="Page Numbers (Bottom of Page)"/>
          <w:docPartUnique/>
        </w:docPartObj>
      </w:sdtPr>
      <w:sdtEndPr>
        <w:rPr>
          <w:noProof/>
        </w:rPr>
      </w:sdtEndPr>
      <w:sdtContent>
        <w:r w:rsidRPr="00845B9D">
          <w:rPr>
            <w:color w:val="548DD4" w:themeColor="text2" w:themeTint="99"/>
          </w:rPr>
          <w:t xml:space="preserve">Page </w:t>
        </w:r>
        <w:r w:rsidRPr="00845B9D">
          <w:rPr>
            <w:color w:val="548DD4" w:themeColor="text2" w:themeTint="99"/>
          </w:rPr>
          <w:fldChar w:fldCharType="begin"/>
        </w:r>
        <w:r w:rsidRPr="00845B9D">
          <w:rPr>
            <w:color w:val="548DD4" w:themeColor="text2" w:themeTint="99"/>
          </w:rPr>
          <w:instrText xml:space="preserve"> PAGE   \* MERGEFORMAT </w:instrText>
        </w:r>
        <w:r w:rsidRPr="00845B9D">
          <w:rPr>
            <w:color w:val="548DD4" w:themeColor="text2" w:themeTint="99"/>
          </w:rPr>
          <w:fldChar w:fldCharType="separate"/>
        </w:r>
        <w:r w:rsidR="00750DDD">
          <w:rPr>
            <w:noProof/>
            <w:color w:val="548DD4" w:themeColor="text2" w:themeTint="99"/>
          </w:rPr>
          <w:t>35</w:t>
        </w:r>
        <w:r w:rsidRPr="00845B9D">
          <w:rPr>
            <w:noProof/>
            <w:color w:val="548DD4" w:themeColor="text2" w:themeTint="99"/>
          </w:rPr>
          <w:fldChar w:fldCharType="end"/>
        </w:r>
      </w:sdtContent>
    </w:sdt>
  </w:p>
  <w:p w:rsidR="00496501" w:rsidRDefault="00496501" w:rsidP="005C226D">
    <w:pPr>
      <w:pStyle w:val="Footer"/>
    </w:pPr>
  </w:p>
  <w:p w:rsidR="00496501" w:rsidRDefault="0049650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501" w:rsidRPr="00845B9D" w:rsidRDefault="00496501" w:rsidP="00845B9D">
    <w:pPr>
      <w:pStyle w:val="Footer"/>
      <w:jc w:val="right"/>
      <w:rPr>
        <w:b/>
        <w:color w:val="548DD4" w:themeColor="text2" w:themeTint="99"/>
      </w:rPr>
    </w:pPr>
    <w:r w:rsidRPr="00845B9D">
      <w:rPr>
        <w:b/>
        <w:color w:val="548DD4" w:themeColor="text2" w:themeTint="99"/>
      </w:rPr>
      <w:t>Appendix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70A0" w:rsidRDefault="007470A0" w:rsidP="0007582D">
      <w:pPr>
        <w:spacing w:after="0" w:line="240" w:lineRule="auto"/>
      </w:pPr>
      <w:r>
        <w:separator/>
      </w:r>
    </w:p>
  </w:footnote>
  <w:footnote w:type="continuationSeparator" w:id="0">
    <w:p w:rsidR="007470A0" w:rsidRDefault="007470A0" w:rsidP="0007582D">
      <w:pPr>
        <w:spacing w:after="0" w:line="240" w:lineRule="auto"/>
      </w:pPr>
      <w:r>
        <w:continuationSeparator/>
      </w:r>
    </w:p>
  </w:footnote>
  <w:footnote w:type="continuationNotice" w:id="1">
    <w:p w:rsidR="007470A0" w:rsidRDefault="007470A0">
      <w:pPr>
        <w:spacing w:after="0" w:line="240" w:lineRule="auto"/>
      </w:pPr>
    </w:p>
  </w:footnote>
  <w:footnote w:id="2">
    <w:p w:rsidR="00496501" w:rsidRDefault="00496501">
      <w:pPr>
        <w:pStyle w:val="FootnoteText"/>
      </w:pPr>
      <w:r>
        <w:rPr>
          <w:rStyle w:val="FootnoteReference"/>
        </w:rPr>
        <w:footnoteRef/>
      </w:r>
      <w:r>
        <w:t xml:space="preserve"> Hedge losses occur when the contract price is greater than the actual market price at the time of final transaction.</w:t>
      </w:r>
    </w:p>
  </w:footnote>
  <w:footnote w:id="3">
    <w:p w:rsidR="00496501" w:rsidRDefault="00496501">
      <w:pPr>
        <w:pStyle w:val="FootnoteText"/>
      </w:pPr>
      <w:r>
        <w:rPr>
          <w:rStyle w:val="FootnoteReference"/>
        </w:rPr>
        <w:footnoteRef/>
      </w:r>
      <w:r>
        <w:t xml:space="preserve"> Although Public Counsel has assisted in the development of this paper, Public Counsel will not be involved with any deliberations conducted by the Commissioners that may result in policy decision-making.</w:t>
      </w:r>
    </w:p>
  </w:footnote>
  <w:footnote w:id="4">
    <w:p w:rsidR="00496501" w:rsidRDefault="00496501">
      <w:pPr>
        <w:pStyle w:val="FootnoteText"/>
      </w:pPr>
      <w:r>
        <w:rPr>
          <w:rStyle w:val="FootnoteReference"/>
        </w:rPr>
        <w:footnoteRef/>
      </w:r>
      <w:r>
        <w:t xml:space="preserve"> MMBtu – million British thermal units</w:t>
      </w:r>
    </w:p>
  </w:footnote>
  <w:footnote w:id="5">
    <w:p w:rsidR="00496501" w:rsidRDefault="00496501" w:rsidP="00C66DA3">
      <w:pPr>
        <w:pStyle w:val="FootnoteText"/>
      </w:pPr>
      <w:r>
        <w:rPr>
          <w:rStyle w:val="FootnoteReference"/>
        </w:rPr>
        <w:footnoteRef/>
      </w:r>
      <w:r>
        <w:t xml:space="preserve"> Washington Utilities and Transportation Commission, </w:t>
      </w:r>
      <w:r w:rsidRPr="008B27F7">
        <w:rPr>
          <w:i/>
        </w:rPr>
        <w:t>Report of Commission Staff Regarding the Natural Gas Hedging Policies and Practices</w:t>
      </w:r>
      <w:r>
        <w:rPr>
          <w:i/>
        </w:rPr>
        <w:t xml:space="preserve"> of Avista Corporation, Docket UG-121501, Puget Sound Energy Inc., Docket UG-121569, Cascade Natural Gas, Dockets UG-121592 &amp; UG-121623,</w:t>
      </w:r>
      <w:r w:rsidRPr="00332F77">
        <w:rPr>
          <w:i/>
        </w:rPr>
        <w:t xml:space="preserve"> and </w:t>
      </w:r>
      <w:r>
        <w:rPr>
          <w:i/>
        </w:rPr>
        <w:t>Northwest Natural Gas Company, Docket UG-121434</w:t>
      </w:r>
      <w:r>
        <w:t>, (March 1, 2013), page 4.</w:t>
      </w:r>
    </w:p>
    <w:p w:rsidR="00496501" w:rsidRDefault="00496501">
      <w:pPr>
        <w:pStyle w:val="FootnoteText"/>
      </w:pPr>
    </w:p>
  </w:footnote>
  <w:footnote w:id="6">
    <w:p w:rsidR="00496501" w:rsidRDefault="00496501">
      <w:pPr>
        <w:pStyle w:val="FootnoteText"/>
      </w:pPr>
      <w:r>
        <w:rPr>
          <w:rStyle w:val="FootnoteReference"/>
        </w:rPr>
        <w:footnoteRef/>
      </w:r>
      <w:r>
        <w:t xml:space="preserve"> </w:t>
      </w:r>
      <w:r>
        <w:rPr>
          <w:i/>
        </w:rPr>
        <w:t>Id.</w:t>
      </w:r>
      <w:r>
        <w:t>, Attachment B of staff’s report, showing losses from financial hedges, is attached hereto as Appendix A.</w:t>
      </w:r>
    </w:p>
  </w:footnote>
  <w:footnote w:id="7">
    <w:p w:rsidR="00496501" w:rsidRDefault="00496501">
      <w:pPr>
        <w:pStyle w:val="FootnoteText"/>
      </w:pPr>
      <w:r>
        <w:rPr>
          <w:rStyle w:val="FootnoteReference"/>
        </w:rPr>
        <w:footnoteRef/>
      </w:r>
      <w:r>
        <w:t xml:space="preserve"> Appendix B.</w:t>
      </w:r>
    </w:p>
  </w:footnote>
  <w:footnote w:id="8">
    <w:p w:rsidR="00496501" w:rsidRDefault="00496501">
      <w:pPr>
        <w:pStyle w:val="FootnoteText"/>
      </w:pPr>
      <w:r>
        <w:rPr>
          <w:rStyle w:val="FootnoteReference"/>
        </w:rPr>
        <w:footnoteRef/>
      </w:r>
      <w:r>
        <w:t xml:space="preserve"> </w:t>
      </w:r>
      <w:r w:rsidRPr="006006A0">
        <w:t>J.P. Morgan &amp; Co, and Morgan Guaranty</w:t>
      </w:r>
      <w:r>
        <w:t xml:space="preserve"> Trust Company of New York. 1996</w:t>
      </w:r>
      <w:r w:rsidRPr="006006A0">
        <w:t xml:space="preserve">. </w:t>
      </w:r>
      <w:r w:rsidRPr="00A32957">
        <w:rPr>
          <w:i/>
        </w:rPr>
        <w:t>RiskMetrics technical document. Fourth edition,</w:t>
      </w:r>
      <w:r w:rsidRPr="006006A0">
        <w:t xml:space="preserve"> New York: JP Morgan.</w:t>
      </w:r>
    </w:p>
  </w:footnote>
  <w:footnote w:id="9">
    <w:p w:rsidR="00496501" w:rsidRDefault="00496501">
      <w:pPr>
        <w:pStyle w:val="FootnoteText"/>
      </w:pPr>
      <w:r>
        <w:rPr>
          <w:rStyle w:val="FootnoteReference"/>
        </w:rPr>
        <w:footnoteRef/>
      </w:r>
      <w:r>
        <w:t xml:space="preserve"> In </w:t>
      </w:r>
      <w:r w:rsidRPr="000A7357">
        <w:t xml:space="preserve">1985, FERC </w:t>
      </w:r>
      <w:r>
        <w:t xml:space="preserve">issued </w:t>
      </w:r>
      <w:r w:rsidRPr="000A7357">
        <w:t>Order No. 436</w:t>
      </w:r>
      <w:r>
        <w:t>,</w:t>
      </w:r>
      <w:r w:rsidRPr="000A7357">
        <w:t xml:space="preserve"> </w:t>
      </w:r>
      <w:r>
        <w:t>which provided</w:t>
      </w:r>
      <w:r w:rsidRPr="000A7357">
        <w:t xml:space="preserve"> open access to transportation services</w:t>
      </w:r>
      <w:r>
        <w:t xml:space="preserve"> by </w:t>
      </w:r>
      <w:r w:rsidRPr="000A7357">
        <w:t xml:space="preserve">natural gas pipelines </w:t>
      </w:r>
      <w:r>
        <w:t>and allowed negotiation of</w:t>
      </w:r>
      <w:r w:rsidRPr="000A7357">
        <w:t xml:space="preserve"> prices directly with producers</w:t>
      </w:r>
      <w:r>
        <w:t>.</w:t>
      </w:r>
    </w:p>
  </w:footnote>
  <w:footnote w:id="10">
    <w:p w:rsidR="00496501" w:rsidRDefault="00496501">
      <w:pPr>
        <w:pStyle w:val="FootnoteText"/>
      </w:pPr>
      <w:r>
        <w:rPr>
          <w:rStyle w:val="FootnoteReference"/>
        </w:rPr>
        <w:footnoteRef/>
      </w:r>
      <w:r>
        <w:t xml:space="preserve"> See Appendix C.</w:t>
      </w:r>
    </w:p>
  </w:footnote>
  <w:footnote w:id="11">
    <w:p w:rsidR="00496501" w:rsidRDefault="00496501">
      <w:pPr>
        <w:pStyle w:val="FootnoteText"/>
      </w:pPr>
      <w:r>
        <w:rPr>
          <w:rStyle w:val="FootnoteReference"/>
        </w:rPr>
        <w:footnoteRef/>
      </w:r>
      <w:r>
        <w:t xml:space="preserve"> A </w:t>
      </w:r>
      <w:r w:rsidRPr="00FA5BF2">
        <w:t>standard deviation (σ</w:t>
      </w:r>
      <w:r>
        <w:t xml:space="preserve"> or </w:t>
      </w:r>
      <w:r w:rsidRPr="00FA5BF2">
        <w:t>sigma</w:t>
      </w:r>
      <w:r>
        <w:t>)</w:t>
      </w:r>
      <w:r w:rsidRPr="00FA5BF2">
        <w:t xml:space="preserve"> is a measure </w:t>
      </w:r>
      <w:r>
        <w:t>used to</w:t>
      </w:r>
      <w:r w:rsidRPr="00FA5BF2">
        <w:t xml:space="preserve"> quantify the amount of variation or dispersion of a set of data values – two standard deviations </w:t>
      </w:r>
      <w:r>
        <w:t xml:space="preserve">(2 sigma) </w:t>
      </w:r>
      <w:r w:rsidRPr="00FA5BF2">
        <w:t>account</w:t>
      </w:r>
      <w:r>
        <w:t>s</w:t>
      </w:r>
      <w:r w:rsidRPr="00FA5BF2">
        <w:t xml:space="preserve"> for all but about 2.5 percent of potential outcomes.</w:t>
      </w:r>
    </w:p>
  </w:footnote>
  <w:footnote w:id="12">
    <w:p w:rsidR="00496501" w:rsidRDefault="00496501">
      <w:pPr>
        <w:pStyle w:val="FootnoteText"/>
      </w:pPr>
      <w:r>
        <w:rPr>
          <w:rStyle w:val="FootnoteReference"/>
        </w:rPr>
        <w:footnoteRef/>
      </w:r>
      <w:r>
        <w:t xml:space="preserve"> </w:t>
      </w:r>
      <w:r w:rsidRPr="00137130">
        <w:t xml:space="preserve">The left side of Figure 2 illustrates risk measurements that could have been made at the time of implementing the 50 percent hedge ratio for the first year. At that time, </w:t>
      </w:r>
      <w:r>
        <w:t>with</w:t>
      </w:r>
      <w:r w:rsidRPr="00137130">
        <w:t xml:space="preserve"> volatility at 24 percent, market price outliers one year later </w:t>
      </w:r>
      <w:r>
        <w:t>(2 sigma or 1in 40 outcomes) c</w:t>
      </w:r>
      <w:r w:rsidRPr="00137130">
        <w:t>ould be $4.80 so the implicit tolerance for upside portfolio exposures would be $3.90/MMBtu (i.e., 50 percent of the $1.80 price movement plus the $3.00 starting price). A similar downside extreme price outcome would be $1.88/MMBtu, so losses of $.5</w:t>
      </w:r>
      <w:r>
        <w:t>6/MMBtu would be the expected 2-</w:t>
      </w:r>
      <w:r w:rsidRPr="00137130">
        <w:t xml:space="preserve">sigma bound (50 percent of the $1.12 downward price movement).  </w:t>
      </w:r>
    </w:p>
  </w:footnote>
  <w:footnote w:id="13">
    <w:p w:rsidR="00496501" w:rsidRPr="006578E5" w:rsidRDefault="00496501" w:rsidP="00A36BC9">
      <w:pPr>
        <w:pStyle w:val="FootnoteText"/>
      </w:pPr>
      <w:r w:rsidRPr="006578E5">
        <w:rPr>
          <w:rStyle w:val="FootnoteReference"/>
        </w:rPr>
        <w:footnoteRef/>
      </w:r>
      <w:r w:rsidRPr="006578E5">
        <w:t xml:space="preserve">   Due to the vagaries of volume requirements and intra-month activities, this is never really attainable.</w:t>
      </w:r>
    </w:p>
  </w:footnote>
  <w:footnote w:id="14">
    <w:p w:rsidR="00496501" w:rsidRPr="006578E5" w:rsidRDefault="00496501">
      <w:pPr>
        <w:pStyle w:val="FootnoteText"/>
      </w:pPr>
      <w:r w:rsidRPr="006578E5">
        <w:rPr>
          <w:rStyle w:val="FootnoteReference"/>
        </w:rPr>
        <w:footnoteRef/>
      </w:r>
      <w:r w:rsidRPr="006578E5">
        <w:t xml:space="preserve"> The standard deviation is actually performed using logs of the price ratios (PriceDay#2/PriceDay#1, P3/P2, P4/P3, etc.)</w:t>
      </w:r>
    </w:p>
  </w:footnote>
  <w:footnote w:id="15">
    <w:p w:rsidR="00496501" w:rsidRDefault="00496501">
      <w:pPr>
        <w:pStyle w:val="FootnoteText"/>
      </w:pPr>
      <w:r>
        <w:rPr>
          <w:rStyle w:val="FootnoteReference"/>
        </w:rPr>
        <w:footnoteRef/>
      </w:r>
      <w:r>
        <w:t xml:space="preserve"> R</w:t>
      </w:r>
      <w:r w:rsidRPr="00C22A97">
        <w:t xml:space="preserve">ecall that risk is proportionate to the square root of time and there are about 250 </w:t>
      </w:r>
      <w:r>
        <w:t>business days</w:t>
      </w:r>
      <w:r w:rsidRPr="00C22A97">
        <w:t xml:space="preserve"> per year</w:t>
      </w:r>
      <w:r>
        <w:t>, thus</w:t>
      </w:r>
      <w:r w:rsidRPr="00C22A97">
        <w:t xml:space="preserve"> SQRT(10/250) = 1/5</w:t>
      </w:r>
    </w:p>
  </w:footnote>
  <w:footnote w:id="16">
    <w:p w:rsidR="00496501" w:rsidRDefault="00496501" w:rsidP="0081021F">
      <w:pPr>
        <w:pStyle w:val="FootnoteText"/>
      </w:pPr>
      <w:r>
        <w:rPr>
          <w:rStyle w:val="FootnoteReference"/>
        </w:rPr>
        <w:footnoteRef/>
      </w:r>
      <w:r>
        <w:t xml:space="preserve">  </w:t>
      </w:r>
      <w:r w:rsidRPr="006339CE">
        <w:rPr>
          <w:i/>
        </w:rPr>
        <w:t>The Black Swan: The Impact of the Highly Improbable</w:t>
      </w:r>
      <w:r>
        <w:rPr>
          <w:i/>
        </w:rPr>
        <w:t xml:space="preserve">, </w:t>
      </w:r>
      <w:r w:rsidRPr="006339CE">
        <w:t>by Nassim Taleb, Random House</w:t>
      </w:r>
      <w:r>
        <w:t xml:space="preserve">, </w:t>
      </w:r>
      <w:r w:rsidRPr="00C7436B">
        <w:t>April 17, 2007</w:t>
      </w:r>
    </w:p>
  </w:footnote>
  <w:footnote w:id="17">
    <w:p w:rsidR="00496501" w:rsidRPr="006578E5" w:rsidRDefault="00496501">
      <w:pPr>
        <w:pStyle w:val="FootnoteText"/>
      </w:pPr>
      <w:r w:rsidRPr="006578E5">
        <w:rPr>
          <w:rStyle w:val="FootnoteReference"/>
        </w:rPr>
        <w:footnoteRef/>
      </w:r>
      <w:r w:rsidRPr="006578E5">
        <w:t xml:space="preserve"> The 2-week holding period is representative of a typical response time, but the actual holding period would depend on the company’s response time. Similarly, the 1-in-40 cost outlier is representative, but different circumstances could call for a different confidence level.</w:t>
      </w:r>
    </w:p>
  </w:footnote>
  <w:footnote w:id="18">
    <w:p w:rsidR="00496501" w:rsidRPr="006578E5" w:rsidRDefault="00496501" w:rsidP="00DA6B5E">
      <w:pPr>
        <w:pStyle w:val="FootnoteText"/>
      </w:pPr>
      <w:r w:rsidRPr="006578E5">
        <w:rPr>
          <w:rStyle w:val="FootnoteReference"/>
        </w:rPr>
        <w:footnoteRef/>
      </w:r>
      <w:r w:rsidRPr="006578E5">
        <w:t xml:space="preserve"> The term “action boundary” describes an interim cost level which when threatened will prompt hedge defenses. Using this term allows us to reserve “cost tolerance” for the ultimate cost level to be defended.</w:t>
      </w:r>
    </w:p>
  </w:footnote>
  <w:footnote w:id="19">
    <w:p w:rsidR="00496501" w:rsidRPr="006578E5" w:rsidRDefault="00496501">
      <w:pPr>
        <w:pStyle w:val="FootnoteText"/>
      </w:pPr>
      <w:r w:rsidRPr="006578E5">
        <w:rPr>
          <w:rStyle w:val="FootnoteReference"/>
        </w:rPr>
        <w:footnoteRef/>
      </w:r>
      <w:r w:rsidRPr="006578E5">
        <w:t xml:space="preserve"> The 60</w:t>
      </w:r>
      <w:r>
        <w:t xml:space="preserve"> percent</w:t>
      </w:r>
      <w:r w:rsidRPr="006578E5">
        <w:t xml:space="preserve"> unhedged position </w:t>
      </w:r>
      <w:r>
        <w:t xml:space="preserve">(40 percent hedged) </w:t>
      </w:r>
      <w:r w:rsidRPr="006578E5">
        <w:t xml:space="preserve">is consistent with where we </w:t>
      </w:r>
      <w:r>
        <w:t>might</w:t>
      </w:r>
      <w:r w:rsidRPr="006578E5">
        <w:t xml:space="preserve"> be in defending the </w:t>
      </w:r>
      <w:r>
        <w:t>first</w:t>
      </w:r>
      <w:r w:rsidRPr="006578E5">
        <w:t xml:space="preserve"> action boundary (</w:t>
      </w:r>
      <w:r>
        <w:t>up</w:t>
      </w:r>
      <w:r w:rsidRPr="006578E5">
        <w:t xml:space="preserve"> to </w:t>
      </w:r>
      <w:r>
        <w:t>a 45 percent</w:t>
      </w:r>
      <w:r w:rsidRPr="006578E5">
        <w:t xml:space="preserve"> hedge ratio)</w:t>
      </w:r>
      <w:r>
        <w:t xml:space="preserve">. </w:t>
      </w:r>
    </w:p>
  </w:footnote>
  <w:footnote w:id="20">
    <w:p w:rsidR="00496501" w:rsidRDefault="00496501" w:rsidP="007971EF">
      <w:pPr>
        <w:pStyle w:val="FootnoteText"/>
      </w:pPr>
      <w:r>
        <w:rPr>
          <w:rStyle w:val="FootnoteReference"/>
        </w:rPr>
        <w:footnoteRef/>
      </w:r>
      <w:r>
        <w:t xml:space="preserve">  For example, a 90 percent confidence high volatility could be quantified for the last decade, and that volatility could constitute a strategy-design environment.</w:t>
      </w:r>
    </w:p>
  </w:footnote>
  <w:footnote w:id="21">
    <w:p w:rsidR="00496501" w:rsidRDefault="00496501">
      <w:pPr>
        <w:pStyle w:val="FootnoteText"/>
      </w:pPr>
      <w:r>
        <w:rPr>
          <w:rStyle w:val="FootnoteReference"/>
        </w:rPr>
        <w:footnoteRef/>
      </w:r>
      <w:r>
        <w:t xml:space="preserve"> Wide dissemination of commercially sensitive information is not intended or anticipated. However, records containing commercial information may be provided with certain protections to both the Washington Utilities and Transportation Commission and to the Office of the Attorney General under RCW 80.04.095.</w:t>
      </w:r>
    </w:p>
  </w:footnote>
  <w:footnote w:id="22">
    <w:p w:rsidR="00496501" w:rsidRDefault="00496501">
      <w:pPr>
        <w:pStyle w:val="FootnoteText"/>
      </w:pPr>
      <w:r>
        <w:rPr>
          <w:rStyle w:val="FootnoteReference"/>
        </w:rPr>
        <w:footnoteRef/>
      </w:r>
      <w:r>
        <w:t xml:space="preserve"> Fewer weeks would be reflected for years that are in progress.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501" w:rsidRPr="00461966" w:rsidRDefault="00496501">
    <w:pPr>
      <w:pStyle w:val="Header"/>
      <w:rPr>
        <w:rFonts w:asciiTheme="minorHAnsi" w:hAnsiTheme="minorHAnsi"/>
      </w:rPr>
    </w:pPr>
    <w:r w:rsidRPr="009335E5">
      <w:rPr>
        <w:rFonts w:asciiTheme="minorHAnsi" w:hAnsiTheme="minorHAnsi"/>
      </w:rPr>
      <w:t>Natural Gas Utility Hedging Practices And Regulatory Oversight</w:t>
    </w:r>
    <w:r w:rsidRPr="00461966">
      <w:rPr>
        <w:rFonts w:asciiTheme="minorHAnsi" w:hAnsiTheme="minorHAnsi"/>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501" w:rsidRPr="00461966" w:rsidRDefault="00496501" w:rsidP="00D35358">
    <w:pPr>
      <w:pStyle w:val="Header"/>
      <w:rPr>
        <w:rFonts w:asciiTheme="minorHAnsi" w:hAnsiTheme="minorHAnsi"/>
      </w:rPr>
    </w:pPr>
    <w:r w:rsidRPr="009335E5">
      <w:rPr>
        <w:rFonts w:asciiTheme="minorHAnsi" w:hAnsiTheme="minorHAnsi"/>
      </w:rPr>
      <w:t>Natural Gas Utility Hedging Practices And Regulatory Oversight</w:t>
    </w:r>
    <w:r w:rsidRPr="00461966">
      <w:rPr>
        <w:rFonts w:asciiTheme="minorHAnsi" w:hAnsiTheme="minorHAnsi"/>
      </w:rPr>
      <w:t xml:space="preserve">                        </w:t>
    </w:r>
  </w:p>
  <w:p w:rsidR="00496501" w:rsidRPr="00D35358" w:rsidRDefault="00496501" w:rsidP="00D35358">
    <w:pPr>
      <w:pStyle w:val="Header"/>
      <w:rPr>
        <w:rFonts w:asciiTheme="minorHAnsi" w:hAnsiTheme="minorHAns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501" w:rsidRPr="00244E71" w:rsidRDefault="00496501" w:rsidP="00332F77">
    <w:pPr>
      <w:pStyle w:val="Header"/>
      <w:jc w:val="right"/>
      <w:rPr>
        <w:b/>
      </w:rPr>
    </w:pPr>
    <w:r>
      <w:rPr>
        <w:rFonts w:cs="Times New Roman"/>
        <w:b/>
      </w:rPr>
      <w:t>[Service Date December 18, 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07183"/>
    <w:multiLevelType w:val="hybridMultilevel"/>
    <w:tmpl w:val="15748A8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0FEB6D66"/>
    <w:multiLevelType w:val="hybridMultilevel"/>
    <w:tmpl w:val="9104DD30"/>
    <w:lvl w:ilvl="0" w:tplc="FFC61E0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FB15A4"/>
    <w:multiLevelType w:val="hybridMultilevel"/>
    <w:tmpl w:val="C728C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922573"/>
    <w:multiLevelType w:val="hybridMultilevel"/>
    <w:tmpl w:val="E4007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E60A35"/>
    <w:multiLevelType w:val="hybridMultilevel"/>
    <w:tmpl w:val="A6E2D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F920BC"/>
    <w:multiLevelType w:val="hybridMultilevel"/>
    <w:tmpl w:val="F25E80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68045C"/>
    <w:multiLevelType w:val="hybridMultilevel"/>
    <w:tmpl w:val="527A66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CB614A"/>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bullet"/>
      <w:lvlText w:val="−"/>
      <w:lvlJc w:val="left"/>
      <w:pPr>
        <w:ind w:left="1440" w:hanging="360"/>
      </w:pPr>
      <w:rPr>
        <w:rFonts w:ascii="Trebuchet MS" w:hAnsi="Trebuchet M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0E63E4F"/>
    <w:multiLevelType w:val="hybridMultilevel"/>
    <w:tmpl w:val="BAC0DADC"/>
    <w:lvl w:ilvl="0" w:tplc="04090015">
      <w:start w:val="1"/>
      <w:numFmt w:val="upp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FC2A77"/>
    <w:multiLevelType w:val="hybridMultilevel"/>
    <w:tmpl w:val="AF56EA66"/>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0" w15:restartNumberingAfterBreak="0">
    <w:nsid w:val="37016384"/>
    <w:multiLevelType w:val="hybridMultilevel"/>
    <w:tmpl w:val="0622A6D0"/>
    <w:lvl w:ilvl="0" w:tplc="2B40B520">
      <w:start w:val="1"/>
      <w:numFmt w:val="bullet"/>
      <w:lvlText w:val="—"/>
      <w:lvlJc w:val="left"/>
      <w:pPr>
        <w:ind w:left="720" w:hanging="360"/>
      </w:pPr>
      <w:rPr>
        <w:rFonts w:ascii="Trebuchet MS" w:hAnsi="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037641"/>
    <w:multiLevelType w:val="hybridMultilevel"/>
    <w:tmpl w:val="E9949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6E5A2F"/>
    <w:multiLevelType w:val="hybridMultilevel"/>
    <w:tmpl w:val="F0A22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EC0A9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E636FED"/>
    <w:multiLevelType w:val="hybridMultilevel"/>
    <w:tmpl w:val="620E2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6874AD"/>
    <w:multiLevelType w:val="hybridMultilevel"/>
    <w:tmpl w:val="D06A1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73103D"/>
    <w:multiLevelType w:val="multilevel"/>
    <w:tmpl w:val="0409001D"/>
    <w:numStyleLink w:val="Style1"/>
  </w:abstractNum>
  <w:abstractNum w:abstractNumId="17" w15:restartNumberingAfterBreak="0">
    <w:nsid w:val="63EE74A8"/>
    <w:multiLevelType w:val="hybridMultilevel"/>
    <w:tmpl w:val="4142D28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64BB3312"/>
    <w:multiLevelType w:val="hybridMultilevel"/>
    <w:tmpl w:val="FB5698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415332"/>
    <w:multiLevelType w:val="multilevel"/>
    <w:tmpl w:val="C9D0E3C2"/>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0" w15:restartNumberingAfterBreak="0">
    <w:nsid w:val="72742D23"/>
    <w:multiLevelType w:val="hybridMultilevel"/>
    <w:tmpl w:val="8DE04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510078"/>
    <w:multiLevelType w:val="hybridMultilevel"/>
    <w:tmpl w:val="090444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9E6EF2"/>
    <w:multiLevelType w:val="hybridMultilevel"/>
    <w:tmpl w:val="2856B986"/>
    <w:lvl w:ilvl="0" w:tplc="2B40B520">
      <w:start w:val="1"/>
      <w:numFmt w:val="bullet"/>
      <w:lvlText w:val="—"/>
      <w:lvlJc w:val="left"/>
      <w:pPr>
        <w:ind w:left="765" w:hanging="360"/>
      </w:pPr>
      <w:rPr>
        <w:rFonts w:ascii="Trebuchet MS" w:hAnsi="Trebuchet M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15:restartNumberingAfterBreak="0">
    <w:nsid w:val="77A53428"/>
    <w:multiLevelType w:val="hybridMultilevel"/>
    <w:tmpl w:val="54826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16"/>
  </w:num>
  <w:num w:numId="4">
    <w:abstractNumId w:val="15"/>
  </w:num>
  <w:num w:numId="5">
    <w:abstractNumId w:val="22"/>
  </w:num>
  <w:num w:numId="6">
    <w:abstractNumId w:val="9"/>
  </w:num>
  <w:num w:numId="7">
    <w:abstractNumId w:val="10"/>
  </w:num>
  <w:num w:numId="8">
    <w:abstractNumId w:val="2"/>
  </w:num>
  <w:num w:numId="9">
    <w:abstractNumId w:val="8"/>
  </w:num>
  <w:num w:numId="10">
    <w:abstractNumId w:val="17"/>
  </w:num>
  <w:num w:numId="11">
    <w:abstractNumId w:val="5"/>
  </w:num>
  <w:num w:numId="12">
    <w:abstractNumId w:val="11"/>
  </w:num>
  <w:num w:numId="13">
    <w:abstractNumId w:val="1"/>
  </w:num>
  <w:num w:numId="14">
    <w:abstractNumId w:val="20"/>
  </w:num>
  <w:num w:numId="15">
    <w:abstractNumId w:val="14"/>
  </w:num>
  <w:num w:numId="16">
    <w:abstractNumId w:val="6"/>
  </w:num>
  <w:num w:numId="17">
    <w:abstractNumId w:val="23"/>
  </w:num>
  <w:num w:numId="18">
    <w:abstractNumId w:val="3"/>
  </w:num>
  <w:num w:numId="19">
    <w:abstractNumId w:val="12"/>
  </w:num>
  <w:num w:numId="20">
    <w:abstractNumId w:val="21"/>
  </w:num>
  <w:num w:numId="21">
    <w:abstractNumId w:val="18"/>
  </w:num>
  <w:num w:numId="22">
    <w:abstractNumId w:val="19"/>
  </w:num>
  <w:num w:numId="23">
    <w:abstractNumId w:val="4"/>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1F2"/>
    <w:rsid w:val="0000206B"/>
    <w:rsid w:val="000044C3"/>
    <w:rsid w:val="000051A2"/>
    <w:rsid w:val="0000679E"/>
    <w:rsid w:val="00011364"/>
    <w:rsid w:val="00013741"/>
    <w:rsid w:val="00013DC4"/>
    <w:rsid w:val="0001706F"/>
    <w:rsid w:val="000242EB"/>
    <w:rsid w:val="0002468E"/>
    <w:rsid w:val="000251E3"/>
    <w:rsid w:val="000268C0"/>
    <w:rsid w:val="000269F1"/>
    <w:rsid w:val="00026E72"/>
    <w:rsid w:val="00030151"/>
    <w:rsid w:val="00032AFA"/>
    <w:rsid w:val="00043B86"/>
    <w:rsid w:val="00045298"/>
    <w:rsid w:val="00045CE4"/>
    <w:rsid w:val="000503E3"/>
    <w:rsid w:val="0005094D"/>
    <w:rsid w:val="00053B21"/>
    <w:rsid w:val="00056552"/>
    <w:rsid w:val="0006344B"/>
    <w:rsid w:val="000635E3"/>
    <w:rsid w:val="000644C1"/>
    <w:rsid w:val="00064F1C"/>
    <w:rsid w:val="0007582D"/>
    <w:rsid w:val="00075E0E"/>
    <w:rsid w:val="0007784F"/>
    <w:rsid w:val="000778B1"/>
    <w:rsid w:val="0008055F"/>
    <w:rsid w:val="00080884"/>
    <w:rsid w:val="00081499"/>
    <w:rsid w:val="00085ED2"/>
    <w:rsid w:val="000909AE"/>
    <w:rsid w:val="0009483A"/>
    <w:rsid w:val="000A2DEE"/>
    <w:rsid w:val="000A7357"/>
    <w:rsid w:val="000A73B5"/>
    <w:rsid w:val="000A7866"/>
    <w:rsid w:val="000B6B6F"/>
    <w:rsid w:val="000B7129"/>
    <w:rsid w:val="000C167D"/>
    <w:rsid w:val="000C2933"/>
    <w:rsid w:val="000C7D63"/>
    <w:rsid w:val="000D09E6"/>
    <w:rsid w:val="000D420F"/>
    <w:rsid w:val="000E657F"/>
    <w:rsid w:val="000F15DD"/>
    <w:rsid w:val="000F1CEA"/>
    <w:rsid w:val="000F61E9"/>
    <w:rsid w:val="000F67DD"/>
    <w:rsid w:val="000F7541"/>
    <w:rsid w:val="00101289"/>
    <w:rsid w:val="00105684"/>
    <w:rsid w:val="001075FC"/>
    <w:rsid w:val="0012165F"/>
    <w:rsid w:val="0012233C"/>
    <w:rsid w:val="0012442A"/>
    <w:rsid w:val="00124E1F"/>
    <w:rsid w:val="00126F6E"/>
    <w:rsid w:val="0013004E"/>
    <w:rsid w:val="0013175A"/>
    <w:rsid w:val="00131973"/>
    <w:rsid w:val="00133A7B"/>
    <w:rsid w:val="00133E0B"/>
    <w:rsid w:val="00134271"/>
    <w:rsid w:val="00134286"/>
    <w:rsid w:val="00135D95"/>
    <w:rsid w:val="00137130"/>
    <w:rsid w:val="0013740E"/>
    <w:rsid w:val="00145203"/>
    <w:rsid w:val="001455FA"/>
    <w:rsid w:val="001461D8"/>
    <w:rsid w:val="00146EED"/>
    <w:rsid w:val="00155A8C"/>
    <w:rsid w:val="00157D5D"/>
    <w:rsid w:val="001617C7"/>
    <w:rsid w:val="00161D4C"/>
    <w:rsid w:val="00164447"/>
    <w:rsid w:val="001661F6"/>
    <w:rsid w:val="00172065"/>
    <w:rsid w:val="00175C42"/>
    <w:rsid w:val="0017622D"/>
    <w:rsid w:val="00180813"/>
    <w:rsid w:val="00180870"/>
    <w:rsid w:val="00180A13"/>
    <w:rsid w:val="00192F20"/>
    <w:rsid w:val="0019302D"/>
    <w:rsid w:val="00196212"/>
    <w:rsid w:val="00196AD2"/>
    <w:rsid w:val="001A6062"/>
    <w:rsid w:val="001B0DC8"/>
    <w:rsid w:val="001B305E"/>
    <w:rsid w:val="001B321F"/>
    <w:rsid w:val="001B5495"/>
    <w:rsid w:val="001C0E33"/>
    <w:rsid w:val="001C1B4A"/>
    <w:rsid w:val="001C2381"/>
    <w:rsid w:val="001C2AC2"/>
    <w:rsid w:val="001C587A"/>
    <w:rsid w:val="001D00EB"/>
    <w:rsid w:val="001D48E1"/>
    <w:rsid w:val="001D5ADB"/>
    <w:rsid w:val="001D6526"/>
    <w:rsid w:val="001D7B12"/>
    <w:rsid w:val="001E29EA"/>
    <w:rsid w:val="001E2E85"/>
    <w:rsid w:val="001E4CBE"/>
    <w:rsid w:val="001E7B38"/>
    <w:rsid w:val="001E7D6A"/>
    <w:rsid w:val="001F6013"/>
    <w:rsid w:val="001F721B"/>
    <w:rsid w:val="00205E3F"/>
    <w:rsid w:val="0021393D"/>
    <w:rsid w:val="00213EC6"/>
    <w:rsid w:val="00215F53"/>
    <w:rsid w:val="002206D2"/>
    <w:rsid w:val="002217AB"/>
    <w:rsid w:val="00221981"/>
    <w:rsid w:val="0022454D"/>
    <w:rsid w:val="002254D0"/>
    <w:rsid w:val="00225A3C"/>
    <w:rsid w:val="002266D5"/>
    <w:rsid w:val="002271C8"/>
    <w:rsid w:val="002342D1"/>
    <w:rsid w:val="00241F3C"/>
    <w:rsid w:val="00244E71"/>
    <w:rsid w:val="00245EB6"/>
    <w:rsid w:val="002539DF"/>
    <w:rsid w:val="00257D36"/>
    <w:rsid w:val="002604D2"/>
    <w:rsid w:val="00265AFE"/>
    <w:rsid w:val="00270DF9"/>
    <w:rsid w:val="00273F48"/>
    <w:rsid w:val="002760DD"/>
    <w:rsid w:val="00277889"/>
    <w:rsid w:val="00280616"/>
    <w:rsid w:val="002811E6"/>
    <w:rsid w:val="002821FD"/>
    <w:rsid w:val="00293477"/>
    <w:rsid w:val="0029473A"/>
    <w:rsid w:val="002950A4"/>
    <w:rsid w:val="002A3134"/>
    <w:rsid w:val="002A6CA8"/>
    <w:rsid w:val="002B032E"/>
    <w:rsid w:val="002B09FD"/>
    <w:rsid w:val="002B123A"/>
    <w:rsid w:val="002C038A"/>
    <w:rsid w:val="002C2450"/>
    <w:rsid w:val="002C35AD"/>
    <w:rsid w:val="002C4614"/>
    <w:rsid w:val="002C58BC"/>
    <w:rsid w:val="002E4205"/>
    <w:rsid w:val="002E5BF3"/>
    <w:rsid w:val="002F0A8F"/>
    <w:rsid w:val="002F2372"/>
    <w:rsid w:val="002F29A7"/>
    <w:rsid w:val="002F4880"/>
    <w:rsid w:val="002F705F"/>
    <w:rsid w:val="00302F79"/>
    <w:rsid w:val="003041A1"/>
    <w:rsid w:val="00312EC6"/>
    <w:rsid w:val="003162E2"/>
    <w:rsid w:val="00316895"/>
    <w:rsid w:val="00316AFF"/>
    <w:rsid w:val="00322CD5"/>
    <w:rsid w:val="00322E74"/>
    <w:rsid w:val="00332F77"/>
    <w:rsid w:val="0033425D"/>
    <w:rsid w:val="00336866"/>
    <w:rsid w:val="00343F96"/>
    <w:rsid w:val="00350A01"/>
    <w:rsid w:val="003604A5"/>
    <w:rsid w:val="00360D7B"/>
    <w:rsid w:val="003655A4"/>
    <w:rsid w:val="00367B5F"/>
    <w:rsid w:val="00371992"/>
    <w:rsid w:val="00382EEE"/>
    <w:rsid w:val="0038324B"/>
    <w:rsid w:val="00383634"/>
    <w:rsid w:val="00384865"/>
    <w:rsid w:val="003850AE"/>
    <w:rsid w:val="00390082"/>
    <w:rsid w:val="0039085E"/>
    <w:rsid w:val="003945C4"/>
    <w:rsid w:val="00395CF7"/>
    <w:rsid w:val="003A0AAB"/>
    <w:rsid w:val="003A2CE5"/>
    <w:rsid w:val="003B1915"/>
    <w:rsid w:val="003B3AD7"/>
    <w:rsid w:val="003B3EC5"/>
    <w:rsid w:val="003B46A8"/>
    <w:rsid w:val="003B600D"/>
    <w:rsid w:val="003B6D08"/>
    <w:rsid w:val="003B7723"/>
    <w:rsid w:val="003C107B"/>
    <w:rsid w:val="003C29A4"/>
    <w:rsid w:val="003C392E"/>
    <w:rsid w:val="003C48F0"/>
    <w:rsid w:val="003C7831"/>
    <w:rsid w:val="003D31E1"/>
    <w:rsid w:val="003D3F61"/>
    <w:rsid w:val="003D42F9"/>
    <w:rsid w:val="003D534A"/>
    <w:rsid w:val="003E3089"/>
    <w:rsid w:val="003E4E92"/>
    <w:rsid w:val="003F249C"/>
    <w:rsid w:val="003F3154"/>
    <w:rsid w:val="003F4E02"/>
    <w:rsid w:val="003F6494"/>
    <w:rsid w:val="00406122"/>
    <w:rsid w:val="004101ED"/>
    <w:rsid w:val="0041065B"/>
    <w:rsid w:val="00411DDF"/>
    <w:rsid w:val="004173F4"/>
    <w:rsid w:val="00417A1B"/>
    <w:rsid w:val="004219EE"/>
    <w:rsid w:val="00430412"/>
    <w:rsid w:val="00430768"/>
    <w:rsid w:val="004307AA"/>
    <w:rsid w:val="004343C4"/>
    <w:rsid w:val="0044052E"/>
    <w:rsid w:val="004427E1"/>
    <w:rsid w:val="00443855"/>
    <w:rsid w:val="00443C53"/>
    <w:rsid w:val="00453448"/>
    <w:rsid w:val="00455292"/>
    <w:rsid w:val="004552BE"/>
    <w:rsid w:val="00461966"/>
    <w:rsid w:val="00465BE7"/>
    <w:rsid w:val="00466A94"/>
    <w:rsid w:val="00466E52"/>
    <w:rsid w:val="00467FB4"/>
    <w:rsid w:val="004735ED"/>
    <w:rsid w:val="004746EB"/>
    <w:rsid w:val="00475483"/>
    <w:rsid w:val="00477274"/>
    <w:rsid w:val="0049111B"/>
    <w:rsid w:val="004920A6"/>
    <w:rsid w:val="0049356B"/>
    <w:rsid w:val="00493639"/>
    <w:rsid w:val="004936C5"/>
    <w:rsid w:val="004941C8"/>
    <w:rsid w:val="00496501"/>
    <w:rsid w:val="004969D1"/>
    <w:rsid w:val="00497138"/>
    <w:rsid w:val="004A3ECF"/>
    <w:rsid w:val="004A4071"/>
    <w:rsid w:val="004A6F94"/>
    <w:rsid w:val="004B3208"/>
    <w:rsid w:val="004B74DB"/>
    <w:rsid w:val="004C071A"/>
    <w:rsid w:val="004C0ACC"/>
    <w:rsid w:val="004C0F25"/>
    <w:rsid w:val="004C1A29"/>
    <w:rsid w:val="004C54F2"/>
    <w:rsid w:val="004C7D56"/>
    <w:rsid w:val="004D231C"/>
    <w:rsid w:val="004D4561"/>
    <w:rsid w:val="004D6148"/>
    <w:rsid w:val="004E00E7"/>
    <w:rsid w:val="004E15A0"/>
    <w:rsid w:val="004E21A7"/>
    <w:rsid w:val="004E5EDF"/>
    <w:rsid w:val="004F42D2"/>
    <w:rsid w:val="004F5529"/>
    <w:rsid w:val="004F5D40"/>
    <w:rsid w:val="004F671E"/>
    <w:rsid w:val="00502403"/>
    <w:rsid w:val="00512B83"/>
    <w:rsid w:val="00514113"/>
    <w:rsid w:val="0051448A"/>
    <w:rsid w:val="00514DF3"/>
    <w:rsid w:val="00525AA8"/>
    <w:rsid w:val="00535389"/>
    <w:rsid w:val="005414A0"/>
    <w:rsid w:val="005438A4"/>
    <w:rsid w:val="00545676"/>
    <w:rsid w:val="00545B9C"/>
    <w:rsid w:val="005466F6"/>
    <w:rsid w:val="00547729"/>
    <w:rsid w:val="00547B34"/>
    <w:rsid w:val="00553436"/>
    <w:rsid w:val="00556575"/>
    <w:rsid w:val="00561AE0"/>
    <w:rsid w:val="0056338F"/>
    <w:rsid w:val="00566E47"/>
    <w:rsid w:val="005673B3"/>
    <w:rsid w:val="00575F80"/>
    <w:rsid w:val="005776FE"/>
    <w:rsid w:val="0058137F"/>
    <w:rsid w:val="00582441"/>
    <w:rsid w:val="00582E5B"/>
    <w:rsid w:val="00583443"/>
    <w:rsid w:val="00583725"/>
    <w:rsid w:val="00583B48"/>
    <w:rsid w:val="00586412"/>
    <w:rsid w:val="00586669"/>
    <w:rsid w:val="00594A41"/>
    <w:rsid w:val="00595534"/>
    <w:rsid w:val="00595BCB"/>
    <w:rsid w:val="00597094"/>
    <w:rsid w:val="005B20B9"/>
    <w:rsid w:val="005B3C07"/>
    <w:rsid w:val="005B4225"/>
    <w:rsid w:val="005B5B78"/>
    <w:rsid w:val="005B6BDE"/>
    <w:rsid w:val="005C226D"/>
    <w:rsid w:val="005C48E2"/>
    <w:rsid w:val="005C5482"/>
    <w:rsid w:val="005C66EF"/>
    <w:rsid w:val="005C6A61"/>
    <w:rsid w:val="005D110F"/>
    <w:rsid w:val="005D4CA6"/>
    <w:rsid w:val="005D5827"/>
    <w:rsid w:val="005E18AE"/>
    <w:rsid w:val="005E2198"/>
    <w:rsid w:val="005E263A"/>
    <w:rsid w:val="005E628D"/>
    <w:rsid w:val="005E7B4B"/>
    <w:rsid w:val="005F1CD8"/>
    <w:rsid w:val="005F3059"/>
    <w:rsid w:val="005F51C4"/>
    <w:rsid w:val="005F7C9F"/>
    <w:rsid w:val="006006A0"/>
    <w:rsid w:val="0060191D"/>
    <w:rsid w:val="006019D5"/>
    <w:rsid w:val="006036C9"/>
    <w:rsid w:val="00603769"/>
    <w:rsid w:val="00603856"/>
    <w:rsid w:val="00604AD5"/>
    <w:rsid w:val="00605FC7"/>
    <w:rsid w:val="00613436"/>
    <w:rsid w:val="0061353D"/>
    <w:rsid w:val="00615B49"/>
    <w:rsid w:val="00616978"/>
    <w:rsid w:val="0062088B"/>
    <w:rsid w:val="006243AE"/>
    <w:rsid w:val="00625526"/>
    <w:rsid w:val="00627823"/>
    <w:rsid w:val="006317B2"/>
    <w:rsid w:val="006339CE"/>
    <w:rsid w:val="00647EBF"/>
    <w:rsid w:val="00650D77"/>
    <w:rsid w:val="00653592"/>
    <w:rsid w:val="00655027"/>
    <w:rsid w:val="006558ED"/>
    <w:rsid w:val="006565CC"/>
    <w:rsid w:val="006578E5"/>
    <w:rsid w:val="006609BF"/>
    <w:rsid w:val="00661931"/>
    <w:rsid w:val="00670B09"/>
    <w:rsid w:val="0067232B"/>
    <w:rsid w:val="00672AB3"/>
    <w:rsid w:val="00675198"/>
    <w:rsid w:val="006858E4"/>
    <w:rsid w:val="00686950"/>
    <w:rsid w:val="00687573"/>
    <w:rsid w:val="006959DA"/>
    <w:rsid w:val="00696F4E"/>
    <w:rsid w:val="0069756A"/>
    <w:rsid w:val="006A30AB"/>
    <w:rsid w:val="006A3EDC"/>
    <w:rsid w:val="006A4884"/>
    <w:rsid w:val="006A5ABB"/>
    <w:rsid w:val="006A5FE2"/>
    <w:rsid w:val="006A6A95"/>
    <w:rsid w:val="006B37E7"/>
    <w:rsid w:val="006B3964"/>
    <w:rsid w:val="006B5FAB"/>
    <w:rsid w:val="006B60A1"/>
    <w:rsid w:val="006B7DBB"/>
    <w:rsid w:val="006C190E"/>
    <w:rsid w:val="006C44B0"/>
    <w:rsid w:val="006C49C9"/>
    <w:rsid w:val="006C560A"/>
    <w:rsid w:val="006D0E6C"/>
    <w:rsid w:val="006D5753"/>
    <w:rsid w:val="006D7050"/>
    <w:rsid w:val="006E1E05"/>
    <w:rsid w:val="006E4914"/>
    <w:rsid w:val="006E5D08"/>
    <w:rsid w:val="006E7C51"/>
    <w:rsid w:val="006F009A"/>
    <w:rsid w:val="006F1BAE"/>
    <w:rsid w:val="006F24DA"/>
    <w:rsid w:val="006F31EB"/>
    <w:rsid w:val="006F3A41"/>
    <w:rsid w:val="006F3C3D"/>
    <w:rsid w:val="006F686C"/>
    <w:rsid w:val="006F783C"/>
    <w:rsid w:val="00706F01"/>
    <w:rsid w:val="007131AD"/>
    <w:rsid w:val="00713232"/>
    <w:rsid w:val="007153BA"/>
    <w:rsid w:val="00720DAB"/>
    <w:rsid w:val="00721902"/>
    <w:rsid w:val="00724785"/>
    <w:rsid w:val="0072645D"/>
    <w:rsid w:val="007276CD"/>
    <w:rsid w:val="00731352"/>
    <w:rsid w:val="007315E3"/>
    <w:rsid w:val="00742068"/>
    <w:rsid w:val="00744128"/>
    <w:rsid w:val="007470A0"/>
    <w:rsid w:val="00750501"/>
    <w:rsid w:val="00750DDD"/>
    <w:rsid w:val="007531FA"/>
    <w:rsid w:val="0075343E"/>
    <w:rsid w:val="00756282"/>
    <w:rsid w:val="00757F1A"/>
    <w:rsid w:val="00765F52"/>
    <w:rsid w:val="00767609"/>
    <w:rsid w:val="007676C1"/>
    <w:rsid w:val="0077040A"/>
    <w:rsid w:val="00777D44"/>
    <w:rsid w:val="00780B94"/>
    <w:rsid w:val="007822CD"/>
    <w:rsid w:val="00782592"/>
    <w:rsid w:val="007850C3"/>
    <w:rsid w:val="00794923"/>
    <w:rsid w:val="007971EF"/>
    <w:rsid w:val="007A0946"/>
    <w:rsid w:val="007A0B87"/>
    <w:rsid w:val="007A0C95"/>
    <w:rsid w:val="007A183A"/>
    <w:rsid w:val="007A1AF1"/>
    <w:rsid w:val="007A338B"/>
    <w:rsid w:val="007A45DF"/>
    <w:rsid w:val="007B1369"/>
    <w:rsid w:val="007B5E8A"/>
    <w:rsid w:val="007C17F3"/>
    <w:rsid w:val="007C2556"/>
    <w:rsid w:val="007C28F6"/>
    <w:rsid w:val="007C43D2"/>
    <w:rsid w:val="007C6E71"/>
    <w:rsid w:val="007D6010"/>
    <w:rsid w:val="007D6615"/>
    <w:rsid w:val="007F3206"/>
    <w:rsid w:val="007F4CF8"/>
    <w:rsid w:val="007F6F53"/>
    <w:rsid w:val="0080483F"/>
    <w:rsid w:val="00804A46"/>
    <w:rsid w:val="0081021F"/>
    <w:rsid w:val="00811D73"/>
    <w:rsid w:val="00816CAA"/>
    <w:rsid w:val="00817080"/>
    <w:rsid w:val="0082758D"/>
    <w:rsid w:val="00830792"/>
    <w:rsid w:val="008312A7"/>
    <w:rsid w:val="008313FB"/>
    <w:rsid w:val="00832B3B"/>
    <w:rsid w:val="00833908"/>
    <w:rsid w:val="00834384"/>
    <w:rsid w:val="00834781"/>
    <w:rsid w:val="008371F2"/>
    <w:rsid w:val="00837963"/>
    <w:rsid w:val="00837E3E"/>
    <w:rsid w:val="008401E4"/>
    <w:rsid w:val="00840A7F"/>
    <w:rsid w:val="00841B52"/>
    <w:rsid w:val="00841E6F"/>
    <w:rsid w:val="00842EBA"/>
    <w:rsid w:val="00844A85"/>
    <w:rsid w:val="00845B9D"/>
    <w:rsid w:val="00846DAF"/>
    <w:rsid w:val="00853B5F"/>
    <w:rsid w:val="00855A69"/>
    <w:rsid w:val="00857AD3"/>
    <w:rsid w:val="008648FD"/>
    <w:rsid w:val="00865927"/>
    <w:rsid w:val="00874C77"/>
    <w:rsid w:val="008750CF"/>
    <w:rsid w:val="00880861"/>
    <w:rsid w:val="00880A62"/>
    <w:rsid w:val="00883019"/>
    <w:rsid w:val="00884012"/>
    <w:rsid w:val="00885F00"/>
    <w:rsid w:val="00893056"/>
    <w:rsid w:val="00894D0C"/>
    <w:rsid w:val="008962E6"/>
    <w:rsid w:val="008966BF"/>
    <w:rsid w:val="00896C34"/>
    <w:rsid w:val="008A50DD"/>
    <w:rsid w:val="008B07AB"/>
    <w:rsid w:val="008B1986"/>
    <w:rsid w:val="008B4427"/>
    <w:rsid w:val="008C0E8E"/>
    <w:rsid w:val="008C6198"/>
    <w:rsid w:val="008C6EBF"/>
    <w:rsid w:val="008C7473"/>
    <w:rsid w:val="008D133D"/>
    <w:rsid w:val="008D4C13"/>
    <w:rsid w:val="008D5122"/>
    <w:rsid w:val="008D6188"/>
    <w:rsid w:val="008D75C8"/>
    <w:rsid w:val="008E41AC"/>
    <w:rsid w:val="008E4376"/>
    <w:rsid w:val="008E4C1D"/>
    <w:rsid w:val="008E76A6"/>
    <w:rsid w:val="008E7B5E"/>
    <w:rsid w:val="008F22A4"/>
    <w:rsid w:val="008F5E79"/>
    <w:rsid w:val="00900BD9"/>
    <w:rsid w:val="00904099"/>
    <w:rsid w:val="009048FB"/>
    <w:rsid w:val="009058EE"/>
    <w:rsid w:val="00914998"/>
    <w:rsid w:val="00915B8A"/>
    <w:rsid w:val="00916531"/>
    <w:rsid w:val="00922AFF"/>
    <w:rsid w:val="00924C07"/>
    <w:rsid w:val="009266A4"/>
    <w:rsid w:val="009327BE"/>
    <w:rsid w:val="009335E5"/>
    <w:rsid w:val="00935128"/>
    <w:rsid w:val="00950634"/>
    <w:rsid w:val="00951B1C"/>
    <w:rsid w:val="00952D24"/>
    <w:rsid w:val="00957A38"/>
    <w:rsid w:val="00961576"/>
    <w:rsid w:val="009621A4"/>
    <w:rsid w:val="00965A6F"/>
    <w:rsid w:val="00965A75"/>
    <w:rsid w:val="00970BF8"/>
    <w:rsid w:val="009737C1"/>
    <w:rsid w:val="00986F60"/>
    <w:rsid w:val="009872FB"/>
    <w:rsid w:val="00996C63"/>
    <w:rsid w:val="009A293E"/>
    <w:rsid w:val="009A7D29"/>
    <w:rsid w:val="009A7F38"/>
    <w:rsid w:val="009B1973"/>
    <w:rsid w:val="009B2D56"/>
    <w:rsid w:val="009C1ADE"/>
    <w:rsid w:val="009C2F9A"/>
    <w:rsid w:val="009C4511"/>
    <w:rsid w:val="009C4A4F"/>
    <w:rsid w:val="009C77A6"/>
    <w:rsid w:val="009D218A"/>
    <w:rsid w:val="009D4982"/>
    <w:rsid w:val="009D644A"/>
    <w:rsid w:val="009D6889"/>
    <w:rsid w:val="009E15C1"/>
    <w:rsid w:val="009E3E56"/>
    <w:rsid w:val="009E48E3"/>
    <w:rsid w:val="009E5F14"/>
    <w:rsid w:val="009F37BB"/>
    <w:rsid w:val="009F4A42"/>
    <w:rsid w:val="009F74B3"/>
    <w:rsid w:val="009F7FF6"/>
    <w:rsid w:val="00A00C56"/>
    <w:rsid w:val="00A03983"/>
    <w:rsid w:val="00A056E0"/>
    <w:rsid w:val="00A123C3"/>
    <w:rsid w:val="00A1796F"/>
    <w:rsid w:val="00A23833"/>
    <w:rsid w:val="00A24BEA"/>
    <w:rsid w:val="00A24C4B"/>
    <w:rsid w:val="00A301F5"/>
    <w:rsid w:val="00A3155C"/>
    <w:rsid w:val="00A32957"/>
    <w:rsid w:val="00A36BC9"/>
    <w:rsid w:val="00A372EE"/>
    <w:rsid w:val="00A41B49"/>
    <w:rsid w:val="00A41EE9"/>
    <w:rsid w:val="00A443D1"/>
    <w:rsid w:val="00A44C58"/>
    <w:rsid w:val="00A513A8"/>
    <w:rsid w:val="00A6002D"/>
    <w:rsid w:val="00A60AAF"/>
    <w:rsid w:val="00A623F6"/>
    <w:rsid w:val="00A62933"/>
    <w:rsid w:val="00A67B99"/>
    <w:rsid w:val="00A70CAC"/>
    <w:rsid w:val="00A719AD"/>
    <w:rsid w:val="00A7259D"/>
    <w:rsid w:val="00A77866"/>
    <w:rsid w:val="00A824D3"/>
    <w:rsid w:val="00A86452"/>
    <w:rsid w:val="00A924F0"/>
    <w:rsid w:val="00A96671"/>
    <w:rsid w:val="00AB1CD2"/>
    <w:rsid w:val="00AB670E"/>
    <w:rsid w:val="00AC2AEE"/>
    <w:rsid w:val="00AC2F6A"/>
    <w:rsid w:val="00AC6871"/>
    <w:rsid w:val="00AD509A"/>
    <w:rsid w:val="00AD640D"/>
    <w:rsid w:val="00AD6C01"/>
    <w:rsid w:val="00AE60EF"/>
    <w:rsid w:val="00AE664A"/>
    <w:rsid w:val="00B01719"/>
    <w:rsid w:val="00B06301"/>
    <w:rsid w:val="00B1667F"/>
    <w:rsid w:val="00B1683A"/>
    <w:rsid w:val="00B20F42"/>
    <w:rsid w:val="00B23477"/>
    <w:rsid w:val="00B244FF"/>
    <w:rsid w:val="00B26307"/>
    <w:rsid w:val="00B3341B"/>
    <w:rsid w:val="00B406B8"/>
    <w:rsid w:val="00B42AC7"/>
    <w:rsid w:val="00B43C66"/>
    <w:rsid w:val="00B43E6E"/>
    <w:rsid w:val="00B44A11"/>
    <w:rsid w:val="00B44BBD"/>
    <w:rsid w:val="00B460FC"/>
    <w:rsid w:val="00B464D6"/>
    <w:rsid w:val="00B51D51"/>
    <w:rsid w:val="00B53353"/>
    <w:rsid w:val="00B570AB"/>
    <w:rsid w:val="00B61FBE"/>
    <w:rsid w:val="00B628D2"/>
    <w:rsid w:val="00B63F7C"/>
    <w:rsid w:val="00B64E16"/>
    <w:rsid w:val="00B677B0"/>
    <w:rsid w:val="00B76299"/>
    <w:rsid w:val="00B76C17"/>
    <w:rsid w:val="00B77F52"/>
    <w:rsid w:val="00B86859"/>
    <w:rsid w:val="00B902E8"/>
    <w:rsid w:val="00B934FB"/>
    <w:rsid w:val="00B96B02"/>
    <w:rsid w:val="00B978D7"/>
    <w:rsid w:val="00B97A6A"/>
    <w:rsid w:val="00BA0DE4"/>
    <w:rsid w:val="00BA319B"/>
    <w:rsid w:val="00BA39B0"/>
    <w:rsid w:val="00BA49FD"/>
    <w:rsid w:val="00BA5252"/>
    <w:rsid w:val="00BA65DD"/>
    <w:rsid w:val="00BA78D8"/>
    <w:rsid w:val="00BB1E79"/>
    <w:rsid w:val="00BB4181"/>
    <w:rsid w:val="00BB79FF"/>
    <w:rsid w:val="00BC03F0"/>
    <w:rsid w:val="00BC0AF6"/>
    <w:rsid w:val="00BC2169"/>
    <w:rsid w:val="00BC4F3E"/>
    <w:rsid w:val="00BD0A81"/>
    <w:rsid w:val="00BD0E80"/>
    <w:rsid w:val="00BD1A64"/>
    <w:rsid w:val="00BD40C9"/>
    <w:rsid w:val="00BD67E2"/>
    <w:rsid w:val="00BE0796"/>
    <w:rsid w:val="00BE3886"/>
    <w:rsid w:val="00BF2715"/>
    <w:rsid w:val="00BF3D8D"/>
    <w:rsid w:val="00BF6D92"/>
    <w:rsid w:val="00C0765F"/>
    <w:rsid w:val="00C121BF"/>
    <w:rsid w:val="00C12DBC"/>
    <w:rsid w:val="00C13721"/>
    <w:rsid w:val="00C22A97"/>
    <w:rsid w:val="00C25475"/>
    <w:rsid w:val="00C32C0A"/>
    <w:rsid w:val="00C3411A"/>
    <w:rsid w:val="00C34564"/>
    <w:rsid w:val="00C3678B"/>
    <w:rsid w:val="00C43439"/>
    <w:rsid w:val="00C443A2"/>
    <w:rsid w:val="00C5122E"/>
    <w:rsid w:val="00C5164A"/>
    <w:rsid w:val="00C53FBC"/>
    <w:rsid w:val="00C612A5"/>
    <w:rsid w:val="00C66DA3"/>
    <w:rsid w:val="00C709B8"/>
    <w:rsid w:val="00C72FEB"/>
    <w:rsid w:val="00C73051"/>
    <w:rsid w:val="00C733CC"/>
    <w:rsid w:val="00C73C9F"/>
    <w:rsid w:val="00C73E1B"/>
    <w:rsid w:val="00C7436B"/>
    <w:rsid w:val="00C74690"/>
    <w:rsid w:val="00C7498E"/>
    <w:rsid w:val="00C75FDF"/>
    <w:rsid w:val="00C823A5"/>
    <w:rsid w:val="00C83570"/>
    <w:rsid w:val="00C95D22"/>
    <w:rsid w:val="00CB07F2"/>
    <w:rsid w:val="00CB3B70"/>
    <w:rsid w:val="00CB4782"/>
    <w:rsid w:val="00CC3344"/>
    <w:rsid w:val="00CC3C06"/>
    <w:rsid w:val="00CD069C"/>
    <w:rsid w:val="00CD1D75"/>
    <w:rsid w:val="00CD316B"/>
    <w:rsid w:val="00CD3CA1"/>
    <w:rsid w:val="00CD51BD"/>
    <w:rsid w:val="00CD7429"/>
    <w:rsid w:val="00CD76DD"/>
    <w:rsid w:val="00CE11A8"/>
    <w:rsid w:val="00CE307B"/>
    <w:rsid w:val="00CE382B"/>
    <w:rsid w:val="00CE3B50"/>
    <w:rsid w:val="00CE621B"/>
    <w:rsid w:val="00CF014A"/>
    <w:rsid w:val="00CF2DEE"/>
    <w:rsid w:val="00CF560A"/>
    <w:rsid w:val="00D04A84"/>
    <w:rsid w:val="00D053BB"/>
    <w:rsid w:val="00D109BB"/>
    <w:rsid w:val="00D1251E"/>
    <w:rsid w:val="00D1425D"/>
    <w:rsid w:val="00D1553F"/>
    <w:rsid w:val="00D1638E"/>
    <w:rsid w:val="00D1702E"/>
    <w:rsid w:val="00D17764"/>
    <w:rsid w:val="00D17870"/>
    <w:rsid w:val="00D20E04"/>
    <w:rsid w:val="00D21F88"/>
    <w:rsid w:val="00D27F60"/>
    <w:rsid w:val="00D31079"/>
    <w:rsid w:val="00D33201"/>
    <w:rsid w:val="00D33276"/>
    <w:rsid w:val="00D35358"/>
    <w:rsid w:val="00D35633"/>
    <w:rsid w:val="00D4073B"/>
    <w:rsid w:val="00D44A51"/>
    <w:rsid w:val="00D46B18"/>
    <w:rsid w:val="00D50971"/>
    <w:rsid w:val="00D53621"/>
    <w:rsid w:val="00D561F7"/>
    <w:rsid w:val="00D57A95"/>
    <w:rsid w:val="00D61DBF"/>
    <w:rsid w:val="00D61E0F"/>
    <w:rsid w:val="00D62268"/>
    <w:rsid w:val="00D631A1"/>
    <w:rsid w:val="00D64042"/>
    <w:rsid w:val="00D64E9A"/>
    <w:rsid w:val="00D662AE"/>
    <w:rsid w:val="00D663C0"/>
    <w:rsid w:val="00D676C9"/>
    <w:rsid w:val="00D70140"/>
    <w:rsid w:val="00D71363"/>
    <w:rsid w:val="00D7174A"/>
    <w:rsid w:val="00D7230E"/>
    <w:rsid w:val="00D7235C"/>
    <w:rsid w:val="00D72562"/>
    <w:rsid w:val="00D739C6"/>
    <w:rsid w:val="00D779FB"/>
    <w:rsid w:val="00D809AC"/>
    <w:rsid w:val="00D86EEE"/>
    <w:rsid w:val="00D87296"/>
    <w:rsid w:val="00D87669"/>
    <w:rsid w:val="00D92336"/>
    <w:rsid w:val="00D963D0"/>
    <w:rsid w:val="00D96447"/>
    <w:rsid w:val="00D971E3"/>
    <w:rsid w:val="00DA6B5E"/>
    <w:rsid w:val="00DB2C12"/>
    <w:rsid w:val="00DB3CF9"/>
    <w:rsid w:val="00DC5762"/>
    <w:rsid w:val="00DC6192"/>
    <w:rsid w:val="00DC6607"/>
    <w:rsid w:val="00DD4A59"/>
    <w:rsid w:val="00DD4AB8"/>
    <w:rsid w:val="00DD51FC"/>
    <w:rsid w:val="00DD55D8"/>
    <w:rsid w:val="00DD6538"/>
    <w:rsid w:val="00DE0689"/>
    <w:rsid w:val="00DE1D2A"/>
    <w:rsid w:val="00DE362D"/>
    <w:rsid w:val="00DE4F51"/>
    <w:rsid w:val="00DE5A84"/>
    <w:rsid w:val="00DE60CB"/>
    <w:rsid w:val="00DF2ADE"/>
    <w:rsid w:val="00DF381A"/>
    <w:rsid w:val="00DF3E48"/>
    <w:rsid w:val="00DF7753"/>
    <w:rsid w:val="00DF7B0C"/>
    <w:rsid w:val="00DF7E39"/>
    <w:rsid w:val="00E06B64"/>
    <w:rsid w:val="00E07AE7"/>
    <w:rsid w:val="00E10EE7"/>
    <w:rsid w:val="00E12222"/>
    <w:rsid w:val="00E1307E"/>
    <w:rsid w:val="00E1523B"/>
    <w:rsid w:val="00E20010"/>
    <w:rsid w:val="00E208B6"/>
    <w:rsid w:val="00E24882"/>
    <w:rsid w:val="00E24E65"/>
    <w:rsid w:val="00E25F52"/>
    <w:rsid w:val="00E261CF"/>
    <w:rsid w:val="00E272C1"/>
    <w:rsid w:val="00E304C0"/>
    <w:rsid w:val="00E31C5A"/>
    <w:rsid w:val="00E322FF"/>
    <w:rsid w:val="00E32593"/>
    <w:rsid w:val="00E33947"/>
    <w:rsid w:val="00E3460D"/>
    <w:rsid w:val="00E34C84"/>
    <w:rsid w:val="00E35F27"/>
    <w:rsid w:val="00E4007B"/>
    <w:rsid w:val="00E436AC"/>
    <w:rsid w:val="00E4477C"/>
    <w:rsid w:val="00E4637D"/>
    <w:rsid w:val="00E475A5"/>
    <w:rsid w:val="00E5145C"/>
    <w:rsid w:val="00E5165B"/>
    <w:rsid w:val="00E536A7"/>
    <w:rsid w:val="00E6385D"/>
    <w:rsid w:val="00E64CEE"/>
    <w:rsid w:val="00E671EF"/>
    <w:rsid w:val="00E809DB"/>
    <w:rsid w:val="00E8438A"/>
    <w:rsid w:val="00E8440E"/>
    <w:rsid w:val="00E9169B"/>
    <w:rsid w:val="00E921AB"/>
    <w:rsid w:val="00EA21F2"/>
    <w:rsid w:val="00EA3A0C"/>
    <w:rsid w:val="00EA692A"/>
    <w:rsid w:val="00EB0FAC"/>
    <w:rsid w:val="00EB2C2C"/>
    <w:rsid w:val="00EB4EE7"/>
    <w:rsid w:val="00EB5046"/>
    <w:rsid w:val="00EB520E"/>
    <w:rsid w:val="00EB53BB"/>
    <w:rsid w:val="00EC0675"/>
    <w:rsid w:val="00EC41A7"/>
    <w:rsid w:val="00EC4D92"/>
    <w:rsid w:val="00EC6200"/>
    <w:rsid w:val="00EC6E2E"/>
    <w:rsid w:val="00EC75F4"/>
    <w:rsid w:val="00ED25EB"/>
    <w:rsid w:val="00EE0BB7"/>
    <w:rsid w:val="00EE1919"/>
    <w:rsid w:val="00EE3223"/>
    <w:rsid w:val="00EE3E9A"/>
    <w:rsid w:val="00EE6500"/>
    <w:rsid w:val="00EE6D7A"/>
    <w:rsid w:val="00EF1191"/>
    <w:rsid w:val="00EF15B2"/>
    <w:rsid w:val="00EF22EE"/>
    <w:rsid w:val="00EF2BFC"/>
    <w:rsid w:val="00EF2E03"/>
    <w:rsid w:val="00F00926"/>
    <w:rsid w:val="00F02A2A"/>
    <w:rsid w:val="00F039AD"/>
    <w:rsid w:val="00F10012"/>
    <w:rsid w:val="00F10CA1"/>
    <w:rsid w:val="00F13BCB"/>
    <w:rsid w:val="00F140E4"/>
    <w:rsid w:val="00F149D8"/>
    <w:rsid w:val="00F20F81"/>
    <w:rsid w:val="00F2401D"/>
    <w:rsid w:val="00F24A82"/>
    <w:rsid w:val="00F27A89"/>
    <w:rsid w:val="00F35C07"/>
    <w:rsid w:val="00F37D66"/>
    <w:rsid w:val="00F409D3"/>
    <w:rsid w:val="00F509DD"/>
    <w:rsid w:val="00F527F0"/>
    <w:rsid w:val="00F54ADA"/>
    <w:rsid w:val="00F5566B"/>
    <w:rsid w:val="00F556B6"/>
    <w:rsid w:val="00F57DEC"/>
    <w:rsid w:val="00F6016F"/>
    <w:rsid w:val="00F654F2"/>
    <w:rsid w:val="00F65945"/>
    <w:rsid w:val="00F71948"/>
    <w:rsid w:val="00F71AE0"/>
    <w:rsid w:val="00F7421F"/>
    <w:rsid w:val="00F74DF6"/>
    <w:rsid w:val="00F758A9"/>
    <w:rsid w:val="00F75D01"/>
    <w:rsid w:val="00F80C07"/>
    <w:rsid w:val="00F85288"/>
    <w:rsid w:val="00F8679C"/>
    <w:rsid w:val="00F9059D"/>
    <w:rsid w:val="00F90D20"/>
    <w:rsid w:val="00F9110F"/>
    <w:rsid w:val="00F9793D"/>
    <w:rsid w:val="00FA4144"/>
    <w:rsid w:val="00FA5BF2"/>
    <w:rsid w:val="00FB020B"/>
    <w:rsid w:val="00FB0438"/>
    <w:rsid w:val="00FB1496"/>
    <w:rsid w:val="00FB3CC6"/>
    <w:rsid w:val="00FB545F"/>
    <w:rsid w:val="00FC2753"/>
    <w:rsid w:val="00FC27C4"/>
    <w:rsid w:val="00FC3B72"/>
    <w:rsid w:val="00FC3C35"/>
    <w:rsid w:val="00FC7D69"/>
    <w:rsid w:val="00FD1EBE"/>
    <w:rsid w:val="00FD3582"/>
    <w:rsid w:val="00FD4002"/>
    <w:rsid w:val="00FD799D"/>
    <w:rsid w:val="00FE49E4"/>
    <w:rsid w:val="00FE5AE8"/>
    <w:rsid w:val="00FE6CC9"/>
    <w:rsid w:val="00FE7729"/>
    <w:rsid w:val="00FF112D"/>
    <w:rsid w:val="00FF5585"/>
    <w:rsid w:val="00FF73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10C1530-DC3E-4593-B466-861A8ECB9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529"/>
    <w:rPr>
      <w:rFonts w:ascii="Times New Roman" w:hAnsi="Times New Roman"/>
      <w:sz w:val="25"/>
    </w:rPr>
  </w:style>
  <w:style w:type="paragraph" w:styleId="Heading1">
    <w:name w:val="heading 1"/>
    <w:basedOn w:val="Normal"/>
    <w:next w:val="Normal"/>
    <w:link w:val="Heading1Char"/>
    <w:uiPriority w:val="9"/>
    <w:qFormat/>
    <w:rsid w:val="00DF381A"/>
    <w:pPr>
      <w:keepNext/>
      <w:keepLines/>
      <w:spacing w:before="360" w:after="240"/>
      <w:outlineLvl w:val="0"/>
    </w:pPr>
    <w:rPr>
      <w:rFonts w:eastAsiaTheme="majorEastAsia" w:cstheme="majorBidi"/>
      <w:color w:val="008080"/>
      <w:sz w:val="28"/>
      <w:szCs w:val="32"/>
    </w:rPr>
  </w:style>
  <w:style w:type="paragraph" w:styleId="Heading2">
    <w:name w:val="heading 2"/>
    <w:basedOn w:val="Normal"/>
    <w:next w:val="Normal"/>
    <w:link w:val="Heading2Char"/>
    <w:uiPriority w:val="9"/>
    <w:unhideWhenUsed/>
    <w:qFormat/>
    <w:rsid w:val="007A1AF1"/>
    <w:pPr>
      <w:keepNext/>
      <w:keepLines/>
      <w:spacing w:before="240" w:after="0"/>
      <w:outlineLvl w:val="1"/>
    </w:pPr>
    <w:rPr>
      <w:rFonts w:eastAsiaTheme="majorEastAsia" w:cstheme="majorBidi"/>
      <w:color w:val="7F7F7F" w:themeColor="text1" w:themeTint="80"/>
      <w:szCs w:val="25"/>
    </w:rPr>
  </w:style>
  <w:style w:type="paragraph" w:styleId="Heading3">
    <w:name w:val="heading 3"/>
    <w:basedOn w:val="Normal"/>
    <w:next w:val="Normal"/>
    <w:link w:val="Heading3Char"/>
    <w:uiPriority w:val="9"/>
    <w:unhideWhenUsed/>
    <w:qFormat/>
    <w:rsid w:val="00502403"/>
    <w:pPr>
      <w:keepNext/>
      <w:keepLines/>
      <w:spacing w:before="360" w:after="120"/>
      <w:jc w:val="both"/>
      <w:outlineLvl w:val="2"/>
    </w:pPr>
    <w:rPr>
      <w:rFonts w:eastAsiaTheme="majorEastAsia" w:cstheme="majorBidi"/>
      <w:color w:val="7F7F7F" w:themeColor="text1" w:themeTint="80"/>
      <w:sz w:val="24"/>
      <w:szCs w:val="24"/>
    </w:rPr>
  </w:style>
  <w:style w:type="paragraph" w:styleId="Heading4">
    <w:name w:val="heading 4"/>
    <w:basedOn w:val="ListParagraph"/>
    <w:next w:val="Normal"/>
    <w:link w:val="Heading4Char"/>
    <w:uiPriority w:val="9"/>
    <w:unhideWhenUsed/>
    <w:qFormat/>
    <w:rsid w:val="004941C8"/>
    <w:pPr>
      <w:keepNext/>
      <w:keepLines/>
      <w:spacing w:before="240" w:after="120"/>
      <w:ind w:left="288"/>
      <w:outlineLvl w:val="3"/>
    </w:pPr>
    <w:rPr>
      <w:rFonts w:ascii="Candara" w:eastAsiaTheme="majorEastAsia" w:hAnsi="Candara" w:cstheme="majorBidi"/>
      <w:color w:val="006666"/>
      <w:sz w:val="24"/>
      <w:szCs w:val="24"/>
    </w:rPr>
  </w:style>
  <w:style w:type="paragraph" w:styleId="Heading5">
    <w:name w:val="heading 5"/>
    <w:basedOn w:val="Normal"/>
    <w:next w:val="Normal"/>
    <w:link w:val="Heading5Char"/>
    <w:uiPriority w:val="9"/>
    <w:unhideWhenUsed/>
    <w:qFormat/>
    <w:rsid w:val="00FD3582"/>
    <w:pPr>
      <w:keepNext/>
      <w:keepLines/>
      <w:spacing w:before="240" w:after="120"/>
      <w:ind w:left="720"/>
      <w:outlineLvl w:val="4"/>
    </w:pPr>
    <w:rPr>
      <w:rFonts w:eastAsiaTheme="majorEastAsia" w:cstheme="majorBidi"/>
      <w:color w:val="595959" w:themeColor="text1" w:themeTint="A6"/>
      <w:u w:val="single"/>
    </w:rPr>
  </w:style>
  <w:style w:type="paragraph" w:styleId="Heading6">
    <w:name w:val="heading 6"/>
    <w:basedOn w:val="Normal"/>
    <w:next w:val="Normal"/>
    <w:link w:val="Heading6Char"/>
    <w:uiPriority w:val="9"/>
    <w:unhideWhenUsed/>
    <w:qFormat/>
    <w:rsid w:val="00B244FF"/>
    <w:pPr>
      <w:keepNext/>
      <w:keepLines/>
      <w:spacing w:before="120" w:after="120"/>
      <w:ind w:left="1440"/>
      <w:outlineLvl w:val="5"/>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52D24"/>
    <w:rPr>
      <w:rFonts w:ascii="Times New Roman" w:eastAsiaTheme="majorEastAsia" w:hAnsi="Times New Roman" w:cstheme="majorBidi"/>
      <w:color w:val="7F7F7F" w:themeColor="text1" w:themeTint="80"/>
      <w:sz w:val="25"/>
      <w:szCs w:val="25"/>
    </w:rPr>
  </w:style>
  <w:style w:type="paragraph" w:styleId="ListParagraph">
    <w:name w:val="List Paragraph"/>
    <w:basedOn w:val="Normal"/>
    <w:uiPriority w:val="34"/>
    <w:qFormat/>
    <w:rsid w:val="008313FB"/>
    <w:pPr>
      <w:ind w:left="720"/>
      <w:contextualSpacing/>
    </w:pPr>
  </w:style>
  <w:style w:type="numbering" w:customStyle="1" w:styleId="Style1">
    <w:name w:val="Style1"/>
    <w:uiPriority w:val="99"/>
    <w:rsid w:val="001C587A"/>
    <w:pPr>
      <w:numPr>
        <w:numId w:val="2"/>
      </w:numPr>
    </w:pPr>
  </w:style>
  <w:style w:type="character" w:customStyle="1" w:styleId="Heading1Char">
    <w:name w:val="Heading 1 Char"/>
    <w:basedOn w:val="DefaultParagraphFont"/>
    <w:link w:val="Heading1"/>
    <w:uiPriority w:val="9"/>
    <w:rsid w:val="00DF381A"/>
    <w:rPr>
      <w:rFonts w:ascii="Candara" w:eastAsiaTheme="majorEastAsia" w:hAnsi="Candara" w:cstheme="majorBidi"/>
      <w:color w:val="008080"/>
      <w:sz w:val="28"/>
      <w:szCs w:val="32"/>
    </w:rPr>
  </w:style>
  <w:style w:type="character" w:customStyle="1" w:styleId="Heading3Char">
    <w:name w:val="Heading 3 Char"/>
    <w:basedOn w:val="DefaultParagraphFont"/>
    <w:link w:val="Heading3"/>
    <w:uiPriority w:val="9"/>
    <w:rsid w:val="00502403"/>
    <w:rPr>
      <w:rFonts w:ascii="Times New Roman" w:eastAsiaTheme="majorEastAsia" w:hAnsi="Times New Roman" w:cstheme="majorBidi"/>
      <w:color w:val="7F7F7F" w:themeColor="text1" w:themeTint="80"/>
      <w:sz w:val="24"/>
      <w:szCs w:val="24"/>
    </w:rPr>
  </w:style>
  <w:style w:type="paragraph" w:styleId="Subtitle">
    <w:name w:val="Subtitle"/>
    <w:basedOn w:val="Normal"/>
    <w:next w:val="Normal"/>
    <w:link w:val="SubtitleChar"/>
    <w:uiPriority w:val="11"/>
    <w:qFormat/>
    <w:rsid w:val="006578E5"/>
    <w:pPr>
      <w:numPr>
        <w:ilvl w:val="1"/>
      </w:numPr>
      <w:spacing w:before="24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578E5"/>
    <w:rPr>
      <w:rFonts w:ascii="Candara" w:eastAsiaTheme="minorEastAsia" w:hAnsi="Candara"/>
      <w:color w:val="5A5A5A" w:themeColor="text1" w:themeTint="A5"/>
      <w:spacing w:val="15"/>
    </w:rPr>
  </w:style>
  <w:style w:type="character" w:styleId="SubtleEmphasis">
    <w:name w:val="Subtle Emphasis"/>
    <w:basedOn w:val="DefaultParagraphFont"/>
    <w:uiPriority w:val="19"/>
    <w:qFormat/>
    <w:rsid w:val="000D420F"/>
    <w:rPr>
      <w:rFonts w:ascii="Candara" w:hAnsi="Candara"/>
      <w:i/>
      <w:iCs/>
      <w:color w:val="7F7F7F" w:themeColor="text1" w:themeTint="80"/>
      <w:sz w:val="24"/>
    </w:rPr>
  </w:style>
  <w:style w:type="paragraph" w:styleId="FootnoteText">
    <w:name w:val="footnote text"/>
    <w:basedOn w:val="Normal"/>
    <w:link w:val="FootnoteTextChar"/>
    <w:uiPriority w:val="99"/>
    <w:semiHidden/>
    <w:unhideWhenUsed/>
    <w:rsid w:val="000D420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420F"/>
    <w:rPr>
      <w:rFonts w:ascii="Candara" w:hAnsi="Candara"/>
      <w:sz w:val="20"/>
      <w:szCs w:val="20"/>
    </w:rPr>
  </w:style>
  <w:style w:type="character" w:styleId="FootnoteReference">
    <w:name w:val="footnote reference"/>
    <w:basedOn w:val="DefaultParagraphFont"/>
    <w:uiPriority w:val="99"/>
    <w:semiHidden/>
    <w:unhideWhenUsed/>
    <w:rsid w:val="000D420F"/>
    <w:rPr>
      <w:rFonts w:ascii="Candara" w:hAnsi="Candara"/>
      <w:color w:val="31849B" w:themeColor="accent5" w:themeShade="BF"/>
      <w:sz w:val="28"/>
      <w:vertAlign w:val="superscript"/>
    </w:rPr>
  </w:style>
  <w:style w:type="character" w:customStyle="1" w:styleId="Heading4Char">
    <w:name w:val="Heading 4 Char"/>
    <w:basedOn w:val="DefaultParagraphFont"/>
    <w:link w:val="Heading4"/>
    <w:uiPriority w:val="9"/>
    <w:rsid w:val="004941C8"/>
    <w:rPr>
      <w:rFonts w:ascii="Candara" w:eastAsiaTheme="majorEastAsia" w:hAnsi="Candara" w:cstheme="majorBidi"/>
      <w:color w:val="006666"/>
      <w:sz w:val="24"/>
      <w:szCs w:val="24"/>
    </w:rPr>
  </w:style>
  <w:style w:type="character" w:styleId="Emphasis">
    <w:name w:val="Emphasis"/>
    <w:basedOn w:val="DefaultParagraphFont"/>
    <w:uiPriority w:val="20"/>
    <w:qFormat/>
    <w:rsid w:val="00FC27C4"/>
    <w:rPr>
      <w:i/>
      <w:iCs/>
    </w:rPr>
  </w:style>
  <w:style w:type="character" w:customStyle="1" w:styleId="Heading5Char">
    <w:name w:val="Heading 5 Char"/>
    <w:basedOn w:val="DefaultParagraphFont"/>
    <w:link w:val="Heading5"/>
    <w:uiPriority w:val="9"/>
    <w:rsid w:val="00FD3582"/>
    <w:rPr>
      <w:rFonts w:ascii="Candara" w:eastAsiaTheme="majorEastAsia" w:hAnsi="Candara" w:cstheme="majorBidi"/>
      <w:color w:val="595959" w:themeColor="text1" w:themeTint="A6"/>
      <w:u w:val="single"/>
    </w:rPr>
  </w:style>
  <w:style w:type="character" w:customStyle="1" w:styleId="Heading6Char">
    <w:name w:val="Heading 6 Char"/>
    <w:basedOn w:val="DefaultParagraphFont"/>
    <w:link w:val="Heading6"/>
    <w:uiPriority w:val="9"/>
    <w:rsid w:val="00B244FF"/>
    <w:rPr>
      <w:rFonts w:ascii="Candara" w:eastAsiaTheme="majorEastAsia" w:hAnsi="Candara" w:cstheme="majorBidi"/>
      <w:color w:val="595959" w:themeColor="text1" w:themeTint="A6"/>
    </w:rPr>
  </w:style>
  <w:style w:type="paragraph" w:styleId="TOCHeading">
    <w:name w:val="TOC Heading"/>
    <w:basedOn w:val="TOC3"/>
    <w:next w:val="Normal"/>
    <w:uiPriority w:val="39"/>
    <w:unhideWhenUsed/>
    <w:qFormat/>
    <w:rsid w:val="00E24E65"/>
    <w:pPr>
      <w:spacing w:after="0"/>
    </w:pPr>
    <w:rPr>
      <w:color w:val="365F91" w:themeColor="accent1" w:themeShade="BF"/>
      <w:sz w:val="32"/>
    </w:rPr>
  </w:style>
  <w:style w:type="paragraph" w:styleId="TOC1">
    <w:name w:val="toc 1"/>
    <w:basedOn w:val="Normal"/>
    <w:next w:val="Normal"/>
    <w:autoRedefine/>
    <w:uiPriority w:val="39"/>
    <w:unhideWhenUsed/>
    <w:rsid w:val="00893056"/>
    <w:pPr>
      <w:tabs>
        <w:tab w:val="right" w:leader="dot" w:pos="9350"/>
      </w:tabs>
      <w:spacing w:after="100"/>
    </w:pPr>
  </w:style>
  <w:style w:type="paragraph" w:styleId="TOC2">
    <w:name w:val="toc 2"/>
    <w:basedOn w:val="Normal"/>
    <w:next w:val="Normal"/>
    <w:autoRedefine/>
    <w:uiPriority w:val="39"/>
    <w:unhideWhenUsed/>
    <w:rsid w:val="00D44A51"/>
    <w:pPr>
      <w:tabs>
        <w:tab w:val="right" w:leader="dot" w:pos="9350"/>
      </w:tabs>
      <w:spacing w:after="100"/>
      <w:ind w:left="720" w:hanging="500"/>
    </w:pPr>
  </w:style>
  <w:style w:type="paragraph" w:styleId="TOC3">
    <w:name w:val="toc 3"/>
    <w:basedOn w:val="Normal"/>
    <w:next w:val="Normal"/>
    <w:autoRedefine/>
    <w:uiPriority w:val="39"/>
    <w:unhideWhenUsed/>
    <w:rsid w:val="004941C8"/>
    <w:pPr>
      <w:tabs>
        <w:tab w:val="right" w:leader="dot" w:pos="9350"/>
      </w:tabs>
      <w:spacing w:after="100"/>
      <w:ind w:left="440"/>
    </w:pPr>
  </w:style>
  <w:style w:type="character" w:styleId="Hyperlink">
    <w:name w:val="Hyperlink"/>
    <w:basedOn w:val="DefaultParagraphFont"/>
    <w:uiPriority w:val="99"/>
    <w:unhideWhenUsed/>
    <w:rsid w:val="00BD0A81"/>
    <w:rPr>
      <w:color w:val="0000FF" w:themeColor="hyperlink"/>
      <w:u w:val="single"/>
    </w:rPr>
  </w:style>
  <w:style w:type="paragraph" w:styleId="Header">
    <w:name w:val="header"/>
    <w:basedOn w:val="Normal"/>
    <w:link w:val="HeaderChar"/>
    <w:uiPriority w:val="99"/>
    <w:unhideWhenUsed/>
    <w:rsid w:val="00E24E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4E65"/>
    <w:rPr>
      <w:rFonts w:ascii="Candara" w:hAnsi="Candara"/>
    </w:rPr>
  </w:style>
  <w:style w:type="paragraph" w:styleId="Footer">
    <w:name w:val="footer"/>
    <w:basedOn w:val="Normal"/>
    <w:link w:val="FooterChar"/>
    <w:uiPriority w:val="99"/>
    <w:unhideWhenUsed/>
    <w:rsid w:val="00E24E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4E65"/>
    <w:rPr>
      <w:rFonts w:ascii="Candara" w:hAnsi="Candara"/>
    </w:rPr>
  </w:style>
  <w:style w:type="paragraph" w:styleId="TOC5">
    <w:name w:val="toc 5"/>
    <w:basedOn w:val="Normal"/>
    <w:next w:val="Normal"/>
    <w:autoRedefine/>
    <w:uiPriority w:val="39"/>
    <w:semiHidden/>
    <w:unhideWhenUsed/>
    <w:rsid w:val="00E24E65"/>
    <w:pPr>
      <w:spacing w:after="100"/>
      <w:ind w:left="880"/>
    </w:pPr>
  </w:style>
  <w:style w:type="table" w:styleId="TableGrid">
    <w:name w:val="Table Grid"/>
    <w:basedOn w:val="TableNormal"/>
    <w:uiPriority w:val="39"/>
    <w:rsid w:val="004971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51">
    <w:name w:val="List Table 4 - Accent 51"/>
    <w:basedOn w:val="TableNormal"/>
    <w:uiPriority w:val="49"/>
    <w:rsid w:val="0049713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A0F894"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BalloonText">
    <w:name w:val="Balloon Text"/>
    <w:basedOn w:val="Normal"/>
    <w:link w:val="BalloonTextChar"/>
    <w:uiPriority w:val="99"/>
    <w:semiHidden/>
    <w:unhideWhenUsed/>
    <w:rsid w:val="00670B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0B09"/>
    <w:rPr>
      <w:rFonts w:ascii="Segoe UI" w:hAnsi="Segoe UI" w:cs="Segoe UI"/>
      <w:sz w:val="18"/>
      <w:szCs w:val="18"/>
    </w:rPr>
  </w:style>
  <w:style w:type="character" w:styleId="CommentReference">
    <w:name w:val="annotation reference"/>
    <w:basedOn w:val="DefaultParagraphFont"/>
    <w:uiPriority w:val="99"/>
    <w:semiHidden/>
    <w:unhideWhenUsed/>
    <w:rsid w:val="008E4376"/>
    <w:rPr>
      <w:sz w:val="16"/>
      <w:szCs w:val="16"/>
    </w:rPr>
  </w:style>
  <w:style w:type="paragraph" w:styleId="CommentText">
    <w:name w:val="annotation text"/>
    <w:basedOn w:val="Normal"/>
    <w:link w:val="CommentTextChar"/>
    <w:uiPriority w:val="99"/>
    <w:semiHidden/>
    <w:unhideWhenUsed/>
    <w:rsid w:val="008E4376"/>
    <w:pPr>
      <w:spacing w:line="240" w:lineRule="auto"/>
    </w:pPr>
    <w:rPr>
      <w:sz w:val="20"/>
      <w:szCs w:val="20"/>
    </w:rPr>
  </w:style>
  <w:style w:type="character" w:customStyle="1" w:styleId="CommentTextChar">
    <w:name w:val="Comment Text Char"/>
    <w:basedOn w:val="DefaultParagraphFont"/>
    <w:link w:val="CommentText"/>
    <w:uiPriority w:val="99"/>
    <w:semiHidden/>
    <w:rsid w:val="008E4376"/>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E4376"/>
    <w:rPr>
      <w:b/>
      <w:bCs/>
    </w:rPr>
  </w:style>
  <w:style w:type="character" w:customStyle="1" w:styleId="CommentSubjectChar">
    <w:name w:val="Comment Subject Char"/>
    <w:basedOn w:val="CommentTextChar"/>
    <w:link w:val="CommentSubject"/>
    <w:uiPriority w:val="99"/>
    <w:semiHidden/>
    <w:rsid w:val="008E4376"/>
    <w:rPr>
      <w:rFonts w:ascii="Times New Roman" w:hAnsi="Times New Roman"/>
      <w:b/>
      <w:bCs/>
      <w:sz w:val="20"/>
      <w:szCs w:val="20"/>
    </w:rPr>
  </w:style>
  <w:style w:type="paragraph" w:styleId="Revision">
    <w:name w:val="Revision"/>
    <w:hidden/>
    <w:uiPriority w:val="99"/>
    <w:semiHidden/>
    <w:rsid w:val="008E4376"/>
    <w:pPr>
      <w:spacing w:after="0" w:line="240" w:lineRule="auto"/>
    </w:pPr>
    <w:rPr>
      <w:rFonts w:ascii="Times New Roman" w:hAnsi="Times New Roman"/>
      <w:sz w:val="25"/>
    </w:rPr>
  </w:style>
  <w:style w:type="table" w:customStyle="1" w:styleId="GridTable5Dark-Accent11">
    <w:name w:val="Grid Table 5 Dark - Accent 11"/>
    <w:basedOn w:val="TableNormal"/>
    <w:uiPriority w:val="50"/>
    <w:rsid w:val="00CC3344"/>
    <w:pPr>
      <w:spacing w:after="0" w:line="240" w:lineRule="auto"/>
    </w:pPr>
    <w:tblPr>
      <w:tblStyleRowBandSize w:val="1"/>
      <w:tblStyleColBandSize w:val="1"/>
      <w:tblBorders>
        <w:top w:val="single" w:sz="4" w:space="0" w:color="A0F894" w:themeColor="background1"/>
        <w:left w:val="single" w:sz="4" w:space="0" w:color="A0F894" w:themeColor="background1"/>
        <w:bottom w:val="single" w:sz="4" w:space="0" w:color="A0F894" w:themeColor="background1"/>
        <w:right w:val="single" w:sz="4" w:space="0" w:color="A0F894" w:themeColor="background1"/>
        <w:insideH w:val="single" w:sz="4" w:space="0" w:color="A0F894" w:themeColor="background1"/>
        <w:insideV w:val="single" w:sz="4" w:space="0" w:color="A0F894" w:themeColor="background1"/>
      </w:tblBorders>
    </w:tblPr>
    <w:tcPr>
      <w:shd w:val="clear" w:color="auto" w:fill="DBE5F1" w:themeFill="accent1" w:themeFillTint="33"/>
    </w:tcPr>
    <w:tblStylePr w:type="firstRow">
      <w:rPr>
        <w:b/>
        <w:bCs/>
        <w:color w:val="A0F894" w:themeColor="background1"/>
      </w:rPr>
      <w:tblPr/>
      <w:tcPr>
        <w:tcBorders>
          <w:top w:val="single" w:sz="4" w:space="0" w:color="A0F894" w:themeColor="background1"/>
          <w:left w:val="single" w:sz="4" w:space="0" w:color="A0F894" w:themeColor="background1"/>
          <w:right w:val="single" w:sz="4" w:space="0" w:color="A0F894" w:themeColor="background1"/>
          <w:insideH w:val="nil"/>
          <w:insideV w:val="nil"/>
        </w:tcBorders>
        <w:shd w:val="clear" w:color="auto" w:fill="4F81BD" w:themeFill="accent1"/>
      </w:tcPr>
    </w:tblStylePr>
    <w:tblStylePr w:type="lastRow">
      <w:rPr>
        <w:b/>
        <w:bCs/>
        <w:color w:val="A0F894" w:themeColor="background1"/>
      </w:rPr>
      <w:tblPr/>
      <w:tcPr>
        <w:tcBorders>
          <w:left w:val="single" w:sz="4" w:space="0" w:color="A0F894" w:themeColor="background1"/>
          <w:bottom w:val="single" w:sz="4" w:space="0" w:color="A0F894" w:themeColor="background1"/>
          <w:right w:val="single" w:sz="4" w:space="0" w:color="A0F894" w:themeColor="background1"/>
          <w:insideH w:val="nil"/>
          <w:insideV w:val="nil"/>
        </w:tcBorders>
        <w:shd w:val="clear" w:color="auto" w:fill="4F81BD" w:themeFill="accent1"/>
      </w:tcPr>
    </w:tblStylePr>
    <w:tblStylePr w:type="firstCol">
      <w:rPr>
        <w:b/>
        <w:bCs/>
        <w:color w:val="A0F894" w:themeColor="background1"/>
      </w:rPr>
      <w:tblPr/>
      <w:tcPr>
        <w:tcBorders>
          <w:top w:val="single" w:sz="4" w:space="0" w:color="A0F894" w:themeColor="background1"/>
          <w:left w:val="single" w:sz="4" w:space="0" w:color="A0F894" w:themeColor="background1"/>
          <w:bottom w:val="single" w:sz="4" w:space="0" w:color="A0F894" w:themeColor="background1"/>
          <w:insideV w:val="nil"/>
        </w:tcBorders>
        <w:shd w:val="clear" w:color="auto" w:fill="4F81BD" w:themeFill="accent1"/>
      </w:tcPr>
    </w:tblStylePr>
    <w:tblStylePr w:type="lastCol">
      <w:rPr>
        <w:b/>
        <w:bCs/>
        <w:color w:val="A0F894" w:themeColor="background1"/>
      </w:rPr>
      <w:tblPr/>
      <w:tcPr>
        <w:tcBorders>
          <w:top w:val="single" w:sz="4" w:space="0" w:color="A0F894" w:themeColor="background1"/>
          <w:bottom w:val="single" w:sz="4" w:space="0" w:color="A0F894" w:themeColor="background1"/>
          <w:right w:val="single" w:sz="4" w:space="0" w:color="A0F894"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sid w:val="00CC334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A0F894"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31">
    <w:name w:val="List Table 6 Colorful - Accent 31"/>
    <w:basedOn w:val="TableNormal"/>
    <w:uiPriority w:val="51"/>
    <w:rsid w:val="00CC3344"/>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NoSpacing">
    <w:name w:val="No Spacing"/>
    <w:link w:val="NoSpacingChar"/>
    <w:uiPriority w:val="1"/>
    <w:qFormat/>
    <w:rsid w:val="00367B5F"/>
    <w:pPr>
      <w:spacing w:after="0" w:line="240" w:lineRule="auto"/>
    </w:pPr>
    <w:rPr>
      <w:rFonts w:eastAsiaTheme="minorEastAsia"/>
    </w:rPr>
  </w:style>
  <w:style w:type="character" w:customStyle="1" w:styleId="NoSpacingChar">
    <w:name w:val="No Spacing Char"/>
    <w:basedOn w:val="DefaultParagraphFont"/>
    <w:link w:val="NoSpacing"/>
    <w:uiPriority w:val="1"/>
    <w:rsid w:val="00367B5F"/>
    <w:rPr>
      <w:rFonts w:eastAsiaTheme="minorEastAsia"/>
    </w:rPr>
  </w:style>
  <w:style w:type="character" w:customStyle="1" w:styleId="HeaderChar1">
    <w:name w:val="Header Char1"/>
    <w:basedOn w:val="DefaultParagraphFont"/>
    <w:uiPriority w:val="99"/>
    <w:rsid w:val="0012165F"/>
  </w:style>
  <w:style w:type="table" w:customStyle="1" w:styleId="GridTable5Dark-Accent12">
    <w:name w:val="Grid Table 5 Dark - Accent 12"/>
    <w:basedOn w:val="TableNormal"/>
    <w:uiPriority w:val="50"/>
    <w:rsid w:val="00D44A51"/>
    <w:pPr>
      <w:spacing w:after="0" w:line="240" w:lineRule="auto"/>
    </w:pPr>
    <w:tblPr>
      <w:tblStyleRowBandSize w:val="1"/>
      <w:tblStyleColBandSize w:val="1"/>
      <w:tblBorders>
        <w:top w:val="single" w:sz="4" w:space="0" w:color="A0F894" w:themeColor="background1"/>
        <w:left w:val="single" w:sz="4" w:space="0" w:color="A0F894" w:themeColor="background1"/>
        <w:bottom w:val="single" w:sz="4" w:space="0" w:color="A0F894" w:themeColor="background1"/>
        <w:right w:val="single" w:sz="4" w:space="0" w:color="A0F894" w:themeColor="background1"/>
        <w:insideH w:val="single" w:sz="4" w:space="0" w:color="A0F894" w:themeColor="background1"/>
        <w:insideV w:val="single" w:sz="4" w:space="0" w:color="A0F894" w:themeColor="background1"/>
      </w:tblBorders>
    </w:tblPr>
    <w:tcPr>
      <w:shd w:val="clear" w:color="auto" w:fill="DBE5F1" w:themeFill="accent1" w:themeFillTint="33"/>
    </w:tcPr>
    <w:tblStylePr w:type="firstRow">
      <w:rPr>
        <w:b/>
        <w:bCs/>
        <w:color w:val="A0F894" w:themeColor="background1"/>
      </w:rPr>
      <w:tblPr/>
      <w:tcPr>
        <w:tcBorders>
          <w:top w:val="single" w:sz="4" w:space="0" w:color="A0F894" w:themeColor="background1"/>
          <w:left w:val="single" w:sz="4" w:space="0" w:color="A0F894" w:themeColor="background1"/>
          <w:right w:val="single" w:sz="4" w:space="0" w:color="A0F894" w:themeColor="background1"/>
          <w:insideH w:val="nil"/>
          <w:insideV w:val="nil"/>
        </w:tcBorders>
        <w:shd w:val="clear" w:color="auto" w:fill="4F81BD" w:themeFill="accent1"/>
      </w:tcPr>
    </w:tblStylePr>
    <w:tblStylePr w:type="lastRow">
      <w:rPr>
        <w:b/>
        <w:bCs/>
        <w:color w:val="A0F894" w:themeColor="background1"/>
      </w:rPr>
      <w:tblPr/>
      <w:tcPr>
        <w:tcBorders>
          <w:left w:val="single" w:sz="4" w:space="0" w:color="A0F894" w:themeColor="background1"/>
          <w:bottom w:val="single" w:sz="4" w:space="0" w:color="A0F894" w:themeColor="background1"/>
          <w:right w:val="single" w:sz="4" w:space="0" w:color="A0F894" w:themeColor="background1"/>
          <w:insideH w:val="nil"/>
          <w:insideV w:val="nil"/>
        </w:tcBorders>
        <w:shd w:val="clear" w:color="auto" w:fill="4F81BD" w:themeFill="accent1"/>
      </w:tcPr>
    </w:tblStylePr>
    <w:tblStylePr w:type="firstCol">
      <w:rPr>
        <w:b/>
        <w:bCs/>
        <w:color w:val="A0F894" w:themeColor="background1"/>
      </w:rPr>
      <w:tblPr/>
      <w:tcPr>
        <w:tcBorders>
          <w:top w:val="single" w:sz="4" w:space="0" w:color="A0F894" w:themeColor="background1"/>
          <w:left w:val="single" w:sz="4" w:space="0" w:color="A0F894" w:themeColor="background1"/>
          <w:bottom w:val="single" w:sz="4" w:space="0" w:color="A0F894" w:themeColor="background1"/>
          <w:insideV w:val="nil"/>
        </w:tcBorders>
        <w:shd w:val="clear" w:color="auto" w:fill="4F81BD" w:themeFill="accent1"/>
      </w:tcPr>
    </w:tblStylePr>
    <w:tblStylePr w:type="lastCol">
      <w:rPr>
        <w:b/>
        <w:bCs/>
        <w:color w:val="A0F894" w:themeColor="background1"/>
      </w:rPr>
      <w:tblPr/>
      <w:tcPr>
        <w:tcBorders>
          <w:top w:val="single" w:sz="4" w:space="0" w:color="A0F894" w:themeColor="background1"/>
          <w:bottom w:val="single" w:sz="4" w:space="0" w:color="A0F894" w:themeColor="background1"/>
          <w:right w:val="single" w:sz="4" w:space="0" w:color="A0F894"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2">
    <w:name w:val="Grid Table 4 - Accent 12"/>
    <w:basedOn w:val="TableNormal"/>
    <w:uiPriority w:val="49"/>
    <w:rsid w:val="00D44A5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A0F894"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32">
    <w:name w:val="List Table 6 Colorful - Accent 32"/>
    <w:basedOn w:val="TableNormal"/>
    <w:uiPriority w:val="51"/>
    <w:rsid w:val="00D44A51"/>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6029020">
      <w:bodyDiv w:val="1"/>
      <w:marLeft w:val="0"/>
      <w:marRight w:val="0"/>
      <w:marTop w:val="0"/>
      <w:marBottom w:val="0"/>
      <w:divBdr>
        <w:top w:val="none" w:sz="0" w:space="0" w:color="auto"/>
        <w:left w:val="none" w:sz="0" w:space="0" w:color="auto"/>
        <w:bottom w:val="none" w:sz="0" w:space="0" w:color="auto"/>
        <w:right w:val="none" w:sz="0" w:space="0" w:color="auto"/>
      </w:divBdr>
    </w:div>
    <w:div w:id="1121531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footer" Target="footer4.xml"/><Relationship Id="rId33" Type="http://schemas.openxmlformats.org/officeDocument/2006/relationships/customXml" Target="../customXml/item6.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emf"/><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header" Target="header3.xml"/><Relationship Id="rId30" Type="http://schemas.openxmlformats.org/officeDocument/2006/relationships/customXml" Target="../customXml/item3.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Prepared for:           The Washington Utilities and Transportation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5571865091E4C84C967B36836C045D32" ma:contentTypeVersion="135" ma:contentTypeDescription="" ma:contentTypeScope="" ma:versionID="b4efaadc31c4967e6df4729b6386d389">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Report</DocumentSetType>
    <IsConfidential xmlns="dc463f71-b30c-4ab2-9473-d307f9d35888">false</IsConfidential>
    <AgendaOrder xmlns="dc463f71-b30c-4ab2-9473-d307f9d35888">false</AgendaOrder>
    <CaseType xmlns="dc463f71-b30c-4ab2-9473-d307f9d35888">Staff Investigation</CaseType>
    <IndustryCode xmlns="dc463f71-b30c-4ab2-9473-d307f9d35888">150</IndustryCode>
    <CaseStatus xmlns="dc463f71-b30c-4ab2-9473-d307f9d35888">Closed</CaseStatus>
    <OpenedDate xmlns="dc463f71-b30c-4ab2-9473-d307f9d35888">2013-10-30T07:00:00+00:00</OpenedDate>
    <Date1 xmlns="dc463f71-b30c-4ab2-9473-d307f9d35888">2015-07-28T22:19:00+00:00</Date1>
    <IsDocumentOrder xmlns="dc463f71-b30c-4ab2-9473-d307f9d35888" xsi:nil="true"/>
    <IsHighlyConfidential xmlns="dc463f71-b30c-4ab2-9473-d307f9d35888">false</IsHighlyConfidential>
    <CaseCompanyNames xmlns="dc463f71-b30c-4ab2-9473-d307f9d35888" xsi:nil="true"/>
    <DocketNumber xmlns="dc463f71-b30c-4ab2-9473-d307f9d35888">132019</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A3D672A1-FA91-44DB-BCB0-9A0035ECFFE5}"/>
</file>

<file path=customXml/itemProps3.xml><?xml version="1.0" encoding="utf-8"?>
<ds:datastoreItem xmlns:ds="http://schemas.openxmlformats.org/officeDocument/2006/customXml" ds:itemID="{771AA314-7FB6-456C-B681-504010BEA58A}"/>
</file>

<file path=customXml/itemProps4.xml><?xml version="1.0" encoding="utf-8"?>
<ds:datastoreItem xmlns:ds="http://schemas.openxmlformats.org/officeDocument/2006/customXml" ds:itemID="{2945F72D-E3CD-4044-8B0A-E7AACD1DCAAC}"/>
</file>

<file path=customXml/itemProps5.xml><?xml version="1.0" encoding="utf-8"?>
<ds:datastoreItem xmlns:ds="http://schemas.openxmlformats.org/officeDocument/2006/customXml" ds:itemID="{F6AC0BFB-AA2B-43B4-84F8-5F1A63675AE6}"/>
</file>

<file path=customXml/itemProps6.xml><?xml version="1.0" encoding="utf-8"?>
<ds:datastoreItem xmlns:ds="http://schemas.openxmlformats.org/officeDocument/2006/customXml" ds:itemID="{8677508D-9BCF-4462-B59F-79CAD2841743}"/>
</file>

<file path=docProps/app.xml><?xml version="1.0" encoding="utf-8"?>
<Properties xmlns="http://schemas.openxmlformats.org/officeDocument/2006/extended-properties" xmlns:vt="http://schemas.openxmlformats.org/officeDocument/2006/docPropsVTypes">
  <Template>Normal</Template>
  <TotalTime>243</TotalTime>
  <Pages>40</Pages>
  <Words>10408</Words>
  <Characters>59331</Characters>
  <Application>Microsoft Office Word</Application>
  <DocSecurity>0</DocSecurity>
  <Lines>494</Lines>
  <Paragraphs>139</Paragraphs>
  <ScaleCrop>false</ScaleCrop>
  <HeadingPairs>
    <vt:vector size="4" baseType="variant">
      <vt:variant>
        <vt:lpstr>Title</vt:lpstr>
      </vt:variant>
      <vt:variant>
        <vt:i4>1</vt:i4>
      </vt:variant>
      <vt:variant>
        <vt:lpstr>Headings</vt:lpstr>
      </vt:variant>
      <vt:variant>
        <vt:i4>44</vt:i4>
      </vt:variant>
    </vt:vector>
  </HeadingPairs>
  <TitlesOfParts>
    <vt:vector size="45" baseType="lpstr">
      <vt:lpstr>Natural Gas Hedging Practices and Regulatory Oversight</vt:lpstr>
      <vt:lpstr>Appendix</vt:lpstr>
      <vt:lpstr/>
      <vt:lpstr>Executive Summary</vt:lpstr>
      <vt:lpstr>Introduction</vt:lpstr>
      <vt:lpstr>Background</vt:lpstr>
      <vt:lpstr>Quantitative Finance, Overview and Origins</vt:lpstr>
      <vt:lpstr>Overview of Energy Hedging Approaches</vt:lpstr>
      <vt:lpstr>Essential Questions</vt:lpstr>
      <vt:lpstr>    Why Hedge?</vt:lpstr>
      <vt:lpstr>    What Objectives?</vt:lpstr>
      <vt:lpstr>    Economic Effectiveness</vt:lpstr>
      <vt:lpstr>    Regulatory Framework</vt:lpstr>
      <vt:lpstr>Contrasting Approaches</vt:lpstr>
      <vt:lpstr>    Fixed Ratio</vt:lpstr>
      <vt:lpstr>    Risk-Responsive Hedging</vt:lpstr>
      <vt:lpstr>    Clear Understanding of the Nature of Risk and Risk Assessment</vt:lpstr>
      <vt:lpstr>Strategy Development</vt:lpstr>
      <vt:lpstr>Illustrative Strategy Comparisons</vt:lpstr>
      <vt:lpstr>    Simulation Clarifications</vt:lpstr>
      <vt:lpstr>    Simulation Results</vt:lpstr>
      <vt:lpstr>Regulatory Choices</vt:lpstr>
      <vt:lpstr>    Supportive Regulatory Environment</vt:lpstr>
      <vt:lpstr>Prudence Standards and Reporting Needs</vt:lpstr>
      <vt:lpstr>    Standards for Review</vt:lpstr>
      <vt:lpstr>    Schedule of Adoption</vt:lpstr>
      <vt:lpstr>Closing Comments</vt:lpstr>
      <vt:lpstr/>
      <vt:lpstr/>
      <vt:lpstr/>
      <vt:lpstr/>
      <vt:lpstr/>
      <vt:lpstr>Appendix A:  Commission Staff Report Attachment B (March 1, 2013)</vt:lpstr>
      <vt:lpstr/>
      <vt:lpstr/>
      <vt:lpstr/>
      <vt:lpstr/>
      <vt:lpstr/>
      <vt:lpstr>Appendix B: December 18, 2013 Notice of Opportunity to File Written Comments </vt:lpstr>
      <vt:lpstr/>
      <vt:lpstr/>
      <vt:lpstr/>
      <vt:lpstr/>
      <vt:lpstr/>
      <vt:lpstr>Appendix C:  January 13, 2014, Comments of Michael A. Gettings, RiskCentrix,</vt:lpstr>
    </vt:vector>
  </TitlesOfParts>
  <Company>Office of the Attorney General</Company>
  <LinksUpToDate>false</LinksUpToDate>
  <CharactersWithSpaces>69600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Natural Gas Hedging Practices and Regulatory Oversight</dc:title>
  <dc:subject>Docket UG-132019 Inquiry into Local Distribution Companies' Natural Gas Hedging Practices and Transaction Reporting</dc:subject>
  <dc:creator>By Michael Gettings</dc:creator>
  <cp:keywords>Hedging;Risk Management;Oversight;Natural Gas;LDC</cp:keywords>
  <cp:lastModifiedBy>DP Kermode</cp:lastModifiedBy>
  <cp:revision>10</cp:revision>
  <cp:lastPrinted>2015-07-23T22:06:00Z</cp:lastPrinted>
  <dcterms:created xsi:type="dcterms:W3CDTF">2015-07-22T18:11:00Z</dcterms:created>
  <dcterms:modified xsi:type="dcterms:W3CDTF">2015-07-23T23:57:00Z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-1644162770</vt:i4>
  </property>
  <property fmtid="{D5CDD505-2E9C-101B-9397-08002B2CF9AE}" pid="4" name="_EmailSubject">
    <vt:lpwstr>Draft Notice - Hedging Practices</vt:lpwstr>
  </property>
  <property fmtid="{D5CDD505-2E9C-101B-9397-08002B2CF9AE}" pid="5" name="_AuthorEmail">
    <vt:lpwstr>LisaW4@ATG.WA.GOV</vt:lpwstr>
  </property>
  <property fmtid="{D5CDD505-2E9C-101B-9397-08002B2CF9AE}" pid="6" name="_AuthorEmailDisplayName">
    <vt:lpwstr>Gafken, Lisa (ATG)</vt:lpwstr>
  </property>
  <property fmtid="{D5CDD505-2E9C-101B-9397-08002B2CF9AE}" pid="7" name="_PreviousAdHocReviewCycleID">
    <vt:i4>-1644162770</vt:i4>
  </property>
  <property fmtid="{D5CDD505-2E9C-101B-9397-08002B2CF9AE}" pid="8" name="_ReviewingToolsShownOnce">
    <vt:lpwstr/>
  </property>
  <property fmtid="{D5CDD505-2E9C-101B-9397-08002B2CF9AE}" pid="9" name="ContentTypeId">
    <vt:lpwstr>0x0101006E56B4D1795A2E4DB2F0B01679ED314A005571865091E4C84C967B36836C045D32</vt:lpwstr>
  </property>
  <property fmtid="{D5CDD505-2E9C-101B-9397-08002B2CF9AE}" pid="10" name="_docset_NoMedatataSyncRequired">
    <vt:lpwstr>False</vt:lpwstr>
  </property>
</Properties>
</file>