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30" w:rsidRDefault="00F72330" w:rsidP="00F72330">
      <w:pPr>
        <w:autoSpaceDE w:val="0"/>
        <w:autoSpaceDN w:val="0"/>
        <w:adjustRightInd w:val="0"/>
        <w:jc w:val="center"/>
        <w:rPr>
          <w:rFonts w:asciiTheme="minorHAnsi" w:hAnsiTheme="minorHAnsi" w:cstheme="minorHAnsi"/>
          <w:b/>
          <w:bCs/>
        </w:rPr>
      </w:pPr>
      <w:bookmarkStart w:id="0" w:name="_GoBack"/>
      <w:bookmarkEnd w:id="0"/>
      <w:r w:rsidRPr="00F72330">
        <w:rPr>
          <w:rFonts w:asciiTheme="minorHAnsi" w:hAnsiTheme="minorHAnsi" w:cstheme="minorHAnsi"/>
          <w:b/>
          <w:bCs/>
        </w:rPr>
        <w:t>BEFORE THE WASHINGTON UTILITIES AND TRANSPORTATION COMMISSION</w:t>
      </w:r>
    </w:p>
    <w:p w:rsidR="00F72330" w:rsidRPr="00F72330" w:rsidRDefault="00F72330" w:rsidP="00F72330">
      <w:pPr>
        <w:autoSpaceDE w:val="0"/>
        <w:autoSpaceDN w:val="0"/>
        <w:adjustRightInd w:val="0"/>
        <w:jc w:val="cent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28"/>
        <w:gridCol w:w="4428"/>
      </w:tblGrid>
      <w:tr w:rsidR="00F72330" w:rsidTr="00F72330">
        <w:tc>
          <w:tcPr>
            <w:tcW w:w="4428" w:type="dxa"/>
          </w:tcPr>
          <w:p w:rsidR="00F72330" w:rsidRDefault="00F72330" w:rsidP="00F72330">
            <w:pPr>
              <w:autoSpaceDE w:val="0"/>
              <w:autoSpaceDN w:val="0"/>
              <w:adjustRightInd w:val="0"/>
              <w:rPr>
                <w:rFonts w:asciiTheme="minorHAnsi" w:hAnsiTheme="minorHAnsi" w:cstheme="minorHAnsi"/>
              </w:rPr>
            </w:pPr>
            <w:r w:rsidRPr="00F72330">
              <w:rPr>
                <w:rFonts w:asciiTheme="minorHAnsi" w:hAnsiTheme="minorHAnsi" w:cstheme="minorHAnsi"/>
              </w:rPr>
              <w:t>Investigation of the cost and benefits of</w:t>
            </w:r>
            <w:r>
              <w:rPr>
                <w:rFonts w:asciiTheme="minorHAnsi" w:hAnsiTheme="minorHAnsi" w:cstheme="minorHAnsi"/>
              </w:rPr>
              <w:t xml:space="preserve"> </w:t>
            </w:r>
            <w:r w:rsidRPr="00F72330">
              <w:rPr>
                <w:rFonts w:asciiTheme="minorHAnsi" w:hAnsiTheme="minorHAnsi" w:cstheme="minorHAnsi"/>
              </w:rPr>
              <w:t>distributed generation and the effect of</w:t>
            </w:r>
            <w:r>
              <w:rPr>
                <w:rFonts w:asciiTheme="minorHAnsi" w:hAnsiTheme="minorHAnsi" w:cstheme="minorHAnsi"/>
              </w:rPr>
              <w:t xml:space="preserve"> </w:t>
            </w:r>
            <w:r w:rsidRPr="00F72330">
              <w:rPr>
                <w:rFonts w:asciiTheme="minorHAnsi" w:hAnsiTheme="minorHAnsi" w:cstheme="minorHAnsi"/>
              </w:rPr>
              <w:t>distributed generation on utility provision</w:t>
            </w:r>
            <w:r>
              <w:rPr>
                <w:rFonts w:asciiTheme="minorHAnsi" w:hAnsiTheme="minorHAnsi" w:cstheme="minorHAnsi"/>
              </w:rPr>
              <w:t xml:space="preserve"> </w:t>
            </w:r>
            <w:r w:rsidRPr="00F72330">
              <w:rPr>
                <w:rFonts w:asciiTheme="minorHAnsi" w:hAnsiTheme="minorHAnsi" w:cstheme="minorHAnsi"/>
              </w:rPr>
              <w:t>of</w:t>
            </w:r>
            <w:r>
              <w:rPr>
                <w:rFonts w:asciiTheme="minorHAnsi" w:hAnsiTheme="minorHAnsi" w:cstheme="minorHAnsi"/>
              </w:rPr>
              <w:t xml:space="preserve"> </w:t>
            </w:r>
            <w:r w:rsidRPr="00F72330">
              <w:rPr>
                <w:rFonts w:asciiTheme="minorHAnsi" w:hAnsiTheme="minorHAnsi" w:cstheme="minorHAnsi"/>
              </w:rPr>
              <w:t>electric service</w:t>
            </w:r>
          </w:p>
        </w:tc>
        <w:tc>
          <w:tcPr>
            <w:tcW w:w="4428" w:type="dxa"/>
          </w:tcPr>
          <w:p w:rsidR="00F72330" w:rsidRDefault="00F72330" w:rsidP="00F72330">
            <w:pPr>
              <w:autoSpaceDE w:val="0"/>
              <w:autoSpaceDN w:val="0"/>
              <w:adjustRightInd w:val="0"/>
              <w:jc w:val="center"/>
              <w:rPr>
                <w:rFonts w:asciiTheme="minorHAnsi" w:hAnsiTheme="minorHAnsi" w:cstheme="minorHAnsi"/>
              </w:rPr>
            </w:pPr>
            <w:r w:rsidRPr="00F72330">
              <w:rPr>
                <w:rFonts w:asciiTheme="minorHAnsi" w:hAnsiTheme="minorHAnsi" w:cstheme="minorHAnsi"/>
              </w:rPr>
              <w:t>Docket No. UE-131883</w:t>
            </w:r>
          </w:p>
        </w:tc>
      </w:tr>
    </w:tbl>
    <w:p w:rsidR="00F72330" w:rsidRDefault="00F72330" w:rsidP="00F72330">
      <w:pPr>
        <w:autoSpaceDE w:val="0"/>
        <w:autoSpaceDN w:val="0"/>
        <w:adjustRightInd w:val="0"/>
        <w:rPr>
          <w:rFonts w:asciiTheme="minorHAnsi" w:hAnsiTheme="minorHAnsi" w:cstheme="minorHAnsi"/>
        </w:rPr>
      </w:pPr>
    </w:p>
    <w:p w:rsidR="00F72330" w:rsidRPr="00F72330" w:rsidRDefault="00F72330" w:rsidP="00F72330">
      <w:pPr>
        <w:tabs>
          <w:tab w:val="left" w:pos="1080"/>
        </w:tabs>
        <w:autoSpaceDE w:val="0"/>
        <w:autoSpaceDN w:val="0"/>
        <w:adjustRightInd w:val="0"/>
        <w:rPr>
          <w:rFonts w:asciiTheme="minorHAnsi" w:hAnsiTheme="minorHAnsi" w:cstheme="minorHAnsi"/>
        </w:rPr>
      </w:pPr>
      <w:r>
        <w:rPr>
          <w:rFonts w:asciiTheme="minorHAnsi" w:hAnsiTheme="minorHAnsi" w:cstheme="minorHAnsi"/>
        </w:rPr>
        <w:tab/>
      </w:r>
    </w:p>
    <w:p w:rsidR="004A0A99" w:rsidRDefault="00F72330" w:rsidP="00F72330">
      <w:pPr>
        <w:jc w:val="center"/>
        <w:rPr>
          <w:rFonts w:asciiTheme="minorHAnsi" w:hAnsiTheme="minorHAnsi" w:cstheme="minorHAnsi"/>
          <w:b/>
          <w:bCs/>
        </w:rPr>
      </w:pPr>
      <w:proofErr w:type="gramStart"/>
      <w:r>
        <w:rPr>
          <w:rFonts w:asciiTheme="minorHAnsi" w:hAnsiTheme="minorHAnsi" w:cstheme="minorHAnsi"/>
          <w:b/>
          <w:bCs/>
        </w:rPr>
        <w:t>COMMENTS OF ENERGY AND ENVIRONMENTAL ECONOMICS, INC.</w:t>
      </w:r>
      <w:proofErr w:type="gramEnd"/>
      <w:r>
        <w:rPr>
          <w:rFonts w:asciiTheme="minorHAnsi" w:hAnsiTheme="minorHAnsi" w:cstheme="minorHAnsi"/>
          <w:b/>
          <w:bCs/>
        </w:rPr>
        <w:t xml:space="preserve"> </w:t>
      </w:r>
    </w:p>
    <w:p w:rsidR="00F72330" w:rsidRDefault="00F72330" w:rsidP="00F72330">
      <w:pPr>
        <w:jc w:val="center"/>
        <w:rPr>
          <w:rFonts w:asciiTheme="minorHAnsi" w:hAnsiTheme="minorHAnsi" w:cstheme="minorHAnsi"/>
          <w:b/>
          <w:bCs/>
        </w:rPr>
      </w:pPr>
    </w:p>
    <w:p w:rsidR="00F72330" w:rsidRPr="00F72330" w:rsidRDefault="001E12A7" w:rsidP="00F72330">
      <w:pPr>
        <w:jc w:val="center"/>
        <w:rPr>
          <w:rFonts w:asciiTheme="minorHAnsi" w:hAnsiTheme="minorHAnsi" w:cstheme="minorHAnsi"/>
          <w:bCs/>
        </w:rPr>
      </w:pPr>
      <w:r>
        <w:rPr>
          <w:rFonts w:asciiTheme="minorHAnsi" w:hAnsiTheme="minorHAnsi" w:cstheme="minorHAnsi"/>
          <w:bCs/>
        </w:rPr>
        <w:t>December 2</w:t>
      </w:r>
      <w:r w:rsidR="00F72330" w:rsidRPr="00F72330">
        <w:rPr>
          <w:rFonts w:asciiTheme="minorHAnsi" w:hAnsiTheme="minorHAnsi" w:cstheme="minorHAnsi"/>
          <w:bCs/>
        </w:rPr>
        <w:t>, 2013</w:t>
      </w:r>
    </w:p>
    <w:p w:rsidR="00F72330" w:rsidRDefault="00F72330" w:rsidP="00F72330">
      <w:pPr>
        <w:rPr>
          <w:rFonts w:asciiTheme="minorHAnsi" w:hAnsiTheme="minorHAnsi" w:cstheme="minorHAnsi"/>
          <w:b/>
        </w:rPr>
      </w:pPr>
    </w:p>
    <w:p w:rsidR="00F72330" w:rsidRDefault="00F72330" w:rsidP="00F72330">
      <w:pPr>
        <w:spacing w:line="480" w:lineRule="auto"/>
        <w:ind w:firstLine="720"/>
        <w:rPr>
          <w:rFonts w:asciiTheme="minorHAnsi" w:hAnsiTheme="minorHAnsi" w:cstheme="minorHAnsi"/>
        </w:rPr>
      </w:pPr>
      <w:r w:rsidRPr="00F72330">
        <w:rPr>
          <w:rFonts w:asciiTheme="minorHAnsi" w:hAnsiTheme="minorHAnsi" w:cstheme="minorHAnsi"/>
        </w:rPr>
        <w:t xml:space="preserve">Energy </w:t>
      </w:r>
      <w:r>
        <w:rPr>
          <w:rFonts w:asciiTheme="minorHAnsi" w:hAnsiTheme="minorHAnsi" w:cstheme="minorHAnsi"/>
        </w:rPr>
        <w:t xml:space="preserve">and Environmental Economics, Inc. (“E3”) </w:t>
      </w:r>
      <w:r w:rsidRPr="00F72330">
        <w:rPr>
          <w:rFonts w:asciiTheme="minorHAnsi" w:hAnsiTheme="minorHAnsi" w:cstheme="minorHAnsi"/>
        </w:rPr>
        <w:t>respectfully submits these comments pursuant</w:t>
      </w:r>
      <w:r>
        <w:rPr>
          <w:rFonts w:asciiTheme="minorHAnsi" w:hAnsiTheme="minorHAnsi" w:cstheme="minorHAnsi"/>
        </w:rPr>
        <w:t xml:space="preserve"> </w:t>
      </w:r>
      <w:r w:rsidRPr="00F72330">
        <w:rPr>
          <w:rFonts w:asciiTheme="minorHAnsi" w:hAnsiTheme="minorHAnsi" w:cstheme="minorHAnsi"/>
        </w:rPr>
        <w:t>to the Washington Utilities and Transportation Commission’s (“Commission’s”)</w:t>
      </w:r>
      <w:r>
        <w:rPr>
          <w:rFonts w:asciiTheme="minorHAnsi" w:hAnsiTheme="minorHAnsi" w:cstheme="minorHAnsi"/>
        </w:rPr>
        <w:t xml:space="preserve"> </w:t>
      </w:r>
      <w:r w:rsidRPr="00F72330">
        <w:rPr>
          <w:rFonts w:asciiTheme="minorHAnsi" w:hAnsiTheme="minorHAnsi" w:cstheme="minorHAnsi"/>
        </w:rPr>
        <w:t>Docket No. UE-131883</w:t>
      </w:r>
      <w:r>
        <w:rPr>
          <w:rFonts w:asciiTheme="minorHAnsi" w:hAnsiTheme="minorHAnsi" w:cstheme="minorHAnsi"/>
        </w:rPr>
        <w:t xml:space="preserve"> investigating the costs and benefits of distributed generation and </w:t>
      </w:r>
      <w:r w:rsidRPr="00F72330">
        <w:rPr>
          <w:rFonts w:asciiTheme="minorHAnsi" w:hAnsiTheme="minorHAnsi" w:cstheme="minorHAnsi"/>
        </w:rPr>
        <w:t>the effect of</w:t>
      </w:r>
      <w:r>
        <w:rPr>
          <w:rFonts w:asciiTheme="minorHAnsi" w:hAnsiTheme="minorHAnsi" w:cstheme="minorHAnsi"/>
        </w:rPr>
        <w:t xml:space="preserve"> </w:t>
      </w:r>
      <w:r w:rsidRPr="00F72330">
        <w:rPr>
          <w:rFonts w:asciiTheme="minorHAnsi" w:hAnsiTheme="minorHAnsi" w:cstheme="minorHAnsi"/>
        </w:rPr>
        <w:t>distributed generation on utility provision</w:t>
      </w:r>
      <w:r>
        <w:rPr>
          <w:rFonts w:asciiTheme="minorHAnsi" w:hAnsiTheme="minorHAnsi" w:cstheme="minorHAnsi"/>
        </w:rPr>
        <w:t xml:space="preserve"> </w:t>
      </w:r>
      <w:r w:rsidRPr="00F72330">
        <w:rPr>
          <w:rFonts w:asciiTheme="minorHAnsi" w:hAnsiTheme="minorHAnsi" w:cstheme="minorHAnsi"/>
        </w:rPr>
        <w:t>of</w:t>
      </w:r>
      <w:r>
        <w:rPr>
          <w:rFonts w:asciiTheme="minorHAnsi" w:hAnsiTheme="minorHAnsi" w:cstheme="minorHAnsi"/>
        </w:rPr>
        <w:t xml:space="preserve"> </w:t>
      </w:r>
      <w:r w:rsidRPr="00F72330">
        <w:rPr>
          <w:rFonts w:asciiTheme="minorHAnsi" w:hAnsiTheme="minorHAnsi" w:cstheme="minorHAnsi"/>
        </w:rPr>
        <w:t>electric service</w:t>
      </w:r>
      <w:r>
        <w:rPr>
          <w:rFonts w:asciiTheme="minorHAnsi" w:hAnsiTheme="minorHAnsi" w:cstheme="minorHAnsi"/>
        </w:rPr>
        <w:t xml:space="preserve">.  E3 is a San Francisco consulting firm with significant experience in cost-benefit analysis and avoided cost calculations for customer-owned resources such as energy efficiency, demand response and distributed generation.  E3 recently completed a </w:t>
      </w:r>
      <w:r w:rsidR="000D2E9D">
        <w:rPr>
          <w:rFonts w:asciiTheme="minorHAnsi" w:hAnsiTheme="minorHAnsi" w:cstheme="minorHAnsi"/>
        </w:rPr>
        <w:t>report</w:t>
      </w:r>
      <w:r>
        <w:rPr>
          <w:rFonts w:asciiTheme="minorHAnsi" w:hAnsiTheme="minorHAnsi" w:cstheme="minorHAnsi"/>
        </w:rPr>
        <w:t xml:space="preserve"> for the California Public Utilities Commission </w:t>
      </w:r>
      <w:r w:rsidR="00BD42D0">
        <w:rPr>
          <w:rFonts w:asciiTheme="minorHAnsi" w:hAnsiTheme="minorHAnsi" w:cstheme="minorHAnsi"/>
        </w:rPr>
        <w:t xml:space="preserve">(“CPUC”) </w:t>
      </w:r>
      <w:r>
        <w:rPr>
          <w:rFonts w:asciiTheme="minorHAnsi" w:hAnsiTheme="minorHAnsi" w:cstheme="minorHAnsi"/>
        </w:rPr>
        <w:t>entitled “</w:t>
      </w:r>
      <w:r w:rsidRPr="00F72330">
        <w:rPr>
          <w:rFonts w:asciiTheme="minorHAnsi" w:hAnsiTheme="minorHAnsi" w:cstheme="minorHAnsi"/>
        </w:rPr>
        <w:t>California Net Energy</w:t>
      </w:r>
      <w:r>
        <w:rPr>
          <w:rFonts w:asciiTheme="minorHAnsi" w:hAnsiTheme="minorHAnsi" w:cstheme="minorHAnsi"/>
        </w:rPr>
        <w:t xml:space="preserve"> </w:t>
      </w:r>
      <w:r w:rsidRPr="00F72330">
        <w:rPr>
          <w:rFonts w:asciiTheme="minorHAnsi" w:hAnsiTheme="minorHAnsi" w:cstheme="minorHAnsi"/>
        </w:rPr>
        <w:t>Metering Evaluation</w:t>
      </w:r>
      <w:r>
        <w:rPr>
          <w:rFonts w:asciiTheme="minorHAnsi" w:hAnsiTheme="minorHAnsi" w:cstheme="minorHAnsi"/>
        </w:rPr>
        <w:t>”</w:t>
      </w:r>
      <w:r w:rsidR="00BD42D0">
        <w:rPr>
          <w:rFonts w:asciiTheme="minorHAnsi" w:hAnsiTheme="minorHAnsi" w:cstheme="minorHAnsi"/>
        </w:rPr>
        <w:t xml:space="preserve">, </w:t>
      </w:r>
      <w:r>
        <w:rPr>
          <w:rFonts w:asciiTheme="minorHAnsi" w:hAnsiTheme="minorHAnsi" w:cstheme="minorHAnsi"/>
        </w:rPr>
        <w:t xml:space="preserve">which calculated the costs, benefits and cost shifts associated with California’s Net Energy Metering program, as experienced by the state’s investor-owned utilities.  </w:t>
      </w:r>
      <w:r w:rsidR="000D2E9D">
        <w:rPr>
          <w:rFonts w:asciiTheme="minorHAnsi" w:hAnsiTheme="minorHAnsi" w:cstheme="minorHAnsi"/>
        </w:rPr>
        <w:t xml:space="preserve">E3 partner Arne Olson was an invited panelist at the Commission’s November 13, 2013 workshop in the above-referenced docket.  E3 is aware that comments were submitted in this docket </w:t>
      </w:r>
      <w:r w:rsidR="00F268DF">
        <w:rPr>
          <w:rFonts w:asciiTheme="minorHAnsi" w:hAnsiTheme="minorHAnsi" w:cstheme="minorHAnsi"/>
        </w:rPr>
        <w:t>by The Alliance for Solar Choice (TASC) in reference to E3’s California NEM report</w:t>
      </w:r>
      <w:r w:rsidR="00BD42D0">
        <w:rPr>
          <w:rFonts w:asciiTheme="minorHAnsi" w:hAnsiTheme="minorHAnsi" w:cstheme="minorHAnsi"/>
        </w:rPr>
        <w:t>, referred to hereinafter as the “E3 Study”</w:t>
      </w:r>
      <w:r w:rsidR="00BF7CA2">
        <w:rPr>
          <w:rFonts w:asciiTheme="minorHAnsi" w:hAnsiTheme="minorHAnsi" w:cstheme="minorHAnsi"/>
        </w:rPr>
        <w:t xml:space="preserve"> (consistent with TASC’s comments)</w:t>
      </w:r>
      <w:r w:rsidR="00F268DF">
        <w:rPr>
          <w:rFonts w:asciiTheme="minorHAnsi" w:hAnsiTheme="minorHAnsi" w:cstheme="minorHAnsi"/>
        </w:rPr>
        <w:t xml:space="preserve">.  E3 respectfully submits these comments to provide additional information about that study for the Commission’s consideration.  </w:t>
      </w:r>
    </w:p>
    <w:p w:rsidR="00BD42D0" w:rsidRDefault="00BD42D0" w:rsidP="00F72330">
      <w:pPr>
        <w:spacing w:line="480" w:lineRule="auto"/>
        <w:ind w:firstLine="720"/>
        <w:rPr>
          <w:rFonts w:asciiTheme="minorHAnsi" w:hAnsiTheme="minorHAnsi" w:cstheme="minorHAnsi"/>
        </w:rPr>
      </w:pPr>
      <w:r>
        <w:rPr>
          <w:rFonts w:asciiTheme="minorHAnsi" w:hAnsiTheme="minorHAnsi" w:cstheme="minorHAnsi"/>
        </w:rPr>
        <w:lastRenderedPageBreak/>
        <w:t xml:space="preserve">TASC provided four specific critiques of the E3 Study.  We reproduce those comments below and provide responses.  </w:t>
      </w:r>
    </w:p>
    <w:p w:rsidR="00BD42D0" w:rsidRDefault="00BD42D0" w:rsidP="00BD42D0">
      <w:pPr>
        <w:spacing w:line="480" w:lineRule="auto"/>
        <w:ind w:left="720" w:right="720"/>
        <w:rPr>
          <w:rFonts w:asciiTheme="minorHAnsi" w:hAnsiTheme="minorHAnsi" w:cstheme="minorHAnsi"/>
        </w:rPr>
      </w:pPr>
      <w:r w:rsidRPr="00BD42D0">
        <w:rPr>
          <w:rFonts w:asciiTheme="minorHAnsi" w:hAnsiTheme="minorHAnsi" w:cstheme="minorHAnsi"/>
          <w:b/>
        </w:rPr>
        <w:t xml:space="preserve">TASC Critique </w:t>
      </w:r>
      <w:r w:rsidR="00183F05">
        <w:rPr>
          <w:rFonts w:asciiTheme="minorHAnsi" w:hAnsiTheme="minorHAnsi" w:cstheme="minorHAnsi"/>
          <w:b/>
        </w:rPr>
        <w:t>#</w:t>
      </w:r>
      <w:r w:rsidRPr="00BD42D0">
        <w:rPr>
          <w:rFonts w:asciiTheme="minorHAnsi" w:hAnsiTheme="minorHAnsi" w:cstheme="minorHAnsi"/>
          <w:b/>
        </w:rPr>
        <w:t>1:</w:t>
      </w:r>
      <w:r>
        <w:rPr>
          <w:rFonts w:asciiTheme="minorHAnsi" w:hAnsiTheme="minorHAnsi" w:cstheme="minorHAnsi"/>
        </w:rPr>
        <w:t xml:space="preserve">  “</w:t>
      </w:r>
      <w:r w:rsidRPr="00BD42D0">
        <w:rPr>
          <w:rFonts w:asciiTheme="minorHAnsi" w:hAnsiTheme="minorHAnsi" w:cstheme="minorHAnsi"/>
        </w:rPr>
        <w:t>The E3 Study inappropriately included energy used on-site in assessing the impacts of net</w:t>
      </w:r>
      <w:r>
        <w:rPr>
          <w:rFonts w:asciiTheme="minorHAnsi" w:hAnsiTheme="minorHAnsi" w:cstheme="minorHAnsi"/>
        </w:rPr>
        <w:t xml:space="preserve"> </w:t>
      </w:r>
      <w:r w:rsidRPr="00BD42D0">
        <w:rPr>
          <w:rFonts w:asciiTheme="minorHAnsi" w:hAnsiTheme="minorHAnsi" w:cstheme="minorHAnsi"/>
        </w:rPr>
        <w:t>metering. As discussed above, when assessing the rate impacts of net metering as a policy,</w:t>
      </w:r>
      <w:r>
        <w:rPr>
          <w:rFonts w:asciiTheme="minorHAnsi" w:hAnsiTheme="minorHAnsi" w:cstheme="minorHAnsi"/>
        </w:rPr>
        <w:t xml:space="preserve"> </w:t>
      </w:r>
      <w:r w:rsidRPr="00BD42D0">
        <w:rPr>
          <w:rFonts w:asciiTheme="minorHAnsi" w:hAnsiTheme="minorHAnsi" w:cstheme="minorHAnsi"/>
        </w:rPr>
        <w:t>it is important that the study be limited to assessing the costs and benefits of energy</w:t>
      </w:r>
      <w:r>
        <w:rPr>
          <w:rFonts w:asciiTheme="minorHAnsi" w:hAnsiTheme="minorHAnsi" w:cstheme="minorHAnsi"/>
        </w:rPr>
        <w:t xml:space="preserve"> </w:t>
      </w:r>
      <w:r w:rsidRPr="00BD42D0">
        <w:rPr>
          <w:rFonts w:asciiTheme="minorHAnsi" w:hAnsiTheme="minorHAnsi" w:cstheme="minorHAnsi"/>
        </w:rPr>
        <w:t>exported to the grid only.</w:t>
      </w:r>
      <w:r>
        <w:rPr>
          <w:rFonts w:asciiTheme="minorHAnsi" w:hAnsiTheme="minorHAnsi" w:cstheme="minorHAnsi"/>
        </w:rPr>
        <w:t>”</w:t>
      </w:r>
    </w:p>
    <w:p w:rsidR="00D227AE" w:rsidRDefault="00BD42D0" w:rsidP="00BD42D0">
      <w:pPr>
        <w:spacing w:line="480" w:lineRule="auto"/>
        <w:ind w:left="720" w:right="720"/>
        <w:rPr>
          <w:rFonts w:asciiTheme="minorHAnsi" w:hAnsiTheme="minorHAnsi" w:cstheme="minorHAnsi"/>
        </w:rPr>
      </w:pPr>
      <w:r>
        <w:rPr>
          <w:rFonts w:asciiTheme="minorHAnsi" w:hAnsiTheme="minorHAnsi" w:cstheme="minorHAnsi"/>
          <w:b/>
        </w:rPr>
        <w:t>E3 Response:</w:t>
      </w:r>
      <w:r>
        <w:rPr>
          <w:rFonts w:asciiTheme="minorHAnsi" w:hAnsiTheme="minorHAnsi" w:cstheme="minorHAnsi"/>
        </w:rPr>
        <w:t xml:space="preserve">  The E3 Study was prepared in response to </w:t>
      </w:r>
      <w:r w:rsidRPr="00BD42D0">
        <w:rPr>
          <w:rFonts w:asciiTheme="minorHAnsi" w:hAnsiTheme="minorHAnsi" w:cstheme="minorHAnsi"/>
        </w:rPr>
        <w:t>Assembly Bill (AB) 2514 and Commission Decision (D.) 12-05-036</w:t>
      </w:r>
      <w:r>
        <w:rPr>
          <w:rFonts w:asciiTheme="minorHAnsi" w:hAnsiTheme="minorHAnsi" w:cstheme="minorHAnsi"/>
        </w:rPr>
        <w:t xml:space="preserve"> implementing AB 2514.  AB 2514 directed the Commission to “</w:t>
      </w:r>
      <w:r w:rsidRPr="00BD42D0">
        <w:rPr>
          <w:rFonts w:asciiTheme="minorHAnsi" w:hAnsiTheme="minorHAnsi" w:cstheme="minorHAnsi"/>
        </w:rPr>
        <w:t>consider all electricity generated by renewable electric generating systems</w:t>
      </w:r>
      <w:r>
        <w:rPr>
          <w:rFonts w:asciiTheme="minorHAnsi" w:hAnsiTheme="minorHAnsi" w:cstheme="minorHAnsi"/>
        </w:rPr>
        <w:t>.”</w:t>
      </w:r>
      <w:r>
        <w:rPr>
          <w:rStyle w:val="FootnoteReference"/>
          <w:rFonts w:asciiTheme="minorHAnsi" w:hAnsiTheme="minorHAnsi" w:cstheme="minorHAnsi"/>
        </w:rPr>
        <w:footnoteReference w:id="1"/>
      </w:r>
      <w:r>
        <w:rPr>
          <w:rFonts w:asciiTheme="minorHAnsi" w:hAnsiTheme="minorHAnsi" w:cstheme="minorHAnsi"/>
        </w:rPr>
        <w:t xml:space="preserve">  </w:t>
      </w:r>
      <w:r w:rsidR="00D227AE">
        <w:rPr>
          <w:rFonts w:asciiTheme="minorHAnsi" w:hAnsiTheme="minorHAnsi" w:cstheme="minorHAnsi"/>
        </w:rPr>
        <w:t xml:space="preserve">In accordance with this direction, the E3 Study calculated the cost shifts two ways:  (1) the cost shift associated with the total quantity of electricity generated by NEM systems, and (2) the cost shift associated with only the quantity of electricity exported to the grid.  </w:t>
      </w:r>
    </w:p>
    <w:p w:rsidR="00D227AE" w:rsidRDefault="00D227AE" w:rsidP="00D227AE">
      <w:pPr>
        <w:spacing w:line="480" w:lineRule="auto"/>
        <w:ind w:left="720" w:right="720" w:firstLine="720"/>
        <w:rPr>
          <w:rFonts w:asciiTheme="minorHAnsi" w:hAnsiTheme="minorHAnsi" w:cstheme="minorHAnsi"/>
        </w:rPr>
      </w:pPr>
      <w:r>
        <w:rPr>
          <w:rFonts w:asciiTheme="minorHAnsi" w:hAnsiTheme="minorHAnsi" w:cstheme="minorHAnsi"/>
        </w:rPr>
        <w:t xml:space="preserve">It is our observation that the Legislature, Commissioners and stakeholders have found it useful to consider both numbers, because each measures different things.  The first value measures the impact on the utility and non-participating customers of the distributed generation systems in total.  The second value measures only the direct impact of the net energy metering mechanism for compensation </w:t>
      </w:r>
      <w:r w:rsidR="00BF7CA2">
        <w:rPr>
          <w:rFonts w:asciiTheme="minorHAnsi" w:hAnsiTheme="minorHAnsi" w:cstheme="minorHAnsi"/>
        </w:rPr>
        <w:t xml:space="preserve">of </w:t>
      </w:r>
      <w:r>
        <w:rPr>
          <w:rFonts w:asciiTheme="minorHAnsi" w:hAnsiTheme="minorHAnsi" w:cstheme="minorHAnsi"/>
        </w:rPr>
        <w:t>behind-the-</w:t>
      </w:r>
      <w:r>
        <w:rPr>
          <w:rFonts w:asciiTheme="minorHAnsi" w:hAnsiTheme="minorHAnsi" w:cstheme="minorHAnsi"/>
        </w:rPr>
        <w:lastRenderedPageBreak/>
        <w:t>meter generation.  We also note that the ability of residential NEM customers to export energy to the grid during daylight hours is critical to the favorable economics of residential NEM photovoltaic (PV) systems</w:t>
      </w:r>
      <w:r w:rsidR="00E160AE">
        <w:rPr>
          <w:rFonts w:asciiTheme="minorHAnsi" w:hAnsiTheme="minorHAnsi" w:cstheme="minorHAnsi"/>
        </w:rPr>
        <w:t xml:space="preserve">, making it difficult to conceive of a credible counter-factual case in which residential PV systems </w:t>
      </w:r>
      <w:r w:rsidR="00BF7CA2">
        <w:rPr>
          <w:rFonts w:asciiTheme="minorHAnsi" w:hAnsiTheme="minorHAnsi" w:cstheme="minorHAnsi"/>
        </w:rPr>
        <w:t>are</w:t>
      </w:r>
      <w:r w:rsidR="00E160AE">
        <w:rPr>
          <w:rFonts w:asciiTheme="minorHAnsi" w:hAnsiTheme="minorHAnsi" w:cstheme="minorHAnsi"/>
        </w:rPr>
        <w:t xml:space="preserve"> </w:t>
      </w:r>
      <w:r w:rsidR="00BF7CA2">
        <w:rPr>
          <w:rFonts w:asciiTheme="minorHAnsi" w:hAnsiTheme="minorHAnsi" w:cstheme="minorHAnsi"/>
        </w:rPr>
        <w:t xml:space="preserve">configured so as </w:t>
      </w:r>
      <w:r w:rsidR="00E160AE">
        <w:rPr>
          <w:rFonts w:asciiTheme="minorHAnsi" w:hAnsiTheme="minorHAnsi" w:cstheme="minorHAnsi"/>
        </w:rPr>
        <w:t xml:space="preserve">never </w:t>
      </w:r>
      <w:r w:rsidR="00BF7CA2">
        <w:rPr>
          <w:rFonts w:asciiTheme="minorHAnsi" w:hAnsiTheme="minorHAnsi" w:cstheme="minorHAnsi"/>
        </w:rPr>
        <w:t xml:space="preserve">to </w:t>
      </w:r>
      <w:r w:rsidR="00E160AE">
        <w:rPr>
          <w:rFonts w:asciiTheme="minorHAnsi" w:hAnsiTheme="minorHAnsi" w:cstheme="minorHAnsi"/>
        </w:rPr>
        <w:t>export energy to the grid</w:t>
      </w:r>
      <w:r>
        <w:rPr>
          <w:rFonts w:asciiTheme="minorHAnsi" w:hAnsiTheme="minorHAnsi" w:cstheme="minorHAnsi"/>
        </w:rPr>
        <w:t xml:space="preserve">.  </w:t>
      </w:r>
    </w:p>
    <w:p w:rsidR="00D227AE" w:rsidRDefault="00D227AE" w:rsidP="00BD42D0">
      <w:pPr>
        <w:spacing w:line="480" w:lineRule="auto"/>
        <w:ind w:left="720" w:right="720"/>
        <w:rPr>
          <w:rFonts w:asciiTheme="minorHAnsi" w:hAnsiTheme="minorHAnsi" w:cstheme="minorHAnsi"/>
        </w:rPr>
      </w:pPr>
    </w:p>
    <w:p w:rsidR="00183F05" w:rsidRDefault="00183F05" w:rsidP="00183F05">
      <w:pPr>
        <w:spacing w:line="480" w:lineRule="auto"/>
        <w:ind w:left="720" w:right="720"/>
        <w:rPr>
          <w:rFonts w:asciiTheme="minorHAnsi" w:hAnsiTheme="minorHAnsi" w:cstheme="minorHAnsi"/>
        </w:rPr>
      </w:pPr>
      <w:r w:rsidRPr="00BD42D0">
        <w:rPr>
          <w:rFonts w:asciiTheme="minorHAnsi" w:hAnsiTheme="minorHAnsi" w:cstheme="minorHAnsi"/>
          <w:b/>
        </w:rPr>
        <w:t xml:space="preserve">TASC Critique </w:t>
      </w:r>
      <w:r>
        <w:rPr>
          <w:rFonts w:asciiTheme="minorHAnsi" w:hAnsiTheme="minorHAnsi" w:cstheme="minorHAnsi"/>
          <w:b/>
        </w:rPr>
        <w:t>#2</w:t>
      </w:r>
      <w:r w:rsidRPr="00BD42D0">
        <w:rPr>
          <w:rFonts w:asciiTheme="minorHAnsi" w:hAnsiTheme="minorHAnsi" w:cstheme="minorHAnsi"/>
          <w:b/>
        </w:rPr>
        <w:t>:</w:t>
      </w:r>
      <w:r>
        <w:rPr>
          <w:rFonts w:asciiTheme="minorHAnsi" w:hAnsiTheme="minorHAnsi" w:cstheme="minorHAnsi"/>
        </w:rPr>
        <w:t xml:space="preserve">  </w:t>
      </w:r>
      <w:r w:rsidR="00BF7CA2">
        <w:rPr>
          <w:rFonts w:asciiTheme="minorHAnsi" w:hAnsiTheme="minorHAnsi" w:cstheme="minorHAnsi"/>
        </w:rPr>
        <w:t>“</w:t>
      </w:r>
      <w:r w:rsidRPr="00183F05">
        <w:rPr>
          <w:rFonts w:asciiTheme="minorHAnsi" w:hAnsiTheme="minorHAnsi" w:cstheme="minorHAnsi"/>
        </w:rPr>
        <w:t>The E3 Study used outdated 2011 rates despite</w:t>
      </w:r>
      <w:r>
        <w:rPr>
          <w:rFonts w:asciiTheme="minorHAnsi" w:hAnsiTheme="minorHAnsi" w:cstheme="minorHAnsi"/>
        </w:rPr>
        <w:t xml:space="preserve"> </w:t>
      </w:r>
      <w:r w:rsidRPr="00183F05">
        <w:rPr>
          <w:rFonts w:asciiTheme="minorHAnsi" w:hAnsiTheme="minorHAnsi" w:cstheme="minorHAnsi"/>
        </w:rPr>
        <w:t>significant changes to residential rates in</w:t>
      </w:r>
      <w:r>
        <w:rPr>
          <w:rFonts w:asciiTheme="minorHAnsi" w:hAnsiTheme="minorHAnsi" w:cstheme="minorHAnsi"/>
        </w:rPr>
        <w:t xml:space="preserve"> </w:t>
      </w:r>
      <w:r w:rsidRPr="00183F05">
        <w:rPr>
          <w:rFonts w:asciiTheme="minorHAnsi" w:hAnsiTheme="minorHAnsi" w:cstheme="minorHAnsi"/>
        </w:rPr>
        <w:t>California since 2011.</w:t>
      </w:r>
      <w:r>
        <w:rPr>
          <w:rFonts w:asciiTheme="minorHAnsi" w:hAnsiTheme="minorHAnsi" w:cstheme="minorHAnsi"/>
        </w:rPr>
        <w:t xml:space="preserve">  </w:t>
      </w:r>
      <w:r w:rsidRPr="00183F05">
        <w:rPr>
          <w:rFonts w:asciiTheme="minorHAnsi" w:hAnsiTheme="minorHAnsi" w:cstheme="minorHAnsi"/>
        </w:rPr>
        <w:t>Throughout the study, as mentioned above E3 notes that rate</w:t>
      </w:r>
      <w:r>
        <w:rPr>
          <w:rFonts w:asciiTheme="minorHAnsi" w:hAnsiTheme="minorHAnsi" w:cstheme="minorHAnsi"/>
        </w:rPr>
        <w:t xml:space="preserve"> </w:t>
      </w:r>
      <w:r w:rsidRPr="00183F05">
        <w:rPr>
          <w:rFonts w:asciiTheme="minorHAnsi" w:hAnsiTheme="minorHAnsi" w:cstheme="minorHAnsi"/>
        </w:rPr>
        <w:t>design</w:t>
      </w:r>
      <w:r>
        <w:rPr>
          <w:rFonts w:asciiTheme="minorHAnsi" w:hAnsiTheme="minorHAnsi" w:cstheme="minorHAnsi"/>
        </w:rPr>
        <w:t xml:space="preserve"> </w:t>
      </w:r>
      <w:r w:rsidRPr="00183F05">
        <w:rPr>
          <w:rFonts w:asciiTheme="minorHAnsi" w:hAnsiTheme="minorHAnsi" w:cstheme="minorHAnsi"/>
        </w:rPr>
        <w:t>plays a fundamental role the calculations performed in the Study. Yet, when E3</w:t>
      </w:r>
      <w:r>
        <w:rPr>
          <w:rFonts w:asciiTheme="minorHAnsi" w:hAnsiTheme="minorHAnsi" w:cstheme="minorHAnsi"/>
        </w:rPr>
        <w:t xml:space="preserve"> </w:t>
      </w:r>
      <w:r w:rsidRPr="00183F05">
        <w:rPr>
          <w:rFonts w:asciiTheme="minorHAnsi" w:hAnsiTheme="minorHAnsi" w:cstheme="minorHAnsi"/>
        </w:rPr>
        <w:t>calculated customer bill savings, E3 utilized outdated 2011 rates. Moreover, rates in</w:t>
      </w:r>
      <w:r>
        <w:rPr>
          <w:rFonts w:asciiTheme="minorHAnsi" w:hAnsiTheme="minorHAnsi" w:cstheme="minorHAnsi"/>
        </w:rPr>
        <w:t xml:space="preserve"> </w:t>
      </w:r>
      <w:r w:rsidRPr="00183F05">
        <w:rPr>
          <w:rFonts w:asciiTheme="minorHAnsi" w:hAnsiTheme="minorHAnsi" w:cstheme="minorHAnsi"/>
        </w:rPr>
        <w:t>California are expected to change substantially in the near future due to enactment of</w:t>
      </w:r>
      <w:r>
        <w:rPr>
          <w:rFonts w:asciiTheme="minorHAnsi" w:hAnsiTheme="minorHAnsi" w:cstheme="minorHAnsi"/>
        </w:rPr>
        <w:t xml:space="preserve"> </w:t>
      </w:r>
      <w:r w:rsidRPr="00183F05">
        <w:rPr>
          <w:rFonts w:asciiTheme="minorHAnsi" w:hAnsiTheme="minorHAnsi" w:cstheme="minorHAnsi"/>
        </w:rPr>
        <w:t>recent legislation that removes rate caps on lower-tiers of energy use and authorizes new</w:t>
      </w:r>
      <w:r>
        <w:rPr>
          <w:rFonts w:asciiTheme="minorHAnsi" w:hAnsiTheme="minorHAnsi" w:cstheme="minorHAnsi"/>
        </w:rPr>
        <w:t xml:space="preserve"> </w:t>
      </w:r>
      <w:r w:rsidRPr="00183F05">
        <w:rPr>
          <w:rFonts w:asciiTheme="minorHAnsi" w:hAnsiTheme="minorHAnsi" w:cstheme="minorHAnsi"/>
        </w:rPr>
        <w:t>fixed charges.</w:t>
      </w:r>
      <w:r>
        <w:rPr>
          <w:rFonts w:asciiTheme="minorHAnsi" w:hAnsiTheme="minorHAnsi" w:cstheme="minorHAnsi"/>
        </w:rPr>
        <w:t xml:space="preserve">  </w:t>
      </w:r>
      <w:r w:rsidRPr="00183F05">
        <w:rPr>
          <w:rFonts w:asciiTheme="minorHAnsi" w:hAnsiTheme="minorHAnsi" w:cstheme="minorHAnsi"/>
        </w:rPr>
        <w:t>As a result, the conclusions from the E3 Study are already out of date.</w:t>
      </w:r>
      <w:r w:rsidR="00BF7CA2">
        <w:rPr>
          <w:rFonts w:asciiTheme="minorHAnsi" w:hAnsiTheme="minorHAnsi" w:cstheme="minorHAnsi"/>
        </w:rPr>
        <w:t>”</w:t>
      </w:r>
    </w:p>
    <w:p w:rsidR="00183F05" w:rsidRDefault="00183F05" w:rsidP="00BD42D0">
      <w:pPr>
        <w:spacing w:line="480" w:lineRule="auto"/>
        <w:ind w:left="720" w:right="720"/>
        <w:rPr>
          <w:rFonts w:asciiTheme="minorHAnsi" w:hAnsiTheme="minorHAnsi" w:cstheme="minorHAnsi"/>
        </w:rPr>
      </w:pPr>
      <w:r>
        <w:rPr>
          <w:rFonts w:asciiTheme="minorHAnsi" w:hAnsiTheme="minorHAnsi" w:cstheme="minorHAnsi"/>
          <w:b/>
        </w:rPr>
        <w:t>E3 Response:</w:t>
      </w:r>
      <w:r>
        <w:rPr>
          <w:rFonts w:asciiTheme="minorHAnsi" w:hAnsiTheme="minorHAnsi" w:cstheme="minorHAnsi"/>
        </w:rPr>
        <w:t xml:space="preserve">  The E3 Study involved a detailed, hourly, customer-by-customer analysis of electricity consumption and generation patterns.  In order to ensure a robust study outcome, E3 used rate, consumption and generation data from 2011, which was the most recent calendar year in which a complete dataset was available.  TASC is correct that PG&amp;E’s </w:t>
      </w:r>
      <w:r>
        <w:rPr>
          <w:rFonts w:asciiTheme="minorHAnsi" w:hAnsiTheme="minorHAnsi" w:cstheme="minorHAnsi"/>
        </w:rPr>
        <w:lastRenderedPageBreak/>
        <w:t>residential rate tiers have been adjusted since 2011</w:t>
      </w:r>
      <w:r w:rsidR="00BF7CA2">
        <w:rPr>
          <w:rFonts w:asciiTheme="minorHAnsi" w:hAnsiTheme="minorHAnsi" w:cstheme="minorHAnsi"/>
        </w:rPr>
        <w:t xml:space="preserve">; </w:t>
      </w:r>
      <w:r w:rsidR="00E17C94">
        <w:rPr>
          <w:rFonts w:asciiTheme="minorHAnsi" w:hAnsiTheme="minorHAnsi" w:cstheme="minorHAnsi"/>
        </w:rPr>
        <w:t>however, the largest reduction</w:t>
      </w:r>
      <w:r w:rsidR="00BF7CA2">
        <w:rPr>
          <w:rFonts w:asciiTheme="minorHAnsi" w:hAnsiTheme="minorHAnsi" w:cstheme="minorHAnsi"/>
        </w:rPr>
        <w:t>s</w:t>
      </w:r>
      <w:r w:rsidR="00E17C94">
        <w:rPr>
          <w:rFonts w:asciiTheme="minorHAnsi" w:hAnsiTheme="minorHAnsi" w:cstheme="minorHAnsi"/>
        </w:rPr>
        <w:t xml:space="preserve"> took place prior to 2011 and are reflected in the</w:t>
      </w:r>
      <w:r w:rsidR="00303594">
        <w:rPr>
          <w:rFonts w:asciiTheme="minorHAnsi" w:hAnsiTheme="minorHAnsi" w:cstheme="minorHAnsi"/>
        </w:rPr>
        <w:t xml:space="preserve"> E3 St</w:t>
      </w:r>
      <w:r w:rsidR="00E17C94">
        <w:rPr>
          <w:rFonts w:asciiTheme="minorHAnsi" w:hAnsiTheme="minorHAnsi" w:cstheme="minorHAnsi"/>
        </w:rPr>
        <w:t xml:space="preserve">udy.  </w:t>
      </w:r>
    </w:p>
    <w:p w:rsidR="00020BB6" w:rsidRDefault="00020BB6" w:rsidP="00020BB6">
      <w:pPr>
        <w:spacing w:line="480" w:lineRule="auto"/>
        <w:ind w:left="720" w:right="720" w:firstLine="720"/>
        <w:rPr>
          <w:rFonts w:asciiTheme="minorHAnsi" w:hAnsiTheme="minorHAnsi" w:cstheme="minorHAnsi"/>
        </w:rPr>
      </w:pPr>
      <w:r w:rsidRPr="00020BB6">
        <w:rPr>
          <w:rFonts w:asciiTheme="minorHAnsi" w:hAnsiTheme="minorHAnsi" w:cstheme="minorHAnsi"/>
        </w:rPr>
        <w:t xml:space="preserve">E3 also </w:t>
      </w:r>
      <w:r>
        <w:rPr>
          <w:rFonts w:asciiTheme="minorHAnsi" w:hAnsiTheme="minorHAnsi" w:cstheme="minorHAnsi"/>
        </w:rPr>
        <w:t>recognizes that Assembly Bill 327</w:t>
      </w:r>
      <w:r w:rsidR="00BF7CA2">
        <w:rPr>
          <w:rFonts w:asciiTheme="minorHAnsi" w:hAnsiTheme="minorHAnsi" w:cstheme="minorHAnsi"/>
        </w:rPr>
        <w:t>, passed in September 2013,</w:t>
      </w:r>
      <w:r>
        <w:rPr>
          <w:rFonts w:asciiTheme="minorHAnsi" w:hAnsiTheme="minorHAnsi" w:cstheme="minorHAnsi"/>
        </w:rPr>
        <w:t xml:space="preserve"> provides the CPUC with authority to make significant changes to retail electric rate designs, such as flattening tiers, increasing customer charges, moving to time-of-use rates, or other changes.  Such rate design changes could ameliorate the cost shifts identified in the E3 Study.  </w:t>
      </w:r>
      <w:r w:rsidR="00BF7CA2">
        <w:rPr>
          <w:rFonts w:asciiTheme="minorHAnsi" w:hAnsiTheme="minorHAnsi" w:cstheme="minorHAnsi"/>
        </w:rPr>
        <w:t xml:space="preserve">We believe that the </w:t>
      </w:r>
      <w:r w:rsidR="00E17C94">
        <w:rPr>
          <w:rFonts w:asciiTheme="minorHAnsi" w:hAnsiTheme="minorHAnsi" w:cstheme="minorHAnsi"/>
        </w:rPr>
        <w:t xml:space="preserve">E3 Study provides a firm analytical basis for </w:t>
      </w:r>
      <w:r w:rsidR="00303594">
        <w:rPr>
          <w:rFonts w:asciiTheme="minorHAnsi" w:hAnsiTheme="minorHAnsi" w:cstheme="minorHAnsi"/>
        </w:rPr>
        <w:t>determining the relative impacts of these potential changes</w:t>
      </w:r>
      <w:r w:rsidR="00E17C94">
        <w:rPr>
          <w:rFonts w:asciiTheme="minorHAnsi" w:hAnsiTheme="minorHAnsi" w:cstheme="minorHAnsi"/>
        </w:rPr>
        <w:t xml:space="preserve">.  </w:t>
      </w:r>
      <w:r w:rsidR="00BF7CA2">
        <w:rPr>
          <w:rFonts w:asciiTheme="minorHAnsi" w:hAnsiTheme="minorHAnsi" w:cstheme="minorHAnsi"/>
        </w:rPr>
        <w:t xml:space="preserve">We also </w:t>
      </w:r>
      <w:r>
        <w:rPr>
          <w:rFonts w:asciiTheme="minorHAnsi" w:hAnsiTheme="minorHAnsi" w:cstheme="minorHAnsi"/>
        </w:rPr>
        <w:t xml:space="preserve">note that (1) the CPUC has not yet approved any changes to rate designs, and in the absence of such it is impossible to determine how changes in future rates </w:t>
      </w:r>
      <w:r w:rsidR="00303594">
        <w:rPr>
          <w:rFonts w:asciiTheme="minorHAnsi" w:hAnsiTheme="minorHAnsi" w:cstheme="minorHAnsi"/>
        </w:rPr>
        <w:t xml:space="preserve">will </w:t>
      </w:r>
      <w:r>
        <w:rPr>
          <w:rFonts w:asciiTheme="minorHAnsi" w:hAnsiTheme="minorHAnsi" w:cstheme="minorHAnsi"/>
        </w:rPr>
        <w:t>affect the cost shift</w:t>
      </w:r>
      <w:r w:rsidR="00BF7CA2">
        <w:rPr>
          <w:rFonts w:asciiTheme="minorHAnsi" w:hAnsiTheme="minorHAnsi" w:cstheme="minorHAnsi"/>
        </w:rPr>
        <w:t>s</w:t>
      </w:r>
      <w:r>
        <w:rPr>
          <w:rFonts w:asciiTheme="minorHAnsi" w:hAnsiTheme="minorHAnsi" w:cstheme="minorHAnsi"/>
        </w:rPr>
        <w:t xml:space="preserve"> estimated in the E3 Study; and (2) AB 327 also directed the CPUC ensure that customers who install NEM systems prior to 2017 continue to receive benefits from their investments, meaning that cost shifts may linger long after rate designs h</w:t>
      </w:r>
      <w:r w:rsidR="00E17C94">
        <w:rPr>
          <w:rFonts w:asciiTheme="minorHAnsi" w:hAnsiTheme="minorHAnsi" w:cstheme="minorHAnsi"/>
        </w:rPr>
        <w:t>ave been changed.</w:t>
      </w:r>
    </w:p>
    <w:p w:rsidR="00020BB6" w:rsidRDefault="00020BB6" w:rsidP="00020BB6">
      <w:pPr>
        <w:spacing w:line="480" w:lineRule="auto"/>
        <w:ind w:left="720" w:right="720" w:firstLine="720"/>
        <w:rPr>
          <w:rFonts w:asciiTheme="minorHAnsi" w:hAnsiTheme="minorHAnsi" w:cstheme="minorHAnsi"/>
        </w:rPr>
      </w:pPr>
    </w:p>
    <w:p w:rsidR="00020BB6" w:rsidRDefault="00020BB6" w:rsidP="00020BB6">
      <w:pPr>
        <w:spacing w:line="480" w:lineRule="auto"/>
        <w:ind w:left="720" w:right="720"/>
        <w:rPr>
          <w:rFonts w:asciiTheme="minorHAnsi" w:hAnsiTheme="minorHAnsi" w:cstheme="minorHAnsi"/>
        </w:rPr>
      </w:pPr>
      <w:r w:rsidRPr="00BD42D0">
        <w:rPr>
          <w:rFonts w:asciiTheme="minorHAnsi" w:hAnsiTheme="minorHAnsi" w:cstheme="minorHAnsi"/>
          <w:b/>
        </w:rPr>
        <w:t xml:space="preserve">TASC Critique </w:t>
      </w:r>
      <w:r>
        <w:rPr>
          <w:rFonts w:asciiTheme="minorHAnsi" w:hAnsiTheme="minorHAnsi" w:cstheme="minorHAnsi"/>
          <w:b/>
        </w:rPr>
        <w:t>#3</w:t>
      </w:r>
      <w:r w:rsidRPr="00BD42D0">
        <w:rPr>
          <w:rFonts w:asciiTheme="minorHAnsi" w:hAnsiTheme="minorHAnsi" w:cstheme="minorHAnsi"/>
          <w:b/>
        </w:rPr>
        <w:t>:</w:t>
      </w:r>
      <w:r>
        <w:rPr>
          <w:rFonts w:asciiTheme="minorHAnsi" w:hAnsiTheme="minorHAnsi" w:cstheme="minorHAnsi"/>
        </w:rPr>
        <w:t xml:space="preserve">  </w:t>
      </w:r>
      <w:r w:rsidR="00BF7CA2">
        <w:rPr>
          <w:rFonts w:asciiTheme="minorHAnsi" w:hAnsiTheme="minorHAnsi" w:cstheme="minorHAnsi"/>
        </w:rPr>
        <w:t>“</w:t>
      </w:r>
      <w:r w:rsidRPr="00020BB6">
        <w:rPr>
          <w:rFonts w:asciiTheme="minorHAnsi" w:hAnsiTheme="minorHAnsi" w:cstheme="minorHAnsi"/>
        </w:rPr>
        <w:t>The E3 Study failed to include avoided high voltage transmission costs despite numerous</w:t>
      </w:r>
      <w:r>
        <w:rPr>
          <w:rFonts w:asciiTheme="minorHAnsi" w:hAnsiTheme="minorHAnsi" w:cstheme="minorHAnsi"/>
        </w:rPr>
        <w:t xml:space="preserve"> </w:t>
      </w:r>
      <w:r w:rsidRPr="00020BB6">
        <w:rPr>
          <w:rFonts w:asciiTheme="minorHAnsi" w:hAnsiTheme="minorHAnsi" w:cstheme="minorHAnsi"/>
        </w:rPr>
        <w:t>studies recognizing that because DG resources are located on or close to load on the</w:t>
      </w:r>
      <w:r>
        <w:rPr>
          <w:rFonts w:asciiTheme="minorHAnsi" w:hAnsiTheme="minorHAnsi" w:cstheme="minorHAnsi"/>
        </w:rPr>
        <w:t xml:space="preserve"> </w:t>
      </w:r>
      <w:r w:rsidRPr="00020BB6">
        <w:rPr>
          <w:rFonts w:asciiTheme="minorHAnsi" w:hAnsiTheme="minorHAnsi" w:cstheme="minorHAnsi"/>
        </w:rPr>
        <w:t>distribution system during peak load periods, it decreases peak loading on the</w:t>
      </w:r>
      <w:r>
        <w:rPr>
          <w:rFonts w:asciiTheme="minorHAnsi" w:hAnsiTheme="minorHAnsi" w:cstheme="minorHAnsi"/>
        </w:rPr>
        <w:t xml:space="preserve"> </w:t>
      </w:r>
      <w:r w:rsidRPr="00020BB6">
        <w:rPr>
          <w:rFonts w:asciiTheme="minorHAnsi" w:hAnsiTheme="minorHAnsi" w:cstheme="minorHAnsi"/>
        </w:rPr>
        <w:t>transmission system.</w:t>
      </w:r>
      <w:r>
        <w:rPr>
          <w:rFonts w:asciiTheme="minorHAnsi" w:hAnsiTheme="minorHAnsi" w:cstheme="minorHAnsi"/>
        </w:rPr>
        <w:t xml:space="preserve">  </w:t>
      </w:r>
      <w:r w:rsidRPr="00020BB6">
        <w:rPr>
          <w:rFonts w:asciiTheme="minorHAnsi" w:hAnsiTheme="minorHAnsi" w:cstheme="minorHAnsi"/>
        </w:rPr>
        <w:t>Of particular note is the findings of the 2009 CSI Impact</w:t>
      </w:r>
      <w:r>
        <w:rPr>
          <w:rFonts w:asciiTheme="minorHAnsi" w:hAnsiTheme="minorHAnsi" w:cstheme="minorHAnsi"/>
        </w:rPr>
        <w:t xml:space="preserve"> </w:t>
      </w:r>
      <w:r w:rsidRPr="00020BB6">
        <w:rPr>
          <w:rFonts w:asciiTheme="minorHAnsi" w:hAnsiTheme="minorHAnsi" w:cstheme="minorHAnsi"/>
        </w:rPr>
        <w:t>Evaluation Report that at Californ</w:t>
      </w:r>
      <w:r>
        <w:rPr>
          <w:rFonts w:asciiTheme="minorHAnsi" w:hAnsiTheme="minorHAnsi" w:cstheme="minorHAnsi"/>
        </w:rPr>
        <w:t>i</w:t>
      </w:r>
      <w:r w:rsidRPr="00020BB6">
        <w:rPr>
          <w:rFonts w:asciiTheme="minorHAnsi" w:hAnsiTheme="minorHAnsi" w:cstheme="minorHAnsi"/>
        </w:rPr>
        <w:t xml:space="preserve">a’s current level of installed capacity </w:t>
      </w:r>
      <w:r w:rsidRPr="00020BB6">
        <w:rPr>
          <w:rFonts w:asciiTheme="minorHAnsi" w:hAnsiTheme="minorHAnsi" w:cstheme="minorHAnsi"/>
        </w:rPr>
        <w:lastRenderedPageBreak/>
        <w:t>(1853 MW) the</w:t>
      </w:r>
      <w:r>
        <w:rPr>
          <w:rFonts w:asciiTheme="minorHAnsi" w:hAnsiTheme="minorHAnsi" w:cstheme="minorHAnsi"/>
        </w:rPr>
        <w:t xml:space="preserve"> </w:t>
      </w:r>
      <w:r w:rsidRPr="00020BB6">
        <w:rPr>
          <w:rFonts w:asciiTheme="minorHAnsi" w:hAnsiTheme="minorHAnsi" w:cstheme="minorHAnsi"/>
        </w:rPr>
        <w:t xml:space="preserve">transmission capacity benefit would be equivalent </w:t>
      </w:r>
      <w:r>
        <w:rPr>
          <w:rFonts w:asciiTheme="minorHAnsi" w:hAnsiTheme="minorHAnsi" w:cstheme="minorHAnsi"/>
        </w:rPr>
        <w:t>to a 500 kV transmission line.</w:t>
      </w:r>
      <w:r w:rsidR="00BF7CA2">
        <w:rPr>
          <w:rFonts w:asciiTheme="minorHAnsi" w:hAnsiTheme="minorHAnsi" w:cstheme="minorHAnsi"/>
        </w:rPr>
        <w:t>”</w:t>
      </w:r>
    </w:p>
    <w:p w:rsidR="007320C6" w:rsidRDefault="00020BB6" w:rsidP="00BD42D0">
      <w:pPr>
        <w:spacing w:line="480" w:lineRule="auto"/>
        <w:ind w:left="720" w:right="720"/>
        <w:rPr>
          <w:rFonts w:asciiTheme="minorHAnsi" w:hAnsiTheme="minorHAnsi" w:cstheme="minorHAnsi"/>
        </w:rPr>
      </w:pPr>
      <w:r>
        <w:rPr>
          <w:rFonts w:asciiTheme="minorHAnsi" w:hAnsiTheme="minorHAnsi" w:cstheme="minorHAnsi"/>
          <w:b/>
        </w:rPr>
        <w:t>E3 Response:</w:t>
      </w:r>
      <w:r>
        <w:rPr>
          <w:rFonts w:asciiTheme="minorHAnsi" w:hAnsiTheme="minorHAnsi" w:cstheme="minorHAnsi"/>
        </w:rPr>
        <w:t xml:space="preserve">  </w:t>
      </w:r>
      <w:r w:rsidR="00BF7CA2">
        <w:rPr>
          <w:rFonts w:asciiTheme="minorHAnsi" w:hAnsiTheme="minorHAnsi" w:cstheme="minorHAnsi"/>
        </w:rPr>
        <w:t xml:space="preserve">E3 agrees that </w:t>
      </w:r>
      <w:r w:rsidR="00BF7CA2" w:rsidRPr="00020BB6">
        <w:rPr>
          <w:rFonts w:asciiTheme="minorHAnsi" w:hAnsiTheme="minorHAnsi" w:cstheme="minorHAnsi"/>
        </w:rPr>
        <w:t xml:space="preserve">DG resources </w:t>
      </w:r>
      <w:r w:rsidR="00BF7CA2">
        <w:rPr>
          <w:rFonts w:asciiTheme="minorHAnsi" w:hAnsiTheme="minorHAnsi" w:cstheme="minorHAnsi"/>
        </w:rPr>
        <w:t xml:space="preserve">that </w:t>
      </w:r>
      <w:r w:rsidR="00BF7CA2" w:rsidRPr="00020BB6">
        <w:rPr>
          <w:rFonts w:asciiTheme="minorHAnsi" w:hAnsiTheme="minorHAnsi" w:cstheme="minorHAnsi"/>
        </w:rPr>
        <w:t xml:space="preserve">are located </w:t>
      </w:r>
      <w:r w:rsidR="00BF7CA2">
        <w:rPr>
          <w:rFonts w:asciiTheme="minorHAnsi" w:hAnsiTheme="minorHAnsi" w:cstheme="minorHAnsi"/>
        </w:rPr>
        <w:t xml:space="preserve">in load centers tend to </w:t>
      </w:r>
      <w:r w:rsidR="00BF7CA2" w:rsidRPr="00020BB6">
        <w:rPr>
          <w:rFonts w:asciiTheme="minorHAnsi" w:hAnsiTheme="minorHAnsi" w:cstheme="minorHAnsi"/>
        </w:rPr>
        <w:t xml:space="preserve">decrease peak loading on </w:t>
      </w:r>
      <w:r w:rsidR="00303594">
        <w:rPr>
          <w:rFonts w:asciiTheme="minorHAnsi" w:hAnsiTheme="minorHAnsi" w:cstheme="minorHAnsi"/>
        </w:rPr>
        <w:t xml:space="preserve">bulk </w:t>
      </w:r>
      <w:r w:rsidR="00BF7CA2" w:rsidRPr="00020BB6">
        <w:rPr>
          <w:rFonts w:asciiTheme="minorHAnsi" w:hAnsiTheme="minorHAnsi" w:cstheme="minorHAnsi"/>
        </w:rPr>
        <w:t xml:space="preserve">transmission </w:t>
      </w:r>
      <w:r w:rsidR="00303594">
        <w:rPr>
          <w:rFonts w:asciiTheme="minorHAnsi" w:hAnsiTheme="minorHAnsi" w:cstheme="minorHAnsi"/>
        </w:rPr>
        <w:t>facilities</w:t>
      </w:r>
      <w:r w:rsidR="00BF7CA2">
        <w:rPr>
          <w:rFonts w:asciiTheme="minorHAnsi" w:hAnsiTheme="minorHAnsi" w:cstheme="minorHAnsi"/>
        </w:rPr>
        <w:t>.  However, it does not necessarily follow that these resources have significant financial value in the form of avoided high voltage transmission</w:t>
      </w:r>
      <w:r w:rsidR="00303594">
        <w:rPr>
          <w:rFonts w:asciiTheme="minorHAnsi" w:hAnsiTheme="minorHAnsi" w:cstheme="minorHAnsi"/>
        </w:rPr>
        <w:t xml:space="preserve"> investments</w:t>
      </w:r>
      <w:r w:rsidR="00BF7CA2">
        <w:rPr>
          <w:rFonts w:asciiTheme="minorHAnsi" w:hAnsiTheme="minorHAnsi" w:cstheme="minorHAnsi"/>
        </w:rPr>
        <w:t xml:space="preserve">.  </w:t>
      </w:r>
      <w:r>
        <w:rPr>
          <w:rFonts w:asciiTheme="minorHAnsi" w:hAnsiTheme="minorHAnsi" w:cstheme="minorHAnsi"/>
        </w:rPr>
        <w:t xml:space="preserve">The </w:t>
      </w:r>
      <w:r w:rsidRPr="00020BB6">
        <w:rPr>
          <w:rFonts w:asciiTheme="minorHAnsi" w:hAnsiTheme="minorHAnsi" w:cstheme="minorHAnsi"/>
        </w:rPr>
        <w:t>2009 CSI Impact</w:t>
      </w:r>
      <w:r>
        <w:rPr>
          <w:rFonts w:asciiTheme="minorHAnsi" w:hAnsiTheme="minorHAnsi" w:cstheme="minorHAnsi"/>
        </w:rPr>
        <w:t xml:space="preserve"> </w:t>
      </w:r>
      <w:r w:rsidRPr="00020BB6">
        <w:rPr>
          <w:rFonts w:asciiTheme="minorHAnsi" w:hAnsiTheme="minorHAnsi" w:cstheme="minorHAnsi"/>
        </w:rPr>
        <w:t>Evaluation Report</w:t>
      </w:r>
      <w:r>
        <w:rPr>
          <w:rFonts w:asciiTheme="minorHAnsi" w:hAnsiTheme="minorHAnsi" w:cstheme="minorHAnsi"/>
        </w:rPr>
        <w:t xml:space="preserve"> (an E3 report) used a high-level heuristic that </w:t>
      </w:r>
      <w:r w:rsidRPr="00303594">
        <w:rPr>
          <w:rFonts w:asciiTheme="minorHAnsi" w:hAnsiTheme="minorHAnsi" w:cstheme="minorHAnsi"/>
          <w:i/>
        </w:rPr>
        <w:t>assumed</w:t>
      </w:r>
      <w:r>
        <w:rPr>
          <w:rFonts w:asciiTheme="minorHAnsi" w:hAnsiTheme="minorHAnsi" w:cstheme="minorHAnsi"/>
        </w:rPr>
        <w:t xml:space="preserve"> NEM systems would </w:t>
      </w:r>
      <w:r w:rsidR="007320C6">
        <w:rPr>
          <w:rFonts w:asciiTheme="minorHAnsi" w:hAnsiTheme="minorHAnsi" w:cstheme="minorHAnsi"/>
        </w:rPr>
        <w:t xml:space="preserve">result in </w:t>
      </w:r>
      <w:r>
        <w:rPr>
          <w:rFonts w:asciiTheme="minorHAnsi" w:hAnsiTheme="minorHAnsi" w:cstheme="minorHAnsi"/>
        </w:rPr>
        <w:t>reduce</w:t>
      </w:r>
      <w:r w:rsidR="007320C6">
        <w:rPr>
          <w:rFonts w:asciiTheme="minorHAnsi" w:hAnsiTheme="minorHAnsi" w:cstheme="minorHAnsi"/>
        </w:rPr>
        <w:t>d</w:t>
      </w:r>
      <w:r>
        <w:rPr>
          <w:rFonts w:asciiTheme="minorHAnsi" w:hAnsiTheme="minorHAnsi" w:cstheme="minorHAnsi"/>
        </w:rPr>
        <w:t xml:space="preserve"> high-voltage transmission costs </w:t>
      </w:r>
      <w:r w:rsidR="007320C6">
        <w:rPr>
          <w:rFonts w:asciiTheme="minorHAnsi" w:hAnsiTheme="minorHAnsi" w:cstheme="minorHAnsi"/>
        </w:rPr>
        <w:t xml:space="preserve">at the rate of $45/kW-yr.  </w:t>
      </w:r>
      <w:r w:rsidR="00303594">
        <w:rPr>
          <w:rFonts w:asciiTheme="minorHAnsi" w:hAnsiTheme="minorHAnsi" w:cstheme="minorHAnsi"/>
        </w:rPr>
        <w:t xml:space="preserve">As a result, the study indicated </w:t>
      </w:r>
      <w:r w:rsidR="007320C6">
        <w:rPr>
          <w:rFonts w:asciiTheme="minorHAnsi" w:hAnsiTheme="minorHAnsi" w:cstheme="minorHAnsi"/>
        </w:rPr>
        <w:t xml:space="preserve">a modest </w:t>
      </w:r>
      <w:r w:rsidR="00303594">
        <w:rPr>
          <w:rFonts w:asciiTheme="minorHAnsi" w:hAnsiTheme="minorHAnsi" w:cstheme="minorHAnsi"/>
        </w:rPr>
        <w:t xml:space="preserve">transmission deferral </w:t>
      </w:r>
      <w:r w:rsidR="007320C6">
        <w:rPr>
          <w:rFonts w:asciiTheme="minorHAnsi" w:hAnsiTheme="minorHAnsi" w:cstheme="minorHAnsi"/>
        </w:rPr>
        <w:t xml:space="preserve">benefit for CSI systems.  However, load reductions stemming from the </w:t>
      </w:r>
      <w:r w:rsidR="00303594">
        <w:rPr>
          <w:rFonts w:asciiTheme="minorHAnsi" w:hAnsiTheme="minorHAnsi" w:cstheme="minorHAnsi"/>
        </w:rPr>
        <w:t xml:space="preserve">2008-2009 </w:t>
      </w:r>
      <w:r w:rsidR="008D489F">
        <w:rPr>
          <w:rFonts w:asciiTheme="minorHAnsi" w:hAnsiTheme="minorHAnsi" w:cstheme="minorHAnsi"/>
        </w:rPr>
        <w:t>r</w:t>
      </w:r>
      <w:r w:rsidR="007320C6">
        <w:rPr>
          <w:rFonts w:asciiTheme="minorHAnsi" w:hAnsiTheme="minorHAnsi" w:cstheme="minorHAnsi"/>
        </w:rPr>
        <w:t>ecession have deferred the need for new transmission.  For the 2013 NEM report, E3 researched load-growth</w:t>
      </w:r>
      <w:r w:rsidR="008D489F">
        <w:rPr>
          <w:rFonts w:asciiTheme="minorHAnsi" w:hAnsiTheme="minorHAnsi" w:cstheme="minorHAnsi"/>
        </w:rPr>
        <w:t>-</w:t>
      </w:r>
      <w:r w:rsidR="007320C6">
        <w:rPr>
          <w:rFonts w:asciiTheme="minorHAnsi" w:hAnsiTheme="minorHAnsi" w:cstheme="minorHAnsi"/>
        </w:rPr>
        <w:t xml:space="preserve">driven transmission investments in the California Independent System Operator’s 2012 Transmission Plan and found that </w:t>
      </w:r>
      <w:r w:rsidR="007320C6" w:rsidRPr="00303594">
        <w:rPr>
          <w:rFonts w:asciiTheme="minorHAnsi" w:hAnsiTheme="minorHAnsi" w:cstheme="minorHAnsi"/>
          <w:i/>
        </w:rPr>
        <w:t>none</w:t>
      </w:r>
      <w:r w:rsidR="007320C6">
        <w:rPr>
          <w:rFonts w:asciiTheme="minorHAnsi" w:hAnsiTheme="minorHAnsi" w:cstheme="minorHAnsi"/>
        </w:rPr>
        <w:t xml:space="preserve"> of the high-voltage transmission projects in the CAISO’s plan is driven by load growth.  </w:t>
      </w:r>
      <w:r w:rsidR="00E17C94">
        <w:rPr>
          <w:rFonts w:asciiTheme="minorHAnsi" w:hAnsiTheme="minorHAnsi" w:cstheme="minorHAnsi"/>
        </w:rPr>
        <w:t>In fact, of the 71 transmission projects in the last two CAISO transmission plans, only one project was identified as needed for load growth.</w:t>
      </w:r>
      <w:r w:rsidR="008D489F">
        <w:rPr>
          <w:rFonts w:asciiTheme="minorHAnsi" w:hAnsiTheme="minorHAnsi" w:cstheme="minorHAnsi"/>
        </w:rPr>
        <w:t xml:space="preserve">  Thus, while customer-sited DG does have the potential, in theory, to defer investments in new transmission facilities, it appears that there are very little actual savings</w:t>
      </w:r>
      <w:r w:rsidR="008D489F" w:rsidRPr="008D489F">
        <w:rPr>
          <w:rFonts w:asciiTheme="minorHAnsi" w:hAnsiTheme="minorHAnsi" w:cstheme="minorHAnsi"/>
        </w:rPr>
        <w:t xml:space="preserve"> </w:t>
      </w:r>
      <w:r w:rsidR="008D489F">
        <w:rPr>
          <w:rFonts w:asciiTheme="minorHAnsi" w:hAnsiTheme="minorHAnsi" w:cstheme="minorHAnsi"/>
        </w:rPr>
        <w:t xml:space="preserve">in the specific case of California in this decade.  </w:t>
      </w:r>
    </w:p>
    <w:p w:rsidR="005B4DA2" w:rsidRDefault="005B4DA2" w:rsidP="00BD42D0">
      <w:pPr>
        <w:spacing w:line="480" w:lineRule="auto"/>
        <w:ind w:left="720" w:right="720"/>
        <w:rPr>
          <w:rFonts w:asciiTheme="minorHAnsi" w:hAnsiTheme="minorHAnsi" w:cstheme="minorHAnsi"/>
        </w:rPr>
      </w:pPr>
    </w:p>
    <w:p w:rsidR="005B4DA2" w:rsidRDefault="005B4DA2" w:rsidP="005B4DA2">
      <w:pPr>
        <w:spacing w:line="480" w:lineRule="auto"/>
        <w:ind w:left="720" w:right="720"/>
        <w:rPr>
          <w:rFonts w:asciiTheme="minorHAnsi" w:hAnsiTheme="minorHAnsi" w:cstheme="minorHAnsi"/>
        </w:rPr>
      </w:pPr>
      <w:r w:rsidRPr="00BD42D0">
        <w:rPr>
          <w:rFonts w:asciiTheme="minorHAnsi" w:hAnsiTheme="minorHAnsi" w:cstheme="minorHAnsi"/>
          <w:b/>
        </w:rPr>
        <w:lastRenderedPageBreak/>
        <w:t xml:space="preserve">TASC Critique </w:t>
      </w:r>
      <w:r>
        <w:rPr>
          <w:rFonts w:asciiTheme="minorHAnsi" w:hAnsiTheme="minorHAnsi" w:cstheme="minorHAnsi"/>
          <w:b/>
        </w:rPr>
        <w:t>#4</w:t>
      </w:r>
      <w:r w:rsidRPr="00BD42D0">
        <w:rPr>
          <w:rFonts w:asciiTheme="minorHAnsi" w:hAnsiTheme="minorHAnsi" w:cstheme="minorHAnsi"/>
          <w:b/>
        </w:rPr>
        <w:t>:</w:t>
      </w:r>
      <w:r>
        <w:rPr>
          <w:rFonts w:asciiTheme="minorHAnsi" w:hAnsiTheme="minorHAnsi" w:cstheme="minorHAnsi"/>
        </w:rPr>
        <w:t xml:space="preserve">  </w:t>
      </w:r>
      <w:r w:rsidR="008D489F">
        <w:rPr>
          <w:rFonts w:asciiTheme="minorHAnsi" w:hAnsiTheme="minorHAnsi" w:cstheme="minorHAnsi"/>
        </w:rPr>
        <w:t>“</w:t>
      </w:r>
      <w:r w:rsidRPr="005B4DA2">
        <w:rPr>
          <w:rFonts w:asciiTheme="minorHAnsi" w:hAnsiTheme="minorHAnsi" w:cstheme="minorHAnsi"/>
        </w:rPr>
        <w:t xml:space="preserve">The E3 Study used a </w:t>
      </w:r>
      <w:r w:rsidR="008D489F">
        <w:rPr>
          <w:rFonts w:asciiTheme="minorHAnsi" w:hAnsiTheme="minorHAnsi" w:cstheme="minorHAnsi"/>
        </w:rPr>
        <w:t>‘</w:t>
      </w:r>
      <w:r w:rsidRPr="005B4DA2">
        <w:rPr>
          <w:rFonts w:asciiTheme="minorHAnsi" w:hAnsiTheme="minorHAnsi" w:cstheme="minorHAnsi"/>
        </w:rPr>
        <w:t>snapshot</w:t>
      </w:r>
      <w:r w:rsidR="008D489F">
        <w:rPr>
          <w:rFonts w:asciiTheme="minorHAnsi" w:hAnsiTheme="minorHAnsi" w:cstheme="minorHAnsi"/>
        </w:rPr>
        <w:t>’</w:t>
      </w:r>
      <w:r w:rsidRPr="005B4DA2">
        <w:rPr>
          <w:rFonts w:asciiTheme="minorHAnsi" w:hAnsiTheme="minorHAnsi" w:cstheme="minorHAnsi"/>
        </w:rPr>
        <w:t xml:space="preserve"> of DG value versus value over the full life of the net</w:t>
      </w:r>
      <w:r>
        <w:rPr>
          <w:rFonts w:asciiTheme="minorHAnsi" w:hAnsiTheme="minorHAnsi" w:cstheme="minorHAnsi"/>
        </w:rPr>
        <w:t xml:space="preserve"> </w:t>
      </w:r>
      <w:r w:rsidRPr="005B4DA2">
        <w:rPr>
          <w:rFonts w:asciiTheme="minorHAnsi" w:hAnsiTheme="minorHAnsi" w:cstheme="minorHAnsi"/>
        </w:rPr>
        <w:t>metered DG under study. As discussed above, it is essential that valuation of DG benefits</w:t>
      </w:r>
      <w:r>
        <w:rPr>
          <w:rFonts w:asciiTheme="minorHAnsi" w:hAnsiTheme="minorHAnsi" w:cstheme="minorHAnsi"/>
        </w:rPr>
        <w:t xml:space="preserve"> </w:t>
      </w:r>
      <w:r w:rsidRPr="005B4DA2">
        <w:rPr>
          <w:rFonts w:asciiTheme="minorHAnsi" w:hAnsiTheme="minorHAnsi" w:cstheme="minorHAnsi"/>
        </w:rPr>
        <w:t>be performed over the full life of the DG resource being studied. This decision</w:t>
      </w:r>
      <w:r>
        <w:rPr>
          <w:rFonts w:asciiTheme="minorHAnsi" w:hAnsiTheme="minorHAnsi" w:cstheme="minorHAnsi"/>
        </w:rPr>
        <w:t xml:space="preserve"> </w:t>
      </w:r>
      <w:r w:rsidRPr="005B4DA2">
        <w:rPr>
          <w:rFonts w:asciiTheme="minorHAnsi" w:hAnsiTheme="minorHAnsi" w:cstheme="minorHAnsi"/>
        </w:rPr>
        <w:t>dramatically undervalued the benefits DG can provide as a hedge against volatile natural</w:t>
      </w:r>
      <w:r>
        <w:rPr>
          <w:rFonts w:asciiTheme="minorHAnsi" w:hAnsiTheme="minorHAnsi" w:cstheme="minorHAnsi"/>
        </w:rPr>
        <w:t xml:space="preserve"> </w:t>
      </w:r>
      <w:r w:rsidRPr="005B4DA2">
        <w:rPr>
          <w:rFonts w:asciiTheme="minorHAnsi" w:hAnsiTheme="minorHAnsi" w:cstheme="minorHAnsi"/>
        </w:rPr>
        <w:t>gas prices, the cost of mitigating greenhouse gas emissions and deferral of T&amp;D</w:t>
      </w:r>
      <w:r>
        <w:rPr>
          <w:rFonts w:asciiTheme="minorHAnsi" w:hAnsiTheme="minorHAnsi" w:cstheme="minorHAnsi"/>
        </w:rPr>
        <w:t xml:space="preserve"> </w:t>
      </w:r>
      <w:r w:rsidRPr="005B4DA2">
        <w:rPr>
          <w:rFonts w:asciiTheme="minorHAnsi" w:hAnsiTheme="minorHAnsi" w:cstheme="minorHAnsi"/>
        </w:rPr>
        <w:t>investments.</w:t>
      </w:r>
      <w:r w:rsidR="008D489F">
        <w:rPr>
          <w:rFonts w:asciiTheme="minorHAnsi" w:hAnsiTheme="minorHAnsi" w:cstheme="minorHAnsi"/>
        </w:rPr>
        <w:t>”</w:t>
      </w:r>
    </w:p>
    <w:p w:rsidR="008D489F" w:rsidRDefault="005B4DA2" w:rsidP="005B4DA2">
      <w:pPr>
        <w:spacing w:line="480" w:lineRule="auto"/>
        <w:ind w:left="720" w:right="720"/>
        <w:rPr>
          <w:rFonts w:asciiTheme="minorHAnsi" w:hAnsiTheme="minorHAnsi" w:cstheme="minorHAnsi"/>
        </w:rPr>
      </w:pPr>
      <w:r>
        <w:rPr>
          <w:rFonts w:asciiTheme="minorHAnsi" w:hAnsiTheme="minorHAnsi" w:cstheme="minorHAnsi"/>
          <w:b/>
        </w:rPr>
        <w:t>E3 Response:</w:t>
      </w:r>
      <w:r>
        <w:rPr>
          <w:rFonts w:asciiTheme="minorHAnsi" w:hAnsiTheme="minorHAnsi" w:cstheme="minorHAnsi"/>
        </w:rPr>
        <w:t xml:space="preserve">  E3 agrees that it would be </w:t>
      </w:r>
      <w:r w:rsidR="006914B3">
        <w:rPr>
          <w:rFonts w:asciiTheme="minorHAnsi" w:hAnsiTheme="minorHAnsi" w:cstheme="minorHAnsi"/>
        </w:rPr>
        <w:t xml:space="preserve">potentially </w:t>
      </w:r>
      <w:r>
        <w:rPr>
          <w:rFonts w:asciiTheme="minorHAnsi" w:hAnsiTheme="minorHAnsi" w:cstheme="minorHAnsi"/>
        </w:rPr>
        <w:t>more accurate to perform the analysis over the full, 20+ year lifetime of the NEM systems</w:t>
      </w:r>
      <w:r w:rsidR="008D489F">
        <w:rPr>
          <w:rFonts w:asciiTheme="minorHAnsi" w:hAnsiTheme="minorHAnsi" w:cstheme="minorHAnsi"/>
        </w:rPr>
        <w:t>,</w:t>
      </w:r>
      <w:r w:rsidR="006914B3">
        <w:rPr>
          <w:rFonts w:asciiTheme="minorHAnsi" w:hAnsiTheme="minorHAnsi" w:cstheme="minorHAnsi"/>
        </w:rPr>
        <w:t xml:space="preserve"> if the forecasts </w:t>
      </w:r>
      <w:r w:rsidR="008D489F">
        <w:rPr>
          <w:rFonts w:asciiTheme="minorHAnsi" w:hAnsiTheme="minorHAnsi" w:cstheme="minorHAnsi"/>
        </w:rPr>
        <w:t xml:space="preserve">of fundamental drivers underlying the analysis </w:t>
      </w:r>
      <w:r w:rsidR="006914B3">
        <w:rPr>
          <w:rFonts w:asciiTheme="minorHAnsi" w:hAnsiTheme="minorHAnsi" w:cstheme="minorHAnsi"/>
        </w:rPr>
        <w:t>were not in themselves highly speculative</w:t>
      </w:r>
      <w:r w:rsidR="008D489F" w:rsidRPr="008D489F">
        <w:rPr>
          <w:rFonts w:asciiTheme="minorHAnsi" w:hAnsiTheme="minorHAnsi" w:cstheme="minorHAnsi"/>
        </w:rPr>
        <w:t xml:space="preserve"> </w:t>
      </w:r>
      <w:r w:rsidR="008D489F">
        <w:rPr>
          <w:rFonts w:asciiTheme="minorHAnsi" w:hAnsiTheme="minorHAnsi" w:cstheme="minorHAnsi"/>
        </w:rPr>
        <w:t>over the life of the system</w:t>
      </w:r>
      <w:r w:rsidR="00F8670C">
        <w:rPr>
          <w:rFonts w:asciiTheme="minorHAnsi" w:hAnsiTheme="minorHAnsi" w:cstheme="minorHAnsi"/>
        </w:rPr>
        <w:t>s</w:t>
      </w:r>
      <w:r>
        <w:rPr>
          <w:rFonts w:asciiTheme="minorHAnsi" w:hAnsiTheme="minorHAnsi" w:cstheme="minorHAnsi"/>
        </w:rPr>
        <w:t xml:space="preserve">.  </w:t>
      </w:r>
      <w:r w:rsidR="006914B3">
        <w:rPr>
          <w:rFonts w:asciiTheme="minorHAnsi" w:hAnsiTheme="minorHAnsi" w:cstheme="minorHAnsi"/>
        </w:rPr>
        <w:t xml:space="preserve">Such analysis </w:t>
      </w:r>
      <w:r w:rsidR="008D489F">
        <w:rPr>
          <w:rFonts w:asciiTheme="minorHAnsi" w:hAnsiTheme="minorHAnsi" w:cstheme="minorHAnsi"/>
        </w:rPr>
        <w:t xml:space="preserve">would </w:t>
      </w:r>
      <w:r>
        <w:rPr>
          <w:rFonts w:asciiTheme="minorHAnsi" w:hAnsiTheme="minorHAnsi" w:cstheme="minorHAnsi"/>
        </w:rPr>
        <w:t xml:space="preserve">require year-by-year estimates of the number of systems </w:t>
      </w:r>
      <w:proofErr w:type="gramStart"/>
      <w:r>
        <w:rPr>
          <w:rFonts w:asciiTheme="minorHAnsi" w:hAnsiTheme="minorHAnsi" w:cstheme="minorHAnsi"/>
        </w:rPr>
        <w:t>installed,</w:t>
      </w:r>
      <w:proofErr w:type="gramEnd"/>
      <w:r>
        <w:rPr>
          <w:rFonts w:asciiTheme="minorHAnsi" w:hAnsiTheme="minorHAnsi" w:cstheme="minorHAnsi"/>
        </w:rPr>
        <w:t xml:space="preserve"> the state of the underlying grid, and </w:t>
      </w:r>
      <w:r w:rsidR="00E17C94">
        <w:rPr>
          <w:rFonts w:asciiTheme="minorHAnsi" w:hAnsiTheme="minorHAnsi" w:cstheme="minorHAnsi"/>
        </w:rPr>
        <w:t xml:space="preserve">a projection of </w:t>
      </w:r>
      <w:r>
        <w:rPr>
          <w:rFonts w:asciiTheme="minorHAnsi" w:hAnsiTheme="minorHAnsi" w:cstheme="minorHAnsi"/>
        </w:rPr>
        <w:t>retail rates</w:t>
      </w:r>
      <w:r w:rsidR="00E17C94">
        <w:rPr>
          <w:rFonts w:asciiTheme="minorHAnsi" w:hAnsiTheme="minorHAnsi" w:cstheme="minorHAnsi"/>
        </w:rPr>
        <w:t xml:space="preserve"> </w:t>
      </w:r>
      <w:r w:rsidR="006914B3">
        <w:rPr>
          <w:rFonts w:asciiTheme="minorHAnsi" w:hAnsiTheme="minorHAnsi" w:cstheme="minorHAnsi"/>
        </w:rPr>
        <w:t>and rate designs</w:t>
      </w:r>
      <w:r>
        <w:rPr>
          <w:rFonts w:asciiTheme="minorHAnsi" w:hAnsiTheme="minorHAnsi" w:cstheme="minorHAnsi"/>
        </w:rPr>
        <w:t xml:space="preserve">.  The most important effects that are omitted from the snapshot analysis are </w:t>
      </w:r>
      <w:r w:rsidR="00E17C94">
        <w:rPr>
          <w:rFonts w:asciiTheme="minorHAnsi" w:hAnsiTheme="minorHAnsi" w:cstheme="minorHAnsi"/>
        </w:rPr>
        <w:t>related to</w:t>
      </w:r>
      <w:r w:rsidR="008D489F">
        <w:rPr>
          <w:rFonts w:asciiTheme="minorHAnsi" w:hAnsiTheme="minorHAnsi" w:cstheme="minorHAnsi"/>
        </w:rPr>
        <w:t>:</w:t>
      </w:r>
    </w:p>
    <w:p w:rsidR="008D489F" w:rsidRDefault="008D489F" w:rsidP="008D489F">
      <w:pPr>
        <w:pStyle w:val="ListParagraph"/>
        <w:numPr>
          <w:ilvl w:val="0"/>
          <w:numId w:val="1"/>
        </w:numPr>
        <w:spacing w:line="480" w:lineRule="auto"/>
        <w:ind w:right="720"/>
        <w:rPr>
          <w:rFonts w:asciiTheme="minorHAnsi" w:hAnsiTheme="minorHAnsi" w:cstheme="minorHAnsi"/>
        </w:rPr>
      </w:pPr>
      <w:r>
        <w:rPr>
          <w:rFonts w:asciiTheme="minorHAnsi" w:hAnsiTheme="minorHAnsi" w:cstheme="minorHAnsi"/>
        </w:rPr>
        <w:t>I</w:t>
      </w:r>
      <w:r w:rsidR="00E17C94" w:rsidRPr="008D489F">
        <w:rPr>
          <w:rFonts w:asciiTheme="minorHAnsi" w:hAnsiTheme="minorHAnsi" w:cstheme="minorHAnsi"/>
        </w:rPr>
        <w:t>ncreases in retail rates</w:t>
      </w:r>
      <w:r w:rsidR="006914B3" w:rsidRPr="008D489F">
        <w:rPr>
          <w:rFonts w:asciiTheme="minorHAnsi" w:hAnsiTheme="minorHAnsi" w:cstheme="minorHAnsi"/>
        </w:rPr>
        <w:t xml:space="preserve"> and their design</w:t>
      </w:r>
      <w:r w:rsidR="005B4DA2" w:rsidRPr="008D489F">
        <w:rPr>
          <w:rFonts w:asciiTheme="minorHAnsi" w:hAnsiTheme="minorHAnsi" w:cstheme="minorHAnsi"/>
        </w:rPr>
        <w:t xml:space="preserve">. </w:t>
      </w:r>
      <w:r>
        <w:rPr>
          <w:rFonts w:asciiTheme="minorHAnsi" w:hAnsiTheme="minorHAnsi" w:cstheme="minorHAnsi"/>
        </w:rPr>
        <w:t xml:space="preserve"> </w:t>
      </w:r>
      <w:r w:rsidR="00E17C94" w:rsidRPr="008D489F">
        <w:rPr>
          <w:rFonts w:asciiTheme="minorHAnsi" w:hAnsiTheme="minorHAnsi" w:cstheme="minorHAnsi"/>
        </w:rPr>
        <w:t>Since we anticipate that retail rate</w:t>
      </w:r>
      <w:r w:rsidR="00303594">
        <w:rPr>
          <w:rFonts w:asciiTheme="minorHAnsi" w:hAnsiTheme="minorHAnsi" w:cstheme="minorHAnsi"/>
        </w:rPr>
        <w:t xml:space="preserve"> design</w:t>
      </w:r>
      <w:r w:rsidR="00E17C94" w:rsidRPr="008D489F">
        <w:rPr>
          <w:rFonts w:asciiTheme="minorHAnsi" w:hAnsiTheme="minorHAnsi" w:cstheme="minorHAnsi"/>
        </w:rPr>
        <w:t>s will be changed in the timeframe of the analysis</w:t>
      </w:r>
      <w:r w:rsidR="006914B3" w:rsidRPr="008D489F">
        <w:rPr>
          <w:rFonts w:asciiTheme="minorHAnsi" w:hAnsiTheme="minorHAnsi" w:cstheme="minorHAnsi"/>
        </w:rPr>
        <w:t xml:space="preserve"> given AB 327</w:t>
      </w:r>
      <w:r w:rsidR="00E17C94" w:rsidRPr="008D489F">
        <w:rPr>
          <w:rFonts w:asciiTheme="minorHAnsi" w:hAnsiTheme="minorHAnsi" w:cstheme="minorHAnsi"/>
        </w:rPr>
        <w:t>, a lifecycle assessment with rates and rate structures locked at current designs through 2040 would be highly speculative</w:t>
      </w:r>
      <w:r w:rsidR="006914B3" w:rsidRPr="008D489F">
        <w:rPr>
          <w:rFonts w:asciiTheme="minorHAnsi" w:hAnsiTheme="minorHAnsi" w:cstheme="minorHAnsi"/>
        </w:rPr>
        <w:t>, as would prejudging the outcome of new rate designs</w:t>
      </w:r>
      <w:r w:rsidR="00E17C94" w:rsidRPr="008D489F">
        <w:rPr>
          <w:rFonts w:asciiTheme="minorHAnsi" w:hAnsiTheme="minorHAnsi" w:cstheme="minorHAnsi"/>
        </w:rPr>
        <w:t>.</w:t>
      </w:r>
      <w:r w:rsidR="005B4DA2" w:rsidRPr="008D489F">
        <w:rPr>
          <w:rFonts w:asciiTheme="minorHAnsi" w:hAnsiTheme="minorHAnsi" w:cstheme="minorHAnsi"/>
        </w:rPr>
        <w:t xml:space="preserve"> </w:t>
      </w:r>
    </w:p>
    <w:p w:rsidR="008D489F" w:rsidRDefault="008D489F" w:rsidP="008D489F">
      <w:pPr>
        <w:pStyle w:val="ListParagraph"/>
        <w:numPr>
          <w:ilvl w:val="0"/>
          <w:numId w:val="1"/>
        </w:numPr>
        <w:spacing w:line="480" w:lineRule="auto"/>
        <w:ind w:right="720"/>
        <w:rPr>
          <w:rFonts w:asciiTheme="minorHAnsi" w:hAnsiTheme="minorHAnsi" w:cstheme="minorHAnsi"/>
        </w:rPr>
      </w:pPr>
      <w:r>
        <w:rPr>
          <w:rFonts w:asciiTheme="minorHAnsi" w:hAnsiTheme="minorHAnsi" w:cstheme="minorHAnsi"/>
        </w:rPr>
        <w:lastRenderedPageBreak/>
        <w:t>Fuel and CO2 price escalation.  While long-term studies typically project monotonic increases and natural gas and CO2 prices over time, such an outcome is far from certain</w:t>
      </w:r>
      <w:r w:rsidR="00F8670C">
        <w:rPr>
          <w:rFonts w:asciiTheme="minorHAnsi" w:hAnsiTheme="minorHAnsi" w:cstheme="minorHAnsi"/>
        </w:rPr>
        <w:t xml:space="preserve">.  </w:t>
      </w:r>
    </w:p>
    <w:p w:rsidR="00F8670C" w:rsidRDefault="00F8670C" w:rsidP="008D489F">
      <w:pPr>
        <w:pStyle w:val="ListParagraph"/>
        <w:numPr>
          <w:ilvl w:val="0"/>
          <w:numId w:val="1"/>
        </w:numPr>
        <w:spacing w:line="480" w:lineRule="auto"/>
        <w:ind w:right="720"/>
        <w:rPr>
          <w:rFonts w:asciiTheme="minorHAnsi" w:hAnsiTheme="minorHAnsi" w:cstheme="minorHAnsi"/>
        </w:rPr>
      </w:pPr>
      <w:r>
        <w:rPr>
          <w:rFonts w:asciiTheme="minorHAnsi" w:hAnsiTheme="minorHAnsi" w:cstheme="minorHAnsi"/>
        </w:rPr>
        <w:t xml:space="preserve">Renewable integration costs.  </w:t>
      </w:r>
      <w:r w:rsidRPr="008D489F">
        <w:rPr>
          <w:rFonts w:asciiTheme="minorHAnsi" w:hAnsiTheme="minorHAnsi" w:cstheme="minorHAnsi"/>
        </w:rPr>
        <w:t>E3 did not develop detailed estimates of renewable integration costs</w:t>
      </w:r>
      <w:r>
        <w:rPr>
          <w:rFonts w:asciiTheme="minorHAnsi" w:hAnsiTheme="minorHAnsi" w:cstheme="minorHAnsi"/>
        </w:rPr>
        <w:t xml:space="preserve"> for </w:t>
      </w:r>
      <w:r w:rsidRPr="008D489F">
        <w:rPr>
          <w:rFonts w:asciiTheme="minorHAnsi" w:hAnsiTheme="minorHAnsi" w:cstheme="minorHAnsi"/>
        </w:rPr>
        <w:t>the 2013-2020 timeframe when such costs are expected to be low.  However, recent work has indicated that integration costs may grow significantly as California moves beyond a 33% RPS</w:t>
      </w:r>
      <w:r w:rsidR="00303594">
        <w:rPr>
          <w:rFonts w:asciiTheme="minorHAnsi" w:hAnsiTheme="minorHAnsi" w:cstheme="minorHAnsi"/>
        </w:rPr>
        <w:t xml:space="preserve">. </w:t>
      </w:r>
    </w:p>
    <w:p w:rsidR="00F8670C" w:rsidRDefault="00F8670C" w:rsidP="005B4DA2">
      <w:pPr>
        <w:spacing w:line="480" w:lineRule="auto"/>
        <w:ind w:left="720" w:right="720"/>
        <w:rPr>
          <w:rFonts w:asciiTheme="minorHAnsi" w:hAnsiTheme="minorHAnsi" w:cstheme="minorHAnsi"/>
        </w:rPr>
      </w:pPr>
      <w:r>
        <w:rPr>
          <w:rFonts w:asciiTheme="minorHAnsi" w:hAnsiTheme="minorHAnsi" w:cstheme="minorHAnsi"/>
        </w:rPr>
        <w:t xml:space="preserve">Overall, </w:t>
      </w:r>
      <w:r w:rsidR="006914B3">
        <w:rPr>
          <w:rFonts w:asciiTheme="minorHAnsi" w:hAnsiTheme="minorHAnsi" w:cstheme="minorHAnsi"/>
        </w:rPr>
        <w:t>we</w:t>
      </w:r>
      <w:r>
        <w:rPr>
          <w:rFonts w:asciiTheme="minorHAnsi" w:hAnsiTheme="minorHAnsi" w:cstheme="minorHAnsi"/>
        </w:rPr>
        <w:t xml:space="preserve"> think it is likely that </w:t>
      </w:r>
      <w:r w:rsidR="006914B3">
        <w:rPr>
          <w:rFonts w:asciiTheme="minorHAnsi" w:hAnsiTheme="minorHAnsi" w:cstheme="minorHAnsi"/>
        </w:rPr>
        <w:t xml:space="preserve">retail rates </w:t>
      </w:r>
      <w:r w:rsidR="00303594">
        <w:rPr>
          <w:rFonts w:asciiTheme="minorHAnsi" w:hAnsiTheme="minorHAnsi" w:cstheme="minorHAnsi"/>
        </w:rPr>
        <w:t>will</w:t>
      </w:r>
      <w:r>
        <w:rPr>
          <w:rFonts w:asciiTheme="minorHAnsi" w:hAnsiTheme="minorHAnsi" w:cstheme="minorHAnsi"/>
        </w:rPr>
        <w:t xml:space="preserve"> escalate </w:t>
      </w:r>
      <w:r w:rsidR="006914B3">
        <w:rPr>
          <w:rFonts w:asciiTheme="minorHAnsi" w:hAnsiTheme="minorHAnsi" w:cstheme="minorHAnsi"/>
        </w:rPr>
        <w:t>faster than the underlying avoided costs</w:t>
      </w:r>
      <w:r w:rsidR="00303594">
        <w:rPr>
          <w:rFonts w:asciiTheme="minorHAnsi" w:hAnsiTheme="minorHAnsi" w:cstheme="minorHAnsi"/>
        </w:rPr>
        <w:t xml:space="preserve">, due largely to projected investments needed to replace aging infrastructure and other factors unrelated to growth and resource needs, </w:t>
      </w:r>
      <w:r w:rsidR="006914B3">
        <w:rPr>
          <w:rFonts w:asciiTheme="minorHAnsi" w:hAnsiTheme="minorHAnsi" w:cstheme="minorHAnsi"/>
        </w:rPr>
        <w:t xml:space="preserve">and therefore </w:t>
      </w:r>
      <w:r>
        <w:rPr>
          <w:rFonts w:asciiTheme="minorHAnsi" w:hAnsiTheme="minorHAnsi" w:cstheme="minorHAnsi"/>
        </w:rPr>
        <w:t xml:space="preserve">a </w:t>
      </w:r>
      <w:r w:rsidR="006914B3">
        <w:rPr>
          <w:rFonts w:asciiTheme="minorHAnsi" w:hAnsiTheme="minorHAnsi" w:cstheme="minorHAnsi"/>
        </w:rPr>
        <w:t>lifecycle assessment would show a greater cost</w:t>
      </w:r>
      <w:r>
        <w:rPr>
          <w:rFonts w:asciiTheme="minorHAnsi" w:hAnsiTheme="minorHAnsi" w:cstheme="minorHAnsi"/>
        </w:rPr>
        <w:t xml:space="preserve"> </w:t>
      </w:r>
      <w:r w:rsidR="006914B3">
        <w:rPr>
          <w:rFonts w:asciiTheme="minorHAnsi" w:hAnsiTheme="minorHAnsi" w:cstheme="minorHAnsi"/>
        </w:rPr>
        <w:t>sh</w:t>
      </w:r>
      <w:r>
        <w:rPr>
          <w:rFonts w:asciiTheme="minorHAnsi" w:hAnsiTheme="minorHAnsi" w:cstheme="minorHAnsi"/>
        </w:rPr>
        <w:t xml:space="preserve">ift than the methodology used.  However, given the wide range of possible futures over a 20+ year time horizon, a </w:t>
      </w:r>
      <w:r w:rsidR="00303594">
        <w:rPr>
          <w:rFonts w:asciiTheme="minorHAnsi" w:hAnsiTheme="minorHAnsi" w:cstheme="minorHAnsi"/>
        </w:rPr>
        <w:t xml:space="preserve">number </w:t>
      </w:r>
      <w:r>
        <w:rPr>
          <w:rFonts w:asciiTheme="minorHAnsi" w:hAnsiTheme="minorHAnsi" w:cstheme="minorHAnsi"/>
        </w:rPr>
        <w:t xml:space="preserve">of </w:t>
      </w:r>
      <w:r w:rsidR="00303594">
        <w:rPr>
          <w:rFonts w:asciiTheme="minorHAnsi" w:hAnsiTheme="minorHAnsi" w:cstheme="minorHAnsi"/>
        </w:rPr>
        <w:t xml:space="preserve">alternative </w:t>
      </w:r>
      <w:r>
        <w:rPr>
          <w:rFonts w:asciiTheme="minorHAnsi" w:hAnsiTheme="minorHAnsi" w:cstheme="minorHAnsi"/>
        </w:rPr>
        <w:t>scenarios would need to be considered</w:t>
      </w:r>
      <w:r w:rsidR="00303594">
        <w:rPr>
          <w:rFonts w:asciiTheme="minorHAnsi" w:hAnsiTheme="minorHAnsi" w:cstheme="minorHAnsi"/>
        </w:rPr>
        <w:t>, increasing the study time and cost</w:t>
      </w:r>
      <w:r>
        <w:rPr>
          <w:rFonts w:asciiTheme="minorHAnsi" w:hAnsiTheme="minorHAnsi" w:cstheme="minorHAnsi"/>
        </w:rPr>
        <w:t xml:space="preserve">.  We believe the “snapshot” approach is </w:t>
      </w:r>
      <w:r w:rsidR="00303594">
        <w:rPr>
          <w:rFonts w:asciiTheme="minorHAnsi" w:hAnsiTheme="minorHAnsi" w:cstheme="minorHAnsi"/>
        </w:rPr>
        <w:t>adequate</w:t>
      </w:r>
      <w:r>
        <w:rPr>
          <w:rFonts w:asciiTheme="minorHAnsi" w:hAnsiTheme="minorHAnsi" w:cstheme="minorHAnsi"/>
        </w:rPr>
        <w:t xml:space="preserve"> to answer the questions posed by the legislature about the potential costs, benefits and cost shifts of DG under California’s current NEM and rate design policies.  </w:t>
      </w:r>
    </w:p>
    <w:p w:rsidR="00A44DBD" w:rsidRDefault="00A44DBD" w:rsidP="00F8670C">
      <w:pPr>
        <w:spacing w:line="480" w:lineRule="auto"/>
        <w:rPr>
          <w:rFonts w:asciiTheme="minorHAnsi" w:hAnsiTheme="minorHAnsi" w:cstheme="minorHAnsi"/>
        </w:rPr>
      </w:pPr>
      <w:r>
        <w:rPr>
          <w:rFonts w:asciiTheme="minorHAnsi" w:hAnsiTheme="minorHAnsi" w:cstheme="minorHAnsi"/>
        </w:rPr>
        <w:t xml:space="preserve">E3 appreciates the opportunity to submit these </w:t>
      </w:r>
      <w:r w:rsidR="00F8670C">
        <w:rPr>
          <w:rFonts w:asciiTheme="minorHAnsi" w:hAnsiTheme="minorHAnsi" w:cstheme="minorHAnsi"/>
        </w:rPr>
        <w:t xml:space="preserve">comments and </w:t>
      </w:r>
      <w:r>
        <w:rPr>
          <w:rFonts w:asciiTheme="minorHAnsi" w:hAnsiTheme="minorHAnsi" w:cstheme="minorHAnsi"/>
        </w:rPr>
        <w:t>clarifications to augment the Commission</w:t>
      </w:r>
      <w:r w:rsidR="00AA1942">
        <w:rPr>
          <w:rFonts w:asciiTheme="minorHAnsi" w:hAnsiTheme="minorHAnsi" w:cstheme="minorHAnsi"/>
        </w:rPr>
        <w:t>’</w:t>
      </w:r>
      <w:r>
        <w:rPr>
          <w:rFonts w:asciiTheme="minorHAnsi" w:hAnsiTheme="minorHAnsi" w:cstheme="minorHAnsi"/>
        </w:rPr>
        <w:t xml:space="preserve">s record in this docket.  </w:t>
      </w:r>
    </w:p>
    <w:p w:rsidR="00A44DBD" w:rsidRDefault="00A44DBD" w:rsidP="00A44DBD">
      <w:pPr>
        <w:spacing w:line="480" w:lineRule="auto"/>
        <w:ind w:firstLine="720"/>
        <w:rPr>
          <w:rFonts w:asciiTheme="minorHAnsi" w:hAnsiTheme="minorHAnsi" w:cstheme="minorHAnsi"/>
        </w:rPr>
      </w:pPr>
    </w:p>
    <w:p w:rsidR="00A44DBD" w:rsidRDefault="00A44DBD" w:rsidP="00A44DBD">
      <w:pPr>
        <w:ind w:left="4046"/>
        <w:rPr>
          <w:rFonts w:asciiTheme="minorHAnsi" w:hAnsiTheme="minorHAnsi" w:cstheme="minorHAnsi"/>
        </w:rPr>
      </w:pPr>
      <w:proofErr w:type="gramStart"/>
      <w:r w:rsidRPr="00A44DBD">
        <w:rPr>
          <w:rFonts w:asciiTheme="minorHAnsi" w:hAnsiTheme="minorHAnsi" w:cstheme="minorHAnsi"/>
        </w:rPr>
        <w:lastRenderedPageBreak/>
        <w:t xml:space="preserve">Respectfully submitted this </w:t>
      </w:r>
      <w:r w:rsidR="001E12A7">
        <w:rPr>
          <w:rFonts w:asciiTheme="minorHAnsi" w:hAnsiTheme="minorHAnsi" w:cstheme="minorHAnsi"/>
        </w:rPr>
        <w:t>2</w:t>
      </w:r>
      <w:r w:rsidR="001E12A7" w:rsidRPr="001E12A7">
        <w:rPr>
          <w:rFonts w:asciiTheme="minorHAnsi" w:hAnsiTheme="minorHAnsi" w:cstheme="minorHAnsi"/>
          <w:vertAlign w:val="superscript"/>
        </w:rPr>
        <w:t>nd</w:t>
      </w:r>
      <w:r w:rsidR="001E12A7">
        <w:rPr>
          <w:rFonts w:asciiTheme="minorHAnsi" w:hAnsiTheme="minorHAnsi" w:cstheme="minorHAnsi"/>
        </w:rPr>
        <w:t xml:space="preserve"> </w:t>
      </w:r>
      <w:r w:rsidRPr="00A44DBD">
        <w:rPr>
          <w:rFonts w:asciiTheme="minorHAnsi" w:hAnsiTheme="minorHAnsi" w:cstheme="minorHAnsi"/>
        </w:rPr>
        <w:t xml:space="preserve">day of </w:t>
      </w:r>
      <w:r w:rsidR="001E12A7">
        <w:rPr>
          <w:rFonts w:asciiTheme="minorHAnsi" w:hAnsiTheme="minorHAnsi" w:cstheme="minorHAnsi"/>
        </w:rPr>
        <w:t>December</w:t>
      </w:r>
      <w:r w:rsidRPr="00A44DBD">
        <w:rPr>
          <w:rFonts w:asciiTheme="minorHAnsi" w:hAnsiTheme="minorHAnsi" w:cstheme="minorHAnsi"/>
        </w:rPr>
        <w:t>, 2013.</w:t>
      </w:r>
      <w:proofErr w:type="gramEnd"/>
    </w:p>
    <w:p w:rsidR="00AA1942" w:rsidRDefault="00AA1942" w:rsidP="00A44DBD">
      <w:pPr>
        <w:ind w:left="4046"/>
        <w:rPr>
          <w:rFonts w:asciiTheme="minorHAnsi" w:hAnsiTheme="minorHAnsi" w:cstheme="minorHAnsi"/>
        </w:rPr>
      </w:pPr>
    </w:p>
    <w:p w:rsidR="00AA1942" w:rsidRDefault="00AA1942" w:rsidP="00A44DBD">
      <w:pPr>
        <w:ind w:left="4046"/>
        <w:rPr>
          <w:rFonts w:asciiTheme="minorHAnsi" w:hAnsiTheme="minorHAnsi" w:cstheme="minorHAnsi"/>
        </w:rPr>
      </w:pPr>
    </w:p>
    <w:p w:rsidR="00AA1942" w:rsidRDefault="00AA1942" w:rsidP="00A44DBD">
      <w:pPr>
        <w:ind w:left="4046"/>
        <w:rPr>
          <w:rFonts w:asciiTheme="minorHAnsi" w:hAnsiTheme="minorHAnsi" w:cstheme="minorHAnsi"/>
        </w:rPr>
      </w:pPr>
    </w:p>
    <w:p w:rsidR="00AA1942" w:rsidRDefault="00AA1942" w:rsidP="00A44DBD">
      <w:pPr>
        <w:ind w:left="4046"/>
        <w:rPr>
          <w:rFonts w:asciiTheme="minorHAnsi" w:hAnsiTheme="minorHAnsi" w:cstheme="minorHAnsi"/>
        </w:rPr>
      </w:pPr>
    </w:p>
    <w:p w:rsidR="00AA1942" w:rsidRDefault="00AA1942" w:rsidP="00A44DBD">
      <w:pPr>
        <w:ind w:left="4046"/>
        <w:rPr>
          <w:rFonts w:asciiTheme="minorHAnsi" w:hAnsiTheme="minorHAnsi" w:cstheme="minorHAnsi"/>
        </w:rPr>
      </w:pPr>
    </w:p>
    <w:p w:rsidR="00A44DBD" w:rsidRDefault="00A44DBD" w:rsidP="00A44DBD">
      <w:pPr>
        <w:ind w:left="4046"/>
        <w:rPr>
          <w:rFonts w:asciiTheme="minorHAnsi" w:hAnsiTheme="minorHAnsi" w:cstheme="minorHAnsi"/>
        </w:rPr>
      </w:pPr>
      <w:r>
        <w:rPr>
          <w:rFonts w:asciiTheme="minorHAnsi" w:hAnsiTheme="minorHAnsi" w:cstheme="minorHAnsi"/>
        </w:rPr>
        <w:t>Arne Olson</w:t>
      </w:r>
    </w:p>
    <w:p w:rsidR="00A44DBD" w:rsidRDefault="00A44DBD" w:rsidP="00A44DBD">
      <w:pPr>
        <w:ind w:left="4046"/>
        <w:rPr>
          <w:rFonts w:asciiTheme="minorHAnsi" w:hAnsiTheme="minorHAnsi" w:cstheme="minorHAnsi"/>
        </w:rPr>
      </w:pPr>
      <w:r>
        <w:rPr>
          <w:rFonts w:asciiTheme="minorHAnsi" w:hAnsiTheme="minorHAnsi" w:cstheme="minorHAnsi"/>
        </w:rPr>
        <w:t xml:space="preserve">Partner </w:t>
      </w:r>
    </w:p>
    <w:p w:rsidR="00A44DBD" w:rsidRPr="00A44DBD" w:rsidRDefault="00A44DBD" w:rsidP="00A44DBD">
      <w:pPr>
        <w:ind w:left="4046"/>
        <w:rPr>
          <w:rFonts w:asciiTheme="minorHAnsi" w:hAnsiTheme="minorHAnsi" w:cstheme="minorHAnsi"/>
        </w:rPr>
      </w:pPr>
      <w:r>
        <w:rPr>
          <w:rFonts w:asciiTheme="minorHAnsi" w:hAnsiTheme="minorHAnsi" w:cstheme="minorHAnsi"/>
        </w:rPr>
        <w:t>Energy and Environmental Economics</w:t>
      </w:r>
    </w:p>
    <w:p w:rsidR="00A44DBD" w:rsidRPr="00A44DBD" w:rsidRDefault="00A44DBD" w:rsidP="00A44DBD">
      <w:pPr>
        <w:ind w:left="4046"/>
        <w:rPr>
          <w:rFonts w:asciiTheme="minorHAnsi" w:hAnsiTheme="minorHAnsi" w:cstheme="minorHAnsi"/>
        </w:rPr>
      </w:pPr>
      <w:r>
        <w:rPr>
          <w:rFonts w:asciiTheme="minorHAnsi" w:hAnsiTheme="minorHAnsi" w:cstheme="minorHAnsi"/>
        </w:rPr>
        <w:t>101 Montgomery Street, 16</w:t>
      </w:r>
      <w:r w:rsidRPr="00A44DBD">
        <w:rPr>
          <w:rFonts w:asciiTheme="minorHAnsi" w:hAnsiTheme="minorHAnsi" w:cstheme="minorHAnsi"/>
          <w:vertAlign w:val="superscript"/>
        </w:rPr>
        <w:t>th</w:t>
      </w:r>
      <w:r>
        <w:rPr>
          <w:rFonts w:asciiTheme="minorHAnsi" w:hAnsiTheme="minorHAnsi" w:cstheme="minorHAnsi"/>
        </w:rPr>
        <w:t xml:space="preserve"> Floor</w:t>
      </w:r>
    </w:p>
    <w:p w:rsidR="00A44DBD" w:rsidRPr="00A44DBD" w:rsidRDefault="00A44DBD" w:rsidP="00A44DBD">
      <w:pPr>
        <w:ind w:left="4046"/>
        <w:rPr>
          <w:rFonts w:asciiTheme="minorHAnsi" w:hAnsiTheme="minorHAnsi" w:cstheme="minorHAnsi"/>
        </w:rPr>
      </w:pPr>
      <w:r w:rsidRPr="00A44DBD">
        <w:rPr>
          <w:rFonts w:asciiTheme="minorHAnsi" w:hAnsiTheme="minorHAnsi" w:cstheme="minorHAnsi"/>
        </w:rPr>
        <w:t>San Francisco, CA 9410</w:t>
      </w:r>
      <w:r>
        <w:rPr>
          <w:rFonts w:asciiTheme="minorHAnsi" w:hAnsiTheme="minorHAnsi" w:cstheme="minorHAnsi"/>
        </w:rPr>
        <w:t>4</w:t>
      </w:r>
    </w:p>
    <w:p w:rsidR="00A44DBD" w:rsidRPr="00A44DBD" w:rsidRDefault="00A44DBD" w:rsidP="00A44DBD">
      <w:pPr>
        <w:ind w:left="4046"/>
        <w:rPr>
          <w:rFonts w:asciiTheme="minorHAnsi" w:hAnsiTheme="minorHAnsi" w:cstheme="minorHAnsi"/>
        </w:rPr>
      </w:pPr>
      <w:r w:rsidRPr="00A44DBD">
        <w:rPr>
          <w:rFonts w:asciiTheme="minorHAnsi" w:hAnsiTheme="minorHAnsi" w:cstheme="minorHAnsi"/>
        </w:rPr>
        <w:t xml:space="preserve">Phone: (415) </w:t>
      </w:r>
      <w:r>
        <w:rPr>
          <w:rFonts w:asciiTheme="minorHAnsi" w:hAnsiTheme="minorHAnsi" w:cstheme="minorHAnsi"/>
        </w:rPr>
        <w:t>391-5100</w:t>
      </w:r>
    </w:p>
    <w:p w:rsidR="00A44DBD" w:rsidRDefault="00A44DBD" w:rsidP="00A44DBD">
      <w:pPr>
        <w:spacing w:line="480" w:lineRule="auto"/>
        <w:ind w:left="4050"/>
        <w:rPr>
          <w:rFonts w:asciiTheme="minorHAnsi" w:hAnsiTheme="minorHAnsi" w:cstheme="minorHAnsi"/>
        </w:rPr>
      </w:pPr>
      <w:r w:rsidRPr="00A44DBD">
        <w:rPr>
          <w:rFonts w:asciiTheme="minorHAnsi" w:hAnsiTheme="minorHAnsi" w:cstheme="minorHAnsi"/>
        </w:rPr>
        <w:t xml:space="preserve">E-mail: </w:t>
      </w:r>
      <w:hyperlink r:id="rId9" w:history="1">
        <w:r w:rsidRPr="00417F17">
          <w:rPr>
            <w:rStyle w:val="Hyperlink"/>
            <w:rFonts w:asciiTheme="minorHAnsi" w:hAnsiTheme="minorHAnsi" w:cstheme="minorHAnsi"/>
          </w:rPr>
          <w:t>arne@ethree.com</w:t>
        </w:r>
      </w:hyperlink>
      <w:r>
        <w:rPr>
          <w:rFonts w:asciiTheme="minorHAnsi" w:hAnsiTheme="minorHAnsi" w:cstheme="minorHAnsi"/>
        </w:rPr>
        <w:t xml:space="preserve"> </w:t>
      </w:r>
    </w:p>
    <w:p w:rsidR="00F72330" w:rsidRPr="00F72330" w:rsidRDefault="00F72330" w:rsidP="00F72330">
      <w:pPr>
        <w:spacing w:line="480" w:lineRule="auto"/>
        <w:ind w:firstLine="720"/>
        <w:rPr>
          <w:rFonts w:asciiTheme="minorHAnsi" w:hAnsiTheme="minorHAnsi" w:cstheme="minorHAnsi"/>
        </w:rPr>
      </w:pPr>
    </w:p>
    <w:sectPr w:rsidR="00F72330" w:rsidRPr="00F723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06" w:rsidRDefault="00604A06" w:rsidP="00BD42D0">
      <w:r>
        <w:separator/>
      </w:r>
    </w:p>
  </w:endnote>
  <w:endnote w:type="continuationSeparator" w:id="0">
    <w:p w:rsidR="00604A06" w:rsidRDefault="00604A06" w:rsidP="00BD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06" w:rsidRDefault="00604A06" w:rsidP="00BD42D0">
      <w:r>
        <w:separator/>
      </w:r>
    </w:p>
  </w:footnote>
  <w:footnote w:type="continuationSeparator" w:id="0">
    <w:p w:rsidR="00604A06" w:rsidRDefault="00604A06" w:rsidP="00BD42D0">
      <w:r>
        <w:continuationSeparator/>
      </w:r>
    </w:p>
  </w:footnote>
  <w:footnote w:id="1">
    <w:p w:rsidR="00BD42D0" w:rsidRDefault="00BD42D0">
      <w:pPr>
        <w:pStyle w:val="FootnoteText"/>
      </w:pPr>
      <w:r>
        <w:rPr>
          <w:rStyle w:val="FootnoteReference"/>
        </w:rPr>
        <w:footnoteRef/>
      </w:r>
      <w:r>
        <w:t xml:space="preserve"> Add cite.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1407B"/>
    <w:multiLevelType w:val="hybridMultilevel"/>
    <w:tmpl w:val="F7DA107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330"/>
    <w:rsid w:val="00020BB6"/>
    <w:rsid w:val="00052CBE"/>
    <w:rsid w:val="000D2E9D"/>
    <w:rsid w:val="000F5050"/>
    <w:rsid w:val="00121BBC"/>
    <w:rsid w:val="00183F05"/>
    <w:rsid w:val="001E12A7"/>
    <w:rsid w:val="00200D67"/>
    <w:rsid w:val="00303594"/>
    <w:rsid w:val="004A0A99"/>
    <w:rsid w:val="005B4DA2"/>
    <w:rsid w:val="005E1038"/>
    <w:rsid w:val="00604A06"/>
    <w:rsid w:val="0061053F"/>
    <w:rsid w:val="006914B3"/>
    <w:rsid w:val="007320C6"/>
    <w:rsid w:val="008D489F"/>
    <w:rsid w:val="00A44DBD"/>
    <w:rsid w:val="00AA1942"/>
    <w:rsid w:val="00BB1A08"/>
    <w:rsid w:val="00BD42D0"/>
    <w:rsid w:val="00BF7CA2"/>
    <w:rsid w:val="00C042C6"/>
    <w:rsid w:val="00D227AE"/>
    <w:rsid w:val="00E160AE"/>
    <w:rsid w:val="00E17C94"/>
    <w:rsid w:val="00F268DF"/>
    <w:rsid w:val="00F72330"/>
    <w:rsid w:val="00F8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23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D42D0"/>
    <w:rPr>
      <w:sz w:val="20"/>
      <w:szCs w:val="20"/>
    </w:rPr>
  </w:style>
  <w:style w:type="character" w:customStyle="1" w:styleId="FootnoteTextChar">
    <w:name w:val="Footnote Text Char"/>
    <w:basedOn w:val="DefaultParagraphFont"/>
    <w:link w:val="FootnoteText"/>
    <w:rsid w:val="00BD42D0"/>
  </w:style>
  <w:style w:type="character" w:styleId="FootnoteReference">
    <w:name w:val="footnote reference"/>
    <w:basedOn w:val="DefaultParagraphFont"/>
    <w:rsid w:val="00BD42D0"/>
    <w:rPr>
      <w:vertAlign w:val="superscript"/>
    </w:rPr>
  </w:style>
  <w:style w:type="character" w:styleId="Hyperlink">
    <w:name w:val="Hyperlink"/>
    <w:basedOn w:val="DefaultParagraphFont"/>
    <w:rsid w:val="00A44DBD"/>
    <w:rPr>
      <w:color w:val="0000FF" w:themeColor="hyperlink"/>
      <w:u w:val="single"/>
    </w:rPr>
  </w:style>
  <w:style w:type="paragraph" w:styleId="ListParagraph">
    <w:name w:val="List Paragraph"/>
    <w:basedOn w:val="Normal"/>
    <w:uiPriority w:val="34"/>
    <w:qFormat/>
    <w:rsid w:val="008D4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23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D42D0"/>
    <w:rPr>
      <w:sz w:val="20"/>
      <w:szCs w:val="20"/>
    </w:rPr>
  </w:style>
  <w:style w:type="character" w:customStyle="1" w:styleId="FootnoteTextChar">
    <w:name w:val="Footnote Text Char"/>
    <w:basedOn w:val="DefaultParagraphFont"/>
    <w:link w:val="FootnoteText"/>
    <w:rsid w:val="00BD42D0"/>
  </w:style>
  <w:style w:type="character" w:styleId="FootnoteReference">
    <w:name w:val="footnote reference"/>
    <w:basedOn w:val="DefaultParagraphFont"/>
    <w:rsid w:val="00BD42D0"/>
    <w:rPr>
      <w:vertAlign w:val="superscript"/>
    </w:rPr>
  </w:style>
  <w:style w:type="character" w:styleId="Hyperlink">
    <w:name w:val="Hyperlink"/>
    <w:basedOn w:val="DefaultParagraphFont"/>
    <w:rsid w:val="00A44DBD"/>
    <w:rPr>
      <w:color w:val="0000FF" w:themeColor="hyperlink"/>
      <w:u w:val="single"/>
    </w:rPr>
  </w:style>
  <w:style w:type="paragraph" w:styleId="ListParagraph">
    <w:name w:val="List Paragraph"/>
    <w:basedOn w:val="Normal"/>
    <w:uiPriority w:val="34"/>
    <w:qFormat/>
    <w:rsid w:val="008D4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rne@ethree.com"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2013-10-02T07:00:00+00:00</OpenedDate>
    <Date1 xmlns="dc463f71-b30c-4ab2-9473-d307f9d35888">2013-12-05T08:00:00+00:00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131883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259CE7B3065B469C07EAF4D87CAA77" ma:contentTypeVersion="135" ma:contentTypeDescription="" ma:contentTypeScope="" ma:versionID="523b28fd6f45d40f736895252ce8b9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206C6-05B2-4F8B-AA43-FB969EBFE1FA}"/>
</file>

<file path=customXml/itemProps2.xml><?xml version="1.0" encoding="utf-8"?>
<ds:datastoreItem xmlns:ds="http://schemas.openxmlformats.org/officeDocument/2006/customXml" ds:itemID="{EAD8F9B6-A177-4600-BD8B-26187CEB8A7A}"/>
</file>

<file path=customXml/itemProps3.xml><?xml version="1.0" encoding="utf-8"?>
<ds:datastoreItem xmlns:ds="http://schemas.openxmlformats.org/officeDocument/2006/customXml" ds:itemID="{E4C2895F-47DC-451D-82E0-3C3371745C03}"/>
</file>

<file path=customXml/itemProps4.xml><?xml version="1.0" encoding="utf-8"?>
<ds:datastoreItem xmlns:ds="http://schemas.openxmlformats.org/officeDocument/2006/customXml" ds:itemID="{0B7D689A-933D-464F-8B04-6A015F654C3A}"/>
</file>

<file path=customXml/itemProps5.xml><?xml version="1.0" encoding="utf-8"?>
<ds:datastoreItem xmlns:ds="http://schemas.openxmlformats.org/officeDocument/2006/customXml" ds:itemID="{7F250CFD-FA53-484E-8521-CF856868E361}"/>
</file>

<file path=docProps/app.xml><?xml version="1.0" encoding="utf-8"?>
<Properties xmlns="http://schemas.openxmlformats.org/officeDocument/2006/extended-properties" xmlns:vt="http://schemas.openxmlformats.org/officeDocument/2006/docPropsVTypes">
  <Template>Normal.dotm</Template>
  <TotalTime>0</TotalTime>
  <Pages>8</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Olson</dc:creator>
  <cp:lastModifiedBy>Lisa Wyse</cp:lastModifiedBy>
  <cp:revision>2</cp:revision>
  <dcterms:created xsi:type="dcterms:W3CDTF">2013-12-06T00:16:00Z</dcterms:created>
  <dcterms:modified xsi:type="dcterms:W3CDTF">2013-12-06T00:16:00Z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0x0101006E56B4D1795A2E4DB2F0B01679ED314A00A2259CE7B3065B469C07EAF4D87CAA77</vt:lpwstr>
  </property>
  <property fmtid="{D5CDD505-2E9C-101B-9397-08002B2CF9AE}" pid="3" name="_docset_NoMedatataSyncRequired">
    <vt:lpwstr>False</vt:lpwstr>
  </property>
</Properties>
</file>