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152"/>
      </w:tblGrid>
      <w:tr w:rsidR="00CF7931" w:rsidRPr="005A6858">
        <w:trPr>
          <w:trHeight w:val="2880"/>
          <w:jc w:val="center"/>
        </w:trPr>
        <w:tc>
          <w:tcPr>
            <w:tcW w:w="5000" w:type="pct"/>
          </w:tcPr>
          <w:p w:rsidR="00CF7931" w:rsidRPr="005A6858" w:rsidRDefault="00E03B65" w:rsidP="00CF7931">
            <w:pPr>
              <w:pStyle w:val="NoSpacing"/>
              <w:jc w:val="center"/>
              <w:rPr>
                <w:rFonts w:ascii="Times New Roman" w:hAnsi="Times New Roman"/>
                <w:caps/>
              </w:rPr>
            </w:pPr>
            <w:r w:rsidRPr="005A6858">
              <w:rPr>
                <w:rFonts w:ascii="Times New Roman" w:hAnsi="Times New Roman"/>
                <w:caps/>
                <w:noProof/>
              </w:rPr>
              <w:drawing>
                <wp:anchor distT="0" distB="0" distL="114300" distR="114300" simplePos="0" relativeHeight="251657728" behindDoc="0" locked="0" layoutInCell="1" allowOverlap="1">
                  <wp:simplePos x="0" y="0"/>
                  <wp:positionH relativeFrom="column">
                    <wp:posOffset>-721995</wp:posOffset>
                  </wp:positionH>
                  <wp:positionV relativeFrom="paragraph">
                    <wp:posOffset>-1009650</wp:posOffset>
                  </wp:positionV>
                  <wp:extent cx="7734300" cy="1724025"/>
                  <wp:effectExtent l="0" t="0" r="0" b="0"/>
                  <wp:wrapNone/>
                  <wp:docPr id="16" name="Picture 16"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on1"/>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7734300" cy="1724025"/>
                          </a:xfrm>
                          <a:prstGeom prst="rect">
                            <a:avLst/>
                          </a:prstGeom>
                          <a:noFill/>
                          <a:ln w="9525">
                            <a:noFill/>
                            <a:miter lim="800000"/>
                            <a:headEnd/>
                            <a:tailEnd/>
                          </a:ln>
                        </pic:spPr>
                      </pic:pic>
                    </a:graphicData>
                  </a:graphic>
                </wp:anchor>
              </w:drawing>
            </w:r>
            <w:r w:rsidR="00EC064F" w:rsidRPr="005A6858">
              <w:rPr>
                <w:rFonts w:ascii="Times New Roman" w:hAnsi="Times New Roman"/>
                <w:caps/>
              </w:rPr>
              <w:t xml:space="preserve"> </w:t>
            </w:r>
          </w:p>
        </w:tc>
      </w:tr>
    </w:tbl>
    <w:p w:rsidR="00CF7931" w:rsidRPr="005A6858" w:rsidRDefault="00CF7931" w:rsidP="00CF7931">
      <w:pPr>
        <w:jc w:val="center"/>
        <w:rPr>
          <w:b/>
          <w:color w:val="1F497D"/>
          <w:sz w:val="40"/>
          <w:szCs w:val="40"/>
        </w:rPr>
      </w:pPr>
    </w:p>
    <w:p w:rsidR="00CF7931" w:rsidRPr="005A6858" w:rsidRDefault="00CF7931" w:rsidP="00CF7931">
      <w:pPr>
        <w:jc w:val="center"/>
        <w:rPr>
          <w:b/>
          <w:color w:val="1F497D"/>
          <w:sz w:val="40"/>
          <w:szCs w:val="40"/>
        </w:rPr>
      </w:pPr>
      <w:r w:rsidRPr="005A6858">
        <w:rPr>
          <w:b/>
          <w:color w:val="1F497D"/>
          <w:sz w:val="40"/>
          <w:szCs w:val="40"/>
        </w:rPr>
        <w:t>Low-Income Rate Assistance Program (LIRAP)</w:t>
      </w:r>
    </w:p>
    <w:p w:rsidR="00CF7931" w:rsidRPr="005A6858" w:rsidRDefault="00CF7931" w:rsidP="00CF7931">
      <w:pPr>
        <w:pStyle w:val="Heading2"/>
        <w:jc w:val="center"/>
        <w:rPr>
          <w:rFonts w:ascii="Times New Roman" w:hAnsi="Times New Roman"/>
          <w:color w:val="1F497D"/>
          <w:sz w:val="48"/>
        </w:rPr>
      </w:pPr>
    </w:p>
    <w:p w:rsidR="00CF7931" w:rsidRPr="005A6858" w:rsidRDefault="00E11563" w:rsidP="00C954D8">
      <w:pPr>
        <w:jc w:val="center"/>
        <w:rPr>
          <w:color w:val="1F497D"/>
          <w:sz w:val="48"/>
        </w:rPr>
      </w:pPr>
      <w:r>
        <w:rPr>
          <w:color w:val="1F497D"/>
          <w:sz w:val="48"/>
        </w:rPr>
        <w:t>Update</w:t>
      </w:r>
      <w:r w:rsidR="00CF7931" w:rsidRPr="005A6858">
        <w:rPr>
          <w:color w:val="1F497D"/>
          <w:sz w:val="48"/>
        </w:rPr>
        <w:t xml:space="preserve"> Summary Report</w:t>
      </w: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F7931">
      <w:pPr>
        <w:pStyle w:val="Heading1"/>
        <w:jc w:val="center"/>
        <w:rPr>
          <w:rFonts w:ascii="Times New Roman" w:hAnsi="Times New Roman"/>
          <w:b w:val="0"/>
          <w:color w:val="1F497D"/>
        </w:rPr>
      </w:pPr>
    </w:p>
    <w:p w:rsidR="00CF7931" w:rsidRPr="005A6858" w:rsidRDefault="00CF7931" w:rsidP="00C954D8">
      <w:pPr>
        <w:jc w:val="center"/>
        <w:rPr>
          <w:b/>
          <w:color w:val="1F497D"/>
        </w:rPr>
      </w:pPr>
      <w:r w:rsidRPr="005A6858">
        <w:rPr>
          <w:b/>
          <w:color w:val="1F497D"/>
        </w:rPr>
        <w:t xml:space="preserve">For the </w:t>
      </w:r>
      <w:r w:rsidR="002F3F0C">
        <w:rPr>
          <w:b/>
          <w:color w:val="1F497D"/>
        </w:rPr>
        <w:t xml:space="preserve">program </w:t>
      </w:r>
      <w:r w:rsidRPr="005A6858">
        <w:rPr>
          <w:b/>
          <w:color w:val="1F497D"/>
        </w:rPr>
        <w:t xml:space="preserve">period </w:t>
      </w:r>
      <w:r w:rsidR="004E3E1A" w:rsidRPr="005A6858">
        <w:rPr>
          <w:b/>
          <w:color w:val="1F497D"/>
        </w:rPr>
        <w:t>May</w:t>
      </w:r>
      <w:r w:rsidRPr="005A6858">
        <w:rPr>
          <w:b/>
          <w:color w:val="1F497D"/>
        </w:rPr>
        <w:t xml:space="preserve"> 20</w:t>
      </w:r>
      <w:r w:rsidR="00D86D98" w:rsidRPr="005A6858">
        <w:rPr>
          <w:b/>
          <w:color w:val="1F497D"/>
        </w:rPr>
        <w:t>1</w:t>
      </w:r>
      <w:r w:rsidR="007033C5">
        <w:rPr>
          <w:b/>
          <w:color w:val="1F497D"/>
        </w:rPr>
        <w:t>1</w:t>
      </w:r>
      <w:r w:rsidRPr="005A6858">
        <w:rPr>
          <w:b/>
          <w:color w:val="1F497D"/>
        </w:rPr>
        <w:t xml:space="preserve"> through </w:t>
      </w:r>
      <w:r w:rsidR="007033C5">
        <w:rPr>
          <w:b/>
          <w:color w:val="1F497D"/>
        </w:rPr>
        <w:t>September</w:t>
      </w:r>
      <w:r w:rsidRPr="005A6858">
        <w:rPr>
          <w:b/>
          <w:color w:val="1F497D"/>
        </w:rPr>
        <w:t xml:space="preserve"> 20</w:t>
      </w:r>
      <w:r w:rsidR="00847C9B" w:rsidRPr="005A6858">
        <w:rPr>
          <w:b/>
          <w:color w:val="1F497D"/>
        </w:rPr>
        <w:t>1</w:t>
      </w:r>
      <w:r w:rsidR="00D86D98" w:rsidRPr="005A6858">
        <w:rPr>
          <w:b/>
          <w:color w:val="1F497D"/>
        </w:rPr>
        <w:t>1</w:t>
      </w:r>
    </w:p>
    <w:p w:rsidR="00CF7931" w:rsidRPr="005A6858" w:rsidRDefault="00CF7931" w:rsidP="00C954D8">
      <w:pPr>
        <w:jc w:val="center"/>
      </w:pPr>
    </w:p>
    <w:p w:rsidR="00CF7931" w:rsidRPr="005A6858" w:rsidRDefault="00CF7931" w:rsidP="00C954D8">
      <w:pPr>
        <w:jc w:val="center"/>
      </w:pPr>
    </w:p>
    <w:tbl>
      <w:tblPr>
        <w:tblpPr w:leftFromText="187" w:rightFromText="187" w:horzAnchor="margin" w:tblpXSpec="center" w:tblpYSpec="bottom"/>
        <w:tblW w:w="5000" w:type="pct"/>
        <w:tblLook w:val="04A0"/>
      </w:tblPr>
      <w:tblGrid>
        <w:gridCol w:w="10152"/>
      </w:tblGrid>
      <w:tr w:rsidR="00CF7931" w:rsidRPr="005A6858">
        <w:tc>
          <w:tcPr>
            <w:tcW w:w="5000" w:type="pct"/>
          </w:tcPr>
          <w:p w:rsidR="00CF7931" w:rsidRPr="005A6858" w:rsidRDefault="00CF7931" w:rsidP="00C954D8">
            <w:pPr>
              <w:jc w:val="center"/>
              <w:rPr>
                <w:sz w:val="24"/>
              </w:rPr>
            </w:pPr>
          </w:p>
        </w:tc>
      </w:tr>
    </w:tbl>
    <w:p w:rsidR="00CF7931" w:rsidRPr="005A6858" w:rsidRDefault="00CF7931" w:rsidP="00C954D8">
      <w:pPr>
        <w:jc w:val="cente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DC7D86" w:rsidRPr="005A6858" w:rsidRDefault="00DC7D86" w:rsidP="00C954D8">
      <w:pPr>
        <w:jc w:val="center"/>
        <w:rPr>
          <w:sz w:val="24"/>
          <w:szCs w:val="24"/>
        </w:rPr>
      </w:pPr>
    </w:p>
    <w:p w:rsidR="006D0BEA" w:rsidRPr="005A6858" w:rsidRDefault="00DC7D86" w:rsidP="00C954D8">
      <w:pPr>
        <w:jc w:val="center"/>
        <w:rPr>
          <w:sz w:val="24"/>
          <w:szCs w:val="24"/>
        </w:rPr>
      </w:pPr>
      <w:r w:rsidRPr="005A6858">
        <w:rPr>
          <w:color w:val="1F497D"/>
          <w:sz w:val="48"/>
          <w:szCs w:val="48"/>
        </w:rPr>
        <w:t>WASHINGTON</w:t>
      </w:r>
      <w:r w:rsidR="00CF7931" w:rsidRPr="005A6858">
        <w:rPr>
          <w:sz w:val="24"/>
          <w:szCs w:val="24"/>
        </w:rPr>
        <w:br w:type="page"/>
      </w:r>
    </w:p>
    <w:sdt>
      <w:sdtPr>
        <w:rPr>
          <w:rFonts w:ascii="Times New Roman" w:eastAsia="Times New Roman" w:hAnsi="Times New Roman" w:cs="Times New Roman"/>
          <w:b w:val="0"/>
          <w:bCs w:val="0"/>
          <w:color w:val="auto"/>
          <w:sz w:val="20"/>
          <w:szCs w:val="20"/>
        </w:rPr>
        <w:id w:val="63935470"/>
        <w:docPartObj>
          <w:docPartGallery w:val="Table of Contents"/>
          <w:docPartUnique/>
        </w:docPartObj>
      </w:sdtPr>
      <w:sdtContent>
        <w:p w:rsidR="00826EDE" w:rsidRPr="005A6858" w:rsidRDefault="00826EDE">
          <w:pPr>
            <w:pStyle w:val="TOCHeading"/>
            <w:rPr>
              <w:rFonts w:ascii="Times New Roman" w:hAnsi="Times New Roman" w:cs="Times New Roman"/>
            </w:rPr>
          </w:pPr>
          <w:r w:rsidRPr="005A6858">
            <w:rPr>
              <w:rFonts w:ascii="Times New Roman" w:hAnsi="Times New Roman" w:cs="Times New Roman"/>
            </w:rPr>
            <w:t>Table of Contents</w:t>
          </w:r>
        </w:p>
        <w:p w:rsidR="00E11563" w:rsidRDefault="00071FF6">
          <w:pPr>
            <w:pStyle w:val="TOC1"/>
            <w:rPr>
              <w:rFonts w:asciiTheme="minorHAnsi" w:eastAsiaTheme="minorEastAsia" w:hAnsiTheme="minorHAnsi" w:cstheme="minorBidi"/>
              <w:b w:val="0"/>
              <w:sz w:val="22"/>
              <w:szCs w:val="22"/>
            </w:rPr>
          </w:pPr>
          <w:r w:rsidRPr="00071FF6">
            <w:fldChar w:fldCharType="begin"/>
          </w:r>
          <w:r w:rsidR="00826EDE" w:rsidRPr="005A6858">
            <w:instrText xml:space="preserve"> TOC \o "1-3" \h \z \u </w:instrText>
          </w:r>
          <w:r w:rsidRPr="00071FF6">
            <w:fldChar w:fldCharType="separate"/>
          </w:r>
          <w:hyperlink w:anchor="_Toc307823902" w:history="1">
            <w:r w:rsidR="00E11563" w:rsidRPr="001F1ECC">
              <w:rPr>
                <w:rStyle w:val="Hyperlink"/>
              </w:rPr>
              <w:t>Overview</w:t>
            </w:r>
            <w:r w:rsidR="00E11563">
              <w:rPr>
                <w:webHidden/>
              </w:rPr>
              <w:tab/>
            </w:r>
            <w:r w:rsidR="00E11563">
              <w:rPr>
                <w:webHidden/>
              </w:rPr>
              <w:fldChar w:fldCharType="begin"/>
            </w:r>
            <w:r w:rsidR="00E11563">
              <w:rPr>
                <w:webHidden/>
              </w:rPr>
              <w:instrText xml:space="preserve"> PAGEREF _Toc307823902 \h </w:instrText>
            </w:r>
            <w:r w:rsidR="00E11563">
              <w:rPr>
                <w:webHidden/>
              </w:rPr>
            </w:r>
            <w:r w:rsidR="00E11563">
              <w:rPr>
                <w:webHidden/>
              </w:rPr>
              <w:fldChar w:fldCharType="separate"/>
            </w:r>
            <w:r w:rsidR="00E11563">
              <w:rPr>
                <w:webHidden/>
              </w:rPr>
              <w:t>2</w:t>
            </w:r>
            <w:r w:rsidR="00E11563">
              <w:rPr>
                <w:webHidden/>
              </w:rPr>
              <w:fldChar w:fldCharType="end"/>
            </w:r>
          </w:hyperlink>
        </w:p>
        <w:p w:rsidR="00E11563" w:rsidRDefault="00E11563">
          <w:pPr>
            <w:pStyle w:val="TOC2"/>
            <w:tabs>
              <w:tab w:val="right" w:leader="dot" w:pos="9926"/>
            </w:tabs>
            <w:rPr>
              <w:rFonts w:asciiTheme="minorHAnsi" w:eastAsiaTheme="minorEastAsia" w:hAnsiTheme="minorHAnsi" w:cstheme="minorBidi"/>
              <w:noProof/>
              <w:sz w:val="22"/>
              <w:szCs w:val="22"/>
            </w:rPr>
          </w:pPr>
          <w:hyperlink w:anchor="_Toc307823903" w:history="1">
            <w:r w:rsidRPr="001F1ECC">
              <w:rPr>
                <w:rStyle w:val="Hyperlink"/>
                <w:noProof/>
              </w:rPr>
              <w:t>Participants and Fund Distribution</w:t>
            </w:r>
            <w:r>
              <w:rPr>
                <w:noProof/>
                <w:webHidden/>
              </w:rPr>
              <w:tab/>
            </w:r>
            <w:r>
              <w:rPr>
                <w:noProof/>
                <w:webHidden/>
              </w:rPr>
              <w:fldChar w:fldCharType="begin"/>
            </w:r>
            <w:r>
              <w:rPr>
                <w:noProof/>
                <w:webHidden/>
              </w:rPr>
              <w:instrText xml:space="preserve"> PAGEREF _Toc307823903 \h </w:instrText>
            </w:r>
            <w:r>
              <w:rPr>
                <w:noProof/>
                <w:webHidden/>
              </w:rPr>
            </w:r>
            <w:r>
              <w:rPr>
                <w:noProof/>
                <w:webHidden/>
              </w:rPr>
              <w:fldChar w:fldCharType="separate"/>
            </w:r>
            <w:r>
              <w:rPr>
                <w:noProof/>
                <w:webHidden/>
              </w:rPr>
              <w:t>3</w:t>
            </w:r>
            <w:r>
              <w:rPr>
                <w:noProof/>
                <w:webHidden/>
              </w:rPr>
              <w:fldChar w:fldCharType="end"/>
            </w:r>
          </w:hyperlink>
        </w:p>
        <w:p w:rsidR="00E11563" w:rsidRDefault="00E11563">
          <w:pPr>
            <w:pStyle w:val="TOC2"/>
            <w:tabs>
              <w:tab w:val="right" w:leader="dot" w:pos="9926"/>
            </w:tabs>
            <w:rPr>
              <w:rFonts w:asciiTheme="minorHAnsi" w:eastAsiaTheme="minorEastAsia" w:hAnsiTheme="minorHAnsi" w:cstheme="minorBidi"/>
              <w:noProof/>
              <w:sz w:val="22"/>
              <w:szCs w:val="22"/>
            </w:rPr>
          </w:pPr>
          <w:hyperlink w:anchor="_Toc307823904" w:history="1">
            <w:r w:rsidRPr="001F1ECC">
              <w:rPr>
                <w:rStyle w:val="Hyperlink"/>
                <w:noProof/>
              </w:rPr>
              <w:t>Unspent Funding</w:t>
            </w:r>
            <w:r>
              <w:rPr>
                <w:noProof/>
                <w:webHidden/>
              </w:rPr>
              <w:tab/>
            </w:r>
            <w:r>
              <w:rPr>
                <w:noProof/>
                <w:webHidden/>
              </w:rPr>
              <w:fldChar w:fldCharType="begin"/>
            </w:r>
            <w:r>
              <w:rPr>
                <w:noProof/>
                <w:webHidden/>
              </w:rPr>
              <w:instrText xml:space="preserve"> PAGEREF _Toc307823904 \h </w:instrText>
            </w:r>
            <w:r>
              <w:rPr>
                <w:noProof/>
                <w:webHidden/>
              </w:rPr>
            </w:r>
            <w:r>
              <w:rPr>
                <w:noProof/>
                <w:webHidden/>
              </w:rPr>
              <w:fldChar w:fldCharType="separate"/>
            </w:r>
            <w:r>
              <w:rPr>
                <w:noProof/>
                <w:webHidden/>
              </w:rPr>
              <w:t>5</w:t>
            </w:r>
            <w:r>
              <w:rPr>
                <w:noProof/>
                <w:webHidden/>
              </w:rPr>
              <w:fldChar w:fldCharType="end"/>
            </w:r>
          </w:hyperlink>
        </w:p>
        <w:p w:rsidR="00E11563" w:rsidRDefault="00E11563">
          <w:pPr>
            <w:pStyle w:val="TOC1"/>
            <w:rPr>
              <w:rFonts w:asciiTheme="minorHAnsi" w:eastAsiaTheme="minorEastAsia" w:hAnsiTheme="minorHAnsi" w:cstheme="minorBidi"/>
              <w:b w:val="0"/>
              <w:sz w:val="22"/>
              <w:szCs w:val="22"/>
            </w:rPr>
          </w:pPr>
          <w:hyperlink w:anchor="_Toc307823905" w:history="1">
            <w:r w:rsidRPr="001F1ECC">
              <w:rPr>
                <w:rStyle w:val="Hyperlink"/>
              </w:rPr>
              <w:t>Data Collection</w:t>
            </w:r>
            <w:r>
              <w:rPr>
                <w:webHidden/>
              </w:rPr>
              <w:tab/>
            </w:r>
            <w:r>
              <w:rPr>
                <w:webHidden/>
              </w:rPr>
              <w:fldChar w:fldCharType="begin"/>
            </w:r>
            <w:r>
              <w:rPr>
                <w:webHidden/>
              </w:rPr>
              <w:instrText xml:space="preserve"> PAGEREF _Toc307823905 \h </w:instrText>
            </w:r>
            <w:r>
              <w:rPr>
                <w:webHidden/>
              </w:rPr>
            </w:r>
            <w:r>
              <w:rPr>
                <w:webHidden/>
              </w:rPr>
              <w:fldChar w:fldCharType="separate"/>
            </w:r>
            <w:r>
              <w:rPr>
                <w:webHidden/>
              </w:rPr>
              <w:t>7</w:t>
            </w:r>
            <w:r>
              <w:rPr>
                <w:webHidden/>
              </w:rPr>
              <w:fldChar w:fldCharType="end"/>
            </w:r>
          </w:hyperlink>
        </w:p>
        <w:p w:rsidR="00E11563" w:rsidRDefault="00E11563">
          <w:pPr>
            <w:pStyle w:val="TOC1"/>
            <w:rPr>
              <w:rFonts w:asciiTheme="minorHAnsi" w:eastAsiaTheme="minorEastAsia" w:hAnsiTheme="minorHAnsi" w:cstheme="minorBidi"/>
              <w:b w:val="0"/>
              <w:sz w:val="22"/>
              <w:szCs w:val="22"/>
            </w:rPr>
          </w:pPr>
          <w:hyperlink w:anchor="_Toc307823906" w:history="1">
            <w:r w:rsidRPr="001F1ECC">
              <w:rPr>
                <w:rStyle w:val="Hyperlink"/>
              </w:rPr>
              <w:t>Participating LIRAP Agencies</w:t>
            </w:r>
            <w:r>
              <w:rPr>
                <w:webHidden/>
              </w:rPr>
              <w:tab/>
            </w:r>
            <w:r>
              <w:rPr>
                <w:webHidden/>
              </w:rPr>
              <w:fldChar w:fldCharType="begin"/>
            </w:r>
            <w:r>
              <w:rPr>
                <w:webHidden/>
              </w:rPr>
              <w:instrText xml:space="preserve"> PAGEREF _Toc307823906 \h </w:instrText>
            </w:r>
            <w:r>
              <w:rPr>
                <w:webHidden/>
              </w:rPr>
            </w:r>
            <w:r>
              <w:rPr>
                <w:webHidden/>
              </w:rPr>
              <w:fldChar w:fldCharType="separate"/>
            </w:r>
            <w:r>
              <w:rPr>
                <w:webHidden/>
              </w:rPr>
              <w:t>7</w:t>
            </w:r>
            <w:r>
              <w:rPr>
                <w:webHidden/>
              </w:rPr>
              <w:fldChar w:fldCharType="end"/>
            </w:r>
          </w:hyperlink>
        </w:p>
        <w:p w:rsidR="00E11563" w:rsidRDefault="00E11563">
          <w:pPr>
            <w:pStyle w:val="TOC1"/>
            <w:rPr>
              <w:rFonts w:asciiTheme="minorHAnsi" w:eastAsiaTheme="minorEastAsia" w:hAnsiTheme="minorHAnsi" w:cstheme="minorBidi"/>
              <w:b w:val="0"/>
              <w:sz w:val="22"/>
              <w:szCs w:val="22"/>
            </w:rPr>
          </w:pPr>
          <w:hyperlink w:anchor="_Toc307823907" w:history="1">
            <w:r w:rsidRPr="001F1ECC">
              <w:rPr>
                <w:rStyle w:val="Hyperlink"/>
              </w:rPr>
              <w:t>Contacts</w:t>
            </w:r>
            <w:r>
              <w:rPr>
                <w:webHidden/>
              </w:rPr>
              <w:tab/>
            </w:r>
            <w:r>
              <w:rPr>
                <w:webHidden/>
              </w:rPr>
              <w:fldChar w:fldCharType="begin"/>
            </w:r>
            <w:r>
              <w:rPr>
                <w:webHidden/>
              </w:rPr>
              <w:instrText xml:space="preserve"> PAGEREF _Toc307823907 \h </w:instrText>
            </w:r>
            <w:r>
              <w:rPr>
                <w:webHidden/>
              </w:rPr>
            </w:r>
            <w:r>
              <w:rPr>
                <w:webHidden/>
              </w:rPr>
              <w:fldChar w:fldCharType="separate"/>
            </w:r>
            <w:r>
              <w:rPr>
                <w:webHidden/>
              </w:rPr>
              <w:t>7</w:t>
            </w:r>
            <w:r>
              <w:rPr>
                <w:webHidden/>
              </w:rPr>
              <w:fldChar w:fldCharType="end"/>
            </w:r>
          </w:hyperlink>
        </w:p>
        <w:p w:rsidR="00826EDE" w:rsidRPr="005A6858" w:rsidRDefault="00071FF6">
          <w:r w:rsidRPr="005A6858">
            <w:fldChar w:fldCharType="end"/>
          </w:r>
        </w:p>
      </w:sdtContent>
    </w:sdt>
    <w:p w:rsidR="00AC0100" w:rsidRDefault="00AC0100"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Default="00E11563" w:rsidP="00B561F6">
      <w:pPr>
        <w:tabs>
          <w:tab w:val="left" w:pos="7920"/>
        </w:tabs>
        <w:ind w:left="720" w:hanging="720"/>
        <w:rPr>
          <w:sz w:val="24"/>
          <w:szCs w:val="24"/>
        </w:rPr>
      </w:pPr>
    </w:p>
    <w:p w:rsidR="00E11563" w:rsidRPr="005A6858" w:rsidRDefault="00E11563" w:rsidP="00B561F6">
      <w:pPr>
        <w:tabs>
          <w:tab w:val="left" w:pos="7920"/>
        </w:tabs>
        <w:ind w:left="720" w:hanging="720"/>
        <w:rPr>
          <w:sz w:val="24"/>
          <w:szCs w:val="24"/>
        </w:rPr>
      </w:pPr>
    </w:p>
    <w:p w:rsidR="00AC0100" w:rsidRPr="005A6858" w:rsidRDefault="00AC0100" w:rsidP="006D0BEA">
      <w:pPr>
        <w:tabs>
          <w:tab w:val="left" w:pos="7920"/>
        </w:tabs>
        <w:ind w:left="720" w:hanging="720"/>
        <w:rPr>
          <w:sz w:val="24"/>
          <w:szCs w:val="24"/>
        </w:rPr>
      </w:pPr>
      <w:proofErr w:type="gramStart"/>
      <w:r w:rsidRPr="005A6858">
        <w:t> 201</w:t>
      </w:r>
      <w:r w:rsidR="00845496">
        <w:t>1</w:t>
      </w:r>
      <w:r w:rsidRPr="005A6858">
        <w:t xml:space="preserve"> Avista Corporation.</w:t>
      </w:r>
      <w:proofErr w:type="gramEnd"/>
      <w:r w:rsidRPr="005A6858">
        <w:t xml:space="preserve"> All Right Reserved</w:t>
      </w:r>
    </w:p>
    <w:p w:rsidR="00AC0100" w:rsidRPr="005A6858" w:rsidRDefault="00AC0100" w:rsidP="00AC0100"/>
    <w:p w:rsidR="00E04A6F" w:rsidRPr="005A6858" w:rsidRDefault="00AC0100" w:rsidP="00954160">
      <w:pPr>
        <w:jc w:val="both"/>
        <w:rPr>
          <w:sz w:val="24"/>
          <w:szCs w:val="24"/>
        </w:rPr>
      </w:pPr>
      <w:r w:rsidRPr="005A6858">
        <w:t>Permission of the Copyright owner is granted to users to copy, download, reproduce, transmit or distribute any part of this document provided that: (1) the user includes Avista’s copyright notice on all copies, and (2) the materials are not used in any misleading or inappropriate manner. Furthermore, no portion of the attached work shall be republished in printed or digital form without the written permission of the Copyright owner.</w:t>
      </w:r>
      <w:r w:rsidR="004D70C3" w:rsidRPr="005A6858">
        <w:rPr>
          <w:sz w:val="24"/>
          <w:szCs w:val="24"/>
        </w:rPr>
        <w:br w:type="page"/>
      </w:r>
    </w:p>
    <w:p w:rsidR="003470A3" w:rsidRPr="005A6858" w:rsidRDefault="002845D9" w:rsidP="00C954D8">
      <w:pPr>
        <w:pStyle w:val="Title"/>
        <w:outlineLvl w:val="0"/>
        <w:rPr>
          <w:rFonts w:ascii="Times New Roman" w:hAnsi="Times New Roman" w:cs="Times New Roman"/>
          <w:sz w:val="36"/>
          <w:szCs w:val="36"/>
        </w:rPr>
      </w:pPr>
      <w:bookmarkStart w:id="0" w:name="_Toc307823902"/>
      <w:r w:rsidRPr="005A6858">
        <w:rPr>
          <w:rFonts w:ascii="Times New Roman" w:hAnsi="Times New Roman" w:cs="Times New Roman"/>
          <w:sz w:val="36"/>
          <w:szCs w:val="36"/>
        </w:rPr>
        <w:lastRenderedPageBreak/>
        <w:t>Overview</w:t>
      </w:r>
      <w:bookmarkEnd w:id="0"/>
    </w:p>
    <w:p w:rsidR="004D70C3" w:rsidRPr="005A6858" w:rsidRDefault="004D70C3">
      <w:pPr>
        <w:tabs>
          <w:tab w:val="left" w:pos="720"/>
        </w:tabs>
        <w:ind w:left="720" w:hanging="720"/>
        <w:rPr>
          <w:sz w:val="24"/>
          <w:szCs w:val="24"/>
        </w:rPr>
      </w:pPr>
    </w:p>
    <w:p w:rsidR="006250A3" w:rsidRPr="00A96732" w:rsidRDefault="006250A3" w:rsidP="006250A3">
      <w:pPr>
        <w:spacing w:line="480" w:lineRule="auto"/>
        <w:ind w:firstLine="720"/>
        <w:jc w:val="both"/>
        <w:rPr>
          <w:sz w:val="24"/>
          <w:szCs w:val="24"/>
        </w:rPr>
      </w:pPr>
      <w:r w:rsidRPr="00735652">
        <w:rPr>
          <w:sz w:val="24"/>
        </w:rPr>
        <w:t xml:space="preserve">Avista Utilities’ </w:t>
      </w:r>
      <w:r>
        <w:rPr>
          <w:sz w:val="24"/>
        </w:rPr>
        <w:t xml:space="preserve">filed its </w:t>
      </w:r>
      <w:r w:rsidRPr="00735652">
        <w:rPr>
          <w:sz w:val="24"/>
        </w:rPr>
        <w:t xml:space="preserve">Low-Income Rate Assistance Program (LIRAP) </w:t>
      </w:r>
      <w:r>
        <w:rPr>
          <w:sz w:val="24"/>
        </w:rPr>
        <w:t>an</w:t>
      </w:r>
      <w:r w:rsidR="00986BA0">
        <w:rPr>
          <w:sz w:val="24"/>
        </w:rPr>
        <w:t>nual summary report on August 23</w:t>
      </w:r>
      <w:r>
        <w:rPr>
          <w:sz w:val="24"/>
        </w:rPr>
        <w:t xml:space="preserve">, 2011. In the report the Company </w:t>
      </w:r>
      <w:r w:rsidRPr="00996B96">
        <w:rPr>
          <w:sz w:val="24"/>
          <w:szCs w:val="24"/>
        </w:rPr>
        <w:t>proposed changing the LIRAP program year to align with the LIHEAP program year.  The program year of May 1</w:t>
      </w:r>
      <w:r w:rsidRPr="00996B96">
        <w:rPr>
          <w:sz w:val="24"/>
          <w:szCs w:val="24"/>
          <w:vertAlign w:val="superscript"/>
        </w:rPr>
        <w:t>st</w:t>
      </w:r>
      <w:r w:rsidRPr="00996B96">
        <w:rPr>
          <w:sz w:val="24"/>
          <w:szCs w:val="24"/>
        </w:rPr>
        <w:t xml:space="preserve"> through April 30</w:t>
      </w:r>
      <w:r w:rsidRPr="00996B96">
        <w:rPr>
          <w:sz w:val="24"/>
          <w:szCs w:val="24"/>
          <w:vertAlign w:val="superscript"/>
        </w:rPr>
        <w:t>th</w:t>
      </w:r>
      <w:r w:rsidRPr="00996B96">
        <w:rPr>
          <w:sz w:val="24"/>
          <w:szCs w:val="24"/>
        </w:rPr>
        <w:t xml:space="preserve"> was established based on the first day the LIRAP tariff went into effect.  The LIHEAP program year is October 1</w:t>
      </w:r>
      <w:r w:rsidRPr="00996B96">
        <w:rPr>
          <w:sz w:val="24"/>
          <w:szCs w:val="24"/>
          <w:vertAlign w:val="superscript"/>
        </w:rPr>
        <w:t>st</w:t>
      </w:r>
      <w:r w:rsidRPr="00996B96">
        <w:rPr>
          <w:sz w:val="24"/>
          <w:szCs w:val="24"/>
        </w:rPr>
        <w:t xml:space="preserve"> through September 30</w:t>
      </w:r>
      <w:r w:rsidRPr="00996B96">
        <w:rPr>
          <w:sz w:val="24"/>
          <w:szCs w:val="24"/>
          <w:vertAlign w:val="superscript"/>
        </w:rPr>
        <w:t>th</w:t>
      </w:r>
      <w:r w:rsidRPr="00996B96">
        <w:rPr>
          <w:sz w:val="24"/>
          <w:szCs w:val="24"/>
        </w:rPr>
        <w:t xml:space="preserve">, and is considered the norm for when the official Heating Season begins and for reporting data such as the number of households helped, amount of funding available for the year as well as to determine the year that a client receives a grant to avoid duplication.  Since two of the LIRAP programs, LIRAP Heat and LIRAP Emergency </w:t>
      </w:r>
      <w:proofErr w:type="gramStart"/>
      <w:r w:rsidRPr="00996B96">
        <w:rPr>
          <w:sz w:val="24"/>
          <w:szCs w:val="24"/>
        </w:rPr>
        <w:t>Share,</w:t>
      </w:r>
      <w:proofErr w:type="gramEnd"/>
      <w:r w:rsidRPr="00996B96">
        <w:rPr>
          <w:sz w:val="24"/>
          <w:szCs w:val="24"/>
        </w:rPr>
        <w:t xml:space="preserve"> are modeled after the LIHEAP program guidelines, the agencies and Avista use the LIHEAP program year as the guideline for everything with the exception of reporting LIRAP funds collected, allocated and unspent in the Annual Summary Report.  To make a transition to the timing of the LIHEAP pr</w:t>
      </w:r>
      <w:r>
        <w:rPr>
          <w:sz w:val="24"/>
          <w:szCs w:val="24"/>
        </w:rPr>
        <w:t>ogram year, the Company proposed</w:t>
      </w:r>
      <w:r w:rsidRPr="00996B96">
        <w:rPr>
          <w:sz w:val="24"/>
          <w:szCs w:val="24"/>
        </w:rPr>
        <w:t xml:space="preserve"> submitting a Summary Report for the months of May 1 through September 30, 2011, and then </w:t>
      </w:r>
      <w:proofErr w:type="gramStart"/>
      <w:r w:rsidRPr="00996B96">
        <w:rPr>
          <w:sz w:val="24"/>
          <w:szCs w:val="24"/>
        </w:rPr>
        <w:t>begin</w:t>
      </w:r>
      <w:proofErr w:type="gramEnd"/>
      <w:r w:rsidRPr="00996B96">
        <w:rPr>
          <w:sz w:val="24"/>
          <w:szCs w:val="24"/>
        </w:rPr>
        <w:t xml:space="preserve"> the </w:t>
      </w:r>
      <w:r w:rsidR="00986BA0">
        <w:rPr>
          <w:sz w:val="24"/>
          <w:szCs w:val="24"/>
        </w:rPr>
        <w:t>next</w:t>
      </w:r>
      <w:r w:rsidRPr="00996B96">
        <w:rPr>
          <w:sz w:val="24"/>
          <w:szCs w:val="24"/>
        </w:rPr>
        <w:t xml:space="preserve"> program year on October 1, 2011.  </w:t>
      </w:r>
      <w:r>
        <w:rPr>
          <w:sz w:val="24"/>
          <w:szCs w:val="24"/>
        </w:rPr>
        <w:t>This</w:t>
      </w:r>
      <w:r w:rsidRPr="00735652">
        <w:rPr>
          <w:sz w:val="24"/>
          <w:szCs w:val="24"/>
        </w:rPr>
        <w:t xml:space="preserve"> </w:t>
      </w:r>
      <w:r>
        <w:rPr>
          <w:sz w:val="24"/>
          <w:szCs w:val="24"/>
        </w:rPr>
        <w:t>program summary</w:t>
      </w:r>
      <w:r w:rsidRPr="00735652">
        <w:rPr>
          <w:sz w:val="24"/>
          <w:szCs w:val="24"/>
        </w:rPr>
        <w:t xml:space="preserve"> report</w:t>
      </w:r>
      <w:r>
        <w:rPr>
          <w:sz w:val="24"/>
          <w:szCs w:val="24"/>
        </w:rPr>
        <w:t xml:space="preserve"> is responsive to that filing and represents reporting for</w:t>
      </w:r>
      <w:r w:rsidRPr="00735652">
        <w:rPr>
          <w:sz w:val="24"/>
          <w:szCs w:val="24"/>
        </w:rPr>
        <w:t xml:space="preserve"> the </w:t>
      </w:r>
      <w:r>
        <w:rPr>
          <w:sz w:val="24"/>
          <w:szCs w:val="24"/>
        </w:rPr>
        <w:t xml:space="preserve">period from </w:t>
      </w:r>
      <w:r w:rsidR="00986BA0">
        <w:rPr>
          <w:sz w:val="24"/>
          <w:szCs w:val="24"/>
        </w:rPr>
        <w:t>May</w:t>
      </w:r>
      <w:r>
        <w:rPr>
          <w:sz w:val="24"/>
          <w:szCs w:val="24"/>
        </w:rPr>
        <w:t xml:space="preserve"> 1, 2011 and ending September 30, 2011</w:t>
      </w:r>
      <w:r w:rsidRPr="00735652">
        <w:rPr>
          <w:sz w:val="24"/>
          <w:szCs w:val="24"/>
        </w:rPr>
        <w:t>.</w:t>
      </w:r>
    </w:p>
    <w:p w:rsidR="00B55E6E" w:rsidRPr="002F3F0C" w:rsidRDefault="00B55E6E" w:rsidP="006832D6">
      <w:pPr>
        <w:spacing w:line="480" w:lineRule="auto"/>
        <w:ind w:firstLine="720"/>
        <w:jc w:val="both"/>
        <w:rPr>
          <w:bCs/>
          <w:color w:val="000000" w:themeColor="text1"/>
          <w:sz w:val="24"/>
          <w:szCs w:val="24"/>
        </w:rPr>
      </w:pPr>
    </w:p>
    <w:p w:rsidR="00CC4AB8" w:rsidRPr="003470A3" w:rsidRDefault="00CC4AB8" w:rsidP="00CC4AB8">
      <w:pPr>
        <w:pStyle w:val="Title"/>
        <w:rPr>
          <w:sz w:val="36"/>
          <w:szCs w:val="36"/>
        </w:rPr>
      </w:pPr>
      <w:r>
        <w:rPr>
          <w:sz w:val="36"/>
          <w:szCs w:val="36"/>
        </w:rPr>
        <w:t>Results for May 1, 2011 through September 30, 2011</w:t>
      </w:r>
    </w:p>
    <w:p w:rsidR="00A16BAD" w:rsidRPr="002858CE" w:rsidRDefault="00287680" w:rsidP="00A16BAD">
      <w:pPr>
        <w:spacing w:line="480" w:lineRule="auto"/>
        <w:ind w:firstLine="720"/>
        <w:jc w:val="both"/>
        <w:rPr>
          <w:snapToGrid w:val="0"/>
          <w:sz w:val="24"/>
          <w:szCs w:val="24"/>
        </w:rPr>
      </w:pPr>
      <w:r w:rsidRPr="002858CE">
        <w:rPr>
          <w:sz w:val="24"/>
          <w:szCs w:val="24"/>
        </w:rPr>
        <w:t xml:space="preserve">Approximately </w:t>
      </w:r>
      <w:r w:rsidRPr="00986BA0">
        <w:rPr>
          <w:sz w:val="24"/>
          <w:szCs w:val="24"/>
        </w:rPr>
        <w:t>$</w:t>
      </w:r>
      <w:r w:rsidR="00252CA7" w:rsidRPr="00986BA0">
        <w:rPr>
          <w:sz w:val="24"/>
          <w:szCs w:val="24"/>
        </w:rPr>
        <w:t>1,273,284</w:t>
      </w:r>
      <w:r w:rsidRPr="002858CE">
        <w:rPr>
          <w:sz w:val="24"/>
          <w:szCs w:val="24"/>
        </w:rPr>
        <w:t xml:space="preserve"> of electric revenue was collected during the </w:t>
      </w:r>
      <w:r w:rsidR="00986BA0">
        <w:rPr>
          <w:sz w:val="24"/>
          <w:szCs w:val="24"/>
        </w:rPr>
        <w:t>reporting period</w:t>
      </w:r>
      <w:r w:rsidRPr="002858CE">
        <w:rPr>
          <w:sz w:val="24"/>
          <w:szCs w:val="24"/>
        </w:rPr>
        <w:t xml:space="preserve"> and $</w:t>
      </w:r>
      <w:r w:rsidR="00252CA7" w:rsidRPr="00986BA0">
        <w:rPr>
          <w:sz w:val="24"/>
          <w:szCs w:val="24"/>
        </w:rPr>
        <w:t>334,377</w:t>
      </w:r>
      <w:r w:rsidRPr="002858CE">
        <w:rPr>
          <w:sz w:val="24"/>
          <w:szCs w:val="24"/>
        </w:rPr>
        <w:t xml:space="preserve"> </w:t>
      </w:r>
      <w:r w:rsidR="00587CE8">
        <w:rPr>
          <w:sz w:val="24"/>
          <w:szCs w:val="24"/>
        </w:rPr>
        <w:t xml:space="preserve">of </w:t>
      </w:r>
      <w:r w:rsidRPr="002858CE">
        <w:rPr>
          <w:sz w:val="24"/>
          <w:szCs w:val="24"/>
        </w:rPr>
        <w:t>natural gas revenue was collected for a total of $</w:t>
      </w:r>
      <w:r w:rsidR="00252CA7" w:rsidRPr="00986BA0">
        <w:rPr>
          <w:sz w:val="24"/>
          <w:szCs w:val="24"/>
        </w:rPr>
        <w:t>1,607,661</w:t>
      </w:r>
      <w:r w:rsidRPr="002858CE">
        <w:rPr>
          <w:snapToGrid w:val="0"/>
          <w:sz w:val="24"/>
          <w:szCs w:val="24"/>
        </w:rPr>
        <w:t xml:space="preserve">. </w:t>
      </w:r>
      <w:r w:rsidR="00E078D3" w:rsidRPr="002858CE">
        <w:rPr>
          <w:sz w:val="24"/>
          <w:szCs w:val="24"/>
        </w:rPr>
        <w:t xml:space="preserve">For this </w:t>
      </w:r>
      <w:r w:rsidR="00CC4AB8">
        <w:rPr>
          <w:sz w:val="24"/>
          <w:szCs w:val="24"/>
        </w:rPr>
        <w:t>reporting period</w:t>
      </w:r>
      <w:r w:rsidR="00E078D3" w:rsidRPr="002858CE">
        <w:rPr>
          <w:sz w:val="24"/>
          <w:szCs w:val="24"/>
        </w:rPr>
        <w:t>, t</w:t>
      </w:r>
      <w:r w:rsidR="00CD2624" w:rsidRPr="002858CE">
        <w:rPr>
          <w:sz w:val="24"/>
          <w:szCs w:val="24"/>
        </w:rPr>
        <w:t xml:space="preserve">he average LIRAP </w:t>
      </w:r>
      <w:r w:rsidR="00CD2624" w:rsidRPr="002858CE">
        <w:rPr>
          <w:sz w:val="24"/>
          <w:szCs w:val="24"/>
          <w:u w:val="single"/>
        </w:rPr>
        <w:t>heat</w:t>
      </w:r>
      <w:r w:rsidR="00CD2624" w:rsidRPr="002858CE">
        <w:rPr>
          <w:sz w:val="24"/>
          <w:szCs w:val="24"/>
        </w:rPr>
        <w:t xml:space="preserve"> grant, which is equivalent to a LIHEAP </w:t>
      </w:r>
      <w:r w:rsidRPr="002858CE">
        <w:rPr>
          <w:sz w:val="24"/>
          <w:szCs w:val="24"/>
        </w:rPr>
        <w:t>grant,</w:t>
      </w:r>
      <w:r w:rsidR="00CD2624" w:rsidRPr="002858CE">
        <w:rPr>
          <w:sz w:val="24"/>
          <w:szCs w:val="24"/>
        </w:rPr>
        <w:t xml:space="preserve"> </w:t>
      </w:r>
      <w:r w:rsidRPr="002858CE">
        <w:rPr>
          <w:sz w:val="24"/>
          <w:szCs w:val="24"/>
        </w:rPr>
        <w:t>averaged</w:t>
      </w:r>
      <w:r w:rsidR="00CD2624" w:rsidRPr="002858CE">
        <w:rPr>
          <w:sz w:val="24"/>
          <w:szCs w:val="24"/>
        </w:rPr>
        <w:t xml:space="preserve"> </w:t>
      </w:r>
      <w:r w:rsidR="00D53A8F" w:rsidRPr="002858CE">
        <w:rPr>
          <w:sz w:val="24"/>
          <w:szCs w:val="24"/>
        </w:rPr>
        <w:t>$</w:t>
      </w:r>
      <w:r w:rsidR="00252CA7" w:rsidRPr="00986BA0">
        <w:rPr>
          <w:sz w:val="24"/>
          <w:szCs w:val="24"/>
        </w:rPr>
        <w:t>384</w:t>
      </w:r>
      <w:r w:rsidR="00CD2624" w:rsidRPr="00986BA0">
        <w:rPr>
          <w:sz w:val="24"/>
          <w:szCs w:val="24"/>
        </w:rPr>
        <w:t xml:space="preserve">. </w:t>
      </w:r>
      <w:r w:rsidR="004D70C3" w:rsidRPr="00986BA0">
        <w:rPr>
          <w:sz w:val="24"/>
          <w:szCs w:val="24"/>
        </w:rPr>
        <w:t xml:space="preserve">Over </w:t>
      </w:r>
      <w:r w:rsidR="0086001E" w:rsidRPr="00986BA0">
        <w:rPr>
          <w:sz w:val="24"/>
          <w:szCs w:val="24"/>
        </w:rPr>
        <w:t>7</w:t>
      </w:r>
      <w:r w:rsidR="00252CA7" w:rsidRPr="00986BA0">
        <w:rPr>
          <w:sz w:val="24"/>
          <w:szCs w:val="24"/>
        </w:rPr>
        <w:t>45</w:t>
      </w:r>
      <w:r w:rsidR="0002436C" w:rsidRPr="00986BA0">
        <w:rPr>
          <w:sz w:val="24"/>
          <w:szCs w:val="24"/>
        </w:rPr>
        <w:t xml:space="preserve"> elec</w:t>
      </w:r>
      <w:r w:rsidR="004D70C3" w:rsidRPr="00986BA0">
        <w:rPr>
          <w:sz w:val="24"/>
          <w:szCs w:val="24"/>
        </w:rPr>
        <w:t>tric</w:t>
      </w:r>
      <w:r w:rsidR="004D70C3" w:rsidRPr="002858CE">
        <w:rPr>
          <w:sz w:val="24"/>
          <w:szCs w:val="24"/>
        </w:rPr>
        <w:t xml:space="preserve"> </w:t>
      </w:r>
      <w:r w:rsidR="004D70C3" w:rsidRPr="002858CE">
        <w:rPr>
          <w:sz w:val="24"/>
          <w:szCs w:val="24"/>
        </w:rPr>
        <w:lastRenderedPageBreak/>
        <w:t xml:space="preserve">and natural gas customers in the Company’s Washington service territory </w:t>
      </w:r>
      <w:r w:rsidR="006D4F4D" w:rsidRPr="002858CE">
        <w:rPr>
          <w:sz w:val="24"/>
          <w:szCs w:val="24"/>
        </w:rPr>
        <w:t xml:space="preserve">received </w:t>
      </w:r>
      <w:r w:rsidR="00CD2624" w:rsidRPr="002858CE">
        <w:rPr>
          <w:sz w:val="24"/>
          <w:szCs w:val="24"/>
          <w:u w:val="single"/>
        </w:rPr>
        <w:t>total</w:t>
      </w:r>
      <w:r w:rsidR="00CD2624" w:rsidRPr="002858CE">
        <w:rPr>
          <w:sz w:val="24"/>
          <w:szCs w:val="24"/>
        </w:rPr>
        <w:t xml:space="preserve"> </w:t>
      </w:r>
      <w:r w:rsidR="006816B9" w:rsidRPr="002858CE">
        <w:rPr>
          <w:sz w:val="24"/>
          <w:szCs w:val="24"/>
        </w:rPr>
        <w:t xml:space="preserve">energy </w:t>
      </w:r>
      <w:r w:rsidR="006D4F4D" w:rsidRPr="002858CE">
        <w:rPr>
          <w:sz w:val="24"/>
          <w:szCs w:val="24"/>
        </w:rPr>
        <w:t>grants</w:t>
      </w:r>
      <w:r w:rsidR="004D70C3" w:rsidRPr="002858CE">
        <w:rPr>
          <w:sz w:val="24"/>
          <w:szCs w:val="24"/>
        </w:rPr>
        <w:t xml:space="preserve"> averaging </w:t>
      </w:r>
      <w:r w:rsidR="00D53A8F" w:rsidRPr="002858CE">
        <w:rPr>
          <w:sz w:val="24"/>
          <w:szCs w:val="24"/>
        </w:rPr>
        <w:t>$</w:t>
      </w:r>
      <w:r w:rsidR="00252CA7" w:rsidRPr="00986BA0">
        <w:rPr>
          <w:sz w:val="24"/>
          <w:szCs w:val="24"/>
        </w:rPr>
        <w:t>264</w:t>
      </w:r>
      <w:r w:rsidR="004D70C3" w:rsidRPr="002858CE">
        <w:rPr>
          <w:sz w:val="24"/>
          <w:szCs w:val="24"/>
        </w:rPr>
        <w:t xml:space="preserve">.  </w:t>
      </w:r>
    </w:p>
    <w:p w:rsidR="00E04A6F" w:rsidRPr="005A6858" w:rsidRDefault="00E04A6F" w:rsidP="00E04A6F">
      <w:pPr>
        <w:spacing w:line="480" w:lineRule="auto"/>
        <w:jc w:val="both"/>
        <w:rPr>
          <w:b/>
          <w:snapToGrid w:val="0"/>
          <w:color w:val="FF0000"/>
          <w:sz w:val="24"/>
          <w:szCs w:val="24"/>
        </w:rPr>
      </w:pPr>
      <w:r w:rsidRPr="005A6858">
        <w:rPr>
          <w:b/>
          <w:snapToGrid w:val="0"/>
          <w:sz w:val="24"/>
          <w:szCs w:val="24"/>
          <w:u w:val="single"/>
        </w:rPr>
        <w:t>Table 1 – Yearly Revenues and Disbursements</w:t>
      </w:r>
      <w:r w:rsidR="00D86D98" w:rsidRPr="005A6858">
        <w:rPr>
          <w:b/>
          <w:snapToGrid w:val="0"/>
          <w:color w:val="FF0000"/>
          <w:sz w:val="24"/>
          <w:szCs w:val="24"/>
        </w:rPr>
        <w:t xml:space="preserve"> </w:t>
      </w:r>
    </w:p>
    <w:tbl>
      <w:tblPr>
        <w:tblW w:w="9580" w:type="dxa"/>
        <w:tblInd w:w="98" w:type="dxa"/>
        <w:tblLook w:val="04A0"/>
      </w:tblPr>
      <w:tblGrid>
        <w:gridCol w:w="1990"/>
        <w:gridCol w:w="1650"/>
        <w:gridCol w:w="1980"/>
        <w:gridCol w:w="1980"/>
        <w:gridCol w:w="1980"/>
      </w:tblGrid>
      <w:tr w:rsidR="004877DC" w:rsidRPr="004877DC" w:rsidTr="006A5323">
        <w:trPr>
          <w:trHeight w:val="795"/>
        </w:trPr>
        <w:tc>
          <w:tcPr>
            <w:tcW w:w="199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Program Year May 1 - April 30</w:t>
            </w:r>
          </w:p>
        </w:tc>
        <w:tc>
          <w:tcPr>
            <w:tcW w:w="165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Beginning Balance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Revenue</w:t>
            </w:r>
          </w:p>
        </w:tc>
        <w:tc>
          <w:tcPr>
            <w:tcW w:w="1980" w:type="dxa"/>
            <w:tcBorders>
              <w:top w:val="single" w:sz="8" w:space="0" w:color="auto"/>
              <w:left w:val="nil"/>
              <w:bottom w:val="single" w:sz="8" w:space="0" w:color="auto"/>
              <w:right w:val="single" w:sz="8" w:space="0" w:color="000000"/>
            </w:tcBorders>
            <w:shd w:val="clear" w:color="auto" w:fill="auto"/>
            <w:vAlign w:val="bottom"/>
            <w:hideMark/>
          </w:tcPr>
          <w:p w:rsidR="004877DC" w:rsidRPr="004877DC" w:rsidRDefault="004877DC" w:rsidP="004877DC">
            <w:pPr>
              <w:jc w:val="center"/>
              <w:rPr>
                <w:sz w:val="24"/>
                <w:szCs w:val="24"/>
              </w:rPr>
            </w:pPr>
            <w:r w:rsidRPr="004877DC">
              <w:rPr>
                <w:sz w:val="24"/>
                <w:szCs w:val="24"/>
              </w:rPr>
              <w:t>Total Funds Disbursed</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Ending Balance</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2001-2002</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$2,731,616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$2,476,529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2002-2003</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$255,087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$2,678,068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$2,197,150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2003-2004</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$736,005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$3,158,220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$2,533,916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2004-2005</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$1,360,309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$3,039,672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$3,169,051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2005-2006</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$1,230,930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$3,157,635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$3,230,665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2006-2007</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$1,157,900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$3,846,394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$4,155,463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2007-2008</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$848,831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$3,302,091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$3,320,239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2008-2009</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$830,683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$4,078,532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$2,955,033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r>
      <w:tr w:rsidR="004877DC" w:rsidRPr="004877DC" w:rsidTr="006A5323">
        <w:trPr>
          <w:trHeight w:val="345"/>
        </w:trPr>
        <w:tc>
          <w:tcPr>
            <w:tcW w:w="1990" w:type="dxa"/>
            <w:tcBorders>
              <w:top w:val="nil"/>
              <w:left w:val="single" w:sz="8" w:space="0" w:color="auto"/>
              <w:bottom w:val="single" w:sz="4" w:space="0" w:color="auto"/>
              <w:right w:val="single" w:sz="4" w:space="0" w:color="auto"/>
            </w:tcBorders>
            <w:shd w:val="clear" w:color="auto" w:fill="auto"/>
            <w:vAlign w:val="bottom"/>
            <w:hideMark/>
          </w:tcPr>
          <w:p w:rsidR="004877DC" w:rsidRPr="004877DC" w:rsidRDefault="004877DC" w:rsidP="004877DC">
            <w:pPr>
              <w:jc w:val="center"/>
              <w:rPr>
                <w:sz w:val="24"/>
                <w:szCs w:val="24"/>
              </w:rPr>
            </w:pPr>
            <w:r w:rsidRPr="004877DC">
              <w:rPr>
                <w:sz w:val="24"/>
                <w:szCs w:val="24"/>
              </w:rPr>
              <w:t>2009-2010</w:t>
            </w:r>
          </w:p>
        </w:tc>
        <w:tc>
          <w:tcPr>
            <w:tcW w:w="165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$1,954,182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$4,220,837 </w:t>
            </w:r>
          </w:p>
        </w:tc>
        <w:tc>
          <w:tcPr>
            <w:tcW w:w="1980" w:type="dxa"/>
            <w:tcBorders>
              <w:top w:val="nil"/>
              <w:left w:val="nil"/>
              <w:bottom w:val="single" w:sz="4" w:space="0" w:color="auto"/>
              <w:right w:val="single" w:sz="4" w:space="0" w:color="auto"/>
            </w:tcBorders>
            <w:shd w:val="clear" w:color="auto" w:fill="auto"/>
            <w:vAlign w:val="bottom"/>
            <w:hideMark/>
          </w:tcPr>
          <w:p w:rsidR="004877DC" w:rsidRPr="004877DC" w:rsidRDefault="004877DC" w:rsidP="004877DC">
            <w:pPr>
              <w:jc w:val="right"/>
              <w:rPr>
                <w:sz w:val="24"/>
                <w:szCs w:val="24"/>
              </w:rPr>
            </w:pPr>
            <w:r w:rsidRPr="004877DC">
              <w:rPr>
                <w:sz w:val="24"/>
                <w:szCs w:val="24"/>
              </w:rPr>
              <w:t xml:space="preserve">$5,534,638 </w:t>
            </w:r>
          </w:p>
        </w:tc>
        <w:tc>
          <w:tcPr>
            <w:tcW w:w="1980" w:type="dxa"/>
            <w:tcBorders>
              <w:top w:val="nil"/>
              <w:left w:val="nil"/>
              <w:bottom w:val="single" w:sz="4" w:space="0" w:color="auto"/>
              <w:right w:val="single" w:sz="8" w:space="0" w:color="auto"/>
            </w:tcBorders>
            <w:shd w:val="clear" w:color="auto" w:fill="auto"/>
            <w:vAlign w:val="bottom"/>
            <w:hideMark/>
          </w:tcPr>
          <w:p w:rsidR="004877DC" w:rsidRPr="004877DC" w:rsidRDefault="004877DC" w:rsidP="00B9485B">
            <w:pPr>
              <w:jc w:val="right"/>
              <w:rPr>
                <w:sz w:val="24"/>
                <w:szCs w:val="24"/>
              </w:rPr>
            </w:pPr>
            <w:r w:rsidRPr="004877DC">
              <w:rPr>
                <w:sz w:val="24"/>
                <w:szCs w:val="24"/>
              </w:rPr>
              <w:t>$</w:t>
            </w:r>
            <w:r w:rsidR="00B9485B">
              <w:rPr>
                <w:sz w:val="24"/>
                <w:szCs w:val="24"/>
              </w:rPr>
              <w:t>636,267</w:t>
            </w:r>
            <w:r w:rsidRPr="004877DC">
              <w:rPr>
                <w:sz w:val="24"/>
                <w:szCs w:val="24"/>
              </w:rPr>
              <w:t xml:space="preserve"> </w:t>
            </w:r>
          </w:p>
        </w:tc>
      </w:tr>
      <w:tr w:rsidR="007033C5" w:rsidRPr="004877DC" w:rsidTr="006A5323">
        <w:trPr>
          <w:trHeight w:val="345"/>
        </w:trPr>
        <w:tc>
          <w:tcPr>
            <w:tcW w:w="1990" w:type="dxa"/>
            <w:tcBorders>
              <w:top w:val="nil"/>
              <w:left w:val="single" w:sz="8" w:space="0" w:color="auto"/>
              <w:bottom w:val="single" w:sz="8" w:space="0" w:color="auto"/>
              <w:right w:val="single" w:sz="4" w:space="0" w:color="auto"/>
            </w:tcBorders>
            <w:shd w:val="clear" w:color="auto" w:fill="auto"/>
            <w:vAlign w:val="bottom"/>
            <w:hideMark/>
          </w:tcPr>
          <w:p w:rsidR="007033C5" w:rsidRPr="004877DC" w:rsidRDefault="007033C5" w:rsidP="007033C5">
            <w:pPr>
              <w:jc w:val="center"/>
              <w:rPr>
                <w:sz w:val="24"/>
                <w:szCs w:val="24"/>
              </w:rPr>
            </w:pPr>
            <w:r w:rsidRPr="004877DC">
              <w:rPr>
                <w:sz w:val="24"/>
                <w:szCs w:val="24"/>
              </w:rPr>
              <w:t>2010-2011</w:t>
            </w:r>
          </w:p>
        </w:tc>
        <w:tc>
          <w:tcPr>
            <w:tcW w:w="1650" w:type="dxa"/>
            <w:tcBorders>
              <w:top w:val="nil"/>
              <w:left w:val="nil"/>
              <w:bottom w:val="single" w:sz="4" w:space="0" w:color="auto"/>
              <w:right w:val="single" w:sz="4"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w:t>
            </w:r>
            <w:r>
              <w:rPr>
                <w:sz w:val="24"/>
                <w:szCs w:val="24"/>
              </w:rPr>
              <w:t>636,267</w:t>
            </w:r>
            <w:r w:rsidRPr="004877DC">
              <w:rPr>
                <w:sz w:val="24"/>
                <w:szCs w:val="24"/>
              </w:rPr>
              <w:t xml:space="preserve"> </w:t>
            </w:r>
          </w:p>
        </w:tc>
        <w:tc>
          <w:tcPr>
            <w:tcW w:w="1980" w:type="dxa"/>
            <w:tcBorders>
              <w:top w:val="nil"/>
              <w:left w:val="nil"/>
              <w:bottom w:val="single" w:sz="4" w:space="0" w:color="auto"/>
              <w:right w:val="single" w:sz="4"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 xml:space="preserve">$4,701,900 </w:t>
            </w:r>
          </w:p>
        </w:tc>
        <w:tc>
          <w:tcPr>
            <w:tcW w:w="1980" w:type="dxa"/>
            <w:tcBorders>
              <w:top w:val="nil"/>
              <w:left w:val="nil"/>
              <w:bottom w:val="single" w:sz="4" w:space="0" w:color="auto"/>
              <w:right w:val="single" w:sz="4"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 xml:space="preserve">$3,638,166 </w:t>
            </w:r>
          </w:p>
        </w:tc>
        <w:tc>
          <w:tcPr>
            <w:tcW w:w="1980" w:type="dxa"/>
            <w:tcBorders>
              <w:top w:val="nil"/>
              <w:left w:val="nil"/>
              <w:bottom w:val="single" w:sz="8" w:space="0" w:color="auto"/>
              <w:right w:val="single" w:sz="8" w:space="0" w:color="auto"/>
            </w:tcBorders>
            <w:shd w:val="clear" w:color="auto" w:fill="auto"/>
            <w:vAlign w:val="bottom"/>
            <w:hideMark/>
          </w:tcPr>
          <w:p w:rsidR="007033C5" w:rsidRPr="004877DC" w:rsidRDefault="007033C5" w:rsidP="007033C5">
            <w:pPr>
              <w:jc w:val="right"/>
              <w:rPr>
                <w:sz w:val="24"/>
                <w:szCs w:val="24"/>
              </w:rPr>
            </w:pPr>
            <w:r w:rsidRPr="004877DC">
              <w:rPr>
                <w:sz w:val="24"/>
                <w:szCs w:val="24"/>
              </w:rPr>
              <w:t>$1,</w:t>
            </w:r>
            <w:r>
              <w:rPr>
                <w:sz w:val="24"/>
                <w:szCs w:val="24"/>
              </w:rPr>
              <w:t>700,001</w:t>
            </w:r>
            <w:r w:rsidRPr="004877DC">
              <w:rPr>
                <w:sz w:val="24"/>
                <w:szCs w:val="24"/>
              </w:rPr>
              <w:t xml:space="preserve"> </w:t>
            </w:r>
          </w:p>
        </w:tc>
      </w:tr>
      <w:tr w:rsidR="007033C5" w:rsidRPr="00E11563" w:rsidTr="006A5323">
        <w:trPr>
          <w:trHeight w:val="345"/>
        </w:trPr>
        <w:tc>
          <w:tcPr>
            <w:tcW w:w="1990" w:type="dxa"/>
            <w:tcBorders>
              <w:top w:val="nil"/>
              <w:left w:val="single" w:sz="8" w:space="0" w:color="auto"/>
              <w:bottom w:val="single" w:sz="8" w:space="0" w:color="auto"/>
              <w:right w:val="single" w:sz="4" w:space="0" w:color="auto"/>
            </w:tcBorders>
            <w:shd w:val="clear" w:color="auto" w:fill="auto"/>
            <w:vAlign w:val="bottom"/>
            <w:hideMark/>
          </w:tcPr>
          <w:p w:rsidR="007033C5" w:rsidRPr="00E11563" w:rsidRDefault="007033C5" w:rsidP="007033C5">
            <w:pPr>
              <w:jc w:val="center"/>
              <w:rPr>
                <w:sz w:val="24"/>
                <w:szCs w:val="24"/>
              </w:rPr>
            </w:pPr>
            <w:r w:rsidRPr="00E11563">
              <w:rPr>
                <w:sz w:val="24"/>
                <w:szCs w:val="24"/>
              </w:rPr>
              <w:t>May 2011- September 2011</w:t>
            </w:r>
          </w:p>
        </w:tc>
        <w:tc>
          <w:tcPr>
            <w:tcW w:w="1650" w:type="dxa"/>
            <w:tcBorders>
              <w:top w:val="nil"/>
              <w:left w:val="nil"/>
              <w:bottom w:val="single" w:sz="4" w:space="0" w:color="auto"/>
              <w:right w:val="single" w:sz="4"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$1,700,001 </w:t>
            </w:r>
          </w:p>
        </w:tc>
        <w:tc>
          <w:tcPr>
            <w:tcW w:w="1980" w:type="dxa"/>
            <w:tcBorders>
              <w:top w:val="nil"/>
              <w:left w:val="nil"/>
              <w:bottom w:val="single" w:sz="4" w:space="0" w:color="auto"/>
              <w:right w:val="single" w:sz="4"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$1,607,661 </w:t>
            </w:r>
          </w:p>
        </w:tc>
        <w:tc>
          <w:tcPr>
            <w:tcW w:w="1980" w:type="dxa"/>
            <w:tcBorders>
              <w:top w:val="nil"/>
              <w:left w:val="nil"/>
              <w:bottom w:val="single" w:sz="4" w:space="0" w:color="auto"/>
              <w:right w:val="single" w:sz="4"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$668,243 </w:t>
            </w:r>
          </w:p>
        </w:tc>
        <w:tc>
          <w:tcPr>
            <w:tcW w:w="1980" w:type="dxa"/>
            <w:tcBorders>
              <w:top w:val="nil"/>
              <w:left w:val="nil"/>
              <w:bottom w:val="single" w:sz="8" w:space="0" w:color="auto"/>
              <w:right w:val="single" w:sz="8" w:space="0" w:color="auto"/>
            </w:tcBorders>
            <w:shd w:val="clear" w:color="auto" w:fill="auto"/>
            <w:vAlign w:val="bottom"/>
            <w:hideMark/>
          </w:tcPr>
          <w:p w:rsidR="007033C5" w:rsidRPr="00E11563" w:rsidRDefault="007033C5" w:rsidP="007033C5">
            <w:pPr>
              <w:jc w:val="right"/>
              <w:rPr>
                <w:sz w:val="24"/>
                <w:szCs w:val="24"/>
              </w:rPr>
            </w:pPr>
            <w:r w:rsidRPr="00E11563">
              <w:rPr>
                <w:sz w:val="24"/>
                <w:szCs w:val="24"/>
              </w:rPr>
              <w:t xml:space="preserve">$2,639,419 </w:t>
            </w:r>
          </w:p>
        </w:tc>
      </w:tr>
    </w:tbl>
    <w:p w:rsidR="00E04A6F" w:rsidRPr="005A6858" w:rsidRDefault="00E04A6F" w:rsidP="00C13171">
      <w:pPr>
        <w:spacing w:line="480" w:lineRule="auto"/>
        <w:jc w:val="both"/>
        <w:rPr>
          <w:sz w:val="24"/>
          <w:szCs w:val="24"/>
        </w:rPr>
      </w:pPr>
    </w:p>
    <w:p w:rsidR="00C97FF5" w:rsidRPr="005A6858" w:rsidRDefault="00C97FF5" w:rsidP="00C954D8">
      <w:pPr>
        <w:pStyle w:val="Heading2"/>
        <w:rPr>
          <w:rFonts w:ascii="Times New Roman" w:hAnsi="Times New Roman"/>
          <w:szCs w:val="24"/>
          <w:u w:val="single"/>
        </w:rPr>
      </w:pPr>
      <w:bookmarkStart w:id="1" w:name="_Toc307823903"/>
      <w:r w:rsidRPr="005A6858">
        <w:rPr>
          <w:rFonts w:ascii="Times New Roman" w:hAnsi="Times New Roman"/>
          <w:szCs w:val="24"/>
          <w:u w:val="single"/>
        </w:rPr>
        <w:t>Participants and Fund Distribution</w:t>
      </w:r>
      <w:bookmarkEnd w:id="1"/>
      <w:r w:rsidRPr="005A6858">
        <w:rPr>
          <w:rFonts w:ascii="Times New Roman" w:hAnsi="Times New Roman"/>
          <w:szCs w:val="24"/>
          <w:u w:val="single"/>
        </w:rPr>
        <w:t xml:space="preserve"> </w:t>
      </w:r>
    </w:p>
    <w:p w:rsidR="00C97FF5" w:rsidRPr="005A6858" w:rsidRDefault="00C97FF5" w:rsidP="00C97FF5">
      <w:pPr>
        <w:tabs>
          <w:tab w:val="left" w:pos="720"/>
        </w:tabs>
        <w:jc w:val="both"/>
        <w:rPr>
          <w:sz w:val="24"/>
          <w:szCs w:val="24"/>
        </w:rPr>
      </w:pPr>
    </w:p>
    <w:p w:rsidR="00335284" w:rsidRPr="00E11563" w:rsidRDefault="00C97FF5" w:rsidP="00C97FF5">
      <w:pPr>
        <w:pStyle w:val="BodyText"/>
        <w:spacing w:line="480" w:lineRule="auto"/>
        <w:ind w:firstLine="720"/>
        <w:jc w:val="both"/>
        <w:rPr>
          <w:rFonts w:ascii="Times New Roman" w:hAnsi="Times New Roman"/>
          <w:szCs w:val="24"/>
        </w:rPr>
      </w:pPr>
      <w:r w:rsidRPr="00E11563">
        <w:rPr>
          <w:rFonts w:ascii="Times New Roman" w:hAnsi="Times New Roman"/>
          <w:szCs w:val="24"/>
        </w:rPr>
        <w:t xml:space="preserve">Avista Utilities’ </w:t>
      </w:r>
      <w:r w:rsidR="00587CE8" w:rsidRPr="00E11563">
        <w:rPr>
          <w:rFonts w:ascii="Times New Roman" w:hAnsi="Times New Roman"/>
          <w:szCs w:val="24"/>
        </w:rPr>
        <w:t>LIRAP provided</w:t>
      </w:r>
      <w:r w:rsidRPr="00E11563">
        <w:rPr>
          <w:rFonts w:ascii="Times New Roman" w:hAnsi="Times New Roman"/>
          <w:szCs w:val="24"/>
        </w:rPr>
        <w:t xml:space="preserve"> </w:t>
      </w:r>
      <w:r w:rsidR="00C44FE7" w:rsidRPr="00E11563">
        <w:rPr>
          <w:rFonts w:ascii="Times New Roman" w:hAnsi="Times New Roman"/>
          <w:szCs w:val="24"/>
        </w:rPr>
        <w:t>7</w:t>
      </w:r>
      <w:r w:rsidR="00FE5B0B" w:rsidRPr="00E11563">
        <w:rPr>
          <w:rFonts w:ascii="Times New Roman" w:hAnsi="Times New Roman"/>
          <w:szCs w:val="24"/>
        </w:rPr>
        <w:t>45</w:t>
      </w:r>
      <w:r w:rsidRPr="00E11563">
        <w:rPr>
          <w:rFonts w:ascii="Times New Roman" w:hAnsi="Times New Roman"/>
          <w:szCs w:val="24"/>
        </w:rPr>
        <w:t xml:space="preserve"> grants </w:t>
      </w:r>
      <w:r w:rsidR="00CC4AB8" w:rsidRPr="00E11563">
        <w:rPr>
          <w:rFonts w:ascii="Times New Roman" w:hAnsi="Times New Roman"/>
          <w:szCs w:val="24"/>
        </w:rPr>
        <w:t>from May 1, 2011 th</w:t>
      </w:r>
      <w:r w:rsidR="00FE5B0B" w:rsidRPr="00E11563">
        <w:rPr>
          <w:rFonts w:ascii="Times New Roman" w:hAnsi="Times New Roman"/>
          <w:szCs w:val="24"/>
        </w:rPr>
        <w:t>r</w:t>
      </w:r>
      <w:r w:rsidR="00CC4AB8" w:rsidRPr="00E11563">
        <w:rPr>
          <w:rFonts w:ascii="Times New Roman" w:hAnsi="Times New Roman"/>
          <w:szCs w:val="24"/>
        </w:rPr>
        <w:t>ough September 30, 2011</w:t>
      </w:r>
      <w:r w:rsidRPr="00E11563">
        <w:rPr>
          <w:rFonts w:ascii="Times New Roman" w:hAnsi="Times New Roman"/>
          <w:szCs w:val="24"/>
        </w:rPr>
        <w:t xml:space="preserve">.  The </w:t>
      </w:r>
      <w:r w:rsidR="00EE73AE" w:rsidRPr="00E11563">
        <w:rPr>
          <w:rFonts w:ascii="Times New Roman" w:hAnsi="Times New Roman"/>
          <w:szCs w:val="24"/>
          <w:u w:val="single"/>
        </w:rPr>
        <w:t>total</w:t>
      </w:r>
      <w:r w:rsidR="00EE73AE" w:rsidRPr="00E11563">
        <w:rPr>
          <w:rFonts w:ascii="Times New Roman" w:hAnsi="Times New Roman"/>
          <w:szCs w:val="24"/>
        </w:rPr>
        <w:t xml:space="preserve"> </w:t>
      </w:r>
      <w:r w:rsidRPr="00E11563">
        <w:rPr>
          <w:rFonts w:ascii="Times New Roman" w:hAnsi="Times New Roman"/>
          <w:szCs w:val="24"/>
        </w:rPr>
        <w:t xml:space="preserve">grants averaged </w:t>
      </w:r>
      <w:r w:rsidRPr="00E11563">
        <w:rPr>
          <w:rFonts w:ascii="Times New Roman" w:hAnsi="Times New Roman"/>
        </w:rPr>
        <w:t>$</w:t>
      </w:r>
      <w:r w:rsidR="00FE5B0B" w:rsidRPr="00E11563">
        <w:rPr>
          <w:rFonts w:ascii="Times New Roman" w:hAnsi="Times New Roman"/>
          <w:szCs w:val="24"/>
        </w:rPr>
        <w:t>264</w:t>
      </w:r>
      <w:r w:rsidRPr="00E11563">
        <w:rPr>
          <w:rFonts w:ascii="Times New Roman" w:hAnsi="Times New Roman"/>
          <w:szCs w:val="24"/>
        </w:rPr>
        <w:t xml:space="preserve"> per customer.  </w:t>
      </w:r>
    </w:p>
    <w:p w:rsidR="00A216AF" w:rsidRDefault="00A216AF" w:rsidP="00C97FF5">
      <w:pPr>
        <w:pStyle w:val="BodyText"/>
        <w:spacing w:line="480" w:lineRule="auto"/>
        <w:ind w:firstLine="720"/>
        <w:jc w:val="both"/>
        <w:rPr>
          <w:rFonts w:ascii="Times New Roman" w:hAnsi="Times New Roman"/>
          <w:szCs w:val="24"/>
        </w:rPr>
      </w:pPr>
    </w:p>
    <w:p w:rsidR="00A216AF" w:rsidRDefault="00A216AF"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Default="00986BA0" w:rsidP="00C97FF5">
      <w:pPr>
        <w:pStyle w:val="BodyText"/>
        <w:spacing w:line="480" w:lineRule="auto"/>
        <w:ind w:firstLine="720"/>
        <w:jc w:val="both"/>
        <w:rPr>
          <w:rFonts w:ascii="Times New Roman" w:hAnsi="Times New Roman"/>
          <w:szCs w:val="24"/>
        </w:rPr>
      </w:pPr>
    </w:p>
    <w:p w:rsidR="00986BA0" w:rsidRPr="002858CE" w:rsidRDefault="00986BA0" w:rsidP="00C97FF5">
      <w:pPr>
        <w:pStyle w:val="BodyText"/>
        <w:spacing w:line="480" w:lineRule="auto"/>
        <w:ind w:firstLine="720"/>
        <w:jc w:val="both"/>
        <w:rPr>
          <w:rFonts w:ascii="Times New Roman" w:hAnsi="Times New Roman"/>
          <w:szCs w:val="24"/>
        </w:rPr>
      </w:pPr>
    </w:p>
    <w:p w:rsidR="00C97FF5" w:rsidRPr="005A6858" w:rsidRDefault="00C97FF5" w:rsidP="00C97FF5">
      <w:pPr>
        <w:pStyle w:val="BodyText"/>
        <w:tabs>
          <w:tab w:val="left" w:pos="720"/>
        </w:tabs>
        <w:spacing w:line="480" w:lineRule="auto"/>
        <w:jc w:val="both"/>
        <w:rPr>
          <w:rFonts w:ascii="Times New Roman" w:hAnsi="Times New Roman"/>
          <w:b/>
          <w:szCs w:val="24"/>
          <w:u w:val="single"/>
        </w:rPr>
      </w:pPr>
      <w:r w:rsidRPr="005A6858">
        <w:rPr>
          <w:rFonts w:ascii="Times New Roman" w:hAnsi="Times New Roman"/>
          <w:b/>
          <w:szCs w:val="24"/>
          <w:u w:val="single"/>
        </w:rPr>
        <w:lastRenderedPageBreak/>
        <w:t xml:space="preserve">Table 2 </w:t>
      </w:r>
      <w:r w:rsidR="00306591" w:rsidRPr="005A6858">
        <w:rPr>
          <w:rFonts w:ascii="Times New Roman" w:hAnsi="Times New Roman"/>
          <w:b/>
          <w:szCs w:val="24"/>
          <w:u w:val="single"/>
        </w:rPr>
        <w:t>-</w:t>
      </w:r>
      <w:r w:rsidRPr="005A6858">
        <w:rPr>
          <w:rFonts w:ascii="Times New Roman" w:hAnsi="Times New Roman"/>
          <w:b/>
          <w:szCs w:val="24"/>
          <w:u w:val="single"/>
        </w:rPr>
        <w:t xml:space="preserve"> Number and Amount of Grants by </w:t>
      </w:r>
      <w:r w:rsidR="00A216AF">
        <w:rPr>
          <w:rFonts w:ascii="Times New Roman" w:hAnsi="Times New Roman"/>
          <w:b/>
          <w:szCs w:val="24"/>
          <w:u w:val="single"/>
        </w:rPr>
        <w:t xml:space="preserve">Program </w:t>
      </w:r>
      <w:r w:rsidRPr="005A6858">
        <w:rPr>
          <w:rFonts w:ascii="Times New Roman" w:hAnsi="Times New Roman"/>
          <w:b/>
          <w:szCs w:val="24"/>
          <w:u w:val="single"/>
        </w:rPr>
        <w:t>Component</w:t>
      </w:r>
    </w:p>
    <w:p w:rsidR="00C97FF5" w:rsidRPr="005A6858" w:rsidRDefault="00C97FF5" w:rsidP="00C97FF5">
      <w:pPr>
        <w:pStyle w:val="BodyText"/>
        <w:spacing w:line="480" w:lineRule="auto"/>
        <w:ind w:firstLine="720"/>
        <w:jc w:val="both"/>
        <w:rPr>
          <w:rFonts w:ascii="Times New Roman" w:hAnsi="Times New Roman"/>
        </w:rPr>
      </w:pPr>
    </w:p>
    <w:tbl>
      <w:tblPr>
        <w:tblW w:w="9917" w:type="dxa"/>
        <w:tblInd w:w="93" w:type="dxa"/>
        <w:tblLook w:val="04A0"/>
      </w:tblPr>
      <w:tblGrid>
        <w:gridCol w:w="3556"/>
        <w:gridCol w:w="2120"/>
        <w:gridCol w:w="2120"/>
        <w:gridCol w:w="2121"/>
      </w:tblGrid>
      <w:tr w:rsidR="00757A5D" w:rsidRPr="00757A5D" w:rsidTr="00757A5D">
        <w:trPr>
          <w:trHeight w:val="255"/>
        </w:trPr>
        <w:tc>
          <w:tcPr>
            <w:tcW w:w="35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57A5D" w:rsidRPr="00757A5D" w:rsidRDefault="00757A5D" w:rsidP="00757A5D">
            <w:pPr>
              <w:rPr>
                <w:b/>
                <w:bCs/>
                <w:sz w:val="22"/>
                <w:szCs w:val="22"/>
              </w:rPr>
            </w:pPr>
            <w:r w:rsidRPr="00757A5D">
              <w:rPr>
                <w:b/>
                <w:bCs/>
                <w:sz w:val="22"/>
                <w:szCs w:val="22"/>
              </w:rPr>
              <w:t>Partial Year</w:t>
            </w:r>
            <w:r>
              <w:rPr>
                <w:b/>
                <w:bCs/>
                <w:sz w:val="22"/>
                <w:szCs w:val="22"/>
              </w:rPr>
              <w:t xml:space="preserve">                  </w:t>
            </w:r>
            <w:r w:rsidRPr="00757A5D">
              <w:rPr>
                <w:b/>
                <w:bCs/>
                <w:sz w:val="22"/>
                <w:szCs w:val="22"/>
              </w:rPr>
              <w:t xml:space="preserve">              May 2011 -     September 2011</w:t>
            </w:r>
          </w:p>
        </w:tc>
        <w:tc>
          <w:tcPr>
            <w:tcW w:w="636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57A5D" w:rsidRPr="00757A5D" w:rsidRDefault="00757A5D" w:rsidP="00757A5D">
            <w:pPr>
              <w:jc w:val="center"/>
              <w:rPr>
                <w:b/>
                <w:bCs/>
                <w:sz w:val="24"/>
                <w:szCs w:val="24"/>
              </w:rPr>
            </w:pPr>
            <w:r w:rsidRPr="00757A5D">
              <w:rPr>
                <w:b/>
                <w:bCs/>
                <w:sz w:val="24"/>
                <w:szCs w:val="24"/>
              </w:rPr>
              <w:t> </w:t>
            </w:r>
          </w:p>
        </w:tc>
      </w:tr>
      <w:tr w:rsidR="00757A5D" w:rsidRPr="00757A5D" w:rsidTr="00757A5D">
        <w:trPr>
          <w:trHeight w:val="253"/>
        </w:trPr>
        <w:tc>
          <w:tcPr>
            <w:tcW w:w="3556" w:type="dxa"/>
            <w:vMerge/>
            <w:tcBorders>
              <w:top w:val="single" w:sz="8" w:space="0" w:color="auto"/>
              <w:left w:val="single" w:sz="8" w:space="0" w:color="auto"/>
              <w:bottom w:val="single" w:sz="8" w:space="0" w:color="000000"/>
              <w:right w:val="single" w:sz="8" w:space="0" w:color="auto"/>
            </w:tcBorders>
            <w:vAlign w:val="center"/>
            <w:hideMark/>
          </w:tcPr>
          <w:p w:rsidR="00757A5D" w:rsidRPr="00757A5D" w:rsidRDefault="00757A5D" w:rsidP="00757A5D">
            <w:pPr>
              <w:rPr>
                <w:b/>
                <w:bCs/>
                <w:sz w:val="22"/>
                <w:szCs w:val="22"/>
              </w:rPr>
            </w:pPr>
          </w:p>
        </w:tc>
        <w:tc>
          <w:tcPr>
            <w:tcW w:w="6361" w:type="dxa"/>
            <w:gridSpan w:val="3"/>
            <w:vMerge/>
            <w:tcBorders>
              <w:top w:val="single" w:sz="8" w:space="0" w:color="auto"/>
              <w:left w:val="single" w:sz="8" w:space="0" w:color="auto"/>
              <w:bottom w:val="single" w:sz="8" w:space="0" w:color="000000"/>
              <w:right w:val="single" w:sz="8" w:space="0" w:color="000000"/>
            </w:tcBorders>
            <w:vAlign w:val="center"/>
            <w:hideMark/>
          </w:tcPr>
          <w:p w:rsidR="00757A5D" w:rsidRPr="00757A5D" w:rsidRDefault="00757A5D" w:rsidP="00757A5D">
            <w:pPr>
              <w:rPr>
                <w:b/>
                <w:bCs/>
                <w:sz w:val="24"/>
                <w:szCs w:val="24"/>
              </w:rPr>
            </w:pPr>
          </w:p>
        </w:tc>
      </w:tr>
      <w:tr w:rsidR="00757A5D" w:rsidRPr="00757A5D" w:rsidTr="00A216AF">
        <w:trPr>
          <w:trHeight w:val="646"/>
        </w:trPr>
        <w:tc>
          <w:tcPr>
            <w:tcW w:w="3556" w:type="dxa"/>
            <w:tcBorders>
              <w:top w:val="nil"/>
              <w:left w:val="single" w:sz="8" w:space="0" w:color="auto"/>
              <w:bottom w:val="single" w:sz="8" w:space="0" w:color="auto"/>
              <w:right w:val="single" w:sz="8" w:space="0" w:color="auto"/>
            </w:tcBorders>
            <w:shd w:val="clear" w:color="auto" w:fill="auto"/>
            <w:vAlign w:val="bottom"/>
            <w:hideMark/>
          </w:tcPr>
          <w:p w:rsidR="00757A5D" w:rsidRPr="00757A5D" w:rsidRDefault="00757A5D" w:rsidP="00757A5D">
            <w:pPr>
              <w:rPr>
                <w:b/>
                <w:sz w:val="24"/>
                <w:szCs w:val="24"/>
              </w:rPr>
            </w:pPr>
            <w:r w:rsidRPr="00757A5D">
              <w:rPr>
                <w:b/>
                <w:sz w:val="24"/>
                <w:szCs w:val="24"/>
              </w:rPr>
              <w:t>Program Component</w:t>
            </w:r>
          </w:p>
        </w:tc>
        <w:tc>
          <w:tcPr>
            <w:tcW w:w="2120" w:type="dxa"/>
            <w:tcBorders>
              <w:top w:val="nil"/>
              <w:left w:val="nil"/>
              <w:bottom w:val="single" w:sz="8" w:space="0" w:color="auto"/>
              <w:right w:val="single" w:sz="8" w:space="0" w:color="auto"/>
            </w:tcBorders>
            <w:shd w:val="clear" w:color="auto" w:fill="auto"/>
            <w:vAlign w:val="bottom"/>
            <w:hideMark/>
          </w:tcPr>
          <w:p w:rsidR="00757A5D" w:rsidRPr="00757A5D" w:rsidRDefault="00757A5D" w:rsidP="00757A5D">
            <w:pPr>
              <w:jc w:val="center"/>
              <w:rPr>
                <w:b/>
                <w:sz w:val="24"/>
                <w:szCs w:val="24"/>
              </w:rPr>
            </w:pPr>
            <w:r w:rsidRPr="00757A5D">
              <w:rPr>
                <w:b/>
                <w:sz w:val="24"/>
                <w:szCs w:val="24"/>
              </w:rPr>
              <w:t>Number of Grants</w:t>
            </w:r>
          </w:p>
        </w:tc>
        <w:tc>
          <w:tcPr>
            <w:tcW w:w="2120" w:type="dxa"/>
            <w:tcBorders>
              <w:top w:val="nil"/>
              <w:left w:val="nil"/>
              <w:bottom w:val="single" w:sz="8" w:space="0" w:color="auto"/>
              <w:right w:val="single" w:sz="8" w:space="0" w:color="auto"/>
            </w:tcBorders>
            <w:shd w:val="clear" w:color="auto" w:fill="auto"/>
            <w:vAlign w:val="bottom"/>
            <w:hideMark/>
          </w:tcPr>
          <w:p w:rsidR="00757A5D" w:rsidRPr="00757A5D" w:rsidRDefault="00757A5D" w:rsidP="00757A5D">
            <w:pPr>
              <w:jc w:val="center"/>
              <w:rPr>
                <w:b/>
                <w:sz w:val="24"/>
                <w:szCs w:val="24"/>
              </w:rPr>
            </w:pPr>
            <w:r w:rsidRPr="00757A5D">
              <w:rPr>
                <w:b/>
                <w:sz w:val="24"/>
                <w:szCs w:val="24"/>
              </w:rPr>
              <w:t>Grant Amount</w:t>
            </w:r>
          </w:p>
        </w:tc>
        <w:tc>
          <w:tcPr>
            <w:tcW w:w="2121" w:type="dxa"/>
            <w:tcBorders>
              <w:top w:val="nil"/>
              <w:left w:val="nil"/>
              <w:bottom w:val="single" w:sz="8" w:space="0" w:color="auto"/>
              <w:right w:val="single" w:sz="8" w:space="0" w:color="auto"/>
            </w:tcBorders>
            <w:shd w:val="clear" w:color="auto" w:fill="auto"/>
            <w:vAlign w:val="bottom"/>
            <w:hideMark/>
          </w:tcPr>
          <w:p w:rsidR="00757A5D" w:rsidRPr="00757A5D" w:rsidRDefault="00757A5D" w:rsidP="00757A5D">
            <w:pPr>
              <w:jc w:val="center"/>
              <w:rPr>
                <w:b/>
                <w:sz w:val="24"/>
                <w:szCs w:val="24"/>
              </w:rPr>
            </w:pPr>
            <w:r w:rsidRPr="00757A5D">
              <w:rPr>
                <w:b/>
                <w:sz w:val="24"/>
                <w:szCs w:val="24"/>
              </w:rPr>
              <w:t>Avg. Grant Amt.</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LIRAP Heat</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72</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$27,660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$384 </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LIRAP Emergency Share</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358</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$85,157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$238 </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Senior Outreach</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315</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$84,041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$267 </w:t>
            </w:r>
          </w:p>
        </w:tc>
      </w:tr>
      <w:tr w:rsidR="00757A5D" w:rsidRPr="00757A5D" w:rsidTr="00A216AF">
        <w:trPr>
          <w:trHeight w:val="330"/>
        </w:trPr>
        <w:tc>
          <w:tcPr>
            <w:tcW w:w="3556" w:type="dxa"/>
            <w:tcBorders>
              <w:top w:val="nil"/>
              <w:left w:val="single" w:sz="8" w:space="0" w:color="auto"/>
              <w:bottom w:val="single" w:sz="8" w:space="0" w:color="auto"/>
              <w:right w:val="single" w:sz="8" w:space="0" w:color="auto"/>
            </w:tcBorders>
            <w:shd w:val="clear" w:color="auto" w:fill="auto"/>
            <w:noWrap/>
            <w:vAlign w:val="bottom"/>
            <w:hideMark/>
          </w:tcPr>
          <w:p w:rsidR="00757A5D" w:rsidRPr="00757A5D" w:rsidRDefault="00757A5D" w:rsidP="00757A5D">
            <w:pPr>
              <w:rPr>
                <w:sz w:val="24"/>
                <w:szCs w:val="24"/>
              </w:rPr>
            </w:pPr>
            <w:r w:rsidRPr="00757A5D">
              <w:rPr>
                <w:sz w:val="24"/>
                <w:szCs w:val="24"/>
              </w:rPr>
              <w:t>Total</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745</w:t>
            </w:r>
          </w:p>
        </w:tc>
        <w:tc>
          <w:tcPr>
            <w:tcW w:w="2120"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right"/>
              <w:rPr>
                <w:color w:val="000000"/>
                <w:sz w:val="24"/>
                <w:szCs w:val="24"/>
              </w:rPr>
            </w:pPr>
            <w:r w:rsidRPr="00757A5D">
              <w:rPr>
                <w:color w:val="000000"/>
                <w:sz w:val="24"/>
                <w:szCs w:val="24"/>
              </w:rPr>
              <w:t xml:space="preserve">$196,859 </w:t>
            </w:r>
          </w:p>
        </w:tc>
        <w:tc>
          <w:tcPr>
            <w:tcW w:w="2121" w:type="dxa"/>
            <w:tcBorders>
              <w:top w:val="nil"/>
              <w:left w:val="nil"/>
              <w:bottom w:val="single" w:sz="8" w:space="0" w:color="auto"/>
              <w:right w:val="single" w:sz="8" w:space="0" w:color="auto"/>
            </w:tcBorders>
            <w:shd w:val="clear" w:color="auto" w:fill="auto"/>
            <w:noWrap/>
            <w:vAlign w:val="bottom"/>
            <w:hideMark/>
          </w:tcPr>
          <w:p w:rsidR="00757A5D" w:rsidRPr="00757A5D" w:rsidRDefault="00757A5D" w:rsidP="00757A5D">
            <w:pPr>
              <w:jc w:val="center"/>
              <w:rPr>
                <w:color w:val="000000"/>
                <w:sz w:val="24"/>
                <w:szCs w:val="24"/>
              </w:rPr>
            </w:pPr>
            <w:r w:rsidRPr="00757A5D">
              <w:rPr>
                <w:color w:val="000000"/>
                <w:sz w:val="24"/>
                <w:szCs w:val="24"/>
              </w:rPr>
              <w:t xml:space="preserve">$264 </w:t>
            </w:r>
          </w:p>
        </w:tc>
      </w:tr>
      <w:tr w:rsidR="00757A5D" w:rsidRPr="00757A5D" w:rsidTr="00A216AF">
        <w:trPr>
          <w:trHeight w:val="255"/>
        </w:trPr>
        <w:tc>
          <w:tcPr>
            <w:tcW w:w="3556"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1"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r>
      <w:tr w:rsidR="00757A5D" w:rsidRPr="00757A5D" w:rsidTr="00A216AF">
        <w:trPr>
          <w:trHeight w:val="270"/>
        </w:trPr>
        <w:tc>
          <w:tcPr>
            <w:tcW w:w="3556"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0"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c>
          <w:tcPr>
            <w:tcW w:w="2121" w:type="dxa"/>
            <w:tcBorders>
              <w:top w:val="nil"/>
              <w:left w:val="nil"/>
              <w:bottom w:val="nil"/>
              <w:right w:val="nil"/>
            </w:tcBorders>
            <w:shd w:val="clear" w:color="auto" w:fill="auto"/>
            <w:noWrap/>
            <w:vAlign w:val="bottom"/>
            <w:hideMark/>
          </w:tcPr>
          <w:p w:rsidR="00757A5D" w:rsidRPr="00757A5D" w:rsidRDefault="00757A5D" w:rsidP="00757A5D">
            <w:pPr>
              <w:rPr>
                <w:rFonts w:ascii="Arial" w:hAnsi="Arial" w:cs="Arial"/>
              </w:rPr>
            </w:pPr>
          </w:p>
        </w:tc>
      </w:tr>
    </w:tbl>
    <w:p w:rsidR="00C97FF5" w:rsidRPr="005A6858" w:rsidRDefault="00C1601F" w:rsidP="00C97FF5">
      <w:pPr>
        <w:pStyle w:val="BodyText"/>
        <w:tabs>
          <w:tab w:val="left" w:pos="720"/>
          <w:tab w:val="left" w:pos="2250"/>
          <w:tab w:val="left" w:pos="7920"/>
        </w:tabs>
        <w:spacing w:line="480" w:lineRule="auto"/>
        <w:jc w:val="both"/>
        <w:rPr>
          <w:rFonts w:ascii="Times New Roman" w:hAnsi="Times New Roman"/>
        </w:rPr>
      </w:pPr>
      <w:r w:rsidRPr="005A6858">
        <w:rPr>
          <w:rFonts w:ascii="Times New Roman" w:hAnsi="Times New Roman"/>
        </w:rPr>
        <w:tab/>
      </w:r>
      <w:r w:rsidR="00034451">
        <w:rPr>
          <w:rFonts w:ascii="Times New Roman" w:hAnsi="Times New Roman"/>
        </w:rPr>
        <w:t>T</w:t>
      </w:r>
      <w:r w:rsidR="005365D1" w:rsidRPr="005A6858">
        <w:rPr>
          <w:rFonts w:ascii="Times New Roman" w:hAnsi="Times New Roman"/>
        </w:rPr>
        <w:t>able</w:t>
      </w:r>
      <w:r w:rsidR="00034451">
        <w:rPr>
          <w:rFonts w:ascii="Times New Roman" w:hAnsi="Times New Roman"/>
        </w:rPr>
        <w:t xml:space="preserve"> 3</w:t>
      </w:r>
      <w:r w:rsidR="005365D1" w:rsidRPr="005A6858">
        <w:rPr>
          <w:rFonts w:ascii="Times New Roman" w:hAnsi="Times New Roman"/>
        </w:rPr>
        <w:t xml:space="preserve"> below</w:t>
      </w:r>
      <w:r w:rsidR="00C97FF5" w:rsidRPr="005A6858">
        <w:rPr>
          <w:rFonts w:ascii="Times New Roman" w:hAnsi="Times New Roman"/>
        </w:rPr>
        <w:t xml:space="preserve"> shows a collection of demographic data intended to be responsive to requests for general information of participating customers.  This data was collected by participating Community Action Agencies.</w:t>
      </w:r>
    </w:p>
    <w:p w:rsidR="00C97FF5" w:rsidRPr="005A6858" w:rsidRDefault="00C97FF5" w:rsidP="00C1601F">
      <w:pPr>
        <w:pStyle w:val="BodyText"/>
        <w:spacing w:line="480" w:lineRule="auto"/>
        <w:jc w:val="both"/>
        <w:rPr>
          <w:rFonts w:ascii="Times New Roman" w:hAnsi="Times New Roman"/>
          <w:u w:val="single"/>
        </w:rPr>
      </w:pPr>
      <w:r w:rsidRPr="005A6858">
        <w:rPr>
          <w:rFonts w:ascii="Times New Roman" w:hAnsi="Times New Roman"/>
          <w:b/>
          <w:u w:val="single"/>
        </w:rPr>
        <w:t>Table 3 -- Demographic Data</w:t>
      </w:r>
    </w:p>
    <w:tbl>
      <w:tblPr>
        <w:tblW w:w="9859" w:type="dxa"/>
        <w:tblInd w:w="93" w:type="dxa"/>
        <w:tblLook w:val="04A0"/>
      </w:tblPr>
      <w:tblGrid>
        <w:gridCol w:w="2692"/>
        <w:gridCol w:w="2277"/>
        <w:gridCol w:w="2276"/>
        <w:gridCol w:w="338"/>
        <w:gridCol w:w="2276"/>
      </w:tblGrid>
      <w:tr w:rsidR="001333B4" w:rsidRPr="001333B4" w:rsidTr="001333B4">
        <w:trPr>
          <w:trHeight w:val="329"/>
        </w:trPr>
        <w:tc>
          <w:tcPr>
            <w:tcW w:w="2692" w:type="dxa"/>
            <w:tcBorders>
              <w:top w:val="single" w:sz="8" w:space="0" w:color="auto"/>
              <w:left w:val="single" w:sz="8" w:space="0" w:color="auto"/>
              <w:bottom w:val="nil"/>
              <w:right w:val="nil"/>
            </w:tcBorders>
            <w:shd w:val="clear" w:color="auto" w:fill="auto"/>
            <w:noWrap/>
            <w:vAlign w:val="bottom"/>
            <w:hideMark/>
          </w:tcPr>
          <w:p w:rsidR="001333B4" w:rsidRPr="001333B4" w:rsidRDefault="001333B4">
            <w:pPr>
              <w:rPr>
                <w:sz w:val="24"/>
                <w:szCs w:val="24"/>
              </w:rPr>
            </w:pPr>
            <w:bookmarkStart w:id="2" w:name="RANGE!B6:F34"/>
            <w:r w:rsidRPr="001333B4">
              <w:rPr>
                <w:sz w:val="24"/>
                <w:szCs w:val="24"/>
              </w:rPr>
              <w:t> </w:t>
            </w:r>
            <w:bookmarkEnd w:id="2"/>
          </w:p>
        </w:tc>
        <w:tc>
          <w:tcPr>
            <w:tcW w:w="2276" w:type="dxa"/>
            <w:tcBorders>
              <w:top w:val="single" w:sz="8" w:space="0" w:color="auto"/>
              <w:left w:val="nil"/>
              <w:bottom w:val="single" w:sz="8" w:space="0" w:color="auto"/>
              <w:right w:val="nil"/>
            </w:tcBorders>
            <w:shd w:val="clear" w:color="auto" w:fill="auto"/>
            <w:noWrap/>
            <w:vAlign w:val="bottom"/>
            <w:hideMark/>
          </w:tcPr>
          <w:p w:rsidR="001333B4" w:rsidRPr="001333B4" w:rsidRDefault="001333B4">
            <w:pPr>
              <w:rPr>
                <w:b/>
                <w:bCs/>
                <w:sz w:val="24"/>
                <w:szCs w:val="24"/>
              </w:rPr>
            </w:pPr>
            <w:r w:rsidRPr="001333B4">
              <w:rPr>
                <w:b/>
                <w:bCs/>
                <w:sz w:val="24"/>
                <w:szCs w:val="24"/>
              </w:rPr>
              <w:t xml:space="preserve"> # of Households </w:t>
            </w:r>
          </w:p>
        </w:tc>
        <w:tc>
          <w:tcPr>
            <w:tcW w:w="2276" w:type="dxa"/>
            <w:tcBorders>
              <w:top w:val="single" w:sz="8" w:space="0" w:color="auto"/>
              <w:left w:val="nil"/>
              <w:bottom w:val="single" w:sz="8" w:space="0" w:color="auto"/>
              <w:right w:val="nil"/>
            </w:tcBorders>
            <w:shd w:val="clear" w:color="auto" w:fill="auto"/>
            <w:noWrap/>
            <w:vAlign w:val="bottom"/>
            <w:hideMark/>
          </w:tcPr>
          <w:p w:rsidR="001333B4" w:rsidRPr="001333B4" w:rsidRDefault="001333B4">
            <w:pPr>
              <w:jc w:val="center"/>
              <w:rPr>
                <w:b/>
                <w:bCs/>
                <w:sz w:val="24"/>
                <w:szCs w:val="24"/>
              </w:rPr>
            </w:pPr>
            <w:r w:rsidRPr="001333B4">
              <w:rPr>
                <w:b/>
                <w:bCs/>
                <w:sz w:val="24"/>
                <w:szCs w:val="24"/>
              </w:rPr>
              <w:t>% of Households</w:t>
            </w:r>
          </w:p>
        </w:tc>
        <w:tc>
          <w:tcPr>
            <w:tcW w:w="338" w:type="dxa"/>
            <w:tcBorders>
              <w:top w:val="single" w:sz="8" w:space="0" w:color="auto"/>
              <w:left w:val="nil"/>
              <w:bottom w:val="nil"/>
              <w:right w:val="nil"/>
            </w:tcBorders>
            <w:shd w:val="clear" w:color="auto" w:fill="auto"/>
            <w:noWrap/>
            <w:vAlign w:val="bottom"/>
            <w:hideMark/>
          </w:tcPr>
          <w:p w:rsidR="001333B4" w:rsidRPr="001333B4" w:rsidRDefault="001333B4">
            <w:pPr>
              <w:jc w:val="center"/>
              <w:rPr>
                <w:b/>
                <w:bCs/>
                <w:sz w:val="24"/>
                <w:szCs w:val="24"/>
              </w:rPr>
            </w:pPr>
            <w:r w:rsidRPr="001333B4">
              <w:rPr>
                <w:b/>
                <w:bCs/>
                <w:sz w:val="24"/>
                <w:szCs w:val="24"/>
              </w:rPr>
              <w:t> </w:t>
            </w:r>
          </w:p>
        </w:tc>
        <w:tc>
          <w:tcPr>
            <w:tcW w:w="2276" w:type="dxa"/>
            <w:tcBorders>
              <w:top w:val="single" w:sz="8" w:space="0" w:color="auto"/>
              <w:left w:val="nil"/>
              <w:bottom w:val="single" w:sz="8" w:space="0" w:color="auto"/>
              <w:right w:val="single" w:sz="8" w:space="0" w:color="auto"/>
            </w:tcBorders>
            <w:shd w:val="clear" w:color="auto" w:fill="auto"/>
            <w:noWrap/>
            <w:vAlign w:val="bottom"/>
            <w:hideMark/>
          </w:tcPr>
          <w:p w:rsidR="001333B4" w:rsidRPr="001333B4" w:rsidRDefault="001333B4">
            <w:pPr>
              <w:jc w:val="center"/>
              <w:rPr>
                <w:b/>
                <w:bCs/>
                <w:sz w:val="24"/>
                <w:szCs w:val="24"/>
              </w:rPr>
            </w:pPr>
            <w:r w:rsidRPr="001333B4">
              <w:rPr>
                <w:b/>
                <w:bCs/>
                <w:sz w:val="24"/>
                <w:szCs w:val="24"/>
              </w:rPr>
              <w:t>Cumulative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Home Ownership</w:t>
            </w: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Own</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276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37%</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Rent</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469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63%</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b/>
                <w:bCs/>
                <w:sz w:val="24"/>
                <w:szCs w:val="24"/>
              </w:rPr>
            </w:pPr>
            <w:r w:rsidRPr="001333B4">
              <w:rPr>
                <w:b/>
                <w:bCs/>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 </w:t>
            </w:r>
          </w:p>
        </w:tc>
        <w:tc>
          <w:tcPr>
            <w:tcW w:w="2276" w:type="dxa"/>
            <w:tcBorders>
              <w:top w:val="nil"/>
              <w:left w:val="nil"/>
              <w:bottom w:val="nil"/>
              <w:right w:val="nil"/>
            </w:tcBorders>
            <w:shd w:val="clear" w:color="auto" w:fill="auto"/>
            <w:noWrap/>
            <w:vAlign w:val="bottom"/>
            <w:hideMark/>
          </w:tcPr>
          <w:p w:rsidR="001333B4" w:rsidRPr="001333B4" w:rsidRDefault="001333B4">
            <w:pPr>
              <w:rPr>
                <w:b/>
                <w:bCs/>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Heating Fuel Source</w:t>
            </w: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Electric</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457</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61%</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61%</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Natural Gas</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286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38%</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Other</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2</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0%</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b/>
                <w:bCs/>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b/>
                <w:bCs/>
                <w:sz w:val="24"/>
                <w:szCs w:val="24"/>
              </w:rPr>
            </w:pPr>
            <w:r w:rsidRPr="001333B4">
              <w:rPr>
                <w:b/>
                <w:bCs/>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 </w:t>
            </w:r>
          </w:p>
        </w:tc>
        <w:tc>
          <w:tcPr>
            <w:tcW w:w="2276" w:type="dxa"/>
            <w:tcBorders>
              <w:top w:val="nil"/>
              <w:left w:val="nil"/>
              <w:bottom w:val="nil"/>
              <w:right w:val="nil"/>
            </w:tcBorders>
            <w:shd w:val="clear" w:color="auto" w:fill="auto"/>
            <w:noWrap/>
            <w:vAlign w:val="bottom"/>
            <w:hideMark/>
          </w:tcPr>
          <w:p w:rsidR="001333B4" w:rsidRPr="001333B4" w:rsidRDefault="001333B4">
            <w:pPr>
              <w:rPr>
                <w:b/>
                <w:bCs/>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Size of Household</w:t>
            </w:r>
          </w:p>
        </w:tc>
        <w:tc>
          <w:tcPr>
            <w:tcW w:w="2276" w:type="dxa"/>
            <w:tcBorders>
              <w:top w:val="nil"/>
              <w:left w:val="nil"/>
              <w:bottom w:val="nil"/>
              <w:right w:val="nil"/>
            </w:tcBorders>
            <w:shd w:val="clear" w:color="auto" w:fill="auto"/>
            <w:noWrap/>
            <w:vAlign w:val="bottom"/>
            <w:hideMark/>
          </w:tcPr>
          <w:p w:rsidR="001333B4" w:rsidRPr="001333B4" w:rsidRDefault="001333B4">
            <w:pPr>
              <w:rPr>
                <w:sz w:val="24"/>
                <w:szCs w:val="24"/>
              </w:rPr>
            </w:pP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1 Person</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293</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39%</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39%</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2 People</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203</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67%</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3 People</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123</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83%</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4+ People</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126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986BA0">
        <w:trPr>
          <w:trHeight w:val="329"/>
        </w:trPr>
        <w:tc>
          <w:tcPr>
            <w:tcW w:w="2692" w:type="dxa"/>
            <w:tcBorders>
              <w:top w:val="nil"/>
              <w:left w:val="single" w:sz="8" w:space="0" w:color="auto"/>
              <w:bottom w:val="single" w:sz="4" w:space="0" w:color="auto"/>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b/>
                <w:bCs/>
                <w:sz w:val="24"/>
                <w:szCs w:val="24"/>
              </w:rPr>
            </w:pPr>
          </w:p>
        </w:tc>
        <w:tc>
          <w:tcPr>
            <w:tcW w:w="338" w:type="dxa"/>
            <w:tcBorders>
              <w:top w:val="nil"/>
              <w:left w:val="nil"/>
              <w:bottom w:val="single" w:sz="4" w:space="0" w:color="auto"/>
              <w:right w:val="nil"/>
            </w:tcBorders>
            <w:shd w:val="clear" w:color="auto" w:fill="auto"/>
            <w:noWrap/>
            <w:vAlign w:val="bottom"/>
            <w:hideMark/>
          </w:tcPr>
          <w:p w:rsidR="001333B4" w:rsidRPr="001333B4" w:rsidRDefault="001333B4">
            <w:pPr>
              <w:jc w:val="right"/>
              <w:rPr>
                <w:b/>
                <w:bCs/>
                <w:sz w:val="24"/>
                <w:szCs w:val="24"/>
              </w:rPr>
            </w:pPr>
          </w:p>
        </w:tc>
        <w:tc>
          <w:tcPr>
            <w:tcW w:w="2276" w:type="dxa"/>
            <w:tcBorders>
              <w:top w:val="nil"/>
              <w:left w:val="nil"/>
              <w:bottom w:val="single" w:sz="4" w:space="0" w:color="auto"/>
              <w:right w:val="single" w:sz="8" w:space="0" w:color="auto"/>
            </w:tcBorders>
            <w:shd w:val="clear" w:color="auto" w:fill="auto"/>
            <w:noWrap/>
            <w:vAlign w:val="bottom"/>
            <w:hideMark/>
          </w:tcPr>
          <w:p w:rsidR="001333B4" w:rsidRPr="001333B4" w:rsidRDefault="001333B4">
            <w:pPr>
              <w:jc w:val="right"/>
              <w:rPr>
                <w:b/>
                <w:bCs/>
                <w:sz w:val="24"/>
                <w:szCs w:val="24"/>
              </w:rPr>
            </w:pPr>
            <w:r w:rsidRPr="001333B4">
              <w:rPr>
                <w:b/>
                <w:bCs/>
                <w:sz w:val="24"/>
                <w:szCs w:val="24"/>
              </w:rPr>
              <w:t> </w:t>
            </w:r>
          </w:p>
        </w:tc>
      </w:tr>
      <w:tr w:rsidR="001333B4" w:rsidRPr="001333B4" w:rsidTr="00986BA0">
        <w:trPr>
          <w:trHeight w:val="315"/>
        </w:trPr>
        <w:tc>
          <w:tcPr>
            <w:tcW w:w="2692" w:type="dxa"/>
            <w:tcBorders>
              <w:top w:val="single" w:sz="4" w:space="0" w:color="auto"/>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lastRenderedPageBreak/>
              <w:t> </w:t>
            </w:r>
          </w:p>
        </w:tc>
        <w:tc>
          <w:tcPr>
            <w:tcW w:w="2276" w:type="dxa"/>
            <w:tcBorders>
              <w:top w:val="single" w:sz="4" w:space="0" w:color="auto"/>
              <w:left w:val="nil"/>
              <w:bottom w:val="nil"/>
              <w:right w:val="nil"/>
            </w:tcBorders>
            <w:shd w:val="clear" w:color="auto" w:fill="auto"/>
            <w:noWrap/>
            <w:vAlign w:val="bottom"/>
            <w:hideMark/>
          </w:tcPr>
          <w:p w:rsidR="001333B4" w:rsidRPr="001333B4" w:rsidRDefault="001333B4">
            <w:pPr>
              <w:rPr>
                <w:b/>
                <w:bCs/>
                <w:sz w:val="24"/>
                <w:szCs w:val="24"/>
              </w:rPr>
            </w:pPr>
          </w:p>
        </w:tc>
        <w:tc>
          <w:tcPr>
            <w:tcW w:w="2276" w:type="dxa"/>
            <w:tcBorders>
              <w:top w:val="single" w:sz="4" w:space="0" w:color="auto"/>
              <w:left w:val="nil"/>
              <w:bottom w:val="nil"/>
              <w:right w:val="nil"/>
            </w:tcBorders>
            <w:shd w:val="clear" w:color="auto" w:fill="auto"/>
            <w:noWrap/>
            <w:vAlign w:val="bottom"/>
            <w:hideMark/>
          </w:tcPr>
          <w:p w:rsidR="001333B4" w:rsidRPr="001333B4" w:rsidRDefault="001333B4">
            <w:pPr>
              <w:jc w:val="right"/>
              <w:rPr>
                <w:sz w:val="24"/>
                <w:szCs w:val="24"/>
              </w:rPr>
            </w:pPr>
          </w:p>
        </w:tc>
        <w:tc>
          <w:tcPr>
            <w:tcW w:w="338" w:type="dxa"/>
            <w:tcBorders>
              <w:top w:val="single" w:sz="4" w:space="0" w:color="auto"/>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single" w:sz="4" w:space="0" w:color="auto"/>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r w:rsidR="001333B4" w:rsidRPr="001333B4" w:rsidTr="001333B4">
        <w:trPr>
          <w:trHeight w:val="315"/>
        </w:trPr>
        <w:tc>
          <w:tcPr>
            <w:tcW w:w="4969" w:type="dxa"/>
            <w:gridSpan w:val="2"/>
            <w:tcBorders>
              <w:top w:val="nil"/>
              <w:left w:val="single" w:sz="8" w:space="0" w:color="auto"/>
              <w:bottom w:val="nil"/>
              <w:right w:val="nil"/>
            </w:tcBorders>
            <w:shd w:val="clear" w:color="auto" w:fill="auto"/>
            <w:noWrap/>
            <w:vAlign w:val="bottom"/>
            <w:hideMark/>
          </w:tcPr>
          <w:p w:rsidR="001333B4" w:rsidRPr="001333B4" w:rsidRDefault="001333B4">
            <w:pPr>
              <w:rPr>
                <w:b/>
                <w:bCs/>
                <w:sz w:val="24"/>
                <w:szCs w:val="24"/>
              </w:rPr>
            </w:pPr>
            <w:r w:rsidRPr="001333B4">
              <w:rPr>
                <w:b/>
                <w:bCs/>
                <w:sz w:val="24"/>
                <w:szCs w:val="24"/>
              </w:rPr>
              <w:t>Annual Income Level</w:t>
            </w:r>
            <w:r w:rsidR="00986BA0">
              <w:rPr>
                <w:b/>
                <w:bCs/>
                <w:sz w:val="24"/>
                <w:szCs w:val="24"/>
              </w:rPr>
              <w:t xml:space="preserve">               </w:t>
            </w:r>
            <w:r w:rsidR="00986BA0" w:rsidRPr="00986BA0">
              <w:rPr>
                <w:b/>
                <w:bCs/>
                <w:sz w:val="24"/>
                <w:szCs w:val="24"/>
                <w:u w:val="single"/>
              </w:rPr>
              <w:t># of Households</w:t>
            </w:r>
          </w:p>
        </w:tc>
        <w:tc>
          <w:tcPr>
            <w:tcW w:w="2276" w:type="dxa"/>
            <w:tcBorders>
              <w:top w:val="nil"/>
              <w:left w:val="nil"/>
              <w:bottom w:val="nil"/>
              <w:right w:val="nil"/>
            </w:tcBorders>
            <w:shd w:val="clear" w:color="auto" w:fill="auto"/>
            <w:noWrap/>
            <w:vAlign w:val="bottom"/>
            <w:hideMark/>
          </w:tcPr>
          <w:p w:rsidR="001333B4" w:rsidRPr="00986BA0" w:rsidRDefault="00986BA0">
            <w:pPr>
              <w:jc w:val="right"/>
              <w:rPr>
                <w:b/>
                <w:sz w:val="24"/>
                <w:szCs w:val="24"/>
                <w:u w:val="single"/>
              </w:rPr>
            </w:pPr>
            <w:r w:rsidRPr="00986BA0">
              <w:rPr>
                <w:b/>
                <w:sz w:val="24"/>
                <w:szCs w:val="24"/>
                <w:u w:val="single"/>
              </w:rPr>
              <w:t>% of Households</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986BA0" w:rsidRDefault="00986BA0">
            <w:pPr>
              <w:jc w:val="right"/>
              <w:rPr>
                <w:b/>
                <w:sz w:val="24"/>
                <w:szCs w:val="24"/>
                <w:u w:val="single"/>
              </w:rPr>
            </w:pPr>
            <w:r w:rsidRPr="00986BA0">
              <w:rPr>
                <w:b/>
                <w:sz w:val="24"/>
                <w:szCs w:val="24"/>
                <w:u w:val="single"/>
              </w:rPr>
              <w:t>Cumulative %</w:t>
            </w:r>
            <w:r w:rsidR="001333B4" w:rsidRPr="00986BA0">
              <w:rPr>
                <w:b/>
                <w:sz w:val="24"/>
                <w:szCs w:val="24"/>
                <w:u w:val="single"/>
              </w:rPr>
              <w:t> </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Under $2,000</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50</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7%</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7%</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$2,000-$3,999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22</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$4,000-$5,999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30</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4%</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14%</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$6,000-$7,999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37</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19%</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$8,000-$9,999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96</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13%</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32%</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$10,000-$11,999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39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37%</w:t>
            </w:r>
          </w:p>
        </w:tc>
      </w:tr>
      <w:tr w:rsidR="001333B4" w:rsidRPr="001333B4" w:rsidTr="001333B4">
        <w:trPr>
          <w:trHeight w:val="315"/>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$12,000-$14,999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101</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14%</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50%</w:t>
            </w:r>
          </w:p>
        </w:tc>
      </w:tr>
      <w:tr w:rsidR="001333B4" w:rsidRPr="001333B4" w:rsidTr="001333B4">
        <w:trPr>
          <w:trHeight w:val="329"/>
        </w:trPr>
        <w:tc>
          <w:tcPr>
            <w:tcW w:w="2692" w:type="dxa"/>
            <w:tcBorders>
              <w:top w:val="nil"/>
              <w:left w:val="single" w:sz="8" w:space="0" w:color="auto"/>
              <w:bottom w:val="nil"/>
              <w:right w:val="nil"/>
            </w:tcBorders>
            <w:shd w:val="clear" w:color="auto" w:fill="auto"/>
            <w:noWrap/>
            <w:vAlign w:val="bottom"/>
            <w:hideMark/>
          </w:tcPr>
          <w:p w:rsidR="001333B4" w:rsidRPr="001333B4" w:rsidRDefault="001333B4">
            <w:pPr>
              <w:rPr>
                <w:sz w:val="24"/>
                <w:szCs w:val="24"/>
              </w:rPr>
            </w:pPr>
            <w:r w:rsidRPr="001333B4">
              <w:rPr>
                <w:sz w:val="24"/>
                <w:szCs w:val="24"/>
              </w:rPr>
              <w:t>Over $15,000</w:t>
            </w:r>
          </w:p>
        </w:tc>
        <w:tc>
          <w:tcPr>
            <w:tcW w:w="2276" w:type="dxa"/>
            <w:tcBorders>
              <w:top w:val="nil"/>
              <w:left w:val="nil"/>
              <w:bottom w:val="single" w:sz="4"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369</w:t>
            </w:r>
          </w:p>
        </w:tc>
        <w:tc>
          <w:tcPr>
            <w:tcW w:w="2276"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r w:rsidRPr="001333B4">
              <w:rPr>
                <w:sz w:val="24"/>
                <w:szCs w:val="24"/>
              </w:rPr>
              <w:t>50%</w:t>
            </w:r>
          </w:p>
        </w:tc>
        <w:tc>
          <w:tcPr>
            <w:tcW w:w="338" w:type="dxa"/>
            <w:tcBorders>
              <w:top w:val="nil"/>
              <w:left w:val="nil"/>
              <w:bottom w:val="nil"/>
              <w:right w:val="nil"/>
            </w:tcBorders>
            <w:shd w:val="clear" w:color="auto" w:fill="auto"/>
            <w:noWrap/>
            <w:vAlign w:val="bottom"/>
            <w:hideMark/>
          </w:tcPr>
          <w:p w:rsidR="001333B4" w:rsidRPr="001333B4" w:rsidRDefault="001333B4">
            <w:pPr>
              <w:jc w:val="right"/>
              <w:rPr>
                <w:sz w:val="24"/>
                <w:szCs w:val="24"/>
              </w:rPr>
            </w:pPr>
          </w:p>
        </w:tc>
        <w:tc>
          <w:tcPr>
            <w:tcW w:w="2276" w:type="dxa"/>
            <w:tcBorders>
              <w:top w:val="nil"/>
              <w:left w:val="nil"/>
              <w:bottom w:val="nil"/>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100%</w:t>
            </w:r>
          </w:p>
        </w:tc>
      </w:tr>
      <w:tr w:rsidR="001333B4" w:rsidRPr="001333B4" w:rsidTr="001333B4">
        <w:trPr>
          <w:trHeight w:val="329"/>
        </w:trPr>
        <w:tc>
          <w:tcPr>
            <w:tcW w:w="2692" w:type="dxa"/>
            <w:tcBorders>
              <w:top w:val="nil"/>
              <w:left w:val="single" w:sz="8" w:space="0" w:color="auto"/>
              <w:bottom w:val="single" w:sz="8" w:space="0" w:color="auto"/>
              <w:right w:val="nil"/>
            </w:tcBorders>
            <w:shd w:val="clear" w:color="auto" w:fill="auto"/>
            <w:noWrap/>
            <w:vAlign w:val="bottom"/>
            <w:hideMark/>
          </w:tcPr>
          <w:p w:rsidR="001333B4" w:rsidRPr="001333B4" w:rsidRDefault="001333B4">
            <w:pPr>
              <w:rPr>
                <w:b/>
                <w:bCs/>
                <w:sz w:val="24"/>
                <w:szCs w:val="24"/>
              </w:rPr>
            </w:pPr>
            <w:r w:rsidRPr="001333B4">
              <w:rPr>
                <w:b/>
                <w:bCs/>
                <w:sz w:val="24"/>
                <w:szCs w:val="24"/>
              </w:rPr>
              <w:t>Total</w:t>
            </w:r>
          </w:p>
        </w:tc>
        <w:tc>
          <w:tcPr>
            <w:tcW w:w="2276" w:type="dxa"/>
            <w:tcBorders>
              <w:top w:val="nil"/>
              <w:left w:val="nil"/>
              <w:bottom w:val="single" w:sz="8" w:space="0" w:color="auto"/>
              <w:right w:val="nil"/>
            </w:tcBorders>
            <w:shd w:val="clear" w:color="auto" w:fill="auto"/>
            <w:noWrap/>
            <w:vAlign w:val="bottom"/>
            <w:hideMark/>
          </w:tcPr>
          <w:p w:rsidR="001333B4" w:rsidRPr="001333B4" w:rsidRDefault="001333B4">
            <w:pPr>
              <w:jc w:val="right"/>
              <w:rPr>
                <w:b/>
                <w:bCs/>
                <w:sz w:val="24"/>
                <w:szCs w:val="24"/>
              </w:rPr>
            </w:pPr>
            <w:r w:rsidRPr="001333B4">
              <w:rPr>
                <w:b/>
                <w:bCs/>
                <w:sz w:val="24"/>
                <w:szCs w:val="24"/>
              </w:rPr>
              <w:t>745</w:t>
            </w:r>
          </w:p>
        </w:tc>
        <w:tc>
          <w:tcPr>
            <w:tcW w:w="2276" w:type="dxa"/>
            <w:tcBorders>
              <w:top w:val="nil"/>
              <w:left w:val="nil"/>
              <w:bottom w:val="single" w:sz="8"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 </w:t>
            </w:r>
          </w:p>
        </w:tc>
        <w:tc>
          <w:tcPr>
            <w:tcW w:w="338" w:type="dxa"/>
            <w:tcBorders>
              <w:top w:val="nil"/>
              <w:left w:val="nil"/>
              <w:bottom w:val="single" w:sz="8" w:space="0" w:color="auto"/>
              <w:right w:val="nil"/>
            </w:tcBorders>
            <w:shd w:val="clear" w:color="auto" w:fill="auto"/>
            <w:noWrap/>
            <w:vAlign w:val="bottom"/>
            <w:hideMark/>
          </w:tcPr>
          <w:p w:rsidR="001333B4" w:rsidRPr="001333B4" w:rsidRDefault="001333B4">
            <w:pPr>
              <w:jc w:val="right"/>
              <w:rPr>
                <w:sz w:val="24"/>
                <w:szCs w:val="24"/>
              </w:rPr>
            </w:pPr>
            <w:r w:rsidRPr="001333B4">
              <w:rPr>
                <w:sz w:val="24"/>
                <w:szCs w:val="24"/>
              </w:rPr>
              <w:t> </w:t>
            </w:r>
          </w:p>
        </w:tc>
        <w:tc>
          <w:tcPr>
            <w:tcW w:w="2276" w:type="dxa"/>
            <w:tcBorders>
              <w:top w:val="nil"/>
              <w:left w:val="nil"/>
              <w:bottom w:val="single" w:sz="8" w:space="0" w:color="auto"/>
              <w:right w:val="single" w:sz="8" w:space="0" w:color="auto"/>
            </w:tcBorders>
            <w:shd w:val="clear" w:color="auto" w:fill="auto"/>
            <w:noWrap/>
            <w:vAlign w:val="bottom"/>
            <w:hideMark/>
          </w:tcPr>
          <w:p w:rsidR="001333B4" w:rsidRPr="001333B4" w:rsidRDefault="001333B4">
            <w:pPr>
              <w:jc w:val="right"/>
              <w:rPr>
                <w:sz w:val="24"/>
                <w:szCs w:val="24"/>
              </w:rPr>
            </w:pPr>
            <w:r w:rsidRPr="001333B4">
              <w:rPr>
                <w:sz w:val="24"/>
                <w:szCs w:val="24"/>
              </w:rPr>
              <w:t> </w:t>
            </w:r>
          </w:p>
        </w:tc>
      </w:tr>
    </w:tbl>
    <w:p w:rsidR="000E4B55" w:rsidRPr="005A6858" w:rsidRDefault="00C1601F" w:rsidP="000E4B55">
      <w:pPr>
        <w:pStyle w:val="BodyText"/>
        <w:spacing w:line="480" w:lineRule="auto"/>
        <w:jc w:val="both"/>
        <w:rPr>
          <w:rFonts w:ascii="Times New Roman" w:hAnsi="Times New Roman"/>
        </w:rPr>
      </w:pPr>
      <w:r w:rsidRPr="005A6858">
        <w:rPr>
          <w:rFonts w:ascii="Times New Roman" w:hAnsi="Times New Roman"/>
        </w:rPr>
        <w:tab/>
      </w:r>
    </w:p>
    <w:p w:rsidR="00986BA0" w:rsidRPr="002858CE" w:rsidRDefault="00986BA0" w:rsidP="00986BA0">
      <w:pPr>
        <w:pStyle w:val="BodyText"/>
        <w:tabs>
          <w:tab w:val="left" w:pos="720"/>
        </w:tabs>
        <w:spacing w:line="480" w:lineRule="auto"/>
        <w:jc w:val="both"/>
        <w:rPr>
          <w:rFonts w:ascii="Times New Roman" w:hAnsi="Times New Roman"/>
          <w:szCs w:val="24"/>
        </w:rPr>
      </w:pPr>
      <w:r>
        <w:rPr>
          <w:rFonts w:ascii="Times New Roman" w:hAnsi="Times New Roman"/>
          <w:szCs w:val="24"/>
        </w:rPr>
        <w:tab/>
      </w:r>
      <w:r w:rsidRPr="002858CE">
        <w:rPr>
          <w:rFonts w:ascii="Times New Roman" w:hAnsi="Times New Roman"/>
          <w:szCs w:val="24"/>
        </w:rPr>
        <w:t xml:space="preserve">In this </w:t>
      </w:r>
      <w:r>
        <w:rPr>
          <w:rFonts w:ascii="Times New Roman" w:hAnsi="Times New Roman"/>
          <w:szCs w:val="24"/>
        </w:rPr>
        <w:t>reporting period</w:t>
      </w:r>
      <w:r w:rsidRPr="002858CE">
        <w:rPr>
          <w:rFonts w:ascii="Times New Roman" w:hAnsi="Times New Roman"/>
          <w:szCs w:val="24"/>
        </w:rPr>
        <w:t xml:space="preserve">, </w:t>
      </w:r>
      <w:r w:rsidRPr="00986BA0">
        <w:rPr>
          <w:rFonts w:ascii="Times New Roman" w:hAnsi="Times New Roman"/>
          <w:szCs w:val="24"/>
        </w:rPr>
        <w:t>50</w:t>
      </w:r>
      <w:r w:rsidRPr="002858CE">
        <w:rPr>
          <w:rFonts w:ascii="Times New Roman" w:hAnsi="Times New Roman"/>
          <w:szCs w:val="24"/>
        </w:rPr>
        <w:t>% of LIRAP participants had household average incomes less than $15,000</w:t>
      </w:r>
      <w:r w:rsidRPr="00986BA0">
        <w:rPr>
          <w:rFonts w:ascii="Times New Roman" w:hAnsi="Times New Roman"/>
          <w:szCs w:val="24"/>
        </w:rPr>
        <w:t>.   Approximately 19% of the grant recipients had annual household incomes less than $8,000.  Over 67% of the LIRAP participants had households of two or more people.  Customers renting their residences constituted 63%</w:t>
      </w:r>
      <w:r w:rsidRPr="002858CE">
        <w:rPr>
          <w:rFonts w:ascii="Times New Roman" w:hAnsi="Times New Roman"/>
          <w:szCs w:val="24"/>
        </w:rPr>
        <w:t xml:space="preserve"> of the total.</w:t>
      </w:r>
    </w:p>
    <w:p w:rsidR="00986BA0" w:rsidRPr="005A6858" w:rsidRDefault="00986BA0" w:rsidP="001B5A40">
      <w:pPr>
        <w:widowControl w:val="0"/>
        <w:rPr>
          <w:sz w:val="24"/>
          <w:szCs w:val="24"/>
          <w:u w:val="single"/>
        </w:rPr>
      </w:pPr>
    </w:p>
    <w:p w:rsidR="00C97FF5" w:rsidRPr="006250A3" w:rsidRDefault="00C97FF5" w:rsidP="00684F4B">
      <w:pPr>
        <w:pStyle w:val="Heading2"/>
        <w:rPr>
          <w:rFonts w:ascii="Times New Roman" w:hAnsi="Times New Roman"/>
          <w:szCs w:val="24"/>
          <w:u w:val="single"/>
        </w:rPr>
      </w:pPr>
      <w:bookmarkStart w:id="3" w:name="_Toc307823904"/>
      <w:r w:rsidRPr="006250A3">
        <w:rPr>
          <w:rFonts w:ascii="Times New Roman" w:hAnsi="Times New Roman"/>
          <w:szCs w:val="24"/>
          <w:u w:val="single"/>
        </w:rPr>
        <w:t>Unspent Funding</w:t>
      </w:r>
      <w:bookmarkEnd w:id="3"/>
      <w:r w:rsidRPr="006250A3">
        <w:rPr>
          <w:rFonts w:ascii="Times New Roman" w:hAnsi="Times New Roman"/>
          <w:szCs w:val="24"/>
          <w:u w:val="single"/>
        </w:rPr>
        <w:t xml:space="preserve"> </w:t>
      </w:r>
    </w:p>
    <w:p w:rsidR="000835BD" w:rsidRPr="006250A3" w:rsidRDefault="000835BD" w:rsidP="000835BD"/>
    <w:p w:rsidR="003F6F7C" w:rsidRPr="006250A3" w:rsidRDefault="00C97FF5" w:rsidP="001B5A40">
      <w:pPr>
        <w:pStyle w:val="BodyText"/>
        <w:spacing w:line="480" w:lineRule="auto"/>
        <w:ind w:firstLine="720"/>
        <w:jc w:val="both"/>
        <w:rPr>
          <w:rFonts w:ascii="Times New Roman" w:hAnsi="Times New Roman"/>
          <w:szCs w:val="24"/>
        </w:rPr>
      </w:pPr>
      <w:r w:rsidRPr="006250A3">
        <w:rPr>
          <w:rFonts w:ascii="Times New Roman" w:hAnsi="Times New Roman"/>
          <w:szCs w:val="24"/>
        </w:rPr>
        <w:t xml:space="preserve">At the end of </w:t>
      </w:r>
      <w:r w:rsidR="00CC4AB8" w:rsidRPr="006250A3">
        <w:rPr>
          <w:rFonts w:ascii="Times New Roman" w:hAnsi="Times New Roman"/>
          <w:szCs w:val="24"/>
        </w:rPr>
        <w:t>th</w:t>
      </w:r>
      <w:r w:rsidR="00986BA0">
        <w:rPr>
          <w:rFonts w:ascii="Times New Roman" w:hAnsi="Times New Roman"/>
          <w:szCs w:val="24"/>
        </w:rPr>
        <w:t>is</w:t>
      </w:r>
      <w:r w:rsidR="00CC4AB8" w:rsidRPr="006250A3">
        <w:rPr>
          <w:rFonts w:ascii="Times New Roman" w:hAnsi="Times New Roman"/>
          <w:szCs w:val="24"/>
        </w:rPr>
        <w:t xml:space="preserve"> reporting period</w:t>
      </w:r>
      <w:r w:rsidRPr="006250A3">
        <w:rPr>
          <w:rFonts w:ascii="Times New Roman" w:hAnsi="Times New Roman"/>
          <w:szCs w:val="24"/>
        </w:rPr>
        <w:t xml:space="preserve"> </w:t>
      </w:r>
      <w:r w:rsidR="00A2162B">
        <w:rPr>
          <w:rFonts w:ascii="Times New Roman" w:hAnsi="Times New Roman"/>
          <w:szCs w:val="24"/>
        </w:rPr>
        <w:t>(</w:t>
      </w:r>
      <w:r w:rsidR="00CC4AB8" w:rsidRPr="006250A3">
        <w:rPr>
          <w:rFonts w:ascii="Times New Roman" w:hAnsi="Times New Roman"/>
          <w:szCs w:val="24"/>
        </w:rPr>
        <w:t>May 1, 2011 through September 30, 2011</w:t>
      </w:r>
      <w:r w:rsidR="00A2162B">
        <w:rPr>
          <w:rFonts w:ascii="Times New Roman" w:hAnsi="Times New Roman"/>
          <w:szCs w:val="24"/>
        </w:rPr>
        <w:t>)</w:t>
      </w:r>
      <w:r w:rsidRPr="006250A3">
        <w:rPr>
          <w:rFonts w:ascii="Times New Roman" w:hAnsi="Times New Roman"/>
          <w:szCs w:val="24"/>
        </w:rPr>
        <w:t xml:space="preserve">, a balance of </w:t>
      </w:r>
      <w:r w:rsidRPr="00986BA0">
        <w:rPr>
          <w:rFonts w:ascii="Times New Roman" w:hAnsi="Times New Roman"/>
        </w:rPr>
        <w:t>$</w:t>
      </w:r>
      <w:r w:rsidR="006937C3" w:rsidRPr="00986BA0">
        <w:rPr>
          <w:rFonts w:ascii="Times New Roman" w:hAnsi="Times New Roman"/>
          <w:szCs w:val="24"/>
        </w:rPr>
        <w:t>2,376,631</w:t>
      </w:r>
      <w:r w:rsidRPr="00986BA0">
        <w:rPr>
          <w:rFonts w:ascii="Times New Roman" w:hAnsi="Times New Roman"/>
        </w:rPr>
        <w:t xml:space="preserve"> or </w:t>
      </w:r>
      <w:r w:rsidR="006937C3" w:rsidRPr="00986BA0">
        <w:rPr>
          <w:rFonts w:ascii="Times New Roman" w:hAnsi="Times New Roman"/>
          <w:szCs w:val="24"/>
        </w:rPr>
        <w:t>90</w:t>
      </w:r>
      <w:r w:rsidRPr="006250A3">
        <w:rPr>
          <w:rFonts w:ascii="Times New Roman" w:hAnsi="Times New Roman"/>
          <w:color w:val="000000" w:themeColor="text1"/>
        </w:rPr>
        <w:t>%</w:t>
      </w:r>
      <w:r w:rsidRPr="006250A3">
        <w:rPr>
          <w:rFonts w:ascii="Times New Roman" w:hAnsi="Times New Roman"/>
          <w:szCs w:val="24"/>
        </w:rPr>
        <w:t xml:space="preserve"> of </w:t>
      </w:r>
      <w:r w:rsidRPr="006250A3">
        <w:rPr>
          <w:rFonts w:ascii="Times New Roman" w:hAnsi="Times New Roman"/>
          <w:szCs w:val="24"/>
          <w:u w:val="single"/>
        </w:rPr>
        <w:t>direct service</w:t>
      </w:r>
      <w:r w:rsidRPr="006250A3">
        <w:rPr>
          <w:rFonts w:ascii="Times New Roman" w:hAnsi="Times New Roman"/>
          <w:szCs w:val="24"/>
        </w:rPr>
        <w:t xml:space="preserve"> funding was unspent, noticeably </w:t>
      </w:r>
      <w:r w:rsidR="00AD33BC" w:rsidRPr="006250A3">
        <w:rPr>
          <w:rFonts w:ascii="Times New Roman" w:hAnsi="Times New Roman"/>
          <w:szCs w:val="24"/>
        </w:rPr>
        <w:t>above</w:t>
      </w:r>
      <w:r w:rsidRPr="006250A3">
        <w:rPr>
          <w:rFonts w:ascii="Times New Roman" w:hAnsi="Times New Roman"/>
          <w:szCs w:val="24"/>
        </w:rPr>
        <w:t xml:space="preserve"> the acceptable range (15% - 20% is an acceptable range for carry over funding).  </w:t>
      </w:r>
      <w:r w:rsidR="003F6F7C" w:rsidRPr="006250A3">
        <w:rPr>
          <w:rFonts w:ascii="Times New Roman" w:hAnsi="Times New Roman"/>
          <w:szCs w:val="24"/>
        </w:rPr>
        <w:t xml:space="preserve">For the current </w:t>
      </w:r>
      <w:r w:rsidR="00CC4AB8" w:rsidRPr="006250A3">
        <w:rPr>
          <w:rFonts w:ascii="Times New Roman" w:hAnsi="Times New Roman"/>
          <w:szCs w:val="24"/>
        </w:rPr>
        <w:t>reporting period</w:t>
      </w:r>
      <w:r w:rsidR="003F6F7C" w:rsidRPr="006250A3">
        <w:rPr>
          <w:rFonts w:ascii="Times New Roman" w:hAnsi="Times New Roman"/>
          <w:szCs w:val="24"/>
        </w:rPr>
        <w:t>, the Company</w:t>
      </w:r>
      <w:r w:rsidR="006250A3" w:rsidRPr="006250A3">
        <w:rPr>
          <w:rFonts w:ascii="Times New Roman" w:hAnsi="Times New Roman"/>
          <w:szCs w:val="24"/>
        </w:rPr>
        <w:t xml:space="preserve"> supported</w:t>
      </w:r>
      <w:r w:rsidR="00901117" w:rsidRPr="006250A3">
        <w:rPr>
          <w:rFonts w:ascii="Times New Roman" w:hAnsi="Times New Roman"/>
          <w:szCs w:val="24"/>
        </w:rPr>
        <w:t xml:space="preserve"> a larger than normal</w:t>
      </w:r>
      <w:r w:rsidR="003F6F7C" w:rsidRPr="006250A3">
        <w:rPr>
          <w:rFonts w:ascii="Times New Roman" w:hAnsi="Times New Roman"/>
          <w:szCs w:val="24"/>
        </w:rPr>
        <w:t xml:space="preserve"> carryover of unspent funds for the following reasons:</w:t>
      </w:r>
    </w:p>
    <w:p w:rsidR="00327A9D" w:rsidRPr="006250A3" w:rsidRDefault="000418D8" w:rsidP="00327A9D">
      <w:pPr>
        <w:pStyle w:val="BodyText"/>
        <w:numPr>
          <w:ilvl w:val="0"/>
          <w:numId w:val="28"/>
        </w:numPr>
        <w:spacing w:line="480" w:lineRule="auto"/>
        <w:jc w:val="both"/>
        <w:rPr>
          <w:rFonts w:ascii="Times New Roman" w:hAnsi="Times New Roman"/>
          <w:szCs w:val="24"/>
        </w:rPr>
      </w:pPr>
      <w:r w:rsidRPr="006250A3">
        <w:rPr>
          <w:rFonts w:ascii="Times New Roman" w:hAnsi="Times New Roman"/>
          <w:szCs w:val="24"/>
        </w:rPr>
        <w:t xml:space="preserve">The majority of </w:t>
      </w:r>
      <w:r w:rsidR="00327A9D" w:rsidRPr="006250A3">
        <w:rPr>
          <w:rFonts w:ascii="Times New Roman" w:hAnsi="Times New Roman"/>
          <w:szCs w:val="24"/>
        </w:rPr>
        <w:t xml:space="preserve">LIHEAP Funds were distributed </w:t>
      </w:r>
      <w:r w:rsidRPr="006250A3">
        <w:rPr>
          <w:rFonts w:ascii="Times New Roman" w:hAnsi="Times New Roman"/>
          <w:szCs w:val="24"/>
        </w:rPr>
        <w:t xml:space="preserve">to the agencies </w:t>
      </w:r>
      <w:r w:rsidR="00327A9D" w:rsidRPr="006250A3">
        <w:rPr>
          <w:rFonts w:ascii="Times New Roman" w:hAnsi="Times New Roman"/>
          <w:szCs w:val="24"/>
        </w:rPr>
        <w:t>in March, leadi</w:t>
      </w:r>
      <w:r w:rsidRPr="006250A3">
        <w:rPr>
          <w:rFonts w:ascii="Times New Roman" w:hAnsi="Times New Roman"/>
          <w:szCs w:val="24"/>
        </w:rPr>
        <w:t>ng up to a very difficult time</w:t>
      </w:r>
      <w:r w:rsidR="00327A9D" w:rsidRPr="006250A3">
        <w:rPr>
          <w:rFonts w:ascii="Times New Roman" w:hAnsi="Times New Roman"/>
          <w:szCs w:val="24"/>
        </w:rPr>
        <w:t xml:space="preserve"> for the agencies to distribute the funds.  For reasons not quite known, customers stop making appointments and</w:t>
      </w:r>
      <w:r w:rsidRPr="006250A3">
        <w:rPr>
          <w:rFonts w:ascii="Times New Roman" w:hAnsi="Times New Roman"/>
          <w:szCs w:val="24"/>
        </w:rPr>
        <w:t>/or</w:t>
      </w:r>
      <w:r w:rsidR="00327A9D" w:rsidRPr="006250A3">
        <w:rPr>
          <w:rFonts w:ascii="Times New Roman" w:hAnsi="Times New Roman"/>
          <w:szCs w:val="24"/>
        </w:rPr>
        <w:t xml:space="preserve"> </w:t>
      </w:r>
      <w:proofErr w:type="gramStart"/>
      <w:r w:rsidR="00327A9D" w:rsidRPr="006250A3">
        <w:rPr>
          <w:rFonts w:ascii="Times New Roman" w:hAnsi="Times New Roman"/>
          <w:szCs w:val="24"/>
        </w:rPr>
        <w:t>do not show</w:t>
      </w:r>
      <w:proofErr w:type="gramEnd"/>
      <w:r w:rsidR="00327A9D" w:rsidRPr="006250A3">
        <w:rPr>
          <w:rFonts w:ascii="Times New Roman" w:hAnsi="Times New Roman"/>
          <w:szCs w:val="24"/>
        </w:rPr>
        <w:t xml:space="preserve"> up for appointments more freq</w:t>
      </w:r>
      <w:r w:rsidRPr="006250A3">
        <w:rPr>
          <w:rFonts w:ascii="Times New Roman" w:hAnsi="Times New Roman"/>
          <w:szCs w:val="24"/>
        </w:rPr>
        <w:t xml:space="preserve">uently when </w:t>
      </w:r>
      <w:r w:rsidR="00901117" w:rsidRPr="006250A3">
        <w:rPr>
          <w:rFonts w:ascii="Times New Roman" w:hAnsi="Times New Roman"/>
          <w:szCs w:val="24"/>
        </w:rPr>
        <w:t>spring</w:t>
      </w:r>
      <w:r w:rsidRPr="006250A3">
        <w:rPr>
          <w:rFonts w:ascii="Times New Roman" w:hAnsi="Times New Roman"/>
          <w:szCs w:val="24"/>
        </w:rPr>
        <w:t xml:space="preserve"> </w:t>
      </w:r>
      <w:r w:rsidR="00A2162B">
        <w:rPr>
          <w:rFonts w:ascii="Times New Roman" w:hAnsi="Times New Roman"/>
          <w:szCs w:val="24"/>
        </w:rPr>
        <w:t>and summer arrive</w:t>
      </w:r>
      <w:r w:rsidR="00327A9D" w:rsidRPr="006250A3">
        <w:rPr>
          <w:rFonts w:ascii="Times New Roman" w:hAnsi="Times New Roman"/>
          <w:szCs w:val="24"/>
        </w:rPr>
        <w:t>.</w:t>
      </w:r>
    </w:p>
    <w:p w:rsidR="00327A9D" w:rsidRPr="006250A3" w:rsidRDefault="00327A9D" w:rsidP="00327A9D">
      <w:pPr>
        <w:pStyle w:val="BodyText"/>
        <w:numPr>
          <w:ilvl w:val="0"/>
          <w:numId w:val="28"/>
        </w:numPr>
        <w:spacing w:line="480" w:lineRule="auto"/>
        <w:jc w:val="both"/>
        <w:rPr>
          <w:rFonts w:ascii="Times New Roman" w:hAnsi="Times New Roman"/>
          <w:szCs w:val="24"/>
        </w:rPr>
      </w:pPr>
      <w:r w:rsidRPr="006250A3">
        <w:rPr>
          <w:rFonts w:ascii="Times New Roman" w:hAnsi="Times New Roman"/>
          <w:szCs w:val="24"/>
        </w:rPr>
        <w:t xml:space="preserve">The majority of Contingency Funds have been distributed this year.  </w:t>
      </w:r>
      <w:r w:rsidR="00A0638C" w:rsidRPr="006250A3">
        <w:rPr>
          <w:rFonts w:ascii="Times New Roman" w:hAnsi="Times New Roman"/>
          <w:szCs w:val="24"/>
        </w:rPr>
        <w:t>Normally, the Federal Government</w:t>
      </w:r>
      <w:r w:rsidR="000418D8" w:rsidRPr="006250A3">
        <w:rPr>
          <w:rFonts w:ascii="Times New Roman" w:hAnsi="Times New Roman"/>
          <w:szCs w:val="24"/>
        </w:rPr>
        <w:t xml:space="preserve"> withholds LIHEAP funds from the current year to be distributed as </w:t>
      </w:r>
      <w:r w:rsidRPr="006250A3">
        <w:rPr>
          <w:rFonts w:ascii="Times New Roman" w:hAnsi="Times New Roman"/>
          <w:szCs w:val="24"/>
        </w:rPr>
        <w:lastRenderedPageBreak/>
        <w:t>Cont</w:t>
      </w:r>
      <w:r w:rsidR="000418D8" w:rsidRPr="006250A3">
        <w:rPr>
          <w:rFonts w:ascii="Times New Roman" w:hAnsi="Times New Roman"/>
          <w:szCs w:val="24"/>
        </w:rPr>
        <w:t xml:space="preserve">ingency Funding the following year.  This </w:t>
      </w:r>
      <w:r w:rsidR="004166C6" w:rsidRPr="006250A3">
        <w:rPr>
          <w:rFonts w:ascii="Times New Roman" w:hAnsi="Times New Roman"/>
          <w:szCs w:val="24"/>
        </w:rPr>
        <w:t>provides</w:t>
      </w:r>
      <w:r w:rsidR="000418D8" w:rsidRPr="006250A3">
        <w:rPr>
          <w:rFonts w:ascii="Times New Roman" w:hAnsi="Times New Roman"/>
          <w:szCs w:val="24"/>
        </w:rPr>
        <w:t xml:space="preserve"> the agencies a small amount of LIHEAP </w:t>
      </w:r>
      <w:r w:rsidR="004166C6" w:rsidRPr="006250A3">
        <w:rPr>
          <w:rFonts w:ascii="Times New Roman" w:hAnsi="Times New Roman"/>
          <w:szCs w:val="24"/>
        </w:rPr>
        <w:t xml:space="preserve">funds </w:t>
      </w:r>
      <w:r w:rsidR="000418D8" w:rsidRPr="006250A3">
        <w:rPr>
          <w:rFonts w:ascii="Times New Roman" w:hAnsi="Times New Roman"/>
          <w:szCs w:val="24"/>
        </w:rPr>
        <w:t xml:space="preserve">to begin the </w:t>
      </w:r>
      <w:r w:rsidRPr="006250A3">
        <w:rPr>
          <w:rFonts w:ascii="Times New Roman" w:hAnsi="Times New Roman"/>
          <w:szCs w:val="24"/>
        </w:rPr>
        <w:t>heating season</w:t>
      </w:r>
      <w:r w:rsidR="004166C6" w:rsidRPr="006250A3">
        <w:rPr>
          <w:rFonts w:ascii="Times New Roman" w:hAnsi="Times New Roman"/>
          <w:szCs w:val="24"/>
        </w:rPr>
        <w:t xml:space="preserve"> in October.  However, t</w:t>
      </w:r>
      <w:r w:rsidR="000418D8" w:rsidRPr="006250A3">
        <w:rPr>
          <w:rFonts w:ascii="Times New Roman" w:hAnsi="Times New Roman"/>
          <w:szCs w:val="24"/>
        </w:rPr>
        <w:t>here are little to no Contingency Funds</w:t>
      </w:r>
      <w:r w:rsidRPr="006250A3">
        <w:rPr>
          <w:rFonts w:ascii="Times New Roman" w:hAnsi="Times New Roman"/>
          <w:szCs w:val="24"/>
        </w:rPr>
        <w:t xml:space="preserve"> left to begin </w:t>
      </w:r>
      <w:r w:rsidR="00A2162B">
        <w:rPr>
          <w:rFonts w:ascii="Times New Roman" w:hAnsi="Times New Roman"/>
          <w:szCs w:val="24"/>
        </w:rPr>
        <w:t>the next</w:t>
      </w:r>
      <w:r w:rsidRPr="006250A3">
        <w:rPr>
          <w:rFonts w:ascii="Times New Roman" w:hAnsi="Times New Roman"/>
          <w:szCs w:val="24"/>
        </w:rPr>
        <w:t xml:space="preserve"> heating season.</w:t>
      </w:r>
    </w:p>
    <w:p w:rsidR="00327A9D" w:rsidRPr="006250A3" w:rsidRDefault="00327A9D" w:rsidP="00327A9D">
      <w:pPr>
        <w:pStyle w:val="BodyText"/>
        <w:numPr>
          <w:ilvl w:val="0"/>
          <w:numId w:val="28"/>
        </w:numPr>
        <w:spacing w:line="480" w:lineRule="auto"/>
        <w:jc w:val="both"/>
        <w:rPr>
          <w:rFonts w:ascii="Times New Roman" w:hAnsi="Times New Roman"/>
          <w:szCs w:val="24"/>
        </w:rPr>
      </w:pPr>
      <w:r w:rsidRPr="006250A3">
        <w:rPr>
          <w:rFonts w:ascii="Times New Roman" w:hAnsi="Times New Roman"/>
          <w:szCs w:val="24"/>
        </w:rPr>
        <w:t xml:space="preserve">It is </w:t>
      </w:r>
      <w:r w:rsidR="00901117" w:rsidRPr="006250A3">
        <w:rPr>
          <w:rFonts w:ascii="Times New Roman" w:hAnsi="Times New Roman"/>
          <w:szCs w:val="24"/>
        </w:rPr>
        <w:t>uncertain that</w:t>
      </w:r>
      <w:r w:rsidR="000418D8" w:rsidRPr="006250A3">
        <w:rPr>
          <w:rFonts w:ascii="Times New Roman" w:hAnsi="Times New Roman"/>
          <w:szCs w:val="24"/>
        </w:rPr>
        <w:t xml:space="preserve"> the 2012 budget will </w:t>
      </w:r>
      <w:r w:rsidR="00901117" w:rsidRPr="006250A3">
        <w:rPr>
          <w:rFonts w:ascii="Times New Roman" w:hAnsi="Times New Roman"/>
          <w:szCs w:val="24"/>
        </w:rPr>
        <w:t xml:space="preserve">remain funded at current levels or if </w:t>
      </w:r>
      <w:r w:rsidRPr="006250A3">
        <w:rPr>
          <w:rFonts w:ascii="Times New Roman" w:hAnsi="Times New Roman"/>
          <w:szCs w:val="24"/>
        </w:rPr>
        <w:t xml:space="preserve">LIHEAP </w:t>
      </w:r>
      <w:r w:rsidR="00901117" w:rsidRPr="006250A3">
        <w:rPr>
          <w:rFonts w:ascii="Times New Roman" w:hAnsi="Times New Roman"/>
          <w:szCs w:val="24"/>
        </w:rPr>
        <w:t>funding will be</w:t>
      </w:r>
      <w:r w:rsidRPr="006250A3">
        <w:rPr>
          <w:rFonts w:ascii="Times New Roman" w:hAnsi="Times New Roman"/>
          <w:szCs w:val="24"/>
        </w:rPr>
        <w:t xml:space="preserve"> at the 2008 level</w:t>
      </w:r>
      <w:r w:rsidR="00901117" w:rsidRPr="006250A3">
        <w:rPr>
          <w:rFonts w:ascii="Times New Roman" w:hAnsi="Times New Roman"/>
          <w:szCs w:val="24"/>
        </w:rPr>
        <w:t>,</w:t>
      </w:r>
      <w:r w:rsidRPr="006250A3">
        <w:rPr>
          <w:rFonts w:ascii="Times New Roman" w:hAnsi="Times New Roman"/>
          <w:szCs w:val="24"/>
        </w:rPr>
        <w:t xml:space="preserve"> which is half of what has been distributed for the past three heating seasons.</w:t>
      </w:r>
    </w:p>
    <w:p w:rsidR="00FC67F3" w:rsidRPr="00CC4AB8" w:rsidRDefault="00FC67F3" w:rsidP="00C954D8">
      <w:pPr>
        <w:pStyle w:val="Title"/>
        <w:outlineLvl w:val="0"/>
        <w:rPr>
          <w:rFonts w:ascii="Times New Roman" w:hAnsi="Times New Roman" w:cs="Times New Roman"/>
          <w:sz w:val="36"/>
          <w:szCs w:val="36"/>
          <w:highlight w:val="yellow"/>
        </w:rPr>
      </w:pPr>
    </w:p>
    <w:p w:rsidR="004D70C3" w:rsidRPr="00CC4AB8" w:rsidRDefault="004D70C3" w:rsidP="006920AF">
      <w:pPr>
        <w:jc w:val="both"/>
        <w:rPr>
          <w:sz w:val="24"/>
          <w:szCs w:val="24"/>
          <w:highlight w:val="yellow"/>
        </w:rPr>
      </w:pPr>
    </w:p>
    <w:p w:rsidR="004D70C3" w:rsidRPr="00986BA0" w:rsidRDefault="004D70C3" w:rsidP="006920AF">
      <w:pPr>
        <w:jc w:val="both"/>
        <w:rPr>
          <w:sz w:val="24"/>
          <w:szCs w:val="24"/>
        </w:rPr>
      </w:pPr>
      <w:r w:rsidRPr="00986BA0">
        <w:rPr>
          <w:sz w:val="24"/>
          <w:szCs w:val="24"/>
        </w:rPr>
        <w:t>Key terms used in this Report are described as follows.</w:t>
      </w:r>
    </w:p>
    <w:p w:rsidR="004D70C3" w:rsidRPr="00986BA0" w:rsidRDefault="004D70C3" w:rsidP="006920AF">
      <w:pPr>
        <w:jc w:val="both"/>
        <w:rPr>
          <w:sz w:val="24"/>
          <w:szCs w:val="24"/>
        </w:rPr>
      </w:pPr>
    </w:p>
    <w:p w:rsidR="004D70C3" w:rsidRPr="00986BA0" w:rsidRDefault="004D70C3" w:rsidP="008E64A2">
      <w:pPr>
        <w:numPr>
          <w:ilvl w:val="0"/>
          <w:numId w:val="3"/>
        </w:numPr>
        <w:spacing w:line="360" w:lineRule="auto"/>
        <w:jc w:val="both"/>
        <w:rPr>
          <w:sz w:val="24"/>
          <w:szCs w:val="24"/>
        </w:rPr>
      </w:pPr>
      <w:r w:rsidRPr="00986BA0">
        <w:rPr>
          <w:sz w:val="24"/>
          <w:szCs w:val="24"/>
          <w:u w:val="single"/>
        </w:rPr>
        <w:t>Energy Cost Burden, Energy Burden</w:t>
      </w:r>
      <w:r w:rsidRPr="00986BA0">
        <w:rPr>
          <w:sz w:val="24"/>
          <w:szCs w:val="24"/>
        </w:rPr>
        <w:t>—</w:t>
      </w:r>
      <w:proofErr w:type="gramStart"/>
      <w:r w:rsidRPr="00986BA0">
        <w:rPr>
          <w:sz w:val="24"/>
          <w:szCs w:val="24"/>
        </w:rPr>
        <w:t>The</w:t>
      </w:r>
      <w:proofErr w:type="gramEnd"/>
      <w:r w:rsidRPr="00986BA0">
        <w:rPr>
          <w:sz w:val="24"/>
          <w:szCs w:val="24"/>
        </w:rPr>
        <w:t xml:space="preserve"> percentage of income that households pay for energy service.</w:t>
      </w:r>
    </w:p>
    <w:p w:rsidR="004D70C3" w:rsidRPr="00986BA0" w:rsidRDefault="004D70C3" w:rsidP="008E64A2">
      <w:pPr>
        <w:numPr>
          <w:ilvl w:val="0"/>
          <w:numId w:val="3"/>
        </w:numPr>
        <w:spacing w:line="360" w:lineRule="auto"/>
        <w:jc w:val="both"/>
        <w:rPr>
          <w:sz w:val="24"/>
          <w:szCs w:val="24"/>
        </w:rPr>
      </w:pPr>
      <w:r w:rsidRPr="00986BA0">
        <w:rPr>
          <w:sz w:val="24"/>
          <w:szCs w:val="24"/>
          <w:u w:val="single"/>
        </w:rPr>
        <w:t>LIRAP Base</w:t>
      </w:r>
      <w:r w:rsidRPr="00986BA0">
        <w:rPr>
          <w:sz w:val="24"/>
          <w:szCs w:val="24"/>
        </w:rPr>
        <w:t>—Funds provided for non-heating customer load.</w:t>
      </w:r>
    </w:p>
    <w:p w:rsidR="004D70C3" w:rsidRPr="00986BA0" w:rsidRDefault="004D70C3" w:rsidP="008E64A2">
      <w:pPr>
        <w:numPr>
          <w:ilvl w:val="0"/>
          <w:numId w:val="3"/>
        </w:numPr>
        <w:spacing w:line="360" w:lineRule="auto"/>
        <w:jc w:val="both"/>
        <w:rPr>
          <w:sz w:val="24"/>
          <w:szCs w:val="24"/>
        </w:rPr>
      </w:pPr>
      <w:r w:rsidRPr="00986BA0">
        <w:rPr>
          <w:sz w:val="24"/>
          <w:szCs w:val="24"/>
          <w:u w:val="single"/>
        </w:rPr>
        <w:t>LIRAP Heat</w:t>
      </w:r>
      <w:r w:rsidRPr="00986BA0">
        <w:rPr>
          <w:sz w:val="24"/>
          <w:szCs w:val="24"/>
        </w:rPr>
        <w:t>—Benefit calculated using customer heating costs.  This benefit is always combined with LIRAP Base Benefit.</w:t>
      </w:r>
    </w:p>
    <w:p w:rsidR="004D70C3" w:rsidRPr="00986BA0" w:rsidRDefault="004D70C3" w:rsidP="008E64A2">
      <w:pPr>
        <w:numPr>
          <w:ilvl w:val="0"/>
          <w:numId w:val="3"/>
        </w:numPr>
        <w:spacing w:line="360" w:lineRule="auto"/>
        <w:jc w:val="both"/>
        <w:rPr>
          <w:sz w:val="24"/>
          <w:szCs w:val="24"/>
        </w:rPr>
      </w:pPr>
      <w:r w:rsidRPr="00986BA0">
        <w:rPr>
          <w:sz w:val="24"/>
          <w:szCs w:val="24"/>
          <w:u w:val="single"/>
        </w:rPr>
        <w:t>LIRAP Project Share</w:t>
      </w:r>
      <w:r w:rsidRPr="00986BA0">
        <w:rPr>
          <w:sz w:val="24"/>
          <w:szCs w:val="24"/>
        </w:rPr>
        <w:t>—Funds provided for “emergency” purposes.  The term “Project Share” is used because this LIRAP emergency funding is patterned after the Project Share Program.</w:t>
      </w:r>
    </w:p>
    <w:p w:rsidR="004D70C3" w:rsidRPr="00986BA0" w:rsidRDefault="004D70C3"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Participants</w:t>
      </w:r>
      <w:r w:rsidRPr="00986BA0">
        <w:rPr>
          <w:rFonts w:ascii="Times New Roman" w:hAnsi="Times New Roman"/>
          <w:szCs w:val="24"/>
        </w:rPr>
        <w:t>—Customers who received LIRAP grant(s).</w:t>
      </w:r>
    </w:p>
    <w:p w:rsidR="00E13389" w:rsidRPr="00986BA0" w:rsidRDefault="00E13389"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Project Share</w:t>
      </w:r>
      <w:r w:rsidRPr="00986BA0">
        <w:rPr>
          <w:rFonts w:ascii="Times New Roman" w:hAnsi="Times New Roman"/>
          <w:szCs w:val="24"/>
        </w:rPr>
        <w:t>—Customer, community, and company-funded program that provides one-time emergency energy assistance to families in our region.</w:t>
      </w:r>
    </w:p>
    <w:p w:rsidR="004D70C3" w:rsidRPr="00986BA0" w:rsidRDefault="004D70C3"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Schedule 91</w:t>
      </w:r>
      <w:r w:rsidRPr="00986BA0">
        <w:rPr>
          <w:rFonts w:ascii="Times New Roman" w:hAnsi="Times New Roman"/>
          <w:szCs w:val="24"/>
        </w:rPr>
        <w:t>—Avista tariff including the electric surcharge LIRAP rate.</w:t>
      </w:r>
    </w:p>
    <w:p w:rsidR="004D70C3" w:rsidRPr="00986BA0" w:rsidRDefault="004D70C3" w:rsidP="008E64A2">
      <w:pPr>
        <w:pStyle w:val="BodyText"/>
        <w:numPr>
          <w:ilvl w:val="0"/>
          <w:numId w:val="3"/>
        </w:numPr>
        <w:spacing w:line="360" w:lineRule="auto"/>
        <w:jc w:val="both"/>
        <w:rPr>
          <w:rFonts w:ascii="Times New Roman" w:hAnsi="Times New Roman"/>
          <w:szCs w:val="24"/>
        </w:rPr>
      </w:pPr>
      <w:r w:rsidRPr="00986BA0">
        <w:rPr>
          <w:rFonts w:ascii="Times New Roman" w:hAnsi="Times New Roman"/>
          <w:szCs w:val="24"/>
          <w:u w:val="single"/>
        </w:rPr>
        <w:t>Schedule 191</w:t>
      </w:r>
      <w:r w:rsidRPr="00986BA0">
        <w:rPr>
          <w:rFonts w:ascii="Times New Roman" w:hAnsi="Times New Roman"/>
          <w:szCs w:val="24"/>
        </w:rPr>
        <w:t>—Avista tariff including the natural gas surcharge LIRAP rate.</w:t>
      </w:r>
    </w:p>
    <w:p w:rsidR="004D70C3" w:rsidRPr="00986BA0" w:rsidRDefault="004D70C3" w:rsidP="008E64A2">
      <w:pPr>
        <w:numPr>
          <w:ilvl w:val="0"/>
          <w:numId w:val="3"/>
        </w:numPr>
        <w:spacing w:line="360" w:lineRule="auto"/>
        <w:jc w:val="both"/>
        <w:rPr>
          <w:b/>
          <w:sz w:val="24"/>
          <w:szCs w:val="24"/>
          <w:u w:val="single"/>
        </w:rPr>
      </w:pPr>
      <w:r w:rsidRPr="00986BA0">
        <w:rPr>
          <w:sz w:val="24"/>
          <w:szCs w:val="24"/>
          <w:u w:val="single"/>
        </w:rPr>
        <w:t>Senior Energy Outreach</w:t>
      </w:r>
      <w:r w:rsidRPr="00986BA0">
        <w:rPr>
          <w:sz w:val="24"/>
          <w:szCs w:val="24"/>
        </w:rPr>
        <w:t>—</w:t>
      </w:r>
      <w:proofErr w:type="gramStart"/>
      <w:r w:rsidRPr="00986BA0">
        <w:rPr>
          <w:sz w:val="24"/>
          <w:szCs w:val="24"/>
        </w:rPr>
        <w:t>This</w:t>
      </w:r>
      <w:proofErr w:type="gramEnd"/>
      <w:r w:rsidRPr="00986BA0">
        <w:rPr>
          <w:sz w:val="24"/>
          <w:szCs w:val="24"/>
        </w:rPr>
        <w:t xml:space="preserve"> program denotes an offering unique to low-income senior customers.</w:t>
      </w:r>
    </w:p>
    <w:p w:rsidR="00986BA0" w:rsidRDefault="00986BA0" w:rsidP="000835BD">
      <w:pPr>
        <w:pStyle w:val="Title"/>
        <w:outlineLvl w:val="0"/>
        <w:rPr>
          <w:rFonts w:ascii="Times New Roman" w:hAnsi="Times New Roman" w:cs="Times New Roman"/>
          <w:sz w:val="36"/>
          <w:szCs w:val="36"/>
        </w:rPr>
      </w:pPr>
    </w:p>
    <w:p w:rsidR="00986BA0" w:rsidRDefault="00986BA0" w:rsidP="000835BD">
      <w:pPr>
        <w:pStyle w:val="Title"/>
        <w:outlineLvl w:val="0"/>
        <w:rPr>
          <w:rFonts w:ascii="Times New Roman" w:hAnsi="Times New Roman" w:cs="Times New Roman"/>
          <w:sz w:val="36"/>
          <w:szCs w:val="36"/>
        </w:rPr>
      </w:pPr>
    </w:p>
    <w:p w:rsidR="00986BA0" w:rsidRDefault="00986BA0" w:rsidP="000835BD">
      <w:pPr>
        <w:pStyle w:val="Title"/>
        <w:outlineLvl w:val="0"/>
        <w:rPr>
          <w:rFonts w:ascii="Times New Roman" w:hAnsi="Times New Roman" w:cs="Times New Roman"/>
          <w:sz w:val="36"/>
          <w:szCs w:val="36"/>
        </w:rPr>
      </w:pPr>
    </w:p>
    <w:p w:rsidR="004D70C3" w:rsidRPr="00986BA0" w:rsidRDefault="008E64A2" w:rsidP="000835BD">
      <w:pPr>
        <w:pStyle w:val="Title"/>
        <w:outlineLvl w:val="0"/>
        <w:rPr>
          <w:rFonts w:ascii="Times New Roman" w:hAnsi="Times New Roman" w:cs="Times New Roman"/>
          <w:sz w:val="36"/>
          <w:szCs w:val="36"/>
        </w:rPr>
      </w:pPr>
      <w:bookmarkStart w:id="4" w:name="_Toc307823905"/>
      <w:r w:rsidRPr="00986BA0">
        <w:rPr>
          <w:rFonts w:ascii="Times New Roman" w:hAnsi="Times New Roman" w:cs="Times New Roman"/>
          <w:sz w:val="36"/>
          <w:szCs w:val="36"/>
        </w:rPr>
        <w:lastRenderedPageBreak/>
        <w:t>Data Collection</w:t>
      </w:r>
      <w:bookmarkEnd w:id="4"/>
    </w:p>
    <w:p w:rsidR="004D70C3" w:rsidRPr="00986BA0" w:rsidRDefault="004D70C3" w:rsidP="005A6858">
      <w:pPr>
        <w:rPr>
          <w:sz w:val="24"/>
          <w:szCs w:val="24"/>
        </w:rPr>
      </w:pPr>
      <w:bookmarkStart w:id="5" w:name="_Toc294255861"/>
      <w:r w:rsidRPr="00986BA0">
        <w:rPr>
          <w:sz w:val="24"/>
          <w:szCs w:val="24"/>
        </w:rPr>
        <w:t>The data collection and measures used by Avista Utilities in the evaluation of LIRAP include:</w:t>
      </w:r>
      <w:bookmarkEnd w:id="5"/>
    </w:p>
    <w:p w:rsidR="004D70C3" w:rsidRPr="00986BA0" w:rsidRDefault="004D70C3">
      <w:pPr>
        <w:jc w:val="both"/>
        <w:rPr>
          <w:sz w:val="24"/>
          <w:szCs w:val="24"/>
        </w:rPr>
      </w:pPr>
    </w:p>
    <w:p w:rsidR="004D70C3" w:rsidRPr="00986BA0" w:rsidRDefault="004D70C3" w:rsidP="004D70C3">
      <w:pPr>
        <w:numPr>
          <w:ilvl w:val="0"/>
          <w:numId w:val="4"/>
        </w:numPr>
        <w:jc w:val="both"/>
        <w:rPr>
          <w:color w:val="000000"/>
          <w:sz w:val="24"/>
          <w:szCs w:val="24"/>
        </w:rPr>
      </w:pPr>
      <w:r w:rsidRPr="00986BA0">
        <w:rPr>
          <w:color w:val="000000"/>
          <w:sz w:val="24"/>
          <w:szCs w:val="24"/>
        </w:rPr>
        <w:t>LIRAP Database</w:t>
      </w:r>
      <w:r w:rsidR="00F06171" w:rsidRPr="00986BA0">
        <w:rPr>
          <w:color w:val="000000"/>
          <w:sz w:val="24"/>
          <w:szCs w:val="24"/>
        </w:rPr>
        <w:t>;</w:t>
      </w:r>
    </w:p>
    <w:p w:rsidR="004D70C3" w:rsidRPr="00986BA0" w:rsidRDefault="004D70C3">
      <w:pPr>
        <w:numPr>
          <w:ilvl w:val="0"/>
          <w:numId w:val="3"/>
        </w:numPr>
        <w:jc w:val="both"/>
        <w:rPr>
          <w:sz w:val="24"/>
          <w:szCs w:val="24"/>
        </w:rPr>
      </w:pPr>
      <w:r w:rsidRPr="00986BA0">
        <w:rPr>
          <w:sz w:val="24"/>
          <w:szCs w:val="24"/>
        </w:rPr>
        <w:t>Customer Service System (Avista Utilities’ information management data base)</w:t>
      </w:r>
      <w:r w:rsidR="00F06171" w:rsidRPr="00986BA0">
        <w:rPr>
          <w:sz w:val="24"/>
          <w:szCs w:val="24"/>
        </w:rPr>
        <w:t>;</w:t>
      </w:r>
    </w:p>
    <w:p w:rsidR="004D70C3" w:rsidRPr="00986BA0" w:rsidRDefault="004D70C3">
      <w:pPr>
        <w:numPr>
          <w:ilvl w:val="0"/>
          <w:numId w:val="3"/>
        </w:numPr>
        <w:jc w:val="both"/>
        <w:rPr>
          <w:sz w:val="24"/>
          <w:szCs w:val="24"/>
        </w:rPr>
      </w:pPr>
      <w:r w:rsidRPr="00986BA0">
        <w:rPr>
          <w:sz w:val="24"/>
          <w:szCs w:val="24"/>
        </w:rPr>
        <w:t>Community Action Agency records</w:t>
      </w:r>
      <w:r w:rsidR="00F06171" w:rsidRPr="00986BA0">
        <w:rPr>
          <w:sz w:val="24"/>
          <w:szCs w:val="24"/>
        </w:rPr>
        <w:t>; and</w:t>
      </w:r>
    </w:p>
    <w:p w:rsidR="004D70C3" w:rsidRPr="00986BA0" w:rsidRDefault="004D70C3">
      <w:pPr>
        <w:numPr>
          <w:ilvl w:val="0"/>
          <w:numId w:val="3"/>
        </w:numPr>
        <w:jc w:val="both"/>
        <w:rPr>
          <w:b/>
          <w:sz w:val="24"/>
          <w:szCs w:val="24"/>
          <w:u w:val="single"/>
        </w:rPr>
      </w:pPr>
      <w:r w:rsidRPr="00986BA0">
        <w:rPr>
          <w:sz w:val="24"/>
          <w:szCs w:val="24"/>
        </w:rPr>
        <w:t>Ongoing External Energy Efficiency Board review</w:t>
      </w:r>
      <w:r w:rsidR="00F06171" w:rsidRPr="00986BA0">
        <w:rPr>
          <w:sz w:val="24"/>
          <w:szCs w:val="24"/>
        </w:rPr>
        <w:t>.</w:t>
      </w:r>
    </w:p>
    <w:p w:rsidR="004D70C3" w:rsidRPr="00986BA0" w:rsidRDefault="004D70C3">
      <w:pPr>
        <w:jc w:val="both"/>
        <w:rPr>
          <w:sz w:val="24"/>
          <w:szCs w:val="24"/>
          <w:u w:val="single"/>
        </w:rPr>
      </w:pPr>
    </w:p>
    <w:p w:rsidR="008E64A2" w:rsidRPr="00986BA0" w:rsidRDefault="008E64A2">
      <w:pPr>
        <w:pStyle w:val="Heading8"/>
        <w:jc w:val="both"/>
        <w:rPr>
          <w:rFonts w:ascii="Times New Roman" w:hAnsi="Times New Roman"/>
          <w:szCs w:val="24"/>
        </w:rPr>
      </w:pPr>
    </w:p>
    <w:p w:rsidR="004D70C3" w:rsidRPr="00986BA0" w:rsidRDefault="008E64A2" w:rsidP="000835BD">
      <w:pPr>
        <w:pStyle w:val="Title"/>
        <w:outlineLvl w:val="0"/>
        <w:rPr>
          <w:rFonts w:ascii="Times New Roman" w:hAnsi="Times New Roman" w:cs="Times New Roman"/>
          <w:sz w:val="36"/>
          <w:szCs w:val="36"/>
        </w:rPr>
      </w:pPr>
      <w:bookmarkStart w:id="6" w:name="_Toc307823906"/>
      <w:r w:rsidRPr="00986BA0">
        <w:rPr>
          <w:rFonts w:ascii="Times New Roman" w:hAnsi="Times New Roman" w:cs="Times New Roman"/>
          <w:sz w:val="36"/>
          <w:szCs w:val="36"/>
        </w:rPr>
        <w:t>Participating LIRAP Agencies</w:t>
      </w:r>
      <w:bookmarkEnd w:id="6"/>
    </w:p>
    <w:p w:rsidR="004D70C3" w:rsidRPr="00986BA0" w:rsidRDefault="00306591">
      <w:pPr>
        <w:numPr>
          <w:ilvl w:val="0"/>
          <w:numId w:val="5"/>
        </w:numPr>
        <w:jc w:val="both"/>
        <w:rPr>
          <w:sz w:val="24"/>
          <w:szCs w:val="24"/>
        </w:rPr>
      </w:pPr>
      <w:r w:rsidRPr="00986BA0">
        <w:rPr>
          <w:sz w:val="24"/>
          <w:szCs w:val="24"/>
        </w:rPr>
        <w:t>Spokane Neighborhood Action Programs</w:t>
      </w:r>
    </w:p>
    <w:p w:rsidR="00DA4254" w:rsidRPr="00986BA0" w:rsidRDefault="00DA4254">
      <w:pPr>
        <w:numPr>
          <w:ilvl w:val="0"/>
          <w:numId w:val="5"/>
        </w:numPr>
        <w:jc w:val="both"/>
        <w:rPr>
          <w:sz w:val="24"/>
          <w:szCs w:val="24"/>
        </w:rPr>
      </w:pPr>
      <w:r w:rsidRPr="00986BA0">
        <w:rPr>
          <w:sz w:val="24"/>
          <w:szCs w:val="24"/>
        </w:rPr>
        <w:t xml:space="preserve">Opportunities Industrialization Center </w:t>
      </w:r>
    </w:p>
    <w:p w:rsidR="004D70C3" w:rsidRPr="00986BA0" w:rsidRDefault="004D70C3">
      <w:pPr>
        <w:numPr>
          <w:ilvl w:val="0"/>
          <w:numId w:val="5"/>
        </w:numPr>
        <w:jc w:val="both"/>
        <w:rPr>
          <w:sz w:val="24"/>
          <w:szCs w:val="24"/>
        </w:rPr>
      </w:pPr>
      <w:r w:rsidRPr="00986BA0">
        <w:rPr>
          <w:sz w:val="24"/>
          <w:szCs w:val="24"/>
        </w:rPr>
        <w:t>Community Action Center of Whitman County</w:t>
      </w:r>
    </w:p>
    <w:p w:rsidR="004D70C3" w:rsidRPr="00986BA0" w:rsidRDefault="004A6DCF">
      <w:pPr>
        <w:pStyle w:val="BodyText"/>
        <w:numPr>
          <w:ilvl w:val="0"/>
          <w:numId w:val="5"/>
        </w:numPr>
        <w:jc w:val="both"/>
        <w:rPr>
          <w:rFonts w:ascii="Times New Roman" w:hAnsi="Times New Roman"/>
          <w:szCs w:val="24"/>
        </w:rPr>
      </w:pPr>
      <w:r w:rsidRPr="00986BA0">
        <w:rPr>
          <w:rFonts w:ascii="Times New Roman" w:hAnsi="Times New Roman"/>
          <w:szCs w:val="24"/>
        </w:rPr>
        <w:t>A Community Action Partnership</w:t>
      </w:r>
      <w:r w:rsidR="004D70C3" w:rsidRPr="00986BA0">
        <w:rPr>
          <w:rFonts w:ascii="Times New Roman" w:hAnsi="Times New Roman"/>
          <w:szCs w:val="24"/>
        </w:rPr>
        <w:t xml:space="preserve"> (</w:t>
      </w:r>
      <w:smartTag w:uri="urn:schemas-microsoft-com:office:smarttags" w:element="place">
        <w:smartTag w:uri="urn:schemas-microsoft-com:office:smarttags" w:element="PlaceName">
          <w:r w:rsidR="004D70C3" w:rsidRPr="00986BA0">
            <w:rPr>
              <w:rFonts w:ascii="Times New Roman" w:hAnsi="Times New Roman"/>
              <w:szCs w:val="24"/>
            </w:rPr>
            <w:t>Asotin</w:t>
          </w:r>
        </w:smartTag>
        <w:r w:rsidR="004D70C3" w:rsidRPr="00986BA0">
          <w:rPr>
            <w:rFonts w:ascii="Times New Roman" w:hAnsi="Times New Roman"/>
            <w:szCs w:val="24"/>
          </w:rPr>
          <w:t xml:space="preserve"> </w:t>
        </w:r>
        <w:smartTag w:uri="urn:schemas-microsoft-com:office:smarttags" w:element="PlaceType">
          <w:r w:rsidR="004D70C3" w:rsidRPr="00986BA0">
            <w:rPr>
              <w:rFonts w:ascii="Times New Roman" w:hAnsi="Times New Roman"/>
              <w:szCs w:val="24"/>
            </w:rPr>
            <w:t>County</w:t>
          </w:r>
        </w:smartTag>
      </w:smartTag>
      <w:r w:rsidR="004D70C3" w:rsidRPr="00986BA0">
        <w:rPr>
          <w:rFonts w:ascii="Times New Roman" w:hAnsi="Times New Roman"/>
          <w:szCs w:val="24"/>
        </w:rPr>
        <w:t>)</w:t>
      </w:r>
    </w:p>
    <w:p w:rsidR="004D70C3" w:rsidRPr="00986BA0" w:rsidRDefault="00471805">
      <w:pPr>
        <w:numPr>
          <w:ilvl w:val="0"/>
          <w:numId w:val="5"/>
        </w:numPr>
        <w:jc w:val="both"/>
        <w:rPr>
          <w:sz w:val="24"/>
          <w:szCs w:val="24"/>
        </w:rPr>
      </w:pPr>
      <w:smartTag w:uri="urn:schemas-microsoft-com:office:smarttags" w:element="State">
        <w:smartTag w:uri="urn:schemas-microsoft-com:office:smarttags" w:element="place">
          <w:r w:rsidRPr="00986BA0">
            <w:rPr>
              <w:sz w:val="24"/>
              <w:szCs w:val="24"/>
            </w:rPr>
            <w:t>Washington</w:t>
          </w:r>
        </w:smartTag>
      </w:smartTag>
      <w:r w:rsidRPr="00986BA0">
        <w:rPr>
          <w:sz w:val="24"/>
          <w:szCs w:val="24"/>
        </w:rPr>
        <w:t xml:space="preserve"> Gorge</w:t>
      </w:r>
      <w:r w:rsidR="004D70C3" w:rsidRPr="00986BA0">
        <w:rPr>
          <w:sz w:val="24"/>
          <w:szCs w:val="24"/>
        </w:rPr>
        <w:t xml:space="preserve"> </w:t>
      </w:r>
      <w:r w:rsidR="004A6DCF" w:rsidRPr="00986BA0">
        <w:rPr>
          <w:sz w:val="24"/>
          <w:szCs w:val="24"/>
        </w:rPr>
        <w:t>Action Programs</w:t>
      </w:r>
    </w:p>
    <w:p w:rsidR="00F06171" w:rsidRPr="00986BA0" w:rsidRDefault="004D70C3" w:rsidP="00F06171">
      <w:pPr>
        <w:numPr>
          <w:ilvl w:val="0"/>
          <w:numId w:val="5"/>
        </w:numPr>
        <w:jc w:val="both"/>
        <w:rPr>
          <w:sz w:val="24"/>
          <w:szCs w:val="24"/>
        </w:rPr>
      </w:pPr>
      <w:r w:rsidRPr="00986BA0">
        <w:rPr>
          <w:sz w:val="24"/>
          <w:szCs w:val="24"/>
        </w:rPr>
        <w:t>Rural Resources Community Action</w:t>
      </w:r>
    </w:p>
    <w:p w:rsidR="008E64A2" w:rsidRPr="00986BA0" w:rsidRDefault="008E64A2">
      <w:pPr>
        <w:rPr>
          <w:sz w:val="24"/>
          <w:szCs w:val="24"/>
        </w:rPr>
      </w:pPr>
    </w:p>
    <w:p w:rsidR="003470A3" w:rsidRPr="00986BA0" w:rsidRDefault="003470A3" w:rsidP="00C954D8">
      <w:pPr>
        <w:pStyle w:val="Title"/>
        <w:outlineLvl w:val="0"/>
        <w:rPr>
          <w:rFonts w:ascii="Times New Roman" w:hAnsi="Times New Roman" w:cs="Times New Roman"/>
          <w:sz w:val="36"/>
          <w:szCs w:val="36"/>
        </w:rPr>
      </w:pPr>
      <w:bookmarkStart w:id="7" w:name="_Toc307823907"/>
      <w:r w:rsidRPr="00986BA0">
        <w:rPr>
          <w:rFonts w:ascii="Times New Roman" w:hAnsi="Times New Roman" w:cs="Times New Roman"/>
          <w:sz w:val="36"/>
          <w:szCs w:val="36"/>
        </w:rPr>
        <w:t>Contacts</w:t>
      </w:r>
      <w:bookmarkEnd w:id="7"/>
    </w:p>
    <w:p w:rsidR="00712E0A" w:rsidRPr="00986BA0" w:rsidRDefault="004D70C3">
      <w:pPr>
        <w:rPr>
          <w:sz w:val="24"/>
          <w:szCs w:val="24"/>
        </w:rPr>
      </w:pPr>
      <w:r w:rsidRPr="00986BA0">
        <w:rPr>
          <w:sz w:val="24"/>
          <w:szCs w:val="24"/>
        </w:rPr>
        <w:t>For further information, please contact:</w:t>
      </w:r>
    </w:p>
    <w:p w:rsidR="004D70C3" w:rsidRPr="00986BA0" w:rsidRDefault="004D70C3">
      <w:pPr>
        <w:rPr>
          <w:sz w:val="24"/>
          <w:szCs w:val="24"/>
        </w:rPr>
      </w:pPr>
    </w:p>
    <w:p w:rsidR="00BD1739" w:rsidRPr="00986BA0" w:rsidRDefault="00351507">
      <w:pPr>
        <w:numPr>
          <w:ilvl w:val="0"/>
          <w:numId w:val="2"/>
        </w:numPr>
        <w:rPr>
          <w:sz w:val="24"/>
          <w:szCs w:val="24"/>
        </w:rPr>
      </w:pPr>
      <w:r w:rsidRPr="00986BA0">
        <w:rPr>
          <w:sz w:val="24"/>
          <w:szCs w:val="24"/>
        </w:rPr>
        <w:t>Ana Matthews</w:t>
      </w:r>
      <w:r w:rsidR="004D70C3" w:rsidRPr="00986BA0">
        <w:rPr>
          <w:sz w:val="24"/>
          <w:szCs w:val="24"/>
        </w:rPr>
        <w:t xml:space="preserve"> </w:t>
      </w:r>
    </w:p>
    <w:p w:rsidR="004D70C3" w:rsidRPr="00986BA0" w:rsidRDefault="004D70C3" w:rsidP="00E04A6F">
      <w:pPr>
        <w:ind w:left="720"/>
        <w:rPr>
          <w:sz w:val="24"/>
          <w:szCs w:val="24"/>
        </w:rPr>
      </w:pPr>
      <w:r w:rsidRPr="00986BA0">
        <w:rPr>
          <w:sz w:val="24"/>
          <w:szCs w:val="24"/>
        </w:rPr>
        <w:t>LIRAP Manager</w:t>
      </w:r>
    </w:p>
    <w:p w:rsidR="004D70C3" w:rsidRPr="00986BA0" w:rsidRDefault="004D70C3">
      <w:pPr>
        <w:rPr>
          <w:sz w:val="24"/>
          <w:szCs w:val="24"/>
        </w:rPr>
      </w:pPr>
      <w:r w:rsidRPr="00986BA0">
        <w:rPr>
          <w:sz w:val="24"/>
          <w:szCs w:val="24"/>
        </w:rPr>
        <w:tab/>
        <w:t>509.495.7979</w:t>
      </w:r>
    </w:p>
    <w:p w:rsidR="004D70C3" w:rsidRPr="00986BA0" w:rsidRDefault="004D70C3">
      <w:pPr>
        <w:rPr>
          <w:sz w:val="24"/>
          <w:szCs w:val="24"/>
        </w:rPr>
      </w:pPr>
      <w:r w:rsidRPr="00986BA0">
        <w:rPr>
          <w:sz w:val="24"/>
          <w:szCs w:val="24"/>
        </w:rPr>
        <w:tab/>
      </w:r>
      <w:r w:rsidR="00351507" w:rsidRPr="00986BA0">
        <w:rPr>
          <w:sz w:val="24"/>
          <w:szCs w:val="24"/>
        </w:rPr>
        <w:t>Ana.Matthews@avistacorp.com</w:t>
      </w:r>
    </w:p>
    <w:p w:rsidR="004D70C3" w:rsidRPr="00986BA0" w:rsidRDefault="004D70C3">
      <w:pPr>
        <w:rPr>
          <w:sz w:val="24"/>
          <w:szCs w:val="24"/>
        </w:rPr>
      </w:pPr>
      <w:r w:rsidRPr="00986BA0">
        <w:rPr>
          <w:sz w:val="24"/>
          <w:szCs w:val="24"/>
        </w:rPr>
        <w:tab/>
      </w:r>
    </w:p>
    <w:p w:rsidR="004D70C3" w:rsidRPr="00986BA0" w:rsidRDefault="00187848">
      <w:pPr>
        <w:numPr>
          <w:ilvl w:val="0"/>
          <w:numId w:val="2"/>
        </w:numPr>
        <w:rPr>
          <w:sz w:val="24"/>
          <w:szCs w:val="24"/>
        </w:rPr>
      </w:pPr>
      <w:r w:rsidRPr="00986BA0">
        <w:rPr>
          <w:sz w:val="24"/>
          <w:szCs w:val="24"/>
        </w:rPr>
        <w:t>Linda Gervais</w:t>
      </w:r>
    </w:p>
    <w:p w:rsidR="004D70C3" w:rsidRPr="00986BA0" w:rsidRDefault="00BD1739" w:rsidP="00E04A6F">
      <w:pPr>
        <w:ind w:left="720"/>
        <w:rPr>
          <w:sz w:val="24"/>
          <w:szCs w:val="24"/>
        </w:rPr>
      </w:pPr>
      <w:r w:rsidRPr="00986BA0">
        <w:rPr>
          <w:sz w:val="24"/>
          <w:szCs w:val="24"/>
        </w:rPr>
        <w:t>Manager, Regulatory Policy</w:t>
      </w:r>
    </w:p>
    <w:p w:rsidR="004D70C3" w:rsidRPr="00986BA0" w:rsidRDefault="004D70C3">
      <w:pPr>
        <w:rPr>
          <w:sz w:val="24"/>
          <w:szCs w:val="24"/>
        </w:rPr>
      </w:pPr>
      <w:r w:rsidRPr="00986BA0">
        <w:rPr>
          <w:sz w:val="24"/>
          <w:szCs w:val="24"/>
        </w:rPr>
        <w:tab/>
        <w:t>509.495.</w:t>
      </w:r>
      <w:r w:rsidR="00187848" w:rsidRPr="00986BA0">
        <w:rPr>
          <w:sz w:val="24"/>
          <w:szCs w:val="24"/>
        </w:rPr>
        <w:t>4975</w:t>
      </w:r>
    </w:p>
    <w:p w:rsidR="004D70C3" w:rsidRPr="00986BA0" w:rsidRDefault="004D70C3">
      <w:pPr>
        <w:rPr>
          <w:sz w:val="24"/>
          <w:szCs w:val="24"/>
        </w:rPr>
      </w:pPr>
      <w:r w:rsidRPr="00986BA0">
        <w:rPr>
          <w:sz w:val="24"/>
          <w:szCs w:val="24"/>
        </w:rPr>
        <w:tab/>
      </w:r>
      <w:hyperlink r:id="rId9" w:history="1">
        <w:r w:rsidR="00351507" w:rsidRPr="00986BA0">
          <w:rPr>
            <w:rStyle w:val="Hyperlink"/>
            <w:sz w:val="24"/>
            <w:szCs w:val="24"/>
          </w:rPr>
          <w:t>linda.gervais@avistacorp.com</w:t>
        </w:r>
      </w:hyperlink>
      <w:r w:rsidR="00187848" w:rsidRPr="00986BA0">
        <w:rPr>
          <w:sz w:val="24"/>
          <w:szCs w:val="24"/>
        </w:rPr>
        <w:tab/>
      </w:r>
    </w:p>
    <w:p w:rsidR="008E64A2" w:rsidRPr="00986BA0" w:rsidRDefault="008E64A2">
      <w:pPr>
        <w:rPr>
          <w:sz w:val="24"/>
          <w:szCs w:val="24"/>
        </w:rPr>
      </w:pPr>
    </w:p>
    <w:p w:rsidR="008E64A2" w:rsidRPr="00986BA0" w:rsidRDefault="008E64A2" w:rsidP="008E64A2">
      <w:pPr>
        <w:pStyle w:val="ListParagraph"/>
        <w:numPr>
          <w:ilvl w:val="0"/>
          <w:numId w:val="27"/>
        </w:numPr>
        <w:ind w:hanging="720"/>
      </w:pPr>
      <w:r w:rsidRPr="00986BA0">
        <w:t>Jennifer Smith</w:t>
      </w:r>
    </w:p>
    <w:p w:rsidR="008E64A2" w:rsidRPr="00986BA0" w:rsidRDefault="008E64A2" w:rsidP="008E64A2">
      <w:pPr>
        <w:pStyle w:val="ListParagraph"/>
      </w:pPr>
      <w:r w:rsidRPr="00986BA0">
        <w:t>Regulatory Analyst</w:t>
      </w:r>
    </w:p>
    <w:p w:rsidR="008E64A2" w:rsidRPr="00986BA0" w:rsidRDefault="008E64A2" w:rsidP="008E64A2">
      <w:pPr>
        <w:pStyle w:val="ListParagraph"/>
      </w:pPr>
      <w:r w:rsidRPr="00986BA0">
        <w:t>509.495.2098</w:t>
      </w:r>
    </w:p>
    <w:p w:rsidR="008E64A2" w:rsidRPr="00986BA0" w:rsidRDefault="00071FF6" w:rsidP="008E64A2">
      <w:pPr>
        <w:pStyle w:val="ListParagraph"/>
      </w:pPr>
      <w:hyperlink r:id="rId10" w:history="1">
        <w:r w:rsidR="008E64A2" w:rsidRPr="00986BA0">
          <w:rPr>
            <w:rStyle w:val="Hyperlink"/>
          </w:rPr>
          <w:t>jennifer.smith@avistacorp.com</w:t>
        </w:r>
      </w:hyperlink>
    </w:p>
    <w:p w:rsidR="008E64A2" w:rsidRPr="00986BA0" w:rsidRDefault="008E64A2" w:rsidP="008E64A2">
      <w:pPr>
        <w:pStyle w:val="ListParagraph"/>
      </w:pPr>
    </w:p>
    <w:p w:rsidR="00663D66" w:rsidRPr="00986BA0" w:rsidRDefault="00663D66" w:rsidP="00663D66">
      <w:pPr>
        <w:ind w:firstLine="720"/>
        <w:rPr>
          <w:sz w:val="24"/>
          <w:szCs w:val="24"/>
        </w:rPr>
      </w:pPr>
      <w:r w:rsidRPr="00986BA0">
        <w:rPr>
          <w:sz w:val="24"/>
          <w:szCs w:val="24"/>
        </w:rPr>
        <w:t>Avista Utilities</w:t>
      </w:r>
    </w:p>
    <w:p w:rsidR="00663D66" w:rsidRPr="00986BA0" w:rsidRDefault="00663D66" w:rsidP="00663D66">
      <w:pPr>
        <w:ind w:firstLine="720"/>
        <w:rPr>
          <w:sz w:val="24"/>
          <w:szCs w:val="24"/>
        </w:rPr>
      </w:pPr>
      <w:r w:rsidRPr="00986BA0">
        <w:rPr>
          <w:sz w:val="24"/>
          <w:szCs w:val="24"/>
        </w:rPr>
        <w:t>E. 1411 Mission</w:t>
      </w:r>
    </w:p>
    <w:p w:rsidR="004D70C3" w:rsidRPr="005A6858" w:rsidRDefault="00663D66" w:rsidP="00663D66">
      <w:pPr>
        <w:ind w:firstLine="720"/>
        <w:rPr>
          <w:sz w:val="24"/>
          <w:szCs w:val="24"/>
        </w:rPr>
      </w:pPr>
      <w:r w:rsidRPr="00986BA0">
        <w:rPr>
          <w:sz w:val="24"/>
          <w:szCs w:val="24"/>
        </w:rPr>
        <w:t>Spokane, WA  99220</w:t>
      </w:r>
      <w:r w:rsidR="004D70C3" w:rsidRPr="005A6858">
        <w:rPr>
          <w:sz w:val="24"/>
          <w:szCs w:val="24"/>
        </w:rPr>
        <w:tab/>
      </w:r>
    </w:p>
    <w:sectPr w:rsidR="004D70C3" w:rsidRPr="005A6858" w:rsidSect="00034451">
      <w:footerReference w:type="default" r:id="rId11"/>
      <w:pgSz w:w="12240" w:h="15840" w:code="1"/>
      <w:pgMar w:top="1440" w:right="1152" w:bottom="1800" w:left="1152"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A0" w:rsidRDefault="00986BA0">
      <w:r>
        <w:separator/>
      </w:r>
    </w:p>
  </w:endnote>
  <w:endnote w:type="continuationSeparator" w:id="0">
    <w:p w:rsidR="00986BA0" w:rsidRDefault="00986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A0" w:rsidRPr="00CE5E65" w:rsidRDefault="00986BA0" w:rsidP="007033C5">
    <w:pPr>
      <w:pStyle w:val="Footer"/>
      <w:pBdr>
        <w:top w:val="thinThickSmallGap" w:sz="24" w:space="1" w:color="622423" w:themeColor="accent2" w:themeShade="7F"/>
      </w:pBdr>
      <w:rPr>
        <w:sz w:val="24"/>
        <w:szCs w:val="24"/>
      </w:rPr>
    </w:pPr>
    <w:r w:rsidRPr="00CE5E65">
      <w:rPr>
        <w:sz w:val="24"/>
        <w:szCs w:val="24"/>
      </w:rPr>
      <w:t xml:space="preserve">Avista Utilities </w:t>
    </w:r>
    <w:r>
      <w:rPr>
        <w:sz w:val="24"/>
        <w:szCs w:val="24"/>
      </w:rPr>
      <w:t>LIRAP</w:t>
    </w:r>
    <w:r w:rsidRPr="00CE5E65">
      <w:rPr>
        <w:sz w:val="24"/>
        <w:szCs w:val="24"/>
      </w:rPr>
      <w:t xml:space="preserve"> Summary Report</w:t>
    </w:r>
  </w:p>
  <w:p w:rsidR="00986BA0" w:rsidRPr="00CE5E65" w:rsidRDefault="00986BA0" w:rsidP="007033C5">
    <w:pPr>
      <w:pStyle w:val="Footer"/>
      <w:pBdr>
        <w:top w:val="thinThickSmallGap" w:sz="24" w:space="1" w:color="622423" w:themeColor="accent2" w:themeShade="7F"/>
      </w:pBdr>
      <w:rPr>
        <w:sz w:val="24"/>
        <w:szCs w:val="24"/>
      </w:rPr>
    </w:pPr>
    <w:r>
      <w:rPr>
        <w:sz w:val="24"/>
        <w:szCs w:val="24"/>
      </w:rPr>
      <w:t>For the Period ended September 30, 2011</w:t>
    </w:r>
    <w:r w:rsidRPr="00CE5E65">
      <w:rPr>
        <w:sz w:val="24"/>
        <w:szCs w:val="24"/>
      </w:rPr>
      <w:ptab w:relativeTo="margin" w:alignment="right" w:leader="none"/>
    </w:r>
    <w:r w:rsidRPr="00CE5E65">
      <w:rPr>
        <w:sz w:val="24"/>
        <w:szCs w:val="24"/>
      </w:rPr>
      <w:t xml:space="preserve">Page </w:t>
    </w:r>
    <w:r w:rsidRPr="00CE5E65">
      <w:rPr>
        <w:sz w:val="24"/>
        <w:szCs w:val="24"/>
      </w:rPr>
      <w:fldChar w:fldCharType="begin"/>
    </w:r>
    <w:r w:rsidRPr="00CE5E65">
      <w:rPr>
        <w:sz w:val="24"/>
        <w:szCs w:val="24"/>
      </w:rPr>
      <w:instrText xml:space="preserve"> PAGE   \* MERGEFORMAT </w:instrText>
    </w:r>
    <w:r w:rsidRPr="00CE5E65">
      <w:rPr>
        <w:sz w:val="24"/>
        <w:szCs w:val="24"/>
      </w:rPr>
      <w:fldChar w:fldCharType="separate"/>
    </w:r>
    <w:r w:rsidR="00E11563">
      <w:rPr>
        <w:noProof/>
        <w:sz w:val="24"/>
        <w:szCs w:val="24"/>
      </w:rPr>
      <w:t>1</w:t>
    </w:r>
    <w:r w:rsidRPr="00CE5E65">
      <w:rPr>
        <w:sz w:val="24"/>
        <w:szCs w:val="24"/>
      </w:rPr>
      <w:fldChar w:fldCharType="end"/>
    </w:r>
  </w:p>
  <w:p w:rsidR="00986BA0" w:rsidRPr="00CE5E65" w:rsidRDefault="00986BA0" w:rsidP="00CE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A0" w:rsidRDefault="00986BA0">
      <w:r>
        <w:separator/>
      </w:r>
    </w:p>
  </w:footnote>
  <w:footnote w:type="continuationSeparator" w:id="0">
    <w:p w:rsidR="00986BA0" w:rsidRDefault="0098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752_"/>
      </v:shape>
    </w:pict>
  </w:numPicBullet>
  <w:abstractNum w:abstractNumId="0">
    <w:nsid w:val="FFFFFFFE"/>
    <w:multiLevelType w:val="singleLevel"/>
    <w:tmpl w:val="A20290BC"/>
    <w:lvl w:ilvl="0">
      <w:numFmt w:val="bullet"/>
      <w:lvlText w:val="*"/>
      <w:lvlJc w:val="left"/>
    </w:lvl>
  </w:abstractNum>
  <w:abstractNum w:abstractNumId="1">
    <w:nsid w:val="02A10FC7"/>
    <w:multiLevelType w:val="multilevel"/>
    <w:tmpl w:val="99BE9E0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57698"/>
    <w:multiLevelType w:val="hybridMultilevel"/>
    <w:tmpl w:val="F2FA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E1E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4647B91"/>
    <w:multiLevelType w:val="multilevel"/>
    <w:tmpl w:val="13F884E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F77D5"/>
    <w:multiLevelType w:val="hybridMultilevel"/>
    <w:tmpl w:val="03A0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33834"/>
    <w:multiLevelType w:val="hybridMultilevel"/>
    <w:tmpl w:val="A410A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700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D776F37"/>
    <w:multiLevelType w:val="multilevel"/>
    <w:tmpl w:val="607A8822"/>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BF4BB3"/>
    <w:multiLevelType w:val="hybridMultilevel"/>
    <w:tmpl w:val="CED2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76E7"/>
    <w:multiLevelType w:val="hybridMultilevel"/>
    <w:tmpl w:val="94BA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4F6983"/>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E663E"/>
    <w:multiLevelType w:val="hybridMultilevel"/>
    <w:tmpl w:val="5266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17AA2"/>
    <w:multiLevelType w:val="hybridMultilevel"/>
    <w:tmpl w:val="AA4A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93F51"/>
    <w:multiLevelType w:val="hybridMultilevel"/>
    <w:tmpl w:val="5D5AA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0533BE"/>
    <w:multiLevelType w:val="multilevel"/>
    <w:tmpl w:val="6EDC6CD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B948A9"/>
    <w:multiLevelType w:val="hybridMultilevel"/>
    <w:tmpl w:val="76C26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F74CC2"/>
    <w:multiLevelType w:val="hybridMultilevel"/>
    <w:tmpl w:val="E83C0B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4A4F0590"/>
    <w:multiLevelType w:val="hybridMultilevel"/>
    <w:tmpl w:val="30BC0D2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0">
    <w:nsid w:val="52EA17B0"/>
    <w:multiLevelType w:val="multilevel"/>
    <w:tmpl w:val="FC92094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675"/>
        </w:tabs>
        <w:ind w:left="675" w:hanging="63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1">
    <w:nsid w:val="5FAE6331"/>
    <w:multiLevelType w:val="hybridMultilevel"/>
    <w:tmpl w:val="441C50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52B7E9D"/>
    <w:multiLevelType w:val="multilevel"/>
    <w:tmpl w:val="E90E51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3A22FF"/>
    <w:multiLevelType w:val="hybridMultilevel"/>
    <w:tmpl w:val="7D0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428E2"/>
    <w:multiLevelType w:val="hybridMultilevel"/>
    <w:tmpl w:val="3F48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91BBF"/>
    <w:multiLevelType w:val="singleLevel"/>
    <w:tmpl w:val="2F9C025A"/>
    <w:lvl w:ilvl="0">
      <w:start w:val="1411"/>
      <w:numFmt w:val="bullet"/>
      <w:lvlText w:val=""/>
      <w:lvlJc w:val="left"/>
      <w:pPr>
        <w:tabs>
          <w:tab w:val="num" w:pos="720"/>
        </w:tabs>
        <w:ind w:left="720" w:hanging="720"/>
      </w:pPr>
      <w:rPr>
        <w:rFonts w:ascii="Symbol" w:hAnsi="Symbol" w:hint="default"/>
      </w:rPr>
    </w:lvl>
  </w:abstractNum>
  <w:abstractNum w:abstractNumId="26">
    <w:nsid w:val="6AB3236C"/>
    <w:multiLevelType w:val="hybridMultilevel"/>
    <w:tmpl w:val="37226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36118"/>
    <w:multiLevelType w:val="hybridMultilevel"/>
    <w:tmpl w:val="BE066BC4"/>
    <w:lvl w:ilvl="0" w:tplc="D91227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36EAE"/>
    <w:multiLevelType w:val="multilevel"/>
    <w:tmpl w:val="CBFE6A9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5E1BAF"/>
    <w:multiLevelType w:val="multilevel"/>
    <w:tmpl w:val="A218F4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5"/>
  </w:num>
  <w:num w:numId="3">
    <w:abstractNumId w:val="8"/>
  </w:num>
  <w:num w:numId="4">
    <w:abstractNumId w:val="4"/>
  </w:num>
  <w:num w:numId="5">
    <w:abstractNumId w:val="3"/>
  </w:num>
  <w:num w:numId="6">
    <w:abstractNumId w:val="29"/>
  </w:num>
  <w:num w:numId="7">
    <w:abstractNumId w:val="15"/>
  </w:num>
  <w:num w:numId="8">
    <w:abstractNumId w:val="20"/>
  </w:num>
  <w:num w:numId="9">
    <w:abstractNumId w:val="19"/>
  </w:num>
  <w:num w:numId="10">
    <w:abstractNumId w:val="12"/>
  </w:num>
  <w:num w:numId="11">
    <w:abstractNumId w:val="18"/>
  </w:num>
  <w:num w:numId="12">
    <w:abstractNumId w:val="2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22"/>
  </w:num>
  <w:num w:numId="15">
    <w:abstractNumId w:val="14"/>
  </w:num>
  <w:num w:numId="16">
    <w:abstractNumId w:val="16"/>
  </w:num>
  <w:num w:numId="17">
    <w:abstractNumId w:val="1"/>
  </w:num>
  <w:num w:numId="18">
    <w:abstractNumId w:val="5"/>
  </w:num>
  <w:num w:numId="19">
    <w:abstractNumId w:val="6"/>
  </w:num>
  <w:num w:numId="20">
    <w:abstractNumId w:val="17"/>
  </w:num>
  <w:num w:numId="21">
    <w:abstractNumId w:val="9"/>
  </w:num>
  <w:num w:numId="22">
    <w:abstractNumId w:val="10"/>
  </w:num>
  <w:num w:numId="23">
    <w:abstractNumId w:val="24"/>
  </w:num>
  <w:num w:numId="24">
    <w:abstractNumId w:val="2"/>
  </w:num>
  <w:num w:numId="25">
    <w:abstractNumId w:val="21"/>
  </w:num>
  <w:num w:numId="26">
    <w:abstractNumId w:val="7"/>
  </w:num>
  <w:num w:numId="27">
    <w:abstractNumId w:val="23"/>
  </w:num>
  <w:num w:numId="28">
    <w:abstractNumId w:val="11"/>
  </w:num>
  <w:num w:numId="29">
    <w:abstractNumId w:val="2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6FF0"/>
    <w:rsid w:val="00004246"/>
    <w:rsid w:val="00005F47"/>
    <w:rsid w:val="0001042F"/>
    <w:rsid w:val="00013574"/>
    <w:rsid w:val="000152A4"/>
    <w:rsid w:val="00021F6E"/>
    <w:rsid w:val="0002436C"/>
    <w:rsid w:val="0002465A"/>
    <w:rsid w:val="00024EE6"/>
    <w:rsid w:val="0003116C"/>
    <w:rsid w:val="00034451"/>
    <w:rsid w:val="000363F8"/>
    <w:rsid w:val="00037E9D"/>
    <w:rsid w:val="000418D8"/>
    <w:rsid w:val="00041EEC"/>
    <w:rsid w:val="00043FDC"/>
    <w:rsid w:val="00044C64"/>
    <w:rsid w:val="00045552"/>
    <w:rsid w:val="00045C5C"/>
    <w:rsid w:val="000462AA"/>
    <w:rsid w:val="00060115"/>
    <w:rsid w:val="00067188"/>
    <w:rsid w:val="00071FF6"/>
    <w:rsid w:val="00072E93"/>
    <w:rsid w:val="00075CF5"/>
    <w:rsid w:val="0007617E"/>
    <w:rsid w:val="000835BD"/>
    <w:rsid w:val="000868D6"/>
    <w:rsid w:val="00093DC1"/>
    <w:rsid w:val="000A13BA"/>
    <w:rsid w:val="000A186E"/>
    <w:rsid w:val="000A2ED3"/>
    <w:rsid w:val="000A49DC"/>
    <w:rsid w:val="000B1E16"/>
    <w:rsid w:val="000B6846"/>
    <w:rsid w:val="000C1257"/>
    <w:rsid w:val="000C32A4"/>
    <w:rsid w:val="000C509D"/>
    <w:rsid w:val="000D082F"/>
    <w:rsid w:val="000D69B6"/>
    <w:rsid w:val="000E4B55"/>
    <w:rsid w:val="000F1D50"/>
    <w:rsid w:val="000F3BB5"/>
    <w:rsid w:val="000F7EEA"/>
    <w:rsid w:val="00105F2C"/>
    <w:rsid w:val="00111BD1"/>
    <w:rsid w:val="00114BC7"/>
    <w:rsid w:val="0011761C"/>
    <w:rsid w:val="00122604"/>
    <w:rsid w:val="00127B8E"/>
    <w:rsid w:val="001321FB"/>
    <w:rsid w:val="001333B4"/>
    <w:rsid w:val="00133AC6"/>
    <w:rsid w:val="00133AFF"/>
    <w:rsid w:val="00133BA6"/>
    <w:rsid w:val="001360BD"/>
    <w:rsid w:val="00140BD3"/>
    <w:rsid w:val="001428ED"/>
    <w:rsid w:val="00144F69"/>
    <w:rsid w:val="00145521"/>
    <w:rsid w:val="001471ED"/>
    <w:rsid w:val="00147C6A"/>
    <w:rsid w:val="00154901"/>
    <w:rsid w:val="00157F17"/>
    <w:rsid w:val="0016215D"/>
    <w:rsid w:val="00164D78"/>
    <w:rsid w:val="001651AC"/>
    <w:rsid w:val="00165C90"/>
    <w:rsid w:val="00170D37"/>
    <w:rsid w:val="00173896"/>
    <w:rsid w:val="0017610B"/>
    <w:rsid w:val="001765C7"/>
    <w:rsid w:val="001772B9"/>
    <w:rsid w:val="0018124B"/>
    <w:rsid w:val="0018560C"/>
    <w:rsid w:val="00187848"/>
    <w:rsid w:val="0019638F"/>
    <w:rsid w:val="001A06FA"/>
    <w:rsid w:val="001A6900"/>
    <w:rsid w:val="001A6CEE"/>
    <w:rsid w:val="001A6DA7"/>
    <w:rsid w:val="001B5A40"/>
    <w:rsid w:val="001C2B33"/>
    <w:rsid w:val="001C5EA4"/>
    <w:rsid w:val="001C7F6E"/>
    <w:rsid w:val="001D48EB"/>
    <w:rsid w:val="001D5AC8"/>
    <w:rsid w:val="001D70EC"/>
    <w:rsid w:val="001D7D8D"/>
    <w:rsid w:val="001E0208"/>
    <w:rsid w:val="001E0761"/>
    <w:rsid w:val="001E20B3"/>
    <w:rsid w:val="001E3297"/>
    <w:rsid w:val="001E3945"/>
    <w:rsid w:val="001F01AF"/>
    <w:rsid w:val="001F579C"/>
    <w:rsid w:val="001F6E3A"/>
    <w:rsid w:val="001F7C4D"/>
    <w:rsid w:val="00223ED6"/>
    <w:rsid w:val="00227B76"/>
    <w:rsid w:val="0023068A"/>
    <w:rsid w:val="00230F30"/>
    <w:rsid w:val="0023667B"/>
    <w:rsid w:val="00240836"/>
    <w:rsid w:val="00244215"/>
    <w:rsid w:val="00246A79"/>
    <w:rsid w:val="0024703E"/>
    <w:rsid w:val="00252CA7"/>
    <w:rsid w:val="00257D36"/>
    <w:rsid w:val="00261A7D"/>
    <w:rsid w:val="00262736"/>
    <w:rsid w:val="0026665F"/>
    <w:rsid w:val="0027347D"/>
    <w:rsid w:val="00277E04"/>
    <w:rsid w:val="0028092D"/>
    <w:rsid w:val="002845D9"/>
    <w:rsid w:val="002858CE"/>
    <w:rsid w:val="00287680"/>
    <w:rsid w:val="00294206"/>
    <w:rsid w:val="00296177"/>
    <w:rsid w:val="002A1D0D"/>
    <w:rsid w:val="002B08AE"/>
    <w:rsid w:val="002B1C60"/>
    <w:rsid w:val="002C03E6"/>
    <w:rsid w:val="002C1353"/>
    <w:rsid w:val="002C403D"/>
    <w:rsid w:val="002E41CA"/>
    <w:rsid w:val="002E6DE2"/>
    <w:rsid w:val="002F2624"/>
    <w:rsid w:val="002F3F0C"/>
    <w:rsid w:val="002F4801"/>
    <w:rsid w:val="002F4E58"/>
    <w:rsid w:val="0030202C"/>
    <w:rsid w:val="00302D90"/>
    <w:rsid w:val="003056F7"/>
    <w:rsid w:val="00306591"/>
    <w:rsid w:val="003212D0"/>
    <w:rsid w:val="003256F8"/>
    <w:rsid w:val="00327A9D"/>
    <w:rsid w:val="00330C84"/>
    <w:rsid w:val="00332607"/>
    <w:rsid w:val="00335284"/>
    <w:rsid w:val="0033603F"/>
    <w:rsid w:val="0034169D"/>
    <w:rsid w:val="0034223E"/>
    <w:rsid w:val="003470A3"/>
    <w:rsid w:val="00351507"/>
    <w:rsid w:val="00351BC9"/>
    <w:rsid w:val="00353122"/>
    <w:rsid w:val="003549C4"/>
    <w:rsid w:val="00354E9D"/>
    <w:rsid w:val="00362F75"/>
    <w:rsid w:val="00367612"/>
    <w:rsid w:val="003709BB"/>
    <w:rsid w:val="00371D8C"/>
    <w:rsid w:val="00372CBA"/>
    <w:rsid w:val="00381C59"/>
    <w:rsid w:val="00382ABA"/>
    <w:rsid w:val="00383D2C"/>
    <w:rsid w:val="00387007"/>
    <w:rsid w:val="00391378"/>
    <w:rsid w:val="00393B30"/>
    <w:rsid w:val="00393E72"/>
    <w:rsid w:val="00397F1A"/>
    <w:rsid w:val="003A2F8C"/>
    <w:rsid w:val="003A608C"/>
    <w:rsid w:val="003B3F90"/>
    <w:rsid w:val="003B5D06"/>
    <w:rsid w:val="003B5D34"/>
    <w:rsid w:val="003C098A"/>
    <w:rsid w:val="003C275A"/>
    <w:rsid w:val="003C4441"/>
    <w:rsid w:val="003C6583"/>
    <w:rsid w:val="003C7E23"/>
    <w:rsid w:val="003D08D8"/>
    <w:rsid w:val="003D4365"/>
    <w:rsid w:val="003E229C"/>
    <w:rsid w:val="003E6342"/>
    <w:rsid w:val="003F17E1"/>
    <w:rsid w:val="003F1DB0"/>
    <w:rsid w:val="003F2D1F"/>
    <w:rsid w:val="003F6F7C"/>
    <w:rsid w:val="003F7A60"/>
    <w:rsid w:val="0040339D"/>
    <w:rsid w:val="00403F67"/>
    <w:rsid w:val="00407C9D"/>
    <w:rsid w:val="00411361"/>
    <w:rsid w:val="00411FC6"/>
    <w:rsid w:val="00412E4F"/>
    <w:rsid w:val="004157B6"/>
    <w:rsid w:val="004166C6"/>
    <w:rsid w:val="0042201A"/>
    <w:rsid w:val="00422403"/>
    <w:rsid w:val="0042660C"/>
    <w:rsid w:val="00433AD8"/>
    <w:rsid w:val="0044360A"/>
    <w:rsid w:val="00451B23"/>
    <w:rsid w:val="00457A2D"/>
    <w:rsid w:val="00466697"/>
    <w:rsid w:val="00471805"/>
    <w:rsid w:val="004776E7"/>
    <w:rsid w:val="00481401"/>
    <w:rsid w:val="00481EE1"/>
    <w:rsid w:val="00481FA6"/>
    <w:rsid w:val="00482D6E"/>
    <w:rsid w:val="004877DC"/>
    <w:rsid w:val="00487B39"/>
    <w:rsid w:val="00490749"/>
    <w:rsid w:val="00491B4D"/>
    <w:rsid w:val="00495709"/>
    <w:rsid w:val="004966FC"/>
    <w:rsid w:val="004A6DCF"/>
    <w:rsid w:val="004B2003"/>
    <w:rsid w:val="004B26DC"/>
    <w:rsid w:val="004B7CE2"/>
    <w:rsid w:val="004C4C2C"/>
    <w:rsid w:val="004D10B5"/>
    <w:rsid w:val="004D23E0"/>
    <w:rsid w:val="004D3948"/>
    <w:rsid w:val="004D4476"/>
    <w:rsid w:val="004D70C3"/>
    <w:rsid w:val="004E1C4E"/>
    <w:rsid w:val="004E3394"/>
    <w:rsid w:val="004E3E1A"/>
    <w:rsid w:val="004E7B5D"/>
    <w:rsid w:val="004F6D18"/>
    <w:rsid w:val="005042ED"/>
    <w:rsid w:val="0050525F"/>
    <w:rsid w:val="005058EB"/>
    <w:rsid w:val="00506A52"/>
    <w:rsid w:val="00511B80"/>
    <w:rsid w:val="0052366E"/>
    <w:rsid w:val="00523814"/>
    <w:rsid w:val="00524BCB"/>
    <w:rsid w:val="00526E35"/>
    <w:rsid w:val="00530F4E"/>
    <w:rsid w:val="00532337"/>
    <w:rsid w:val="00535849"/>
    <w:rsid w:val="00535EA7"/>
    <w:rsid w:val="005365D1"/>
    <w:rsid w:val="00536BDE"/>
    <w:rsid w:val="00537445"/>
    <w:rsid w:val="00537B6A"/>
    <w:rsid w:val="005424E2"/>
    <w:rsid w:val="00544EC5"/>
    <w:rsid w:val="00546154"/>
    <w:rsid w:val="0055138A"/>
    <w:rsid w:val="00556704"/>
    <w:rsid w:val="00556957"/>
    <w:rsid w:val="00556BDD"/>
    <w:rsid w:val="00564063"/>
    <w:rsid w:val="005661CA"/>
    <w:rsid w:val="00570371"/>
    <w:rsid w:val="0057163F"/>
    <w:rsid w:val="00576D62"/>
    <w:rsid w:val="0057753F"/>
    <w:rsid w:val="005777B8"/>
    <w:rsid w:val="00577A39"/>
    <w:rsid w:val="00580255"/>
    <w:rsid w:val="005815DF"/>
    <w:rsid w:val="00581FB8"/>
    <w:rsid w:val="00587CE8"/>
    <w:rsid w:val="005A4E10"/>
    <w:rsid w:val="005A59C4"/>
    <w:rsid w:val="005A6858"/>
    <w:rsid w:val="005B050D"/>
    <w:rsid w:val="005B13B3"/>
    <w:rsid w:val="005B26B0"/>
    <w:rsid w:val="005B3EE0"/>
    <w:rsid w:val="005B76E5"/>
    <w:rsid w:val="005C1631"/>
    <w:rsid w:val="005C272A"/>
    <w:rsid w:val="005C36D8"/>
    <w:rsid w:val="005C42F0"/>
    <w:rsid w:val="005C4A0D"/>
    <w:rsid w:val="005C5C00"/>
    <w:rsid w:val="005D1F61"/>
    <w:rsid w:val="005D2BE9"/>
    <w:rsid w:val="005D5037"/>
    <w:rsid w:val="005D64ED"/>
    <w:rsid w:val="005E2083"/>
    <w:rsid w:val="005E3680"/>
    <w:rsid w:val="005E4938"/>
    <w:rsid w:val="005E4CDC"/>
    <w:rsid w:val="005E66BE"/>
    <w:rsid w:val="00602AA9"/>
    <w:rsid w:val="00603F74"/>
    <w:rsid w:val="00604FF3"/>
    <w:rsid w:val="00606022"/>
    <w:rsid w:val="006062BD"/>
    <w:rsid w:val="0060752D"/>
    <w:rsid w:val="00607A30"/>
    <w:rsid w:val="006116DD"/>
    <w:rsid w:val="00614B7A"/>
    <w:rsid w:val="00616464"/>
    <w:rsid w:val="006219DD"/>
    <w:rsid w:val="00624B81"/>
    <w:rsid w:val="006250A3"/>
    <w:rsid w:val="006513E9"/>
    <w:rsid w:val="00653D82"/>
    <w:rsid w:val="00663CD6"/>
    <w:rsid w:val="00663D66"/>
    <w:rsid w:val="0067381D"/>
    <w:rsid w:val="006816B9"/>
    <w:rsid w:val="006832D6"/>
    <w:rsid w:val="00684519"/>
    <w:rsid w:val="00684F4B"/>
    <w:rsid w:val="0068528E"/>
    <w:rsid w:val="0068684E"/>
    <w:rsid w:val="0069081B"/>
    <w:rsid w:val="00690FE0"/>
    <w:rsid w:val="006920AF"/>
    <w:rsid w:val="006937C3"/>
    <w:rsid w:val="00693C99"/>
    <w:rsid w:val="006A4D44"/>
    <w:rsid w:val="006A5323"/>
    <w:rsid w:val="006A550B"/>
    <w:rsid w:val="006B5DF6"/>
    <w:rsid w:val="006C1166"/>
    <w:rsid w:val="006C3804"/>
    <w:rsid w:val="006C529E"/>
    <w:rsid w:val="006D081B"/>
    <w:rsid w:val="006D0BEA"/>
    <w:rsid w:val="006D4F4D"/>
    <w:rsid w:val="006D540A"/>
    <w:rsid w:val="006F44B1"/>
    <w:rsid w:val="006F7A3B"/>
    <w:rsid w:val="0070233C"/>
    <w:rsid w:val="007033C5"/>
    <w:rsid w:val="00703DBF"/>
    <w:rsid w:val="007045D8"/>
    <w:rsid w:val="007058FE"/>
    <w:rsid w:val="00707D6F"/>
    <w:rsid w:val="00712E0A"/>
    <w:rsid w:val="0071318E"/>
    <w:rsid w:val="0071594E"/>
    <w:rsid w:val="00721077"/>
    <w:rsid w:val="0072136C"/>
    <w:rsid w:val="007221E5"/>
    <w:rsid w:val="007236C5"/>
    <w:rsid w:val="00723783"/>
    <w:rsid w:val="00726C66"/>
    <w:rsid w:val="00731AF9"/>
    <w:rsid w:val="00734EFC"/>
    <w:rsid w:val="007370B5"/>
    <w:rsid w:val="00747939"/>
    <w:rsid w:val="00750D40"/>
    <w:rsid w:val="00751920"/>
    <w:rsid w:val="007544FB"/>
    <w:rsid w:val="0075555F"/>
    <w:rsid w:val="00757A5D"/>
    <w:rsid w:val="00767F74"/>
    <w:rsid w:val="00770D5C"/>
    <w:rsid w:val="007773D8"/>
    <w:rsid w:val="00780C40"/>
    <w:rsid w:val="0078673A"/>
    <w:rsid w:val="00787C5D"/>
    <w:rsid w:val="007926DC"/>
    <w:rsid w:val="00792897"/>
    <w:rsid w:val="007929F8"/>
    <w:rsid w:val="00795A86"/>
    <w:rsid w:val="00796CEA"/>
    <w:rsid w:val="007A078D"/>
    <w:rsid w:val="007A291C"/>
    <w:rsid w:val="007A564D"/>
    <w:rsid w:val="007B1CA0"/>
    <w:rsid w:val="007B2F0E"/>
    <w:rsid w:val="007B77BA"/>
    <w:rsid w:val="007C07F8"/>
    <w:rsid w:val="007C20FF"/>
    <w:rsid w:val="007C41D0"/>
    <w:rsid w:val="007C561F"/>
    <w:rsid w:val="007D3E4F"/>
    <w:rsid w:val="007D6848"/>
    <w:rsid w:val="007D6B3D"/>
    <w:rsid w:val="007E6B30"/>
    <w:rsid w:val="007E7954"/>
    <w:rsid w:val="007F0566"/>
    <w:rsid w:val="007F4CB4"/>
    <w:rsid w:val="007F5CC0"/>
    <w:rsid w:val="008021BF"/>
    <w:rsid w:val="00804FB9"/>
    <w:rsid w:val="00805D48"/>
    <w:rsid w:val="008063B8"/>
    <w:rsid w:val="008108FA"/>
    <w:rsid w:val="00810DBD"/>
    <w:rsid w:val="008111F0"/>
    <w:rsid w:val="00811A88"/>
    <w:rsid w:val="0081690F"/>
    <w:rsid w:val="00816A58"/>
    <w:rsid w:val="00820499"/>
    <w:rsid w:val="00826EDE"/>
    <w:rsid w:val="00830B05"/>
    <w:rsid w:val="00833076"/>
    <w:rsid w:val="00840972"/>
    <w:rsid w:val="00840A7A"/>
    <w:rsid w:val="00842184"/>
    <w:rsid w:val="00845496"/>
    <w:rsid w:val="00847C9B"/>
    <w:rsid w:val="0086001E"/>
    <w:rsid w:val="00860D89"/>
    <w:rsid w:val="00863FF3"/>
    <w:rsid w:val="00864F79"/>
    <w:rsid w:val="00867013"/>
    <w:rsid w:val="00867F8E"/>
    <w:rsid w:val="00875610"/>
    <w:rsid w:val="00876171"/>
    <w:rsid w:val="00880CF8"/>
    <w:rsid w:val="008862AB"/>
    <w:rsid w:val="008A0856"/>
    <w:rsid w:val="008A475A"/>
    <w:rsid w:val="008A6961"/>
    <w:rsid w:val="008A7A72"/>
    <w:rsid w:val="008B426D"/>
    <w:rsid w:val="008C250B"/>
    <w:rsid w:val="008C2A40"/>
    <w:rsid w:val="008C3DB9"/>
    <w:rsid w:val="008C3EC3"/>
    <w:rsid w:val="008C5BF7"/>
    <w:rsid w:val="008C5ED3"/>
    <w:rsid w:val="008C6492"/>
    <w:rsid w:val="008C7CA0"/>
    <w:rsid w:val="008D12F3"/>
    <w:rsid w:val="008D28C7"/>
    <w:rsid w:val="008E4664"/>
    <w:rsid w:val="008E479D"/>
    <w:rsid w:val="008E64A2"/>
    <w:rsid w:val="008E65E6"/>
    <w:rsid w:val="008E6F36"/>
    <w:rsid w:val="008F2557"/>
    <w:rsid w:val="008F7AFA"/>
    <w:rsid w:val="00901117"/>
    <w:rsid w:val="009015D3"/>
    <w:rsid w:val="00901922"/>
    <w:rsid w:val="009025C1"/>
    <w:rsid w:val="00903C22"/>
    <w:rsid w:val="00905C92"/>
    <w:rsid w:val="009139BE"/>
    <w:rsid w:val="00921A5F"/>
    <w:rsid w:val="0092323E"/>
    <w:rsid w:val="0093118F"/>
    <w:rsid w:val="00937EC1"/>
    <w:rsid w:val="00942B05"/>
    <w:rsid w:val="00954160"/>
    <w:rsid w:val="00955623"/>
    <w:rsid w:val="00957435"/>
    <w:rsid w:val="00957E5D"/>
    <w:rsid w:val="00960316"/>
    <w:rsid w:val="00962C3D"/>
    <w:rsid w:val="00963C49"/>
    <w:rsid w:val="009641D8"/>
    <w:rsid w:val="00972D5D"/>
    <w:rsid w:val="00974003"/>
    <w:rsid w:val="009769A5"/>
    <w:rsid w:val="009827C7"/>
    <w:rsid w:val="0098517E"/>
    <w:rsid w:val="00985F5F"/>
    <w:rsid w:val="00986BA0"/>
    <w:rsid w:val="0098736B"/>
    <w:rsid w:val="00994409"/>
    <w:rsid w:val="00996540"/>
    <w:rsid w:val="00996738"/>
    <w:rsid w:val="009A3E32"/>
    <w:rsid w:val="009B0DB3"/>
    <w:rsid w:val="009B2D19"/>
    <w:rsid w:val="009B2E36"/>
    <w:rsid w:val="009C38C2"/>
    <w:rsid w:val="009C44E7"/>
    <w:rsid w:val="009C569C"/>
    <w:rsid w:val="009D16E9"/>
    <w:rsid w:val="009D217D"/>
    <w:rsid w:val="009D274D"/>
    <w:rsid w:val="009D3676"/>
    <w:rsid w:val="009D3B7B"/>
    <w:rsid w:val="009D5BB0"/>
    <w:rsid w:val="009E12E3"/>
    <w:rsid w:val="009E31CE"/>
    <w:rsid w:val="009E6E8B"/>
    <w:rsid w:val="009F1D06"/>
    <w:rsid w:val="00A0202E"/>
    <w:rsid w:val="00A0638C"/>
    <w:rsid w:val="00A16BAD"/>
    <w:rsid w:val="00A2010F"/>
    <w:rsid w:val="00A2162B"/>
    <w:rsid w:val="00A216AF"/>
    <w:rsid w:val="00A21D93"/>
    <w:rsid w:val="00A2331B"/>
    <w:rsid w:val="00A24F80"/>
    <w:rsid w:val="00A25780"/>
    <w:rsid w:val="00A316B8"/>
    <w:rsid w:val="00A3585E"/>
    <w:rsid w:val="00A360D1"/>
    <w:rsid w:val="00A377C5"/>
    <w:rsid w:val="00A51585"/>
    <w:rsid w:val="00A54F07"/>
    <w:rsid w:val="00A56A7D"/>
    <w:rsid w:val="00A61831"/>
    <w:rsid w:val="00A63522"/>
    <w:rsid w:val="00A73D30"/>
    <w:rsid w:val="00A75C07"/>
    <w:rsid w:val="00A815D9"/>
    <w:rsid w:val="00A82492"/>
    <w:rsid w:val="00A84B4E"/>
    <w:rsid w:val="00A858A2"/>
    <w:rsid w:val="00A924F8"/>
    <w:rsid w:val="00A925B6"/>
    <w:rsid w:val="00A9646B"/>
    <w:rsid w:val="00A967EF"/>
    <w:rsid w:val="00AA067E"/>
    <w:rsid w:val="00AA2489"/>
    <w:rsid w:val="00AB1483"/>
    <w:rsid w:val="00AB18E6"/>
    <w:rsid w:val="00AB665F"/>
    <w:rsid w:val="00AC0100"/>
    <w:rsid w:val="00AC2116"/>
    <w:rsid w:val="00AC2418"/>
    <w:rsid w:val="00AC6326"/>
    <w:rsid w:val="00AD2974"/>
    <w:rsid w:val="00AD33BC"/>
    <w:rsid w:val="00AE5221"/>
    <w:rsid w:val="00AE5B56"/>
    <w:rsid w:val="00AF21D1"/>
    <w:rsid w:val="00AF2B6C"/>
    <w:rsid w:val="00AF5EE3"/>
    <w:rsid w:val="00B00F4C"/>
    <w:rsid w:val="00B0288A"/>
    <w:rsid w:val="00B04382"/>
    <w:rsid w:val="00B105D2"/>
    <w:rsid w:val="00B10B56"/>
    <w:rsid w:val="00B1186B"/>
    <w:rsid w:val="00B16172"/>
    <w:rsid w:val="00B172AC"/>
    <w:rsid w:val="00B23149"/>
    <w:rsid w:val="00B266FD"/>
    <w:rsid w:val="00B32B4D"/>
    <w:rsid w:val="00B34076"/>
    <w:rsid w:val="00B34924"/>
    <w:rsid w:val="00B3576F"/>
    <w:rsid w:val="00B366DA"/>
    <w:rsid w:val="00B5319A"/>
    <w:rsid w:val="00B554F2"/>
    <w:rsid w:val="00B559DC"/>
    <w:rsid w:val="00B55E6E"/>
    <w:rsid w:val="00B561F6"/>
    <w:rsid w:val="00B607C6"/>
    <w:rsid w:val="00B7073C"/>
    <w:rsid w:val="00B70A4E"/>
    <w:rsid w:val="00B70E9E"/>
    <w:rsid w:val="00B734DD"/>
    <w:rsid w:val="00B8079E"/>
    <w:rsid w:val="00B80FFC"/>
    <w:rsid w:val="00B868AC"/>
    <w:rsid w:val="00B873C6"/>
    <w:rsid w:val="00B907E1"/>
    <w:rsid w:val="00B9485B"/>
    <w:rsid w:val="00BA0D5D"/>
    <w:rsid w:val="00BA4A0E"/>
    <w:rsid w:val="00BA7397"/>
    <w:rsid w:val="00BB22F9"/>
    <w:rsid w:val="00BB3088"/>
    <w:rsid w:val="00BC2644"/>
    <w:rsid w:val="00BC4851"/>
    <w:rsid w:val="00BD1739"/>
    <w:rsid w:val="00BD1D23"/>
    <w:rsid w:val="00BE0E34"/>
    <w:rsid w:val="00BF19C0"/>
    <w:rsid w:val="00BF4920"/>
    <w:rsid w:val="00BF4BFE"/>
    <w:rsid w:val="00BF5AAC"/>
    <w:rsid w:val="00C04774"/>
    <w:rsid w:val="00C04852"/>
    <w:rsid w:val="00C05F18"/>
    <w:rsid w:val="00C11EF5"/>
    <w:rsid w:val="00C13171"/>
    <w:rsid w:val="00C1601F"/>
    <w:rsid w:val="00C165FB"/>
    <w:rsid w:val="00C16FE5"/>
    <w:rsid w:val="00C204AB"/>
    <w:rsid w:val="00C21286"/>
    <w:rsid w:val="00C220A0"/>
    <w:rsid w:val="00C27C21"/>
    <w:rsid w:val="00C319EC"/>
    <w:rsid w:val="00C32E01"/>
    <w:rsid w:val="00C3772C"/>
    <w:rsid w:val="00C42BA9"/>
    <w:rsid w:val="00C44FE7"/>
    <w:rsid w:val="00C45F10"/>
    <w:rsid w:val="00C554E2"/>
    <w:rsid w:val="00C613CA"/>
    <w:rsid w:val="00C639BA"/>
    <w:rsid w:val="00C741AF"/>
    <w:rsid w:val="00C758B6"/>
    <w:rsid w:val="00C7770A"/>
    <w:rsid w:val="00C94292"/>
    <w:rsid w:val="00C954D8"/>
    <w:rsid w:val="00C97FF5"/>
    <w:rsid w:val="00CA213D"/>
    <w:rsid w:val="00CA4900"/>
    <w:rsid w:val="00CB1428"/>
    <w:rsid w:val="00CB1D3A"/>
    <w:rsid w:val="00CB475C"/>
    <w:rsid w:val="00CB7F71"/>
    <w:rsid w:val="00CC1661"/>
    <w:rsid w:val="00CC17DD"/>
    <w:rsid w:val="00CC2EF2"/>
    <w:rsid w:val="00CC4AB8"/>
    <w:rsid w:val="00CD1651"/>
    <w:rsid w:val="00CD2624"/>
    <w:rsid w:val="00CD324B"/>
    <w:rsid w:val="00CE376F"/>
    <w:rsid w:val="00CE4CD9"/>
    <w:rsid w:val="00CE5796"/>
    <w:rsid w:val="00CE5E65"/>
    <w:rsid w:val="00CE707F"/>
    <w:rsid w:val="00CF3B40"/>
    <w:rsid w:val="00CF7931"/>
    <w:rsid w:val="00D011B4"/>
    <w:rsid w:val="00D03B0B"/>
    <w:rsid w:val="00D04602"/>
    <w:rsid w:val="00D05205"/>
    <w:rsid w:val="00D10AA0"/>
    <w:rsid w:val="00D11039"/>
    <w:rsid w:val="00D114AC"/>
    <w:rsid w:val="00D13260"/>
    <w:rsid w:val="00D1594E"/>
    <w:rsid w:val="00D15AA0"/>
    <w:rsid w:val="00D21270"/>
    <w:rsid w:val="00D32AAD"/>
    <w:rsid w:val="00D34253"/>
    <w:rsid w:val="00D34A10"/>
    <w:rsid w:val="00D40862"/>
    <w:rsid w:val="00D4088E"/>
    <w:rsid w:val="00D47FB4"/>
    <w:rsid w:val="00D505FE"/>
    <w:rsid w:val="00D513B5"/>
    <w:rsid w:val="00D535C6"/>
    <w:rsid w:val="00D53A8F"/>
    <w:rsid w:val="00D56094"/>
    <w:rsid w:val="00D603F0"/>
    <w:rsid w:val="00D61D09"/>
    <w:rsid w:val="00D61E82"/>
    <w:rsid w:val="00D673F1"/>
    <w:rsid w:val="00D7260E"/>
    <w:rsid w:val="00D86D98"/>
    <w:rsid w:val="00D87591"/>
    <w:rsid w:val="00D90265"/>
    <w:rsid w:val="00D934ED"/>
    <w:rsid w:val="00DA3A00"/>
    <w:rsid w:val="00DA4254"/>
    <w:rsid w:val="00DA4EFF"/>
    <w:rsid w:val="00DB0FB1"/>
    <w:rsid w:val="00DB2A32"/>
    <w:rsid w:val="00DB2B4F"/>
    <w:rsid w:val="00DB5CB3"/>
    <w:rsid w:val="00DC7D86"/>
    <w:rsid w:val="00DD04D4"/>
    <w:rsid w:val="00DD3A5D"/>
    <w:rsid w:val="00DD5681"/>
    <w:rsid w:val="00DE3347"/>
    <w:rsid w:val="00DE33BC"/>
    <w:rsid w:val="00DF04B2"/>
    <w:rsid w:val="00DF06D3"/>
    <w:rsid w:val="00DF360D"/>
    <w:rsid w:val="00DF507A"/>
    <w:rsid w:val="00E004DC"/>
    <w:rsid w:val="00E01123"/>
    <w:rsid w:val="00E01E80"/>
    <w:rsid w:val="00E02961"/>
    <w:rsid w:val="00E02BB1"/>
    <w:rsid w:val="00E03B65"/>
    <w:rsid w:val="00E04A6F"/>
    <w:rsid w:val="00E05DFF"/>
    <w:rsid w:val="00E078D3"/>
    <w:rsid w:val="00E11563"/>
    <w:rsid w:val="00E12A38"/>
    <w:rsid w:val="00E13389"/>
    <w:rsid w:val="00E16FF0"/>
    <w:rsid w:val="00E35CF2"/>
    <w:rsid w:val="00E37B50"/>
    <w:rsid w:val="00E4111C"/>
    <w:rsid w:val="00E50A33"/>
    <w:rsid w:val="00E5670D"/>
    <w:rsid w:val="00E57020"/>
    <w:rsid w:val="00E61E57"/>
    <w:rsid w:val="00E6371A"/>
    <w:rsid w:val="00E64C61"/>
    <w:rsid w:val="00E7443F"/>
    <w:rsid w:val="00E767F3"/>
    <w:rsid w:val="00E8782B"/>
    <w:rsid w:val="00E9431E"/>
    <w:rsid w:val="00E94DEA"/>
    <w:rsid w:val="00E960BE"/>
    <w:rsid w:val="00E9648B"/>
    <w:rsid w:val="00E96DB9"/>
    <w:rsid w:val="00EA673A"/>
    <w:rsid w:val="00EC064F"/>
    <w:rsid w:val="00EC21CA"/>
    <w:rsid w:val="00EC5F43"/>
    <w:rsid w:val="00ED018E"/>
    <w:rsid w:val="00ED0F26"/>
    <w:rsid w:val="00ED5C56"/>
    <w:rsid w:val="00ED779D"/>
    <w:rsid w:val="00EE00F3"/>
    <w:rsid w:val="00EE11A5"/>
    <w:rsid w:val="00EE3AAA"/>
    <w:rsid w:val="00EE4200"/>
    <w:rsid w:val="00EE47CF"/>
    <w:rsid w:val="00EE73AE"/>
    <w:rsid w:val="00EF0770"/>
    <w:rsid w:val="00EF3D63"/>
    <w:rsid w:val="00EF55E0"/>
    <w:rsid w:val="00EF73A5"/>
    <w:rsid w:val="00F004DC"/>
    <w:rsid w:val="00F0158F"/>
    <w:rsid w:val="00F0353D"/>
    <w:rsid w:val="00F04EA3"/>
    <w:rsid w:val="00F06171"/>
    <w:rsid w:val="00F12988"/>
    <w:rsid w:val="00F32FC3"/>
    <w:rsid w:val="00F350AC"/>
    <w:rsid w:val="00F41F90"/>
    <w:rsid w:val="00F42EB2"/>
    <w:rsid w:val="00F44708"/>
    <w:rsid w:val="00F53036"/>
    <w:rsid w:val="00F57AAE"/>
    <w:rsid w:val="00F6028B"/>
    <w:rsid w:val="00F62620"/>
    <w:rsid w:val="00F65CF8"/>
    <w:rsid w:val="00F66D64"/>
    <w:rsid w:val="00F76627"/>
    <w:rsid w:val="00F774CD"/>
    <w:rsid w:val="00F8127C"/>
    <w:rsid w:val="00F81C77"/>
    <w:rsid w:val="00F82870"/>
    <w:rsid w:val="00F860A5"/>
    <w:rsid w:val="00F93558"/>
    <w:rsid w:val="00F941F5"/>
    <w:rsid w:val="00F94D48"/>
    <w:rsid w:val="00FA05D0"/>
    <w:rsid w:val="00FA403F"/>
    <w:rsid w:val="00FA65D6"/>
    <w:rsid w:val="00FB40BE"/>
    <w:rsid w:val="00FB48DC"/>
    <w:rsid w:val="00FB7D4A"/>
    <w:rsid w:val="00FC00E1"/>
    <w:rsid w:val="00FC1E0F"/>
    <w:rsid w:val="00FC67F3"/>
    <w:rsid w:val="00FD2BD1"/>
    <w:rsid w:val="00FD33AF"/>
    <w:rsid w:val="00FD5348"/>
    <w:rsid w:val="00FD582E"/>
    <w:rsid w:val="00FE1DED"/>
    <w:rsid w:val="00FE405E"/>
    <w:rsid w:val="00FE5B0B"/>
    <w:rsid w:val="00FF11B9"/>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Default Paragraph Font" w:uiPriority="1"/>
    <w:lsdException w:name="Subtitle" w:qFormat="1"/>
    <w:lsdException w:name="Body Text 2"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86B"/>
  </w:style>
  <w:style w:type="paragraph" w:styleId="Heading1">
    <w:name w:val="heading 1"/>
    <w:basedOn w:val="Normal"/>
    <w:next w:val="Normal"/>
    <w:qFormat/>
    <w:rsid w:val="00B1186B"/>
    <w:pPr>
      <w:keepNext/>
      <w:outlineLvl w:val="0"/>
    </w:pPr>
    <w:rPr>
      <w:rFonts w:ascii="Arial" w:hAnsi="Arial"/>
      <w:b/>
      <w:sz w:val="22"/>
      <w:u w:val="single"/>
    </w:rPr>
  </w:style>
  <w:style w:type="paragraph" w:styleId="Heading2">
    <w:name w:val="heading 2"/>
    <w:basedOn w:val="Normal"/>
    <w:next w:val="Normal"/>
    <w:qFormat/>
    <w:rsid w:val="00B1186B"/>
    <w:pPr>
      <w:keepNext/>
      <w:tabs>
        <w:tab w:val="left" w:pos="0"/>
      </w:tabs>
      <w:outlineLvl w:val="1"/>
    </w:pPr>
    <w:rPr>
      <w:rFonts w:ascii="Arial" w:hAnsi="Arial"/>
      <w:sz w:val="24"/>
    </w:rPr>
  </w:style>
  <w:style w:type="paragraph" w:styleId="Heading3">
    <w:name w:val="heading 3"/>
    <w:basedOn w:val="Normal"/>
    <w:next w:val="Normal"/>
    <w:qFormat/>
    <w:rsid w:val="00B1186B"/>
    <w:pPr>
      <w:keepNext/>
      <w:jc w:val="center"/>
      <w:outlineLvl w:val="2"/>
    </w:pPr>
    <w:rPr>
      <w:rFonts w:ascii="Arial" w:hAnsi="Arial"/>
      <w:b/>
      <w:i/>
      <w:snapToGrid w:val="0"/>
      <w:color w:val="000000"/>
    </w:rPr>
  </w:style>
  <w:style w:type="paragraph" w:styleId="Heading4">
    <w:name w:val="heading 4"/>
    <w:basedOn w:val="Normal"/>
    <w:next w:val="Normal"/>
    <w:qFormat/>
    <w:rsid w:val="00B1186B"/>
    <w:pPr>
      <w:keepNext/>
      <w:outlineLvl w:val="3"/>
    </w:pPr>
    <w:rPr>
      <w:rFonts w:ascii="Garamond" w:hAnsi="Garamond"/>
      <w:sz w:val="26"/>
    </w:rPr>
  </w:style>
  <w:style w:type="paragraph" w:styleId="Heading5">
    <w:name w:val="heading 5"/>
    <w:basedOn w:val="Normal"/>
    <w:next w:val="Normal"/>
    <w:qFormat/>
    <w:rsid w:val="00B1186B"/>
    <w:pPr>
      <w:keepNext/>
      <w:outlineLvl w:val="4"/>
    </w:pPr>
    <w:rPr>
      <w:rFonts w:ascii="Arial" w:hAnsi="Arial"/>
      <w:b/>
      <w:i/>
      <w:snapToGrid w:val="0"/>
      <w:color w:val="000000"/>
    </w:rPr>
  </w:style>
  <w:style w:type="paragraph" w:styleId="Heading6">
    <w:name w:val="heading 6"/>
    <w:basedOn w:val="Normal"/>
    <w:next w:val="Normal"/>
    <w:qFormat/>
    <w:rsid w:val="00B1186B"/>
    <w:pPr>
      <w:keepNext/>
      <w:outlineLvl w:val="5"/>
    </w:pPr>
    <w:rPr>
      <w:b/>
      <w:sz w:val="24"/>
      <w:u w:val="single"/>
    </w:rPr>
  </w:style>
  <w:style w:type="paragraph" w:styleId="Heading7">
    <w:name w:val="heading 7"/>
    <w:basedOn w:val="Normal"/>
    <w:next w:val="Normal"/>
    <w:qFormat/>
    <w:rsid w:val="00B1186B"/>
    <w:pPr>
      <w:keepNext/>
      <w:outlineLvl w:val="6"/>
    </w:pPr>
    <w:rPr>
      <w:rFonts w:ascii="Arial" w:hAnsi="Arial"/>
      <w:b/>
      <w:dstrike/>
      <w:shadow/>
      <w:snapToGrid w:val="0"/>
      <w:color w:val="000000"/>
      <w:sz w:val="24"/>
    </w:rPr>
  </w:style>
  <w:style w:type="paragraph" w:styleId="Heading8">
    <w:name w:val="heading 8"/>
    <w:basedOn w:val="Normal"/>
    <w:next w:val="Normal"/>
    <w:qFormat/>
    <w:rsid w:val="00B1186B"/>
    <w:pPr>
      <w:keepNext/>
      <w:outlineLvl w:val="7"/>
    </w:pPr>
    <w:rPr>
      <w:rFonts w:ascii="Arial" w:hAnsi="Arial"/>
      <w:sz w:val="24"/>
      <w:u w:val="single"/>
    </w:rPr>
  </w:style>
  <w:style w:type="paragraph" w:styleId="Heading9">
    <w:name w:val="heading 9"/>
    <w:basedOn w:val="Normal"/>
    <w:next w:val="Normal"/>
    <w:qFormat/>
    <w:rsid w:val="00B1186B"/>
    <w:pPr>
      <w:keepNext/>
      <w:jc w:val="right"/>
      <w:outlineLvl w:val="8"/>
    </w:pPr>
    <w:rPr>
      <w:rFonts w:ascii="Arial" w:hAnsi="Arial"/>
      <w:b/>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186B"/>
    <w:rPr>
      <w:color w:val="0000FF"/>
      <w:u w:val="single"/>
    </w:rPr>
  </w:style>
  <w:style w:type="paragraph" w:styleId="Header">
    <w:name w:val="header"/>
    <w:basedOn w:val="Normal"/>
    <w:rsid w:val="00B1186B"/>
    <w:pPr>
      <w:tabs>
        <w:tab w:val="center" w:pos="4320"/>
        <w:tab w:val="right" w:pos="8640"/>
      </w:tabs>
    </w:pPr>
  </w:style>
  <w:style w:type="paragraph" w:styleId="Footer">
    <w:name w:val="footer"/>
    <w:basedOn w:val="Normal"/>
    <w:link w:val="FooterChar"/>
    <w:uiPriority w:val="99"/>
    <w:rsid w:val="00B1186B"/>
    <w:pPr>
      <w:tabs>
        <w:tab w:val="center" w:pos="4320"/>
        <w:tab w:val="right" w:pos="8640"/>
      </w:tabs>
    </w:pPr>
  </w:style>
  <w:style w:type="character" w:styleId="PageNumber">
    <w:name w:val="page number"/>
    <w:basedOn w:val="DefaultParagraphFont"/>
    <w:rsid w:val="00B1186B"/>
  </w:style>
  <w:style w:type="paragraph" w:styleId="BodyText">
    <w:name w:val="Body Text"/>
    <w:basedOn w:val="Normal"/>
    <w:rsid w:val="00B1186B"/>
    <w:rPr>
      <w:rFonts w:ascii="Garamond" w:hAnsi="Garamond"/>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B1186B"/>
  </w:style>
  <w:style w:type="character" w:styleId="FootnoteReference">
    <w:name w:val="footnote reference"/>
    <w:basedOn w:val="DefaultParagraphFont"/>
    <w:uiPriority w:val="99"/>
    <w:rsid w:val="00B1186B"/>
    <w:rPr>
      <w:vertAlign w:val="superscript"/>
    </w:rPr>
  </w:style>
  <w:style w:type="paragraph" w:styleId="BodyTextIndent">
    <w:name w:val="Body Text Indent"/>
    <w:basedOn w:val="Normal"/>
    <w:rsid w:val="00B1186B"/>
    <w:pPr>
      <w:ind w:left="360" w:hanging="360"/>
    </w:pPr>
    <w:rPr>
      <w:sz w:val="24"/>
    </w:rPr>
  </w:style>
  <w:style w:type="character" w:styleId="CommentReference">
    <w:name w:val="annotation reference"/>
    <w:basedOn w:val="DefaultParagraphFont"/>
    <w:semiHidden/>
    <w:rsid w:val="00B1186B"/>
    <w:rPr>
      <w:sz w:val="16"/>
    </w:rPr>
  </w:style>
  <w:style w:type="paragraph" w:styleId="CommentText">
    <w:name w:val="annotation text"/>
    <w:basedOn w:val="Normal"/>
    <w:semiHidden/>
    <w:rsid w:val="00B1186B"/>
  </w:style>
  <w:style w:type="paragraph" w:styleId="BodyText2">
    <w:name w:val="Body Text 2"/>
    <w:basedOn w:val="Normal"/>
    <w:link w:val="BodyText2Char"/>
    <w:uiPriority w:val="99"/>
    <w:rsid w:val="00B1186B"/>
    <w:pPr>
      <w:tabs>
        <w:tab w:val="left" w:pos="720"/>
      </w:tabs>
    </w:pPr>
    <w:rPr>
      <w:rFonts w:ascii="Arial" w:hAnsi="Arial"/>
      <w:color w:val="FF0000"/>
      <w:sz w:val="24"/>
    </w:rPr>
  </w:style>
  <w:style w:type="paragraph" w:styleId="BodyText3">
    <w:name w:val="Body Text 3"/>
    <w:basedOn w:val="Normal"/>
    <w:rsid w:val="00B1186B"/>
    <w:rPr>
      <w:color w:val="FF0000"/>
    </w:rPr>
  </w:style>
  <w:style w:type="character" w:styleId="FollowedHyperlink">
    <w:name w:val="FollowedHyperlink"/>
    <w:basedOn w:val="DefaultParagraphFont"/>
    <w:rsid w:val="00B1186B"/>
    <w:rPr>
      <w:color w:val="800080"/>
      <w:u w:val="single"/>
    </w:rPr>
  </w:style>
  <w:style w:type="paragraph" w:customStyle="1" w:styleId="xl24">
    <w:name w:val="xl24"/>
    <w:basedOn w:val="Normal"/>
    <w:rsid w:val="00B1186B"/>
    <w:pP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5">
    <w:name w:val="xl25"/>
    <w:basedOn w:val="Normal"/>
    <w:rsid w:val="00B1186B"/>
    <w:pPr>
      <w:pBdr>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rsid w:val="00B1186B"/>
    <w:pPr>
      <w:pBdr>
        <w:lef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B1186B"/>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B1186B"/>
    <w:pPr>
      <w:pBdr>
        <w:top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B1186B"/>
    <w:pPr>
      <w:pBdr>
        <w:top w:val="single" w:sz="8" w:space="0" w:color="auto"/>
        <w:lef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B1186B"/>
    <w:pPr>
      <w:shd w:val="clear" w:color="auto" w:fill="C0C0C0"/>
      <w:spacing w:before="100" w:beforeAutospacing="1" w:after="100" w:afterAutospacing="1"/>
    </w:pPr>
    <w:rPr>
      <w:rFonts w:ascii="Arial" w:eastAsia="Arial Unicode MS" w:hAnsi="Arial" w:cs="Arial"/>
      <w:sz w:val="16"/>
      <w:szCs w:val="16"/>
    </w:rPr>
  </w:style>
  <w:style w:type="paragraph" w:customStyle="1" w:styleId="xl32">
    <w:name w:val="xl32"/>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3">
    <w:name w:val="xl33"/>
    <w:basedOn w:val="Normal"/>
    <w:rsid w:val="00B1186B"/>
    <w:pPr>
      <w:pBdr>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4">
    <w:name w:val="xl34"/>
    <w:basedOn w:val="Normal"/>
    <w:rsid w:val="00B1186B"/>
    <w:pPr>
      <w:pBdr>
        <w:lef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35">
    <w:name w:val="xl35"/>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B1186B"/>
    <w:pP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9">
    <w:name w:val="xl39"/>
    <w:basedOn w:val="Normal"/>
    <w:rsid w:val="00B1186B"/>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40">
    <w:name w:val="xl40"/>
    <w:basedOn w:val="Normal"/>
    <w:rsid w:val="00B1186B"/>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B1186B"/>
    <w:pPr>
      <w:pBdr>
        <w:bottom w:val="single" w:sz="8" w:space="0" w:color="auto"/>
      </w:pBdr>
      <w:spacing w:before="100" w:beforeAutospacing="1" w:after="100" w:afterAutospacing="1"/>
    </w:pPr>
    <w:rPr>
      <w:rFonts w:ascii="Arial" w:eastAsia="Arial Unicode MS" w:hAnsi="Arial" w:cs="Arial"/>
      <w:sz w:val="16"/>
      <w:szCs w:val="16"/>
    </w:rPr>
  </w:style>
  <w:style w:type="paragraph" w:customStyle="1" w:styleId="xl43">
    <w:name w:val="xl43"/>
    <w:basedOn w:val="Normal"/>
    <w:rsid w:val="00B1186B"/>
    <w:pPr>
      <w:pBdr>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4">
    <w:name w:val="xl44"/>
    <w:basedOn w:val="Normal"/>
    <w:rsid w:val="00B1186B"/>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6">
    <w:name w:val="xl46"/>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7">
    <w:name w:val="xl47"/>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49">
    <w:name w:val="xl49"/>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0">
    <w:name w:val="xl50"/>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1">
    <w:name w:val="xl51"/>
    <w:basedOn w:val="Normal"/>
    <w:rsid w:val="00B1186B"/>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B1186B"/>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3">
    <w:name w:val="xl53"/>
    <w:basedOn w:val="Normal"/>
    <w:rsid w:val="00B1186B"/>
    <w:pPr>
      <w:pBdr>
        <w:left w:val="single" w:sz="8" w:space="0" w:color="auto"/>
        <w:right w:val="single" w:sz="8" w:space="0" w:color="auto"/>
      </w:pBdr>
      <w:shd w:val="clear" w:color="auto" w:fill="C0C0C0"/>
      <w:spacing w:before="100" w:beforeAutospacing="1" w:after="100" w:afterAutospacing="1"/>
    </w:pPr>
    <w:rPr>
      <w:rFonts w:ascii="Arial" w:eastAsia="Arial Unicode MS" w:hAnsi="Arial" w:cs="Arial"/>
      <w:sz w:val="16"/>
      <w:szCs w:val="16"/>
    </w:rPr>
  </w:style>
  <w:style w:type="paragraph" w:customStyle="1" w:styleId="xl54">
    <w:name w:val="xl54"/>
    <w:basedOn w:val="Normal"/>
    <w:rsid w:val="00B1186B"/>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5">
    <w:name w:val="xl55"/>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6">
    <w:name w:val="xl56"/>
    <w:basedOn w:val="Normal"/>
    <w:rsid w:val="00B1186B"/>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7">
    <w:name w:val="xl57"/>
    <w:basedOn w:val="Normal"/>
    <w:rsid w:val="00B1186B"/>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customStyle="1" w:styleId="xl58">
    <w:name w:val="xl58"/>
    <w:basedOn w:val="Normal"/>
    <w:rsid w:val="00B1186B"/>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sz w:val="16"/>
      <w:szCs w:val="16"/>
    </w:rPr>
  </w:style>
  <w:style w:type="paragraph" w:styleId="BodyTextIndent2">
    <w:name w:val="Body Text Indent 2"/>
    <w:basedOn w:val="Normal"/>
    <w:rsid w:val="00B1186B"/>
    <w:pPr>
      <w:ind w:left="720"/>
    </w:pPr>
    <w:rPr>
      <w:sz w:val="24"/>
    </w:rPr>
  </w:style>
  <w:style w:type="paragraph" w:styleId="BodyTextIndent3">
    <w:name w:val="Body Text Indent 3"/>
    <w:basedOn w:val="Normal"/>
    <w:rsid w:val="00B1186B"/>
    <w:pPr>
      <w:spacing w:before="375"/>
      <w:ind w:left="90"/>
      <w:jc w:val="both"/>
    </w:pPr>
    <w:rPr>
      <w:color w:val="000000"/>
      <w:sz w:val="24"/>
    </w:rPr>
  </w:style>
  <w:style w:type="paragraph" w:styleId="BalloonText">
    <w:name w:val="Balloon Text"/>
    <w:basedOn w:val="Normal"/>
    <w:semiHidden/>
    <w:rsid w:val="007F0566"/>
    <w:rPr>
      <w:rFonts w:ascii="Tahoma" w:hAnsi="Tahoma" w:cs="Tahoma"/>
      <w:sz w:val="16"/>
      <w:szCs w:val="16"/>
    </w:rPr>
  </w:style>
  <w:style w:type="character" w:customStyle="1" w:styleId="BodyText2Char">
    <w:name w:val="Body Text 2 Char"/>
    <w:basedOn w:val="DefaultParagraphFont"/>
    <w:link w:val="BodyText2"/>
    <w:uiPriority w:val="99"/>
    <w:rsid w:val="00901922"/>
    <w:rPr>
      <w:rFonts w:ascii="Arial" w:hAnsi="Arial"/>
      <w:color w:val="FF0000"/>
      <w:sz w:val="24"/>
    </w:rPr>
  </w:style>
  <w:style w:type="paragraph" w:styleId="NoSpacing">
    <w:name w:val="No Spacing"/>
    <w:link w:val="NoSpacingChar"/>
    <w:uiPriority w:val="1"/>
    <w:qFormat/>
    <w:rsid w:val="00CF7931"/>
    <w:rPr>
      <w:rFonts w:ascii="Calibri" w:hAnsi="Calibri"/>
      <w:sz w:val="22"/>
      <w:szCs w:val="22"/>
    </w:rPr>
  </w:style>
  <w:style w:type="character" w:customStyle="1" w:styleId="NoSpacingChar">
    <w:name w:val="No Spacing Char"/>
    <w:basedOn w:val="DefaultParagraphFont"/>
    <w:link w:val="NoSpacing"/>
    <w:uiPriority w:val="1"/>
    <w:rsid w:val="00CF7931"/>
    <w:rPr>
      <w:rFonts w:ascii="Calibri" w:hAnsi="Calibri"/>
      <w:sz w:val="22"/>
      <w:szCs w:val="22"/>
      <w:lang w:val="en-US" w:eastAsia="en-US" w:bidi="ar-SA"/>
    </w:rPr>
  </w:style>
  <w:style w:type="table" w:styleId="TableGrid">
    <w:name w:val="Table Grid"/>
    <w:basedOn w:val="TableNormal"/>
    <w:rsid w:val="00BC48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E02961"/>
    <w:rPr>
      <w:b/>
      <w:bCs/>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
    <w:basedOn w:val="DefaultParagraphFont"/>
    <w:link w:val="FootnoteText"/>
    <w:rsid w:val="0050525F"/>
  </w:style>
  <w:style w:type="paragraph" w:styleId="ListParagraph">
    <w:name w:val="List Paragraph"/>
    <w:basedOn w:val="Normal"/>
    <w:uiPriority w:val="34"/>
    <w:qFormat/>
    <w:rsid w:val="0050525F"/>
    <w:pPr>
      <w:autoSpaceDE w:val="0"/>
      <w:autoSpaceDN w:val="0"/>
      <w:ind w:left="720"/>
      <w:contextualSpacing/>
    </w:pPr>
    <w:rPr>
      <w:sz w:val="24"/>
      <w:szCs w:val="24"/>
    </w:rPr>
  </w:style>
  <w:style w:type="character" w:customStyle="1" w:styleId="FooterChar">
    <w:name w:val="Footer Char"/>
    <w:basedOn w:val="DefaultParagraphFont"/>
    <w:link w:val="Footer"/>
    <w:uiPriority w:val="99"/>
    <w:rsid w:val="00CE5E65"/>
  </w:style>
  <w:style w:type="paragraph" w:styleId="Title">
    <w:name w:val="Title"/>
    <w:basedOn w:val="Normal"/>
    <w:next w:val="Normal"/>
    <w:link w:val="TitleChar"/>
    <w:uiPriority w:val="10"/>
    <w:qFormat/>
    <w:rsid w:val="00347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0A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D0BEA"/>
    <w:pPr>
      <w:keepLines/>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2">
    <w:name w:val="toc 2"/>
    <w:basedOn w:val="Normal"/>
    <w:next w:val="Normal"/>
    <w:autoRedefine/>
    <w:uiPriority w:val="39"/>
    <w:qFormat/>
    <w:rsid w:val="006D0BEA"/>
    <w:pPr>
      <w:spacing w:after="100"/>
      <w:ind w:left="200"/>
    </w:pPr>
  </w:style>
  <w:style w:type="paragraph" w:styleId="TOC1">
    <w:name w:val="toc 1"/>
    <w:basedOn w:val="Normal"/>
    <w:next w:val="Normal"/>
    <w:autoRedefine/>
    <w:uiPriority w:val="39"/>
    <w:qFormat/>
    <w:rsid w:val="00C954D8"/>
    <w:pPr>
      <w:tabs>
        <w:tab w:val="right" w:leader="dot" w:pos="9926"/>
      </w:tabs>
      <w:spacing w:after="100"/>
    </w:pPr>
    <w:rPr>
      <w:b/>
      <w:noProof/>
    </w:rPr>
  </w:style>
  <w:style w:type="paragraph" w:styleId="TOC3">
    <w:name w:val="toc 3"/>
    <w:basedOn w:val="Normal"/>
    <w:next w:val="Normal"/>
    <w:autoRedefine/>
    <w:uiPriority w:val="39"/>
    <w:unhideWhenUsed/>
    <w:qFormat/>
    <w:rsid w:val="006D0BEA"/>
    <w:pPr>
      <w:spacing w:after="100" w:line="276" w:lineRule="auto"/>
      <w:ind w:left="440"/>
    </w:pPr>
    <w:rPr>
      <w:rFonts w:asciiTheme="minorHAnsi" w:eastAsiaTheme="minorEastAsia" w:hAnsiTheme="minorHAnsi" w:cstheme="minorBidi"/>
      <w:sz w:val="22"/>
      <w:szCs w:val="22"/>
    </w:rPr>
  </w:style>
  <w:style w:type="character" w:customStyle="1" w:styleId="FootnoteTextChar1CharChar">
    <w:name w:val="Footnote Text Char1 Char Char"/>
    <w:aliases w:val="Footnote Text Char Char Char Char,Footnote Text Char1 Char Char Char Char,Footnote Text Char Char Char Char Char Char,Footnote Text Char Char1 Char Char,Footnote Text Char1 Char1 Char Char"/>
    <w:basedOn w:val="DefaultParagraphFont"/>
    <w:uiPriority w:val="99"/>
    <w:semiHidden/>
    <w:rsid w:val="00811A88"/>
  </w:style>
</w:styles>
</file>

<file path=word/webSettings.xml><?xml version="1.0" encoding="utf-8"?>
<w:webSettings xmlns:r="http://schemas.openxmlformats.org/officeDocument/2006/relationships" xmlns:w="http://schemas.openxmlformats.org/wordprocessingml/2006/main">
  <w:divs>
    <w:div w:id="16660831">
      <w:bodyDiv w:val="1"/>
      <w:marLeft w:val="0"/>
      <w:marRight w:val="0"/>
      <w:marTop w:val="0"/>
      <w:marBottom w:val="0"/>
      <w:divBdr>
        <w:top w:val="none" w:sz="0" w:space="0" w:color="auto"/>
        <w:left w:val="none" w:sz="0" w:space="0" w:color="auto"/>
        <w:bottom w:val="none" w:sz="0" w:space="0" w:color="auto"/>
        <w:right w:val="none" w:sz="0" w:space="0" w:color="auto"/>
      </w:divBdr>
    </w:div>
    <w:div w:id="48918586">
      <w:bodyDiv w:val="1"/>
      <w:marLeft w:val="0"/>
      <w:marRight w:val="0"/>
      <w:marTop w:val="0"/>
      <w:marBottom w:val="0"/>
      <w:divBdr>
        <w:top w:val="none" w:sz="0" w:space="0" w:color="auto"/>
        <w:left w:val="none" w:sz="0" w:space="0" w:color="auto"/>
        <w:bottom w:val="none" w:sz="0" w:space="0" w:color="auto"/>
        <w:right w:val="none" w:sz="0" w:space="0" w:color="auto"/>
      </w:divBdr>
    </w:div>
    <w:div w:id="340010870">
      <w:bodyDiv w:val="1"/>
      <w:marLeft w:val="0"/>
      <w:marRight w:val="0"/>
      <w:marTop w:val="0"/>
      <w:marBottom w:val="0"/>
      <w:divBdr>
        <w:top w:val="none" w:sz="0" w:space="0" w:color="auto"/>
        <w:left w:val="none" w:sz="0" w:space="0" w:color="auto"/>
        <w:bottom w:val="none" w:sz="0" w:space="0" w:color="auto"/>
        <w:right w:val="none" w:sz="0" w:space="0" w:color="auto"/>
      </w:divBdr>
    </w:div>
    <w:div w:id="368187970">
      <w:bodyDiv w:val="1"/>
      <w:marLeft w:val="0"/>
      <w:marRight w:val="0"/>
      <w:marTop w:val="0"/>
      <w:marBottom w:val="0"/>
      <w:divBdr>
        <w:top w:val="none" w:sz="0" w:space="0" w:color="auto"/>
        <w:left w:val="none" w:sz="0" w:space="0" w:color="auto"/>
        <w:bottom w:val="none" w:sz="0" w:space="0" w:color="auto"/>
        <w:right w:val="none" w:sz="0" w:space="0" w:color="auto"/>
      </w:divBdr>
    </w:div>
    <w:div w:id="409814756">
      <w:bodyDiv w:val="1"/>
      <w:marLeft w:val="0"/>
      <w:marRight w:val="0"/>
      <w:marTop w:val="0"/>
      <w:marBottom w:val="0"/>
      <w:divBdr>
        <w:top w:val="none" w:sz="0" w:space="0" w:color="auto"/>
        <w:left w:val="none" w:sz="0" w:space="0" w:color="auto"/>
        <w:bottom w:val="none" w:sz="0" w:space="0" w:color="auto"/>
        <w:right w:val="none" w:sz="0" w:space="0" w:color="auto"/>
      </w:divBdr>
    </w:div>
    <w:div w:id="431634090">
      <w:bodyDiv w:val="1"/>
      <w:marLeft w:val="0"/>
      <w:marRight w:val="0"/>
      <w:marTop w:val="0"/>
      <w:marBottom w:val="0"/>
      <w:divBdr>
        <w:top w:val="none" w:sz="0" w:space="0" w:color="auto"/>
        <w:left w:val="none" w:sz="0" w:space="0" w:color="auto"/>
        <w:bottom w:val="none" w:sz="0" w:space="0" w:color="auto"/>
        <w:right w:val="none" w:sz="0" w:space="0" w:color="auto"/>
      </w:divBdr>
    </w:div>
    <w:div w:id="627709484">
      <w:bodyDiv w:val="1"/>
      <w:marLeft w:val="0"/>
      <w:marRight w:val="0"/>
      <w:marTop w:val="0"/>
      <w:marBottom w:val="0"/>
      <w:divBdr>
        <w:top w:val="none" w:sz="0" w:space="0" w:color="auto"/>
        <w:left w:val="none" w:sz="0" w:space="0" w:color="auto"/>
        <w:bottom w:val="none" w:sz="0" w:space="0" w:color="auto"/>
        <w:right w:val="none" w:sz="0" w:space="0" w:color="auto"/>
      </w:divBdr>
    </w:div>
    <w:div w:id="710804731">
      <w:bodyDiv w:val="1"/>
      <w:marLeft w:val="0"/>
      <w:marRight w:val="0"/>
      <w:marTop w:val="0"/>
      <w:marBottom w:val="0"/>
      <w:divBdr>
        <w:top w:val="none" w:sz="0" w:space="0" w:color="auto"/>
        <w:left w:val="none" w:sz="0" w:space="0" w:color="auto"/>
        <w:bottom w:val="none" w:sz="0" w:space="0" w:color="auto"/>
        <w:right w:val="none" w:sz="0" w:space="0" w:color="auto"/>
      </w:divBdr>
    </w:div>
    <w:div w:id="735204415">
      <w:bodyDiv w:val="1"/>
      <w:marLeft w:val="0"/>
      <w:marRight w:val="0"/>
      <w:marTop w:val="0"/>
      <w:marBottom w:val="0"/>
      <w:divBdr>
        <w:top w:val="none" w:sz="0" w:space="0" w:color="auto"/>
        <w:left w:val="none" w:sz="0" w:space="0" w:color="auto"/>
        <w:bottom w:val="none" w:sz="0" w:space="0" w:color="auto"/>
        <w:right w:val="none" w:sz="0" w:space="0" w:color="auto"/>
      </w:divBdr>
    </w:div>
    <w:div w:id="813058708">
      <w:bodyDiv w:val="1"/>
      <w:marLeft w:val="0"/>
      <w:marRight w:val="0"/>
      <w:marTop w:val="0"/>
      <w:marBottom w:val="0"/>
      <w:divBdr>
        <w:top w:val="none" w:sz="0" w:space="0" w:color="auto"/>
        <w:left w:val="none" w:sz="0" w:space="0" w:color="auto"/>
        <w:bottom w:val="none" w:sz="0" w:space="0" w:color="auto"/>
        <w:right w:val="none" w:sz="0" w:space="0" w:color="auto"/>
      </w:divBdr>
    </w:div>
    <w:div w:id="919489578">
      <w:bodyDiv w:val="1"/>
      <w:marLeft w:val="0"/>
      <w:marRight w:val="0"/>
      <w:marTop w:val="0"/>
      <w:marBottom w:val="0"/>
      <w:divBdr>
        <w:top w:val="none" w:sz="0" w:space="0" w:color="auto"/>
        <w:left w:val="none" w:sz="0" w:space="0" w:color="auto"/>
        <w:bottom w:val="none" w:sz="0" w:space="0" w:color="auto"/>
        <w:right w:val="none" w:sz="0" w:space="0" w:color="auto"/>
      </w:divBdr>
    </w:div>
    <w:div w:id="1010982779">
      <w:bodyDiv w:val="1"/>
      <w:marLeft w:val="0"/>
      <w:marRight w:val="0"/>
      <w:marTop w:val="0"/>
      <w:marBottom w:val="0"/>
      <w:divBdr>
        <w:top w:val="none" w:sz="0" w:space="0" w:color="auto"/>
        <w:left w:val="none" w:sz="0" w:space="0" w:color="auto"/>
        <w:bottom w:val="none" w:sz="0" w:space="0" w:color="auto"/>
        <w:right w:val="none" w:sz="0" w:space="0" w:color="auto"/>
      </w:divBdr>
    </w:div>
    <w:div w:id="1123158653">
      <w:bodyDiv w:val="1"/>
      <w:marLeft w:val="0"/>
      <w:marRight w:val="0"/>
      <w:marTop w:val="0"/>
      <w:marBottom w:val="0"/>
      <w:divBdr>
        <w:top w:val="none" w:sz="0" w:space="0" w:color="auto"/>
        <w:left w:val="none" w:sz="0" w:space="0" w:color="auto"/>
        <w:bottom w:val="none" w:sz="0" w:space="0" w:color="auto"/>
        <w:right w:val="none" w:sz="0" w:space="0" w:color="auto"/>
      </w:divBdr>
    </w:div>
    <w:div w:id="1129590534">
      <w:bodyDiv w:val="1"/>
      <w:marLeft w:val="0"/>
      <w:marRight w:val="0"/>
      <w:marTop w:val="0"/>
      <w:marBottom w:val="0"/>
      <w:divBdr>
        <w:top w:val="none" w:sz="0" w:space="0" w:color="auto"/>
        <w:left w:val="none" w:sz="0" w:space="0" w:color="auto"/>
        <w:bottom w:val="none" w:sz="0" w:space="0" w:color="auto"/>
        <w:right w:val="none" w:sz="0" w:space="0" w:color="auto"/>
      </w:divBdr>
    </w:div>
    <w:div w:id="1163083650">
      <w:bodyDiv w:val="1"/>
      <w:marLeft w:val="0"/>
      <w:marRight w:val="0"/>
      <w:marTop w:val="0"/>
      <w:marBottom w:val="0"/>
      <w:divBdr>
        <w:top w:val="none" w:sz="0" w:space="0" w:color="auto"/>
        <w:left w:val="none" w:sz="0" w:space="0" w:color="auto"/>
        <w:bottom w:val="none" w:sz="0" w:space="0" w:color="auto"/>
        <w:right w:val="none" w:sz="0" w:space="0" w:color="auto"/>
      </w:divBdr>
    </w:div>
    <w:div w:id="1176529663">
      <w:bodyDiv w:val="1"/>
      <w:marLeft w:val="0"/>
      <w:marRight w:val="0"/>
      <w:marTop w:val="0"/>
      <w:marBottom w:val="0"/>
      <w:divBdr>
        <w:top w:val="none" w:sz="0" w:space="0" w:color="auto"/>
        <w:left w:val="none" w:sz="0" w:space="0" w:color="auto"/>
        <w:bottom w:val="none" w:sz="0" w:space="0" w:color="auto"/>
        <w:right w:val="none" w:sz="0" w:space="0" w:color="auto"/>
      </w:divBdr>
    </w:div>
    <w:div w:id="1224412175">
      <w:bodyDiv w:val="1"/>
      <w:marLeft w:val="0"/>
      <w:marRight w:val="0"/>
      <w:marTop w:val="0"/>
      <w:marBottom w:val="0"/>
      <w:divBdr>
        <w:top w:val="none" w:sz="0" w:space="0" w:color="auto"/>
        <w:left w:val="none" w:sz="0" w:space="0" w:color="auto"/>
        <w:bottom w:val="none" w:sz="0" w:space="0" w:color="auto"/>
        <w:right w:val="none" w:sz="0" w:space="0" w:color="auto"/>
      </w:divBdr>
    </w:div>
    <w:div w:id="1244681901">
      <w:bodyDiv w:val="1"/>
      <w:marLeft w:val="0"/>
      <w:marRight w:val="0"/>
      <w:marTop w:val="0"/>
      <w:marBottom w:val="0"/>
      <w:divBdr>
        <w:top w:val="none" w:sz="0" w:space="0" w:color="auto"/>
        <w:left w:val="none" w:sz="0" w:space="0" w:color="auto"/>
        <w:bottom w:val="none" w:sz="0" w:space="0" w:color="auto"/>
        <w:right w:val="none" w:sz="0" w:space="0" w:color="auto"/>
      </w:divBdr>
    </w:div>
    <w:div w:id="1255942289">
      <w:bodyDiv w:val="1"/>
      <w:marLeft w:val="0"/>
      <w:marRight w:val="0"/>
      <w:marTop w:val="0"/>
      <w:marBottom w:val="0"/>
      <w:divBdr>
        <w:top w:val="none" w:sz="0" w:space="0" w:color="auto"/>
        <w:left w:val="none" w:sz="0" w:space="0" w:color="auto"/>
        <w:bottom w:val="none" w:sz="0" w:space="0" w:color="auto"/>
        <w:right w:val="none" w:sz="0" w:space="0" w:color="auto"/>
      </w:divBdr>
    </w:div>
    <w:div w:id="1384597343">
      <w:bodyDiv w:val="1"/>
      <w:marLeft w:val="0"/>
      <w:marRight w:val="0"/>
      <w:marTop w:val="0"/>
      <w:marBottom w:val="0"/>
      <w:divBdr>
        <w:top w:val="none" w:sz="0" w:space="0" w:color="auto"/>
        <w:left w:val="none" w:sz="0" w:space="0" w:color="auto"/>
        <w:bottom w:val="none" w:sz="0" w:space="0" w:color="auto"/>
        <w:right w:val="none" w:sz="0" w:space="0" w:color="auto"/>
      </w:divBdr>
    </w:div>
    <w:div w:id="1399478721">
      <w:bodyDiv w:val="1"/>
      <w:marLeft w:val="0"/>
      <w:marRight w:val="0"/>
      <w:marTop w:val="0"/>
      <w:marBottom w:val="0"/>
      <w:divBdr>
        <w:top w:val="none" w:sz="0" w:space="0" w:color="auto"/>
        <w:left w:val="none" w:sz="0" w:space="0" w:color="auto"/>
        <w:bottom w:val="none" w:sz="0" w:space="0" w:color="auto"/>
        <w:right w:val="none" w:sz="0" w:space="0" w:color="auto"/>
      </w:divBdr>
    </w:div>
    <w:div w:id="1444886589">
      <w:bodyDiv w:val="1"/>
      <w:marLeft w:val="0"/>
      <w:marRight w:val="0"/>
      <w:marTop w:val="0"/>
      <w:marBottom w:val="0"/>
      <w:divBdr>
        <w:top w:val="none" w:sz="0" w:space="0" w:color="auto"/>
        <w:left w:val="none" w:sz="0" w:space="0" w:color="auto"/>
        <w:bottom w:val="none" w:sz="0" w:space="0" w:color="auto"/>
        <w:right w:val="none" w:sz="0" w:space="0" w:color="auto"/>
      </w:divBdr>
    </w:div>
    <w:div w:id="1449740490">
      <w:bodyDiv w:val="1"/>
      <w:marLeft w:val="0"/>
      <w:marRight w:val="0"/>
      <w:marTop w:val="0"/>
      <w:marBottom w:val="0"/>
      <w:divBdr>
        <w:top w:val="none" w:sz="0" w:space="0" w:color="auto"/>
        <w:left w:val="none" w:sz="0" w:space="0" w:color="auto"/>
        <w:bottom w:val="none" w:sz="0" w:space="0" w:color="auto"/>
        <w:right w:val="none" w:sz="0" w:space="0" w:color="auto"/>
      </w:divBdr>
    </w:div>
    <w:div w:id="1457137431">
      <w:bodyDiv w:val="1"/>
      <w:marLeft w:val="0"/>
      <w:marRight w:val="0"/>
      <w:marTop w:val="0"/>
      <w:marBottom w:val="0"/>
      <w:divBdr>
        <w:top w:val="none" w:sz="0" w:space="0" w:color="auto"/>
        <w:left w:val="none" w:sz="0" w:space="0" w:color="auto"/>
        <w:bottom w:val="none" w:sz="0" w:space="0" w:color="auto"/>
        <w:right w:val="none" w:sz="0" w:space="0" w:color="auto"/>
      </w:divBdr>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
    <w:div w:id="1717006885">
      <w:bodyDiv w:val="1"/>
      <w:marLeft w:val="0"/>
      <w:marRight w:val="0"/>
      <w:marTop w:val="0"/>
      <w:marBottom w:val="0"/>
      <w:divBdr>
        <w:top w:val="none" w:sz="0" w:space="0" w:color="auto"/>
        <w:left w:val="none" w:sz="0" w:space="0" w:color="auto"/>
        <w:bottom w:val="none" w:sz="0" w:space="0" w:color="auto"/>
        <w:right w:val="none" w:sz="0" w:space="0" w:color="auto"/>
      </w:divBdr>
    </w:div>
    <w:div w:id="1743334050">
      <w:bodyDiv w:val="1"/>
      <w:marLeft w:val="0"/>
      <w:marRight w:val="0"/>
      <w:marTop w:val="0"/>
      <w:marBottom w:val="0"/>
      <w:divBdr>
        <w:top w:val="none" w:sz="0" w:space="0" w:color="auto"/>
        <w:left w:val="none" w:sz="0" w:space="0" w:color="auto"/>
        <w:bottom w:val="none" w:sz="0" w:space="0" w:color="auto"/>
        <w:right w:val="none" w:sz="0" w:space="0" w:color="auto"/>
      </w:divBdr>
    </w:div>
    <w:div w:id="1808232265">
      <w:bodyDiv w:val="1"/>
      <w:marLeft w:val="0"/>
      <w:marRight w:val="0"/>
      <w:marTop w:val="0"/>
      <w:marBottom w:val="0"/>
      <w:divBdr>
        <w:top w:val="none" w:sz="0" w:space="0" w:color="auto"/>
        <w:left w:val="none" w:sz="0" w:space="0" w:color="auto"/>
        <w:bottom w:val="none" w:sz="0" w:space="0" w:color="auto"/>
        <w:right w:val="none" w:sz="0" w:space="0" w:color="auto"/>
      </w:divBdr>
    </w:div>
    <w:div w:id="1842698762">
      <w:bodyDiv w:val="1"/>
      <w:marLeft w:val="0"/>
      <w:marRight w:val="0"/>
      <w:marTop w:val="0"/>
      <w:marBottom w:val="0"/>
      <w:divBdr>
        <w:top w:val="none" w:sz="0" w:space="0" w:color="auto"/>
        <w:left w:val="none" w:sz="0" w:space="0" w:color="auto"/>
        <w:bottom w:val="none" w:sz="0" w:space="0" w:color="auto"/>
        <w:right w:val="none" w:sz="0" w:space="0" w:color="auto"/>
      </w:divBdr>
    </w:div>
    <w:div w:id="1858038086">
      <w:bodyDiv w:val="1"/>
      <w:marLeft w:val="0"/>
      <w:marRight w:val="0"/>
      <w:marTop w:val="0"/>
      <w:marBottom w:val="0"/>
      <w:divBdr>
        <w:top w:val="none" w:sz="0" w:space="0" w:color="auto"/>
        <w:left w:val="none" w:sz="0" w:space="0" w:color="auto"/>
        <w:bottom w:val="none" w:sz="0" w:space="0" w:color="auto"/>
        <w:right w:val="none" w:sz="0" w:space="0" w:color="auto"/>
      </w:divBdr>
    </w:div>
    <w:div w:id="1959724752">
      <w:bodyDiv w:val="1"/>
      <w:marLeft w:val="0"/>
      <w:marRight w:val="0"/>
      <w:marTop w:val="0"/>
      <w:marBottom w:val="0"/>
      <w:divBdr>
        <w:top w:val="none" w:sz="0" w:space="0" w:color="auto"/>
        <w:left w:val="none" w:sz="0" w:space="0" w:color="auto"/>
        <w:bottom w:val="none" w:sz="0" w:space="0" w:color="auto"/>
        <w:right w:val="none" w:sz="0" w:space="0" w:color="auto"/>
      </w:divBdr>
    </w:div>
    <w:div w:id="1970012736">
      <w:bodyDiv w:val="1"/>
      <w:marLeft w:val="0"/>
      <w:marRight w:val="0"/>
      <w:marTop w:val="0"/>
      <w:marBottom w:val="0"/>
      <w:divBdr>
        <w:top w:val="none" w:sz="0" w:space="0" w:color="auto"/>
        <w:left w:val="none" w:sz="0" w:space="0" w:color="auto"/>
        <w:bottom w:val="none" w:sz="0" w:space="0" w:color="auto"/>
        <w:right w:val="none" w:sz="0" w:space="0" w:color="auto"/>
      </w:divBdr>
    </w:div>
    <w:div w:id="2064449973">
      <w:bodyDiv w:val="1"/>
      <w:marLeft w:val="0"/>
      <w:marRight w:val="0"/>
      <w:marTop w:val="0"/>
      <w:marBottom w:val="0"/>
      <w:divBdr>
        <w:top w:val="none" w:sz="0" w:space="0" w:color="auto"/>
        <w:left w:val="none" w:sz="0" w:space="0" w:color="auto"/>
        <w:bottom w:val="none" w:sz="0" w:space="0" w:color="auto"/>
        <w:right w:val="none" w:sz="0" w:space="0" w:color="auto"/>
      </w:divBdr>
    </w:div>
    <w:div w:id="2108621467">
      <w:bodyDiv w:val="1"/>
      <w:marLeft w:val="0"/>
      <w:marRight w:val="0"/>
      <w:marTop w:val="0"/>
      <w:marBottom w:val="0"/>
      <w:divBdr>
        <w:top w:val="none" w:sz="0" w:space="0" w:color="auto"/>
        <w:left w:val="none" w:sz="0" w:space="0" w:color="auto"/>
        <w:bottom w:val="none" w:sz="0" w:space="0" w:color="auto"/>
        <w:right w:val="none" w:sz="0" w:space="0" w:color="auto"/>
      </w:divBdr>
    </w:div>
    <w:div w:id="2131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ennifer.smith@avistacorp.com" TargetMode="External"/><Relationship Id="rId4" Type="http://schemas.openxmlformats.org/officeDocument/2006/relationships/settings" Target="settings.xml"/><Relationship Id="rId9" Type="http://schemas.openxmlformats.org/officeDocument/2006/relationships/hyperlink" Target="mailto:linda.gervais@avistacorp.com"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BDD8C422249D4EB714086F7E182FBB" ma:contentTypeVersion="120" ma:contentTypeDescription="" ma:contentTypeScope="" ma:versionID="a2104e7724a7041c4e11b90bf6e8bba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2001-04-02T07:00:00+00:00</OpenedDate>
    <Date1 xmlns="dc463f71-b30c-4ab2-9473-d307f9d35888">2011-10-31T07:00:00+00:00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010437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29DF5FD-365B-4F66-8A05-D24954927BAF}"/>
</file>

<file path=customXml/itemProps2.xml><?xml version="1.0" encoding="utf-8"?>
<ds:datastoreItem xmlns:ds="http://schemas.openxmlformats.org/officeDocument/2006/customXml" ds:itemID="{26347ED0-5F15-429B-B274-AB7985DF683C}"/>
</file>

<file path=customXml/itemProps3.xml><?xml version="1.0" encoding="utf-8"?>
<ds:datastoreItem xmlns:ds="http://schemas.openxmlformats.org/officeDocument/2006/customXml" ds:itemID="{1ACAAF38-B98D-402F-B584-618998008837}"/>
</file>

<file path=customXml/itemProps4.xml><?xml version="1.0" encoding="utf-8"?>
<ds:datastoreItem xmlns:ds="http://schemas.openxmlformats.org/officeDocument/2006/customXml" ds:itemID="{056F7275-D02D-46EA-BD19-94EF03830FC4}"/>
</file>

<file path=customXml/itemProps5.xml><?xml version="1.0" encoding="utf-8"?>
<ds:datastoreItem xmlns:ds="http://schemas.openxmlformats.org/officeDocument/2006/customXml" ds:itemID="{C2E71E1A-12C3-4AA5-B30E-7B81FE51A98E}"/>
</file>

<file path=docProps/app.xml><?xml version="1.0" encoding="utf-8"?>
<Properties xmlns="http://schemas.openxmlformats.org/officeDocument/2006/extended-properties" xmlns:vt="http://schemas.openxmlformats.org/officeDocument/2006/docPropsVTypes">
  <Template>Normal.dotm</Template>
  <TotalTime>2</TotalTime>
  <Pages>8</Pages>
  <Words>1233</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8858</CharactersWithSpaces>
  <SharedDoc>false</SharedDoc>
  <HLinks>
    <vt:vector size="18" baseType="variant">
      <vt:variant>
        <vt:i4>2752587</vt:i4>
      </vt:variant>
      <vt:variant>
        <vt:i4>6</vt:i4>
      </vt:variant>
      <vt:variant>
        <vt:i4>0</vt:i4>
      </vt:variant>
      <vt:variant>
        <vt:i4>5</vt:i4>
      </vt:variant>
      <vt:variant>
        <vt:lpwstr>mailto:linda.gervais@avistacorp.com</vt:lpwstr>
      </vt:variant>
      <vt:variant>
        <vt:lpwstr/>
      </vt:variant>
      <vt:variant>
        <vt:i4>5570612</vt:i4>
      </vt:variant>
      <vt:variant>
        <vt:i4>3</vt:i4>
      </vt:variant>
      <vt:variant>
        <vt:i4>0</vt:i4>
      </vt:variant>
      <vt:variant>
        <vt:i4>5</vt:i4>
      </vt:variant>
      <vt:variant>
        <vt:lpwstr>mailto:christine.mccabe@avistacorp.com</vt:lpwstr>
      </vt:variant>
      <vt:variant>
        <vt:lpwstr/>
      </vt:variant>
      <vt:variant>
        <vt:i4>3538976</vt:i4>
      </vt:variant>
      <vt:variant>
        <vt:i4>0</vt:i4>
      </vt:variant>
      <vt:variant>
        <vt:i4>0</vt:i4>
      </vt:variant>
      <vt:variant>
        <vt:i4>5</vt:i4>
      </vt:variant>
      <vt:variant>
        <vt:lpwstr>http://www.avistakids.com/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Avista Corp Employee</dc:creator>
  <cp:lastModifiedBy>Linda Gervais</cp:lastModifiedBy>
  <cp:revision>3</cp:revision>
  <cp:lastPrinted>2011-10-28T18:24:00Z</cp:lastPrinted>
  <dcterms:created xsi:type="dcterms:W3CDTF">2011-10-31T18:28:00Z</dcterms:created>
  <dcterms:modified xsi:type="dcterms:W3CDTF">2011-10-31T18:30:00Z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0x0101006E56B4D1795A2E4DB2F0B01679ED314A00F3BDD8C422249D4EB714086F7E182FBB</vt:lpwstr>
  </property>
  <property fmtid="{D5CDD505-2E9C-101B-9397-08002B2CF9AE}" pid="4" name="_docset_NoMedatataSyncRequired">
    <vt:lpwstr>False</vt:lpwstr>
  </property>
</Properties>
</file>