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927CD2">
        <w:rPr>
          <w:b/>
          <w:szCs w:val="20"/>
          <w:lang w:eastAsia="zh-CN"/>
        </w:rPr>
        <w:t>7</w:t>
      </w:r>
      <w:r w:rsidR="00E63446">
        <w:rPr>
          <w:b/>
          <w:szCs w:val="20"/>
          <w:lang w:eastAsia="zh-CN"/>
        </w:rPr>
        <w:t>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A97FFE">
              <w:rPr>
                <w:b/>
                <w:szCs w:val="20"/>
                <w:lang w:eastAsia="zh-CN"/>
              </w:rPr>
              <w:t>Petition</w:t>
            </w:r>
            <w:r w:rsidRPr="00264E0E">
              <w:rPr>
                <w:b/>
                <w:szCs w:val="20"/>
                <w:lang w:eastAsia="zh-CN"/>
              </w:rPr>
              <w:t xml:space="preserve"> 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927CD2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SIX</w:t>
      </w:r>
      <w:r w:rsidR="00313E1E">
        <w:rPr>
          <w:b/>
        </w:rPr>
        <w:t>TH</w:t>
      </w:r>
      <w:r w:rsidR="001465B0">
        <w:rPr>
          <w:b/>
        </w:rPr>
        <w:t xml:space="preserve"> </w:t>
      </w:r>
      <w:r w:rsidR="003B2D5D">
        <w:rPr>
          <w:b/>
        </w:rPr>
        <w:t>EXHIBIT (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proofErr w:type="spellStart"/>
      <w:r w:rsidR="003B2D5D">
        <w:rPr>
          <w:b/>
          <w:color w:val="000000"/>
        </w:rPr>
        <w:t>PREFILED</w:t>
      </w:r>
      <w:proofErr w:type="spellEnd"/>
      <w:r w:rsidR="003B2D5D">
        <w:rPr>
          <w:b/>
          <w:color w:val="000000"/>
        </w:rPr>
        <w:t xml:space="preserve">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E63446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1D289E" wp14:editId="15AC2352">
                <wp:simplePos x="0" y="0"/>
                <wp:positionH relativeFrom="column">
                  <wp:posOffset>1203960</wp:posOffset>
                </wp:positionH>
                <wp:positionV relativeFrom="paragraph">
                  <wp:posOffset>31750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446" w:rsidRPr="00F7567F" w:rsidRDefault="00E63446" w:rsidP="00E63446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446" w:rsidRPr="004611C3" w:rsidRDefault="00E63446" w:rsidP="00E634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E63446" w:rsidRPr="004611C3" w:rsidRDefault="00E63446" w:rsidP="00E634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8pt;margin-top:2.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1Bjy1t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E63446" w:rsidRPr="00F7567F" w:rsidRDefault="00E63446" w:rsidP="00E6344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E63446" w:rsidRPr="004611C3" w:rsidRDefault="00E63446" w:rsidP="00E634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E63446" w:rsidRPr="004611C3" w:rsidRDefault="00E63446" w:rsidP="00E634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C13AB2" w:rsidRPr="00C13AB2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752700" w:rsidRPr="00927CD2" w:rsidRDefault="00927CD2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  <w:r w:rsidRPr="00927CD2">
        <w:rPr>
          <w:rFonts w:eastAsia="SimSun"/>
          <w:b/>
          <w:bCs/>
          <w:lang w:eastAsia="zh-CN"/>
        </w:rPr>
        <w:lastRenderedPageBreak/>
        <w:t>General Allocators to be Used to Allocate Tacoma LNG Facilit</w:t>
      </w:r>
      <w:r>
        <w:rPr>
          <w:rFonts w:eastAsia="SimSun"/>
          <w:b/>
          <w:bCs/>
          <w:lang w:eastAsia="zh-CN"/>
        </w:rPr>
        <w:t>y</w:t>
      </w:r>
      <w:r w:rsidRPr="00927CD2">
        <w:rPr>
          <w:rFonts w:eastAsia="SimSun"/>
          <w:b/>
          <w:bCs/>
          <w:lang w:eastAsia="zh-CN"/>
        </w:rPr>
        <w:t xml:space="preserve"> Expenses</w:t>
      </w:r>
      <w:r w:rsidRPr="00927CD2">
        <w:rPr>
          <w:rFonts w:eastAsia="SimSun"/>
          <w:b/>
          <w:bCs/>
          <w:lang w:eastAsia="zh-CN"/>
        </w:rPr>
        <w:br/>
        <w:t>and Capital Between Regulated and Non-Regulated Operations</w:t>
      </w:r>
    </w:p>
    <w:tbl>
      <w:tblPr>
        <w:tblW w:w="13096" w:type="dxa"/>
        <w:jc w:val="center"/>
        <w:tblInd w:w="316" w:type="dxa"/>
        <w:tblLayout w:type="fixed"/>
        <w:tblLook w:val="04A0" w:firstRow="1" w:lastRow="0" w:firstColumn="1" w:lastColumn="0" w:noHBand="0" w:noVBand="1"/>
      </w:tblPr>
      <w:tblGrid>
        <w:gridCol w:w="1778"/>
        <w:gridCol w:w="3532"/>
        <w:gridCol w:w="2430"/>
        <w:gridCol w:w="990"/>
        <w:gridCol w:w="1170"/>
        <w:gridCol w:w="1170"/>
        <w:gridCol w:w="1170"/>
        <w:gridCol w:w="856"/>
      </w:tblGrid>
      <w:tr w:rsidR="00927CD2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Basis for Allocation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Related Allocator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Peak</w:t>
            </w:r>
            <w:r>
              <w:rPr>
                <w:b/>
                <w:bCs/>
                <w:sz w:val="20"/>
                <w:szCs w:val="20"/>
              </w:rPr>
              <w:br/>
              <w:t>Shaving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TOTE</w:t>
            </w:r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996681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Non-</w:t>
            </w:r>
            <w:proofErr w:type="spellStart"/>
            <w:r>
              <w:rPr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b/>
                <w:bCs/>
                <w:sz w:val="20"/>
                <w:szCs w:val="20"/>
              </w:rPr>
              <w:br/>
              <w:t>Fuel Sales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927CD2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27CD2" w:rsidRPr="00927CD2" w:rsidTr="0054094D">
        <w:trPr>
          <w:trHeight w:val="315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Allocated liquefaction and storage costs weighted based on total capital allocated to these services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Liquefaction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88</w:t>
            </w:r>
            <w:r w:rsidR="009E1E8D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5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(48%)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46%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927CD2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Storage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D2" w:rsidRPr="00927CD2" w:rsidRDefault="00927CD2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96</w:t>
            </w:r>
            <w:r w:rsidR="009E1E8D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2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(52%)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7CD2" w:rsidRPr="00927CD2" w:rsidRDefault="009E1E8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27CD2"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7CD2" w:rsidRPr="00927CD2" w:rsidRDefault="00927CD2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Common Capital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94D" w:rsidRPr="00927CD2" w:rsidRDefault="0054094D" w:rsidP="001E7974">
            <w:pPr>
              <w:keepNext/>
              <w:keepLines/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184</w:t>
            </w:r>
            <w:r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.</w:t>
            </w:r>
            <w:r w:rsidR="001E7974" w:rsidRPr="00E63446">
              <w:rPr>
                <w:sz w:val="20"/>
                <w:szCs w:val="20"/>
                <w:highlight w:val="lightGray"/>
                <w:bdr w:val="single" w:sz="4" w:space="0" w:color="auto"/>
              </w:rPr>
              <w:t>8</w:t>
            </w:r>
            <w:r w:rsidRPr="00927CD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br/>
            </w:r>
            <w:r w:rsidRPr="00927CD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100</w:t>
            </w:r>
            <w:r w:rsidRPr="00927CD2">
              <w:rPr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DE1203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1203"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Truck Loading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Only applied to Capit</w:t>
            </w:r>
            <w:r>
              <w:rPr>
                <w:sz w:val="20"/>
                <w:szCs w:val="20"/>
              </w:rPr>
              <w:t xml:space="preserve">al.  Service not used by TOTE Fuel Sales. </w:t>
            </w:r>
            <w:r w:rsidRPr="00927CD2">
              <w:rPr>
                <w:sz w:val="20"/>
                <w:szCs w:val="20"/>
              </w:rPr>
              <w:t xml:space="preserve"> Current modeling assumes 25% of the cost to core gas to ensure that PSE gas operations has priority access to the truck loading racks to support PSE’s system.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41755D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9E1E8D">
            <w:pPr>
              <w:spacing w:before="80" w:after="8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75%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keepNext/>
              <w:keepLines/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  <w:tr w:rsidR="0054094D" w:rsidRPr="00927CD2" w:rsidTr="0054094D">
        <w:trPr>
          <w:trHeight w:val="33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D46B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996681">
              <w:rPr>
                <w:sz w:val="20"/>
                <w:szCs w:val="20"/>
              </w:rPr>
              <w:t xml:space="preserve"> </w:t>
            </w:r>
            <w:r w:rsidR="0054094D" w:rsidRPr="00927CD2">
              <w:rPr>
                <w:sz w:val="20"/>
                <w:szCs w:val="20"/>
              </w:rPr>
              <w:t>Capital</w:t>
            </w:r>
            <w:r w:rsidR="0054094D" w:rsidRPr="00927CD2">
              <w:rPr>
                <w:position w:val="6"/>
                <w:sz w:val="16"/>
                <w:szCs w:val="16"/>
              </w:rPr>
              <w:footnoteReference w:id="1"/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Weighted distribution of plant costs before AFUDC to all capital allocators</w:t>
            </w:r>
            <w:r w:rsidRPr="00927CD2">
              <w:rPr>
                <w:position w:val="6"/>
                <w:sz w:val="16"/>
                <w:szCs w:val="16"/>
              </w:rPr>
              <w:footnoteReference w:id="2"/>
            </w:r>
            <w:r w:rsidRPr="00927CD2">
              <w:rPr>
                <w:sz w:val="20"/>
                <w:szCs w:val="20"/>
              </w:rPr>
              <w:t>, including common capital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Peak Shaving </w:t>
            </w:r>
          </w:p>
          <w:p w:rsidR="0054094D" w:rsidRDefault="0054094D" w:rsidP="00B62EB6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TOTE 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 xml:space="preserve">Non-Regulated </w:t>
            </w:r>
            <w:r>
              <w:rPr>
                <w:sz w:val="20"/>
                <w:szCs w:val="20"/>
              </w:rPr>
              <w:t xml:space="preserve">Fuel Sales </w:t>
            </w:r>
          </w:p>
          <w:p w:rsidR="0054094D" w:rsidRPr="00927CD2" w:rsidRDefault="0054094D" w:rsidP="00B62EB6">
            <w:pPr>
              <w:spacing w:before="80" w:after="80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$136.4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$92</w:t>
            </w:r>
            <w:r w:rsidRPr="00927C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927CD2">
              <w:rPr>
                <w:sz w:val="20"/>
                <w:szCs w:val="20"/>
              </w:rPr>
              <w:t>M</w:t>
            </w:r>
          </w:p>
          <w:p w:rsidR="0054094D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927CD2">
              <w:rPr>
                <w:sz w:val="20"/>
                <w:szCs w:val="20"/>
              </w:rPr>
              <w:t>81.4M</w:t>
            </w:r>
          </w:p>
          <w:p w:rsidR="0054094D" w:rsidRPr="00927CD2" w:rsidRDefault="0054094D" w:rsidP="00B62EB6">
            <w:pPr>
              <w:spacing w:before="80" w:after="80"/>
              <w:jc w:val="right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$310.7M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27CD2">
              <w:rPr>
                <w:sz w:val="20"/>
                <w:szCs w:val="20"/>
              </w:rPr>
              <w:t>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27CD2">
              <w:rPr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26%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4D" w:rsidRPr="00927CD2" w:rsidRDefault="0054094D" w:rsidP="00B62EB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927CD2">
              <w:rPr>
                <w:sz w:val="20"/>
                <w:szCs w:val="20"/>
              </w:rPr>
              <w:t>100%</w:t>
            </w:r>
          </w:p>
        </w:tc>
      </w:tr>
    </w:tbl>
    <w:p w:rsidR="00927CD2" w:rsidRDefault="00927CD2" w:rsidP="00313E1E">
      <w:pPr>
        <w:keepNext/>
        <w:keepLines/>
        <w:spacing w:before="120" w:after="120"/>
        <w:jc w:val="center"/>
        <w:rPr>
          <w:rFonts w:eastAsia="SimSun"/>
          <w:b/>
          <w:bCs/>
          <w:sz w:val="2"/>
          <w:szCs w:val="2"/>
          <w:lang w:eastAsia="zh-CN"/>
        </w:rPr>
      </w:pPr>
    </w:p>
    <w:p w:rsidR="00A97FFE" w:rsidRPr="00B62EB6" w:rsidRDefault="00A97FFE" w:rsidP="00A97FFE">
      <w:pPr>
        <w:keepNext/>
        <w:keepLines/>
        <w:spacing w:before="120" w:after="120"/>
        <w:rPr>
          <w:rFonts w:eastAsia="SimSun"/>
          <w:b/>
          <w:bCs/>
          <w:sz w:val="2"/>
          <w:szCs w:val="2"/>
          <w:lang w:eastAsia="zh-CN"/>
        </w:rPr>
      </w:pPr>
      <w:r>
        <w:rPr>
          <w:color w:val="000000"/>
          <w:sz w:val="20"/>
          <w:szCs w:val="20"/>
        </w:rPr>
        <w:t>Note:  Allocators are representative of estimates in the first year of operations assuming 19% utilization of non-regulated capacity</w:t>
      </w:r>
    </w:p>
    <w:sectPr w:rsidR="00A97FFE" w:rsidRPr="00B62EB6" w:rsidSect="00927CD2">
      <w:headerReference w:type="default" r:id="rId17"/>
      <w:footerReference w:type="default" r:id="rId18"/>
      <w:footerReference w:type="first" r:id="rId19"/>
      <w:pgSz w:w="15840" w:h="12240" w:orient="landscape" w:code="1"/>
      <w:pgMar w:top="1440" w:right="1440" w:bottom="1440" w:left="1440" w:header="720" w:footer="864" w:gutter="0"/>
      <w:pgNumType w:start="1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564" w:rsidRDefault="00657564" w:rsidP="001465B0">
    <w:pPr>
      <w:pStyle w:val="Footer"/>
      <w:tabs>
        <w:tab w:val="clear" w:pos="4507"/>
        <w:tab w:val="clear" w:pos="9000"/>
        <w:tab w:val="right" w:pos="12960"/>
      </w:tabs>
      <w:ind w:right="0"/>
    </w:pPr>
  </w:p>
  <w:p w:rsidR="00657564" w:rsidRDefault="00E63446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rPr>
        <w:b/>
        <w:bCs/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B5508" wp14:editId="2509DD6A">
              <wp:simplePos x="0" y="0"/>
              <wp:positionH relativeFrom="column">
                <wp:posOffset>3475990</wp:posOffset>
              </wp:positionH>
              <wp:positionV relativeFrom="paragraph">
                <wp:posOffset>137795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446" w:rsidRPr="00F7567F" w:rsidRDefault="00E63446" w:rsidP="00E6344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46" w:rsidRPr="004611C3" w:rsidRDefault="00E63446" w:rsidP="00E634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73.7pt;margin-top:10.8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E63446" w:rsidRPr="00F7567F" w:rsidRDefault="00E63446" w:rsidP="00E63446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E63446" w:rsidRPr="004611C3" w:rsidRDefault="00E63446" w:rsidP="00E634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465B0" w:rsidRDefault="00927CD2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Six</w:t>
    </w:r>
    <w:r w:rsidR="00313E1E">
      <w:t xml:space="preserve">th </w:t>
    </w:r>
    <w:r w:rsidR="001465B0">
      <w:t>Exhibit (</w:t>
    </w:r>
    <w:r w:rsidR="00E63446">
      <w:t>C</w:t>
    </w:r>
    <w:r w:rsidR="001465B0">
      <w:t>onfidential) to the</w:t>
    </w:r>
    <w:r w:rsidR="001465B0">
      <w:tab/>
      <w:t>Exhibit No. ___(SEF-</w:t>
    </w:r>
    <w:r>
      <w:t>7</w:t>
    </w:r>
    <w:r w:rsidR="00E63446">
      <w:t>C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proofErr w:type="spellStart"/>
    <w:r>
      <w:t>Prefiled</w:t>
    </w:r>
    <w:proofErr w:type="spellEnd"/>
    <w:r>
      <w:t xml:space="preserve">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0260E3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  <w:footnote w:id="1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 xml:space="preserve">The numbers shown in the table are indicative and based off PSE’s best estimates at this time.  The actual </w:t>
      </w:r>
      <w:r w:rsidR="00D46B4D">
        <w:rPr>
          <w:sz w:val="20"/>
          <w:szCs w:val="20"/>
        </w:rPr>
        <w:t xml:space="preserve">total </w:t>
      </w:r>
      <w:r w:rsidRPr="001333D1">
        <w:rPr>
          <w:sz w:val="20"/>
          <w:szCs w:val="20"/>
        </w:rPr>
        <w:t>capital allocator will be based on the actual cost of construction when known.</w:t>
      </w:r>
    </w:p>
  </w:footnote>
  <w:footnote w:id="2">
    <w:p w:rsidR="0054094D" w:rsidRDefault="0054094D" w:rsidP="00657564">
      <w:pPr>
        <w:pStyle w:val="FootnoteText"/>
        <w:tabs>
          <w:tab w:val="left" w:pos="720"/>
        </w:tabs>
        <w:spacing w:before="0" w:line="240" w:lineRule="auto"/>
        <w:ind w:firstLine="360"/>
      </w:pPr>
      <w:r>
        <w:rPr>
          <w:rStyle w:val="FootnoteReference"/>
        </w:rPr>
        <w:footnoteRef/>
      </w:r>
      <w:r w:rsidRPr="001333D1">
        <w:rPr>
          <w:sz w:val="20"/>
          <w:szCs w:val="20"/>
        </w:rPr>
        <w:tab/>
        <w:t>Liquefaction</w:t>
      </w:r>
      <w:r w:rsidR="00752700">
        <w:rPr>
          <w:sz w:val="20"/>
          <w:szCs w:val="20"/>
        </w:rPr>
        <w:t xml:space="preserve"> Capacity</w:t>
      </w:r>
      <w:r w:rsidRPr="001333D1">
        <w:rPr>
          <w:sz w:val="20"/>
          <w:szCs w:val="20"/>
        </w:rPr>
        <w:t xml:space="preserve"> (causal), Storage (causal), Bunkering (direct), Truck Loading (causal), Vaporization (direct) and Common (general)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390BB" wp14:editId="6784177E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0E3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25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665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E7974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4918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570F8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564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700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681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97FFE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465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AB2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30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4D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203"/>
    <w:rsid w:val="00DE1FC2"/>
    <w:rsid w:val="00DE22E7"/>
    <w:rsid w:val="00DE2BFD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446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4509-B322-4E5D-8215-6E8D20BB6CE8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07EBC180-FA56-4B02-900A-687C84836071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6349B14A-27DB-4E28-AE9A-2509D88CB893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260</Words>
  <Characters>1434</Characters>
  <Application>Microsoft Office Word</Application>
  <DocSecurity>0</DocSecurity>
  <Lines>121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gFAA9xAl/vizjZh1+11O8WSyVFuIXanyFsGKImPaiOdML/2rkZTN5vVzX+oiLEJKA5vLGnZmT22ZWg3u
slGj7Xuzt8G9ycoOHSrJk2W4yK9KcDzB7XSNg60KJKKmOTyMDb7LF5VymlK+Ocdm6u965sJBBCZn
yn1ojVouIWMhotolomRcek81n+HpXI/G5sO/ciK+qwKlbXf3CQK/7kLL7LUvrpQrb++ATTODi4Uc
Fb5RZ2Dvj+GJuehqV</vt:lpwstr>
  </property>
  <property fmtid="{D5CDD505-2E9C-101B-9397-08002B2CF9AE}" pid="3" name="MAIL_MSG_ID2">
    <vt:lpwstr>YWKH8+q4TRaiqwdRRp+MFC54D0t2XuUDzbsaXzF8TX4QXx/Q1m2rFQzNADt
AZ94ImGygyCoO6jcSmrAwvHihfQ/c9+3kWygmQ==</vt:lpwstr>
  </property>
  <property fmtid="{D5CDD505-2E9C-101B-9397-08002B2CF9AE}" pid="4" name="RESPONSE_SENDER_NAME">
    <vt:lpwstr>4AAA4Lxe55UJ0C8DsUKM/aKzt94Don7c3ynWpsziUYU6xXQqBKv4bj/ANA==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