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7D" w:rsidRPr="009D54D8" w:rsidRDefault="001C6833" w:rsidP="009D54D8">
      <w:pPr>
        <w:spacing w:line="276" w:lineRule="auto"/>
        <w:jc w:val="center"/>
      </w:pPr>
      <w:r w:rsidRPr="009D54D8">
        <w:softHyphen/>
      </w:r>
      <w:r w:rsidR="00920E26" w:rsidRPr="009D54D8">
        <w:t>Attachment</w:t>
      </w:r>
      <w:bookmarkStart w:id="0" w:name="_GoBack"/>
      <w:bookmarkEnd w:id="0"/>
    </w:p>
    <w:p w:rsidR="00920E26" w:rsidRPr="009D54D8" w:rsidRDefault="00920E26" w:rsidP="009D54D8">
      <w:pPr>
        <w:spacing w:line="276" w:lineRule="auto"/>
      </w:pPr>
    </w:p>
    <w:p w:rsidR="003E077C" w:rsidRPr="009D54D8" w:rsidRDefault="005A00B6" w:rsidP="009D54D8">
      <w:pPr>
        <w:spacing w:line="276" w:lineRule="auto"/>
        <w:jc w:val="center"/>
        <w:rPr>
          <w:b/>
        </w:rPr>
      </w:pPr>
      <w:r w:rsidRPr="009D54D8">
        <w:rPr>
          <w:b/>
        </w:rPr>
        <w:t>Avista</w:t>
      </w:r>
      <w:r w:rsidR="00920E26" w:rsidRPr="009D54D8">
        <w:rPr>
          <w:b/>
        </w:rPr>
        <w:t xml:space="preserve"> </w:t>
      </w:r>
      <w:r w:rsidR="00E52823" w:rsidRPr="009D54D8">
        <w:rPr>
          <w:b/>
        </w:rPr>
        <w:t>2015</w:t>
      </w:r>
      <w:r w:rsidR="007B3296" w:rsidRPr="009D54D8">
        <w:rPr>
          <w:b/>
        </w:rPr>
        <w:t xml:space="preserve"> Integrated Resource Plan</w:t>
      </w:r>
      <w:r w:rsidR="00920E26" w:rsidRPr="009D54D8">
        <w:rPr>
          <w:b/>
        </w:rPr>
        <w:t xml:space="preserve"> </w:t>
      </w:r>
    </w:p>
    <w:p w:rsidR="007B3296" w:rsidRPr="009D54D8" w:rsidRDefault="007A147B" w:rsidP="009D54D8">
      <w:pPr>
        <w:spacing w:line="276" w:lineRule="auto"/>
        <w:jc w:val="center"/>
        <w:rPr>
          <w:b/>
        </w:rPr>
      </w:pPr>
      <w:r w:rsidRPr="009D54D8">
        <w:rPr>
          <w:b/>
        </w:rPr>
        <w:t xml:space="preserve">Docket </w:t>
      </w:r>
      <w:r w:rsidR="00920E26" w:rsidRPr="009D54D8">
        <w:rPr>
          <w:b/>
        </w:rPr>
        <w:t>UE-</w:t>
      </w:r>
      <w:r w:rsidR="00E52823" w:rsidRPr="009D54D8">
        <w:rPr>
          <w:b/>
        </w:rPr>
        <w:t>143214</w:t>
      </w:r>
    </w:p>
    <w:p w:rsidR="00920E26" w:rsidRPr="009D54D8" w:rsidRDefault="00920E26" w:rsidP="009D54D8">
      <w:pPr>
        <w:spacing w:line="276" w:lineRule="auto"/>
        <w:jc w:val="center"/>
      </w:pPr>
    </w:p>
    <w:p w:rsidR="007B3296" w:rsidRPr="009D54D8" w:rsidRDefault="007B3296" w:rsidP="009D54D8">
      <w:pPr>
        <w:spacing w:line="276" w:lineRule="auto"/>
      </w:pPr>
    </w:p>
    <w:p w:rsidR="00113432" w:rsidRPr="009D54D8" w:rsidRDefault="00113432" w:rsidP="009D54D8">
      <w:pPr>
        <w:spacing w:line="276" w:lineRule="auto"/>
        <w:rPr>
          <w:b/>
        </w:rPr>
      </w:pPr>
      <w:r w:rsidRPr="009D54D8">
        <w:rPr>
          <w:b/>
        </w:rPr>
        <w:t>Background</w:t>
      </w:r>
    </w:p>
    <w:p w:rsidR="00113432" w:rsidRPr="009D54D8" w:rsidRDefault="00113432" w:rsidP="009D54D8">
      <w:pPr>
        <w:spacing w:line="276" w:lineRule="auto"/>
      </w:pPr>
    </w:p>
    <w:p w:rsidR="004B5C26" w:rsidRPr="009D54D8" w:rsidRDefault="00DB1C40" w:rsidP="009D54D8">
      <w:pPr>
        <w:spacing w:line="276" w:lineRule="auto"/>
      </w:pPr>
      <w:r w:rsidRPr="009D54D8">
        <w:t xml:space="preserve">WAC 480-100-238 </w:t>
      </w:r>
      <w:r w:rsidR="00E47BFA" w:rsidRPr="009D54D8">
        <w:t xml:space="preserve">directs </w:t>
      </w:r>
      <w:r w:rsidR="00A61C8E" w:rsidRPr="009D54D8">
        <w:t xml:space="preserve">investor-owned energy </w:t>
      </w:r>
      <w:r w:rsidR="00E47BFA" w:rsidRPr="009D54D8">
        <w:t>utilit</w:t>
      </w:r>
      <w:r w:rsidR="00A61C8E" w:rsidRPr="009D54D8">
        <w:t>ies</w:t>
      </w:r>
      <w:r w:rsidR="007833BF" w:rsidRPr="009D54D8">
        <w:t xml:space="preserve"> (IOUs)</w:t>
      </w:r>
      <w:r w:rsidR="00E47BFA" w:rsidRPr="009D54D8">
        <w:t xml:space="preserve"> to </w:t>
      </w:r>
      <w:r w:rsidR="00EA000F" w:rsidRPr="009D54D8">
        <w:t>develop an integrated resource plan (IRP) every two years, which identifies “</w:t>
      </w:r>
      <w:r w:rsidR="00724E3C" w:rsidRPr="009D54D8">
        <w:t>the mix of energy supply resources and conservation that will meet current and future needs at the lowest reasonable cost to the utilities and its ratepayers.</w:t>
      </w:r>
      <w:r w:rsidR="0020632E" w:rsidRPr="009D54D8">
        <w:t>”</w:t>
      </w:r>
      <w:r w:rsidR="00724E3C" w:rsidRPr="009D54D8">
        <w:rPr>
          <w:rStyle w:val="FootnoteReference"/>
        </w:rPr>
        <w:footnoteReference w:id="1"/>
      </w:r>
      <w:r w:rsidR="00EA000F" w:rsidRPr="009D54D8">
        <w:t xml:space="preserve"> </w:t>
      </w:r>
      <w:r w:rsidR="0020632E" w:rsidRPr="009D54D8">
        <w:t xml:space="preserve">In preparing an IRP, utilities are required to consider changes and trends in energy markets, resource costs, state and federal regulatory requirements, and other shifts in the political and market landscape. </w:t>
      </w:r>
      <w:r w:rsidR="007833BF" w:rsidRPr="009D54D8">
        <w:t xml:space="preserve">The rule </w:t>
      </w:r>
      <w:r w:rsidR="002B64CD" w:rsidRPr="009D54D8">
        <w:t xml:space="preserve">requires </w:t>
      </w:r>
      <w:r w:rsidR="00B512D0" w:rsidRPr="009D54D8">
        <w:t>that IOUs conduct</w:t>
      </w:r>
      <w:r w:rsidR="00E47BFA" w:rsidRPr="009D54D8">
        <w:t xml:space="preserve"> </w:t>
      </w:r>
      <w:r w:rsidR="00705C1D" w:rsidRPr="009D54D8">
        <w:t>a comprehensive</w:t>
      </w:r>
      <w:r w:rsidRPr="009D54D8">
        <w:t xml:space="preserve"> analysis of the costs and benefits</w:t>
      </w:r>
      <w:r w:rsidR="00B512D0" w:rsidRPr="009D54D8">
        <w:t>, including risk mitigation benefits,</w:t>
      </w:r>
      <w:r w:rsidRPr="009D54D8">
        <w:t xml:space="preserve"> of various approaches to meeting future resource needs</w:t>
      </w:r>
      <w:r w:rsidR="00FD733A" w:rsidRPr="009D54D8">
        <w:t xml:space="preserve"> </w:t>
      </w:r>
      <w:r w:rsidR="00882625" w:rsidRPr="009D54D8">
        <w:t>using</w:t>
      </w:r>
      <w:r w:rsidR="00FD733A" w:rsidRPr="009D54D8">
        <w:t xml:space="preserve"> the best available information</w:t>
      </w:r>
      <w:r w:rsidR="00EA000F" w:rsidRPr="009D54D8">
        <w:t>. The intent is for each regulated company to develop a strategic approach that fits its unique situation, while minimizing risks and costs for the company and its ratepayers.</w:t>
      </w:r>
    </w:p>
    <w:p w:rsidR="00FA039F" w:rsidRPr="009D54D8" w:rsidRDefault="00FA039F" w:rsidP="009D54D8">
      <w:pPr>
        <w:spacing w:line="276" w:lineRule="auto"/>
      </w:pPr>
    </w:p>
    <w:p w:rsidR="00695D3C" w:rsidRPr="009D54D8" w:rsidRDefault="00E52823" w:rsidP="009D54D8">
      <w:pPr>
        <w:spacing w:line="276" w:lineRule="auto"/>
      </w:pPr>
      <w:r w:rsidRPr="009D54D8">
        <w:t>In its 2015</w:t>
      </w:r>
      <w:r w:rsidR="001F757F" w:rsidRPr="009D54D8">
        <w:t xml:space="preserve"> Electric IRP</w:t>
      </w:r>
      <w:r w:rsidR="00A61C8E" w:rsidRPr="009D54D8">
        <w:t xml:space="preserve">, </w:t>
      </w:r>
      <w:r w:rsidR="005A00B6" w:rsidRPr="009D54D8">
        <w:t>Avista Corporation</w:t>
      </w:r>
      <w:r w:rsidR="00D55191" w:rsidRPr="009D54D8">
        <w:t xml:space="preserve"> </w:t>
      </w:r>
      <w:r w:rsidR="001452B8" w:rsidRPr="009D54D8">
        <w:t xml:space="preserve">d/b/a Avista Utilities </w:t>
      </w:r>
      <w:r w:rsidR="005A00B6" w:rsidRPr="009D54D8">
        <w:t>(Avista</w:t>
      </w:r>
      <w:r w:rsidR="00C21F7F" w:rsidRPr="009D54D8">
        <w:t xml:space="preserve"> or Company) </w:t>
      </w:r>
      <w:r w:rsidR="00AE2A55" w:rsidRPr="009D54D8">
        <w:t>desc</w:t>
      </w:r>
      <w:r w:rsidR="00D87FC0" w:rsidRPr="009D54D8">
        <w:t>r</w:t>
      </w:r>
      <w:r w:rsidR="00AE2A55" w:rsidRPr="009D54D8">
        <w:t xml:space="preserve">ibed </w:t>
      </w:r>
      <w:r w:rsidR="007629E2" w:rsidRPr="009D54D8">
        <w:t>the</w:t>
      </w:r>
      <w:r w:rsidR="00AE2A55" w:rsidRPr="009D54D8">
        <w:t xml:space="preserve"> eval</w:t>
      </w:r>
      <w:r w:rsidR="007629E2" w:rsidRPr="009D54D8">
        <w:t>uation of</w:t>
      </w:r>
      <w:r w:rsidR="009D01E1" w:rsidRPr="009D54D8">
        <w:t xml:space="preserve"> </w:t>
      </w:r>
      <w:r w:rsidR="00EE04CC" w:rsidRPr="009D54D8">
        <w:t>potential</w:t>
      </w:r>
      <w:r w:rsidR="00AE2A55" w:rsidRPr="009D54D8">
        <w:t xml:space="preserve"> resource strateg</w:t>
      </w:r>
      <w:r w:rsidR="00EE04CC" w:rsidRPr="009D54D8">
        <w:t>ies</w:t>
      </w:r>
      <w:r w:rsidR="00AE2A55" w:rsidRPr="009D54D8">
        <w:t xml:space="preserve"> for meeting resource need over the </w:t>
      </w:r>
      <w:r w:rsidR="00296FA8" w:rsidRPr="009D54D8">
        <w:t xml:space="preserve">next 20 </w:t>
      </w:r>
      <w:r w:rsidR="00AE2A55" w:rsidRPr="009D54D8">
        <w:t>year</w:t>
      </w:r>
      <w:r w:rsidR="00296FA8" w:rsidRPr="009D54D8">
        <w:t>s</w:t>
      </w:r>
      <w:r w:rsidR="00AE2A55" w:rsidRPr="009D54D8">
        <w:t>. In doing so, Avista has</w:t>
      </w:r>
      <w:r w:rsidR="001D487C" w:rsidRPr="009D54D8">
        <w:t xml:space="preserve"> </w:t>
      </w:r>
      <w:r w:rsidR="00C21F7F" w:rsidRPr="009D54D8">
        <w:t xml:space="preserve">complied with </w:t>
      </w:r>
      <w:r w:rsidR="00DB1889" w:rsidRPr="009D54D8">
        <w:t xml:space="preserve">applicable statute and </w:t>
      </w:r>
      <w:r w:rsidR="00C21F7F" w:rsidRPr="009D54D8">
        <w:t>regulations</w:t>
      </w:r>
      <w:r w:rsidR="00DB1889" w:rsidRPr="009D54D8">
        <w:t>.</w:t>
      </w:r>
      <w:r w:rsidR="00637A50" w:rsidRPr="009D54D8">
        <w:t xml:space="preserve"> </w:t>
      </w:r>
      <w:r w:rsidR="006848AA" w:rsidRPr="009D54D8">
        <w:t>W</w:t>
      </w:r>
      <w:r w:rsidR="007B2B79" w:rsidRPr="009D54D8">
        <w:t>hile</w:t>
      </w:r>
      <w:r w:rsidR="00500E14" w:rsidRPr="009D54D8">
        <w:t xml:space="preserve"> </w:t>
      </w:r>
      <w:r w:rsidR="007B2B79" w:rsidRPr="009D54D8">
        <w:t xml:space="preserve">the Company’s </w:t>
      </w:r>
      <w:r w:rsidR="00C95371" w:rsidRPr="009D54D8">
        <w:t xml:space="preserve">consideration of inputs, modeling, and analysis of results are </w:t>
      </w:r>
      <w:r w:rsidR="002B64CD" w:rsidRPr="009D54D8">
        <w:t xml:space="preserve">generally </w:t>
      </w:r>
      <w:r w:rsidR="00C95371" w:rsidRPr="009D54D8">
        <w:t xml:space="preserve">well executed, </w:t>
      </w:r>
      <w:r w:rsidR="00695D3C" w:rsidRPr="009D54D8">
        <w:t>the Commission provides addi</w:t>
      </w:r>
      <w:r w:rsidR="0069409E" w:rsidRPr="009D54D8">
        <w:t xml:space="preserve">tional guidance </w:t>
      </w:r>
      <w:r w:rsidR="00A34A53" w:rsidRPr="009D54D8">
        <w:t xml:space="preserve">in these comments </w:t>
      </w:r>
      <w:r w:rsidR="0069409E" w:rsidRPr="009D54D8">
        <w:t xml:space="preserve">that will generate incremental improvement in Avista’s resource planning process. </w:t>
      </w:r>
    </w:p>
    <w:p w:rsidR="00177F36" w:rsidRPr="009D54D8" w:rsidRDefault="00177F36" w:rsidP="009D54D8">
      <w:pPr>
        <w:spacing w:line="276" w:lineRule="auto"/>
      </w:pPr>
    </w:p>
    <w:p w:rsidR="00177F36" w:rsidRPr="009D54D8" w:rsidRDefault="00177F36" w:rsidP="009D54D8">
      <w:pPr>
        <w:spacing w:line="276" w:lineRule="auto"/>
      </w:pPr>
      <w:r w:rsidRPr="009D54D8">
        <w:t>In this document, we discuss the following items with respect to Avista’s 2015 Electric IRP:</w:t>
      </w:r>
    </w:p>
    <w:p w:rsidR="00177F36" w:rsidRPr="009D54D8" w:rsidRDefault="001158B2" w:rsidP="009D54D8">
      <w:pPr>
        <w:pStyle w:val="ListParagraph"/>
        <w:numPr>
          <w:ilvl w:val="0"/>
          <w:numId w:val="40"/>
        </w:numPr>
        <w:spacing w:line="276" w:lineRule="auto"/>
      </w:pPr>
      <w:r w:rsidRPr="009D54D8">
        <w:t>Issues Identified</w:t>
      </w:r>
      <w:r w:rsidR="005C0C2C" w:rsidRPr="009D54D8">
        <w:t xml:space="preserve"> in </w:t>
      </w:r>
      <w:r w:rsidR="00177F36" w:rsidRPr="009D54D8">
        <w:t>the Commission’</w:t>
      </w:r>
      <w:r w:rsidR="005C0C2C" w:rsidRPr="009D54D8">
        <w:t>s Acknowledgment of Avista’s 2013 IRP</w:t>
      </w:r>
      <w:r w:rsidR="002B64CD" w:rsidRPr="009D54D8">
        <w:t>;</w:t>
      </w:r>
    </w:p>
    <w:p w:rsidR="005C0C2C" w:rsidRPr="009D54D8" w:rsidRDefault="005C0C2C" w:rsidP="009D54D8">
      <w:pPr>
        <w:pStyle w:val="ListParagraph"/>
        <w:numPr>
          <w:ilvl w:val="0"/>
          <w:numId w:val="40"/>
        </w:numPr>
        <w:spacing w:line="276" w:lineRule="auto"/>
      </w:pPr>
      <w:r w:rsidRPr="009D54D8">
        <w:t>Avista’s 2015 Preferred Resource Strategy</w:t>
      </w:r>
      <w:r w:rsidR="002B64CD" w:rsidRPr="009D54D8">
        <w:t>, and</w:t>
      </w:r>
    </w:p>
    <w:p w:rsidR="00FC3E1B" w:rsidRPr="009D54D8" w:rsidRDefault="001158B2" w:rsidP="009D54D8">
      <w:pPr>
        <w:pStyle w:val="ListParagraph"/>
        <w:numPr>
          <w:ilvl w:val="0"/>
          <w:numId w:val="40"/>
        </w:numPr>
        <w:spacing w:line="276" w:lineRule="auto"/>
      </w:pPr>
      <w:r w:rsidRPr="009D54D8">
        <w:t>Issues Requiring Additional Analysis</w:t>
      </w:r>
      <w:r w:rsidR="002B64CD" w:rsidRPr="009D54D8">
        <w:t>.</w:t>
      </w:r>
    </w:p>
    <w:p w:rsidR="00695D3C" w:rsidRPr="009D54D8" w:rsidRDefault="00695D3C" w:rsidP="009D54D8">
      <w:pPr>
        <w:spacing w:line="276" w:lineRule="auto"/>
      </w:pPr>
    </w:p>
    <w:p w:rsidR="002D1A5D" w:rsidRPr="009D54D8" w:rsidRDefault="001158B2" w:rsidP="009D54D8">
      <w:pPr>
        <w:pStyle w:val="ListParagraph"/>
        <w:numPr>
          <w:ilvl w:val="0"/>
          <w:numId w:val="44"/>
        </w:numPr>
        <w:spacing w:line="276" w:lineRule="auto"/>
        <w:rPr>
          <w:b/>
          <w:u w:val="single"/>
        </w:rPr>
      </w:pPr>
      <w:r w:rsidRPr="009D54D8">
        <w:rPr>
          <w:b/>
          <w:u w:val="single"/>
        </w:rPr>
        <w:t>Issues Identified</w:t>
      </w:r>
      <w:r w:rsidR="005C0C2C" w:rsidRPr="009D54D8">
        <w:rPr>
          <w:b/>
          <w:u w:val="single"/>
        </w:rPr>
        <w:t xml:space="preserve"> in </w:t>
      </w:r>
      <w:r w:rsidR="002D1A5D" w:rsidRPr="009D54D8">
        <w:rPr>
          <w:b/>
          <w:u w:val="single"/>
        </w:rPr>
        <w:t xml:space="preserve">the </w:t>
      </w:r>
      <w:r w:rsidR="005C0C2C" w:rsidRPr="009D54D8">
        <w:rPr>
          <w:b/>
          <w:u w:val="single"/>
        </w:rPr>
        <w:t>Commission’s</w:t>
      </w:r>
      <w:r w:rsidR="002D1A5D" w:rsidRPr="009D54D8">
        <w:rPr>
          <w:b/>
          <w:u w:val="single"/>
        </w:rPr>
        <w:t xml:space="preserve"> </w:t>
      </w:r>
      <w:r w:rsidR="005C0C2C" w:rsidRPr="009D54D8">
        <w:rPr>
          <w:b/>
          <w:u w:val="single"/>
        </w:rPr>
        <w:t>Acknowledgment of Avista’s 2013 IRP</w:t>
      </w:r>
    </w:p>
    <w:p w:rsidR="002D1A5D" w:rsidRPr="009D54D8" w:rsidRDefault="002D1A5D" w:rsidP="009D54D8">
      <w:pPr>
        <w:spacing w:line="276" w:lineRule="auto"/>
      </w:pPr>
    </w:p>
    <w:p w:rsidR="002D1A5D" w:rsidRPr="009D54D8" w:rsidRDefault="002D1A5D" w:rsidP="009D54D8">
      <w:pPr>
        <w:spacing w:line="276" w:lineRule="auto"/>
      </w:pPr>
      <w:r w:rsidRPr="009D54D8">
        <w:t>In its letter acknowledging Avista’s 2013 IRP,</w:t>
      </w:r>
      <w:r w:rsidR="003E4B51" w:rsidRPr="009D54D8">
        <w:rPr>
          <w:rStyle w:val="FootnoteReference"/>
        </w:rPr>
        <w:footnoteReference w:id="2"/>
      </w:r>
      <w:r w:rsidRPr="009D54D8">
        <w:t xml:space="preserve"> the Commission asked Avista for more analysis and discussion on several issues. A summary of </w:t>
      </w:r>
      <w:r w:rsidR="00297E63" w:rsidRPr="009D54D8">
        <w:t xml:space="preserve">the Commission’s requests and </w:t>
      </w:r>
      <w:r w:rsidRPr="009D54D8">
        <w:t>Avista</w:t>
      </w:r>
      <w:r w:rsidR="00297E63" w:rsidRPr="009D54D8">
        <w:t>’s responses to those requests is</w:t>
      </w:r>
      <w:r w:rsidRPr="009D54D8">
        <w:t xml:space="preserve"> as follows:</w:t>
      </w:r>
    </w:p>
    <w:p w:rsidR="002B64CD" w:rsidRPr="009D54D8" w:rsidRDefault="002B64CD" w:rsidP="009D54D8">
      <w:pPr>
        <w:spacing w:line="276" w:lineRule="auto"/>
      </w:pPr>
    </w:p>
    <w:p w:rsidR="002D1A5D" w:rsidRPr="009D54D8" w:rsidRDefault="002D1A5D" w:rsidP="009D54D8">
      <w:pPr>
        <w:pStyle w:val="ListParagraph"/>
        <w:numPr>
          <w:ilvl w:val="0"/>
          <w:numId w:val="35"/>
        </w:numPr>
        <w:spacing w:line="276" w:lineRule="auto"/>
        <w:rPr>
          <w:i/>
        </w:rPr>
      </w:pPr>
      <w:r w:rsidRPr="009D54D8">
        <w:rPr>
          <w:i/>
        </w:rPr>
        <w:t>Further justification for the “preferred” level of portfolio risk</w:t>
      </w:r>
      <w:r w:rsidR="002A4205" w:rsidRPr="009D54D8">
        <w:rPr>
          <w:i/>
        </w:rPr>
        <w:t>.</w:t>
      </w:r>
    </w:p>
    <w:p w:rsidR="002D1A5D" w:rsidRPr="009D54D8" w:rsidRDefault="001D02C9" w:rsidP="009D54D8">
      <w:pPr>
        <w:spacing w:line="276" w:lineRule="auto"/>
        <w:ind w:left="720"/>
      </w:pPr>
      <w:r w:rsidRPr="009D54D8">
        <w:t xml:space="preserve">In the 2015 IRP, Avista </w:t>
      </w:r>
      <w:r w:rsidR="002D1A5D" w:rsidRPr="009D54D8">
        <w:t xml:space="preserve">quantified the tradeoff of risk and cost along the </w:t>
      </w:r>
      <w:r w:rsidRPr="009D54D8">
        <w:t>“</w:t>
      </w:r>
      <w:r w:rsidR="002D1A5D" w:rsidRPr="009D54D8">
        <w:t>efficient frontier</w:t>
      </w:r>
      <w:r w:rsidRPr="009D54D8">
        <w:t>”</w:t>
      </w:r>
      <w:r w:rsidR="002D1A5D" w:rsidRPr="009D54D8">
        <w:t xml:space="preserve"> in order to identify areas of the efficiency curve where increased cost may justify a relatively large decrease in risk. Avista provided additional quantitative analysis demonstrating that further movement along the efficiency curve (i.e.</w:t>
      </w:r>
      <w:r w:rsidR="009F63F1">
        <w:t>,</w:t>
      </w:r>
      <w:r w:rsidR="002D1A5D" w:rsidRPr="009D54D8">
        <w:t xml:space="preserve"> higher cost, lower risk) would cause a </w:t>
      </w:r>
      <w:r w:rsidR="003118B0" w:rsidRPr="009D54D8">
        <w:t xml:space="preserve">disproportionately </w:t>
      </w:r>
      <w:r w:rsidR="002D1A5D" w:rsidRPr="009D54D8">
        <w:t>large increase in portfolio cost with a relatively s</w:t>
      </w:r>
      <w:r w:rsidR="0067701E" w:rsidRPr="009D54D8">
        <w:t>mall decrease in portfolio risk,</w:t>
      </w:r>
      <w:r w:rsidR="002D1A5D" w:rsidRPr="009D54D8">
        <w:rPr>
          <w:rStyle w:val="FootnoteReference"/>
        </w:rPr>
        <w:footnoteReference w:id="3"/>
      </w:r>
      <w:r w:rsidR="0067701E" w:rsidRPr="009D54D8">
        <w:t xml:space="preserve"> thus justifying </w:t>
      </w:r>
      <w:r w:rsidR="003118B0" w:rsidRPr="009D54D8">
        <w:t xml:space="preserve">the level </w:t>
      </w:r>
      <w:r w:rsidR="002710DF" w:rsidRPr="009D54D8">
        <w:t xml:space="preserve">of risk associated with Avista’s Preferred Resource Strategy. </w:t>
      </w:r>
    </w:p>
    <w:p w:rsidR="002B64CD" w:rsidRPr="009D54D8" w:rsidRDefault="002B64CD" w:rsidP="009D54D8">
      <w:pPr>
        <w:spacing w:line="276" w:lineRule="auto"/>
        <w:ind w:left="360"/>
      </w:pPr>
    </w:p>
    <w:p w:rsidR="002D1A5D" w:rsidRPr="009D54D8" w:rsidRDefault="002D1A5D" w:rsidP="009D54D8">
      <w:pPr>
        <w:pStyle w:val="ListParagraph"/>
        <w:numPr>
          <w:ilvl w:val="0"/>
          <w:numId w:val="35"/>
        </w:numPr>
        <w:spacing w:line="276" w:lineRule="auto"/>
        <w:rPr>
          <w:i/>
        </w:rPr>
      </w:pPr>
      <w:r w:rsidRPr="009D54D8">
        <w:rPr>
          <w:i/>
        </w:rPr>
        <w:t>Further justification for Avista’s choice of basic planning margin</w:t>
      </w:r>
      <w:r w:rsidR="005974FD" w:rsidRPr="009D54D8">
        <w:rPr>
          <w:i/>
        </w:rPr>
        <w:t>.</w:t>
      </w:r>
    </w:p>
    <w:p w:rsidR="002D1A5D" w:rsidRPr="009D54D8" w:rsidRDefault="00A5250A" w:rsidP="009D54D8">
      <w:pPr>
        <w:pStyle w:val="ListParagraph"/>
        <w:spacing w:line="276" w:lineRule="auto"/>
      </w:pPr>
      <w:r w:rsidRPr="009D54D8">
        <w:t>In the 2015</w:t>
      </w:r>
      <w:r w:rsidR="002D1A5D" w:rsidRPr="009D54D8">
        <w:t xml:space="preserve"> IR</w:t>
      </w:r>
      <w:r w:rsidRPr="009D54D8">
        <w:t>P, Avista provided a much improved</w:t>
      </w:r>
      <w:r w:rsidR="002D1A5D" w:rsidRPr="009D54D8">
        <w:t xml:space="preserve"> description of its evaluation of an appropriate planning margin.</w:t>
      </w:r>
      <w:r w:rsidR="002D1A5D" w:rsidRPr="009D54D8">
        <w:rPr>
          <w:rStyle w:val="FootnoteReference"/>
        </w:rPr>
        <w:footnoteReference w:id="4"/>
      </w:r>
      <w:r w:rsidR="002D1A5D" w:rsidRPr="009D54D8">
        <w:t xml:space="preserve"> This description contained information on the basic reserve margin for Avista’s specific system, </w:t>
      </w:r>
      <w:r w:rsidR="005974FD" w:rsidRPr="009D54D8">
        <w:t>Western Electricity Coordinating Council (</w:t>
      </w:r>
      <w:r w:rsidR="002D1A5D" w:rsidRPr="009D54D8">
        <w:t>WECC</w:t>
      </w:r>
      <w:r w:rsidR="005974FD" w:rsidRPr="009D54D8">
        <w:t>)</w:t>
      </w:r>
      <w:r w:rsidR="002D1A5D" w:rsidRPr="009D54D8">
        <w:t>-defined requirements for operating reserves, and within-hour planning for load regulation reserves. The description also includes market-reliance assumptions for specific reserve margin requirements, as evaluated through a 5 percent loss-of-load probabilit</w:t>
      </w:r>
      <w:r w:rsidR="002710DF" w:rsidRPr="009D54D8">
        <w:t>y</w:t>
      </w:r>
      <w:r w:rsidR="00144895" w:rsidRPr="009D54D8">
        <w:t xml:space="preserve"> </w:t>
      </w:r>
      <w:r w:rsidR="002D1A5D" w:rsidRPr="009D54D8">
        <w:t>study.</w:t>
      </w:r>
    </w:p>
    <w:p w:rsidR="002B64CD" w:rsidRPr="009D54D8" w:rsidRDefault="002B64CD" w:rsidP="009D54D8">
      <w:pPr>
        <w:pStyle w:val="ListParagraph"/>
        <w:spacing w:line="276" w:lineRule="auto"/>
        <w:ind w:left="360"/>
      </w:pPr>
    </w:p>
    <w:p w:rsidR="002D1A5D" w:rsidRPr="009D54D8" w:rsidRDefault="002D1A5D" w:rsidP="009D54D8">
      <w:pPr>
        <w:pStyle w:val="ListParagraph"/>
        <w:numPr>
          <w:ilvl w:val="0"/>
          <w:numId w:val="35"/>
        </w:numPr>
        <w:spacing w:line="276" w:lineRule="auto"/>
        <w:rPr>
          <w:i/>
        </w:rPr>
      </w:pPr>
      <w:r w:rsidRPr="009D54D8">
        <w:rPr>
          <w:i/>
        </w:rPr>
        <w:t>Selecting conservation resources within the IRP’s resource optimization model</w:t>
      </w:r>
      <w:r w:rsidR="005974FD" w:rsidRPr="009D54D8">
        <w:rPr>
          <w:i/>
        </w:rPr>
        <w:t>,</w:t>
      </w:r>
      <w:r w:rsidRPr="009D54D8">
        <w:rPr>
          <w:i/>
        </w:rPr>
        <w:t xml:space="preserve"> rather than just hard coding according to the conservation potential assessment (CPA) output</w:t>
      </w:r>
      <w:r w:rsidR="005974FD" w:rsidRPr="009D54D8">
        <w:rPr>
          <w:i/>
        </w:rPr>
        <w:t>.</w:t>
      </w:r>
    </w:p>
    <w:p w:rsidR="002D1A5D" w:rsidRPr="009D54D8" w:rsidRDefault="00A5250A" w:rsidP="009D54D8">
      <w:pPr>
        <w:spacing w:line="276" w:lineRule="auto"/>
        <w:ind w:left="720"/>
      </w:pPr>
      <w:r w:rsidRPr="009D54D8">
        <w:t>Within the</w:t>
      </w:r>
      <w:r w:rsidR="002D1A5D" w:rsidRPr="009D54D8">
        <w:t xml:space="preserve"> resource optimization model</w:t>
      </w:r>
      <w:r w:rsidRPr="009D54D8">
        <w:t xml:space="preserve"> used for the 2015 IRP</w:t>
      </w:r>
      <w:r w:rsidR="002D1A5D" w:rsidRPr="009D54D8">
        <w:t>, Avista has developed the capability</w:t>
      </w:r>
      <w:r w:rsidR="00F018A9" w:rsidRPr="009D54D8">
        <w:t xml:space="preserve"> to evaluate the cost-effectiveness of</w:t>
      </w:r>
      <w:r w:rsidRPr="009D54D8">
        <w:t xml:space="preserve"> individual</w:t>
      </w:r>
      <w:r w:rsidR="002D1A5D" w:rsidRPr="009D54D8">
        <w:t xml:space="preserve"> conservation measure</w:t>
      </w:r>
      <w:r w:rsidR="00F018A9" w:rsidRPr="009D54D8">
        <w:t>s</w:t>
      </w:r>
      <w:r w:rsidR="002D1A5D" w:rsidRPr="009D54D8">
        <w:t>.</w:t>
      </w:r>
      <w:r w:rsidR="002D1A5D" w:rsidRPr="009D54D8">
        <w:rPr>
          <w:rStyle w:val="FootnoteReference"/>
        </w:rPr>
        <w:footnoteReference w:id="5"/>
      </w:r>
      <w:r w:rsidR="002D1A5D" w:rsidRPr="009D54D8">
        <w:t xml:space="preserve"> Therefore, Avista can </w:t>
      </w:r>
      <w:r w:rsidR="00F018A9" w:rsidRPr="009D54D8">
        <w:t xml:space="preserve">now </w:t>
      </w:r>
      <w:r w:rsidR="007B432E" w:rsidRPr="009D54D8">
        <w:t>calculate its</w:t>
      </w:r>
      <w:r w:rsidR="00F018A9" w:rsidRPr="009D54D8">
        <w:t xml:space="preserve"> </w:t>
      </w:r>
      <w:r w:rsidR="002D1A5D" w:rsidRPr="009D54D8">
        <w:t xml:space="preserve">conservation </w:t>
      </w:r>
      <w:r w:rsidR="007B432E" w:rsidRPr="009D54D8">
        <w:t>potential through its resource selection model</w:t>
      </w:r>
      <w:r w:rsidR="002D1A5D" w:rsidRPr="009D54D8">
        <w:t>.</w:t>
      </w:r>
      <w:r w:rsidR="00F018A9" w:rsidRPr="009D54D8">
        <w:t xml:space="preserve"> This is the Commission’s preferred method for identifying achievable conservation potential. </w:t>
      </w:r>
    </w:p>
    <w:p w:rsidR="002B64CD" w:rsidRPr="009D54D8" w:rsidRDefault="002B64CD" w:rsidP="009D54D8">
      <w:pPr>
        <w:spacing w:line="276" w:lineRule="auto"/>
        <w:ind w:left="360"/>
      </w:pPr>
    </w:p>
    <w:p w:rsidR="002D1A5D" w:rsidRPr="009D54D8" w:rsidRDefault="002D1A5D" w:rsidP="009D54D8">
      <w:pPr>
        <w:pStyle w:val="ListParagraph"/>
        <w:numPr>
          <w:ilvl w:val="0"/>
          <w:numId w:val="35"/>
        </w:numPr>
        <w:spacing w:line="276" w:lineRule="auto"/>
        <w:rPr>
          <w:i/>
        </w:rPr>
      </w:pPr>
      <w:r w:rsidRPr="009D54D8">
        <w:rPr>
          <w:i/>
        </w:rPr>
        <w:t>A non-zero cost of carbon</w:t>
      </w:r>
      <w:r w:rsidR="005974FD" w:rsidRPr="009D54D8">
        <w:rPr>
          <w:i/>
        </w:rPr>
        <w:t>.</w:t>
      </w:r>
    </w:p>
    <w:p w:rsidR="002D1A5D" w:rsidRPr="009D54D8" w:rsidRDefault="002D1A5D" w:rsidP="009D54D8">
      <w:pPr>
        <w:spacing w:line="276" w:lineRule="auto"/>
        <w:ind w:left="720"/>
      </w:pPr>
      <w:r w:rsidRPr="009D54D8">
        <w:t xml:space="preserve">In its stochastic analysis, Avista included a 10 percent probability of </w:t>
      </w:r>
      <w:r w:rsidR="00BB4770" w:rsidRPr="009D54D8">
        <w:t xml:space="preserve">rules being enacted in Washington State that would place an effective price on cabon in Washington. In doing so, Avista has complied with the Commission’s request that the company </w:t>
      </w:r>
      <w:r w:rsidR="00EE5EB7" w:rsidRPr="009D54D8">
        <w:t>include a non-zero cost of carbon</w:t>
      </w:r>
      <w:r w:rsidRPr="009D54D8">
        <w:t xml:space="preserve"> in its expected case. </w:t>
      </w:r>
      <w:r w:rsidR="00DB4D70" w:rsidRPr="009D54D8">
        <w:t>The Commission</w:t>
      </w:r>
      <w:r w:rsidRPr="009D54D8">
        <w:t xml:space="preserve"> is pleased with the stochastic approach to modeling a prospective cost of carbon, which enables a probabilistic approach </w:t>
      </w:r>
      <w:r w:rsidRPr="009D54D8">
        <w:lastRenderedPageBreak/>
        <w:t xml:space="preserve">to incorporating a range of prospective carbon policies into the expected case analysis. </w:t>
      </w:r>
      <w:r w:rsidR="002710DF" w:rsidRPr="009D54D8">
        <w:t xml:space="preserve">The Commission notes, however, that the carbon policy landscape is continuously evolving and so </w:t>
      </w:r>
      <w:r w:rsidR="00D87FC0" w:rsidRPr="009D54D8">
        <w:t xml:space="preserve">Avista will need to reasses </w:t>
      </w:r>
      <w:r w:rsidR="002710DF" w:rsidRPr="009D54D8">
        <w:t xml:space="preserve">the probabilities associated with the various prospective policies for the 2017 IRP. </w:t>
      </w:r>
      <w:r w:rsidRPr="009D54D8">
        <w:t xml:space="preserve"> </w:t>
      </w:r>
    </w:p>
    <w:p w:rsidR="002B64CD" w:rsidRPr="009D54D8" w:rsidRDefault="002B64CD" w:rsidP="009D54D8">
      <w:pPr>
        <w:spacing w:line="276" w:lineRule="auto"/>
      </w:pPr>
    </w:p>
    <w:p w:rsidR="002D1A5D" w:rsidRPr="009D54D8" w:rsidRDefault="002D1A5D" w:rsidP="009D54D8">
      <w:pPr>
        <w:pStyle w:val="ListParagraph"/>
        <w:numPr>
          <w:ilvl w:val="0"/>
          <w:numId w:val="35"/>
        </w:numPr>
        <w:spacing w:line="276" w:lineRule="auto"/>
        <w:rPr>
          <w:i/>
        </w:rPr>
      </w:pPr>
      <w:r w:rsidRPr="009D54D8">
        <w:rPr>
          <w:i/>
        </w:rPr>
        <w:t>Cost effectiveness of continued operation of Colstrip units 3 and 4</w:t>
      </w:r>
      <w:r w:rsidR="005974FD" w:rsidRPr="009D54D8">
        <w:rPr>
          <w:i/>
        </w:rPr>
        <w:t>.</w:t>
      </w:r>
    </w:p>
    <w:p w:rsidR="002D1A5D" w:rsidRPr="009D54D8" w:rsidRDefault="00F64927" w:rsidP="009D54D8">
      <w:pPr>
        <w:spacing w:line="276" w:lineRule="auto"/>
        <w:ind w:left="720"/>
      </w:pPr>
      <w:r w:rsidRPr="009D54D8">
        <w:t>Avista attempted to analy</w:t>
      </w:r>
      <w:r w:rsidR="00A34A53" w:rsidRPr="009D54D8">
        <w:t>ze</w:t>
      </w:r>
      <w:r w:rsidRPr="009D54D8">
        <w:t xml:space="preserve"> a worst-case scenario </w:t>
      </w:r>
      <w:r w:rsidR="002D1A5D" w:rsidRPr="009D54D8">
        <w:t>by evaluating the economics of continued operation of units 3 and 4 under a</w:t>
      </w:r>
      <w:r w:rsidR="00DB4D70" w:rsidRPr="009D54D8">
        <w:t xml:space="preserve"> </w:t>
      </w:r>
      <w:r w:rsidRPr="009D54D8">
        <w:t>“</w:t>
      </w:r>
      <w:r w:rsidR="00DB4D70" w:rsidRPr="009D54D8">
        <w:t>high-cost</w:t>
      </w:r>
      <w:r w:rsidRPr="009D54D8">
        <w:t>” assumption</w:t>
      </w:r>
      <w:r w:rsidR="00DB4D70" w:rsidRPr="009D54D8">
        <w:t xml:space="preserve"> (i.e.</w:t>
      </w:r>
      <w:r w:rsidR="009F63F1">
        <w:t>,</w:t>
      </w:r>
      <w:r w:rsidR="00DB4D70" w:rsidRPr="009D54D8">
        <w:t xml:space="preserve"> significant</w:t>
      </w:r>
      <w:r w:rsidR="002D1A5D" w:rsidRPr="009D54D8">
        <w:t xml:space="preserve"> environmental restrictions and remediation costs).</w:t>
      </w:r>
      <w:r w:rsidR="002D1A5D" w:rsidRPr="009D54D8">
        <w:rPr>
          <w:rStyle w:val="FootnoteReference"/>
        </w:rPr>
        <w:footnoteReference w:id="6"/>
      </w:r>
      <w:r w:rsidR="002D1A5D" w:rsidRPr="009D54D8">
        <w:t xml:space="preserve"> </w:t>
      </w:r>
      <w:r w:rsidR="00D87FC0" w:rsidRPr="009D54D8">
        <w:t>A</w:t>
      </w:r>
      <w:r w:rsidR="00DB4D70" w:rsidRPr="009D54D8">
        <w:t>lthough Avista complied wit</w:t>
      </w:r>
      <w:r w:rsidR="00177F36" w:rsidRPr="009D54D8">
        <w:t>h the language of the previous</w:t>
      </w:r>
      <w:r w:rsidR="00DB4D70" w:rsidRPr="009D54D8">
        <w:t xml:space="preserve"> acknowledgment, the Commission </w:t>
      </w:r>
      <w:r w:rsidRPr="009D54D8">
        <w:t xml:space="preserve">is not convinced the scenario fully captures all possible costs or prospective policy risks and so </w:t>
      </w:r>
      <w:r w:rsidR="00471930" w:rsidRPr="009D54D8">
        <w:t>requires re</w:t>
      </w:r>
      <w:r w:rsidR="00DB4D70" w:rsidRPr="009D54D8">
        <w:t xml:space="preserve">analysis, as described </w:t>
      </w:r>
      <w:r w:rsidRPr="009D54D8">
        <w:t xml:space="preserve">in Section 3 </w:t>
      </w:r>
      <w:r w:rsidR="00DB4D70" w:rsidRPr="009D54D8">
        <w:t xml:space="preserve">below. </w:t>
      </w:r>
      <w:r w:rsidR="001F5A69" w:rsidRPr="009D54D8">
        <w:t xml:space="preserve">Among other considerations, </w:t>
      </w:r>
      <w:r w:rsidR="00144895" w:rsidRPr="009D54D8">
        <w:t>we ask that the Company model specific scenarios on carbon pricing that are being considered actively in Washington state now, which could also directly impact the cost-effectiveness of these units.</w:t>
      </w:r>
    </w:p>
    <w:p w:rsidR="002B64CD" w:rsidRPr="009D54D8" w:rsidRDefault="002B64CD" w:rsidP="009D54D8">
      <w:pPr>
        <w:spacing w:line="276" w:lineRule="auto"/>
      </w:pPr>
    </w:p>
    <w:p w:rsidR="002D1A5D" w:rsidRPr="009D54D8" w:rsidRDefault="002D1A5D" w:rsidP="009D54D8">
      <w:pPr>
        <w:pStyle w:val="ListParagraph"/>
        <w:numPr>
          <w:ilvl w:val="0"/>
          <w:numId w:val="35"/>
        </w:numPr>
        <w:spacing w:line="276" w:lineRule="auto"/>
        <w:rPr>
          <w:i/>
        </w:rPr>
      </w:pPr>
      <w:r w:rsidRPr="009D54D8">
        <w:rPr>
          <w:i/>
        </w:rPr>
        <w:t>Modeling storage resources within the IRP</w:t>
      </w:r>
      <w:r w:rsidR="005974FD" w:rsidRPr="009D54D8">
        <w:rPr>
          <w:i/>
        </w:rPr>
        <w:t>.</w:t>
      </w:r>
    </w:p>
    <w:p w:rsidR="002D1A5D" w:rsidRPr="009D54D8" w:rsidRDefault="002D1A5D" w:rsidP="009D54D8">
      <w:pPr>
        <w:spacing w:line="276" w:lineRule="auto"/>
        <w:ind w:left="720"/>
      </w:pPr>
      <w:r w:rsidRPr="009D54D8">
        <w:t xml:space="preserve">Avista </w:t>
      </w:r>
      <w:r w:rsidR="000F6392" w:rsidRPr="009D54D8">
        <w:t xml:space="preserve">has </w:t>
      </w:r>
      <w:r w:rsidRPr="009D54D8">
        <w:t>developed a framework for evaluating energy storage resources within its resource optimization model.</w:t>
      </w:r>
      <w:r w:rsidRPr="009D54D8">
        <w:rPr>
          <w:rStyle w:val="FootnoteReference"/>
        </w:rPr>
        <w:footnoteReference w:id="7"/>
      </w:r>
      <w:r w:rsidRPr="009D54D8">
        <w:t xml:space="preserve"> For this IRP, Avista was able to evaluate the impacts to power costs of a generic storage resource. </w:t>
      </w:r>
      <w:r w:rsidR="00E95DBB" w:rsidRPr="009D54D8">
        <w:t xml:space="preserve">Avista has made considerable progress in development of a useful economic model for the evaluation of the multiple attributes of storage resources. </w:t>
      </w:r>
      <w:r w:rsidR="000F6392" w:rsidRPr="009D54D8">
        <w:t xml:space="preserve">As discussed further in Section 3 below, the Commission requests further analysis of this issue. </w:t>
      </w:r>
    </w:p>
    <w:p w:rsidR="002D1A5D" w:rsidRPr="009D54D8" w:rsidRDefault="002D1A5D" w:rsidP="009D54D8">
      <w:pPr>
        <w:spacing w:line="276" w:lineRule="auto"/>
      </w:pPr>
    </w:p>
    <w:p w:rsidR="008B65F7" w:rsidRPr="009D54D8" w:rsidRDefault="008B65F7" w:rsidP="009D54D8">
      <w:pPr>
        <w:spacing w:line="276" w:lineRule="auto"/>
      </w:pPr>
      <w:r w:rsidRPr="009D54D8">
        <w:t>In respondi</w:t>
      </w:r>
      <w:r w:rsidR="003B7071" w:rsidRPr="009D54D8">
        <w:t>ng appropriately to each of these issues, Avista has complied with the Commission’s requests as identified in the 2013 IRP acknowledgment letter.</w:t>
      </w:r>
      <w:r w:rsidRPr="009D54D8">
        <w:t xml:space="preserve"> </w:t>
      </w:r>
      <w:r w:rsidR="002D1A5D" w:rsidRPr="009D54D8">
        <w:t xml:space="preserve">Avista has </w:t>
      </w:r>
      <w:r w:rsidR="000F6392" w:rsidRPr="009D54D8">
        <w:t xml:space="preserve">clearly </w:t>
      </w:r>
      <w:r w:rsidR="00DF328A" w:rsidRPr="009D54D8">
        <w:t xml:space="preserve">made an </w:t>
      </w:r>
      <w:r w:rsidR="002D1A5D" w:rsidRPr="009D54D8">
        <w:t xml:space="preserve">effort </w:t>
      </w:r>
      <w:r w:rsidR="00A34A53" w:rsidRPr="009D54D8">
        <w:t xml:space="preserve">to </w:t>
      </w:r>
      <w:r w:rsidR="002D1A5D" w:rsidRPr="009D54D8">
        <w:t>address the Commission’s concerns</w:t>
      </w:r>
      <w:r w:rsidR="00DF328A" w:rsidRPr="009D54D8">
        <w:t xml:space="preserve"> and, as a result of this effort</w:t>
      </w:r>
      <w:r w:rsidR="002D1A5D" w:rsidRPr="009D54D8">
        <w:t>, Avist</w:t>
      </w:r>
      <w:r w:rsidRPr="009D54D8">
        <w:t>a</w:t>
      </w:r>
      <w:r w:rsidR="00B41C51" w:rsidRPr="009D54D8">
        <w:t xml:space="preserve"> ha</w:t>
      </w:r>
      <w:r w:rsidRPr="009D54D8">
        <w:t xml:space="preserve">s </w:t>
      </w:r>
      <w:r w:rsidR="00B41C51" w:rsidRPr="009D54D8">
        <w:t xml:space="preserve">greatly improved its </w:t>
      </w:r>
      <w:r w:rsidRPr="009D54D8">
        <w:t>resource modeling process</w:t>
      </w:r>
      <w:r w:rsidR="002D1A5D" w:rsidRPr="009D54D8">
        <w:t xml:space="preserve">. </w:t>
      </w:r>
    </w:p>
    <w:p w:rsidR="008B65F7" w:rsidRPr="009D54D8" w:rsidRDefault="008B65F7" w:rsidP="009D54D8">
      <w:pPr>
        <w:spacing w:line="276" w:lineRule="auto"/>
      </w:pPr>
    </w:p>
    <w:p w:rsidR="002A5569" w:rsidRPr="009D54D8" w:rsidRDefault="005C0C2C" w:rsidP="009D54D8">
      <w:pPr>
        <w:pStyle w:val="Heading1"/>
        <w:numPr>
          <w:ilvl w:val="0"/>
          <w:numId w:val="44"/>
        </w:numPr>
        <w:spacing w:before="0" w:line="276" w:lineRule="auto"/>
        <w:rPr>
          <w:rFonts w:cs="Times New Roman"/>
          <w:sz w:val="25"/>
          <w:szCs w:val="25"/>
        </w:rPr>
      </w:pPr>
      <w:bookmarkStart w:id="1" w:name="_Toc376255995"/>
      <w:r w:rsidRPr="009D54D8">
        <w:rPr>
          <w:rFonts w:eastAsia="Times New Roman" w:cs="Times New Roman"/>
          <w:bCs w:val="0"/>
          <w:noProof/>
          <w:spacing w:val="-5"/>
          <w:sz w:val="25"/>
          <w:szCs w:val="25"/>
        </w:rPr>
        <w:t xml:space="preserve">Avista’s 2015 </w:t>
      </w:r>
      <w:r w:rsidR="002A5569" w:rsidRPr="009D54D8">
        <w:rPr>
          <w:rFonts w:cs="Times New Roman"/>
          <w:sz w:val="25"/>
          <w:szCs w:val="25"/>
        </w:rPr>
        <w:t xml:space="preserve">Preferred Resource Strategy </w:t>
      </w:r>
      <w:bookmarkEnd w:id="1"/>
    </w:p>
    <w:p w:rsidR="004C66D5" w:rsidRPr="009D54D8" w:rsidRDefault="004C66D5" w:rsidP="009D54D8">
      <w:pPr>
        <w:spacing w:line="276" w:lineRule="auto"/>
      </w:pPr>
    </w:p>
    <w:p w:rsidR="00C713D5" w:rsidRPr="009D54D8" w:rsidRDefault="00B51CA9" w:rsidP="009D54D8">
      <w:pPr>
        <w:spacing w:line="276" w:lineRule="auto"/>
      </w:pPr>
      <w:r w:rsidRPr="009D54D8">
        <w:t xml:space="preserve">Over the 20-year planning horizon, </w:t>
      </w:r>
      <w:r w:rsidR="002A5569" w:rsidRPr="009D54D8">
        <w:t>Avista’s preferred resource strategy consists of investments in en</w:t>
      </w:r>
      <w:r w:rsidR="00FC3E1B" w:rsidRPr="009D54D8">
        <w:t>ergy efficiency</w:t>
      </w:r>
      <w:r w:rsidR="002A5569" w:rsidRPr="009D54D8">
        <w:t xml:space="preserve">, simple-cycle and combined-cycle gas turbines, and upgrades to the Company’s </w:t>
      </w:r>
      <w:r w:rsidR="002A5569" w:rsidRPr="009D54D8">
        <w:lastRenderedPageBreak/>
        <w:t>existing generation resources.</w:t>
      </w:r>
      <w:r w:rsidR="00AF7905" w:rsidRPr="009D54D8">
        <w:t xml:space="preserve"> </w:t>
      </w:r>
      <w:r w:rsidR="002A5569" w:rsidRPr="009D54D8">
        <w:t xml:space="preserve">Avista’s </w:t>
      </w:r>
      <w:r w:rsidR="00D40979" w:rsidRPr="009D54D8">
        <w:t xml:space="preserve">2015 </w:t>
      </w:r>
      <w:r w:rsidR="00242583" w:rsidRPr="009D54D8">
        <w:t>preferred resource strategy</w:t>
      </w:r>
      <w:r w:rsidR="002A5569" w:rsidRPr="009D54D8">
        <w:t xml:space="preserve"> </w:t>
      </w:r>
      <w:r w:rsidR="00D40979" w:rsidRPr="009D54D8">
        <w:t xml:space="preserve">(PRS) </w:t>
      </w:r>
      <w:r w:rsidR="002A5569" w:rsidRPr="009D54D8">
        <w:t>acquisition schedule</w:t>
      </w:r>
      <w:r w:rsidR="00991B47" w:rsidRPr="009D54D8">
        <w:t xml:space="preserve">, as well as the </w:t>
      </w:r>
      <w:r w:rsidR="009F08F1" w:rsidRPr="009D54D8">
        <w:t>PRS from the 2013 IRP,</w:t>
      </w:r>
      <w:r w:rsidR="002A5569" w:rsidRPr="009D54D8">
        <w:t xml:space="preserve"> is shown </w:t>
      </w:r>
      <w:r w:rsidR="00991B47" w:rsidRPr="009D54D8">
        <w:t xml:space="preserve">below </w:t>
      </w:r>
      <w:r w:rsidR="002A5569" w:rsidRPr="009D54D8">
        <w:t>in Table 1.</w:t>
      </w:r>
    </w:p>
    <w:p w:rsidR="00C713D5" w:rsidRPr="009D54D8" w:rsidRDefault="00C713D5" w:rsidP="009D54D8">
      <w:pPr>
        <w:spacing w:line="276" w:lineRule="auto"/>
      </w:pPr>
    </w:p>
    <w:p w:rsidR="00471930" w:rsidRPr="009D54D8" w:rsidRDefault="00471930" w:rsidP="009D54D8">
      <w:pPr>
        <w:spacing w:line="276" w:lineRule="auto"/>
      </w:pPr>
      <w:r w:rsidRPr="009D54D8">
        <w:rPr>
          <w:b/>
        </w:rPr>
        <w:t>Table 1.</w:t>
      </w:r>
      <w:r w:rsidRPr="009D54D8">
        <w:t xml:space="preserve"> Avista’s resource plan for the previous (2013) and current (2015) IRPs. </w:t>
      </w:r>
    </w:p>
    <w:tbl>
      <w:tblPr>
        <w:tblW w:w="8185" w:type="dxa"/>
        <w:tblInd w:w="5" w:type="dxa"/>
        <w:tblLook w:val="04A0" w:firstRow="1" w:lastRow="0" w:firstColumn="1" w:lastColumn="0" w:noHBand="0" w:noVBand="1"/>
      </w:tblPr>
      <w:tblGrid>
        <w:gridCol w:w="1575"/>
        <w:gridCol w:w="3190"/>
        <w:gridCol w:w="3420"/>
      </w:tblGrid>
      <w:tr w:rsidR="009F08F1" w:rsidRPr="009D54D8" w:rsidTr="00AF7905">
        <w:trPr>
          <w:trHeight w:val="600"/>
        </w:trPr>
        <w:tc>
          <w:tcPr>
            <w:tcW w:w="1575" w:type="dxa"/>
            <w:tcBorders>
              <w:top w:val="single" w:sz="4" w:space="0" w:color="auto"/>
              <w:left w:val="single" w:sz="4" w:space="0" w:color="auto"/>
              <w:bottom w:val="single" w:sz="4" w:space="0" w:color="auto"/>
              <w:right w:val="nil"/>
            </w:tcBorders>
            <w:shd w:val="clear" w:color="auto" w:fill="C6D9F1" w:themeFill="text2" w:themeFillTint="33"/>
            <w:vAlign w:val="bottom"/>
            <w:hideMark/>
          </w:tcPr>
          <w:p w:rsidR="009F08F1" w:rsidRPr="009D54D8" w:rsidRDefault="009F08F1" w:rsidP="009D54D8">
            <w:pPr>
              <w:spacing w:line="276" w:lineRule="auto"/>
              <w:jc w:val="center"/>
              <w:rPr>
                <w:b/>
                <w:color w:val="000000"/>
              </w:rPr>
            </w:pPr>
            <w:r w:rsidRPr="009D54D8">
              <w:rPr>
                <w:b/>
                <w:color w:val="000000"/>
              </w:rPr>
              <w:t>Year(s)</w:t>
            </w:r>
          </w:p>
        </w:tc>
        <w:tc>
          <w:tcPr>
            <w:tcW w:w="3190" w:type="dxa"/>
            <w:tcBorders>
              <w:top w:val="single" w:sz="4" w:space="0" w:color="auto"/>
              <w:left w:val="nil"/>
              <w:bottom w:val="single" w:sz="4" w:space="0" w:color="auto"/>
              <w:right w:val="nil"/>
            </w:tcBorders>
            <w:shd w:val="clear" w:color="auto" w:fill="C6D9F1" w:themeFill="text2" w:themeFillTint="33"/>
            <w:vAlign w:val="bottom"/>
            <w:hideMark/>
          </w:tcPr>
          <w:p w:rsidR="009F08F1" w:rsidRPr="009D54D8" w:rsidRDefault="00322AD8" w:rsidP="009D54D8">
            <w:pPr>
              <w:spacing w:line="276" w:lineRule="auto"/>
              <w:jc w:val="center"/>
              <w:rPr>
                <w:b/>
                <w:color w:val="000000"/>
              </w:rPr>
            </w:pPr>
            <w:r w:rsidRPr="009D54D8">
              <w:rPr>
                <w:b/>
                <w:color w:val="000000"/>
              </w:rPr>
              <w:t xml:space="preserve">PRS – </w:t>
            </w:r>
            <w:r w:rsidR="009F08F1" w:rsidRPr="009D54D8">
              <w:rPr>
                <w:b/>
                <w:color w:val="000000"/>
              </w:rPr>
              <w:t>2013 IRP</w:t>
            </w:r>
          </w:p>
        </w:tc>
        <w:tc>
          <w:tcPr>
            <w:tcW w:w="3420"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9F08F1" w:rsidRPr="009D54D8" w:rsidRDefault="00322AD8" w:rsidP="009D54D8">
            <w:pPr>
              <w:spacing w:line="276" w:lineRule="auto"/>
              <w:jc w:val="center"/>
              <w:rPr>
                <w:b/>
                <w:color w:val="000000"/>
              </w:rPr>
            </w:pPr>
            <w:r w:rsidRPr="009D54D8">
              <w:rPr>
                <w:b/>
                <w:color w:val="000000"/>
              </w:rPr>
              <w:t xml:space="preserve">PRS – </w:t>
            </w:r>
            <w:r w:rsidR="009F08F1" w:rsidRPr="009D54D8">
              <w:rPr>
                <w:b/>
                <w:color w:val="000000"/>
              </w:rPr>
              <w:t>2015 IRP</w:t>
            </w:r>
          </w:p>
        </w:tc>
      </w:tr>
      <w:tr w:rsidR="009F08F1" w:rsidRPr="009D54D8" w:rsidTr="00C7025E">
        <w:trPr>
          <w:trHeight w:val="300"/>
        </w:trPr>
        <w:tc>
          <w:tcPr>
            <w:tcW w:w="1575" w:type="dxa"/>
            <w:tcBorders>
              <w:top w:val="nil"/>
              <w:left w:val="single" w:sz="4" w:space="0" w:color="auto"/>
              <w:bottom w:val="nil"/>
              <w:right w:val="nil"/>
            </w:tcBorders>
            <w:shd w:val="clear" w:color="auto" w:fill="auto"/>
            <w:noWrap/>
            <w:vAlign w:val="bottom"/>
            <w:hideMark/>
          </w:tcPr>
          <w:p w:rsidR="009F08F1" w:rsidRPr="009D54D8" w:rsidRDefault="009F08F1" w:rsidP="009D54D8">
            <w:pPr>
              <w:spacing w:line="276" w:lineRule="auto"/>
              <w:jc w:val="center"/>
              <w:rPr>
                <w:b/>
                <w:i/>
                <w:iCs/>
                <w:color w:val="000000"/>
                <w:u w:val="single"/>
              </w:rPr>
            </w:pPr>
            <w:r w:rsidRPr="009D54D8">
              <w:rPr>
                <w:b/>
                <w:i/>
                <w:iCs/>
                <w:color w:val="000000"/>
                <w:u w:val="single"/>
              </w:rPr>
              <w:t>Generation</w:t>
            </w:r>
          </w:p>
        </w:tc>
        <w:tc>
          <w:tcPr>
            <w:tcW w:w="3190" w:type="dxa"/>
            <w:tcBorders>
              <w:top w:val="nil"/>
              <w:left w:val="nil"/>
              <w:bottom w:val="nil"/>
              <w:right w:val="nil"/>
            </w:tcBorders>
            <w:shd w:val="clear" w:color="auto" w:fill="auto"/>
            <w:noWrap/>
            <w:vAlign w:val="bottom"/>
            <w:hideMark/>
          </w:tcPr>
          <w:p w:rsidR="009F08F1" w:rsidRPr="009D54D8" w:rsidRDefault="009F08F1" w:rsidP="009D54D8">
            <w:pPr>
              <w:spacing w:line="276" w:lineRule="auto"/>
              <w:jc w:val="center"/>
            </w:pPr>
          </w:p>
        </w:tc>
        <w:tc>
          <w:tcPr>
            <w:tcW w:w="3420" w:type="dxa"/>
            <w:tcBorders>
              <w:top w:val="nil"/>
              <w:left w:val="nil"/>
              <w:bottom w:val="nil"/>
              <w:right w:val="single" w:sz="4" w:space="0" w:color="auto"/>
            </w:tcBorders>
            <w:shd w:val="clear" w:color="auto" w:fill="auto"/>
            <w:noWrap/>
            <w:vAlign w:val="bottom"/>
            <w:hideMark/>
          </w:tcPr>
          <w:p w:rsidR="009F08F1" w:rsidRPr="009D54D8" w:rsidRDefault="009F08F1" w:rsidP="009D54D8">
            <w:pPr>
              <w:spacing w:line="276" w:lineRule="auto"/>
              <w:rPr>
                <w:color w:val="000000"/>
              </w:rPr>
            </w:pPr>
            <w:r w:rsidRPr="009D54D8">
              <w:rPr>
                <w:color w:val="000000"/>
              </w:rPr>
              <w:t> </w:t>
            </w:r>
          </w:p>
        </w:tc>
      </w:tr>
      <w:tr w:rsidR="009F08F1" w:rsidRPr="009D54D8" w:rsidTr="00C7025E">
        <w:trPr>
          <w:trHeight w:val="300"/>
        </w:trPr>
        <w:tc>
          <w:tcPr>
            <w:tcW w:w="1575" w:type="dxa"/>
            <w:tcBorders>
              <w:top w:val="nil"/>
              <w:left w:val="single" w:sz="4" w:space="0" w:color="auto"/>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2017</w:t>
            </w:r>
          </w:p>
          <w:p w:rsidR="009F08F1" w:rsidRPr="009D54D8" w:rsidRDefault="009F08F1" w:rsidP="009D54D8">
            <w:pPr>
              <w:spacing w:line="276" w:lineRule="auto"/>
              <w:jc w:val="center"/>
              <w:rPr>
                <w:color w:val="000000"/>
              </w:rPr>
            </w:pPr>
            <w:r w:rsidRPr="009D54D8">
              <w:rPr>
                <w:color w:val="000000"/>
              </w:rPr>
              <w:t>2018</w:t>
            </w:r>
          </w:p>
          <w:p w:rsidR="009F08F1" w:rsidRPr="009D54D8" w:rsidRDefault="009F08F1" w:rsidP="009D54D8">
            <w:pPr>
              <w:spacing w:line="276" w:lineRule="auto"/>
              <w:jc w:val="center"/>
              <w:rPr>
                <w:color w:val="000000"/>
              </w:rPr>
            </w:pPr>
            <w:r w:rsidRPr="009D54D8">
              <w:rPr>
                <w:color w:val="000000"/>
              </w:rPr>
              <w:t>2019</w:t>
            </w:r>
          </w:p>
        </w:tc>
        <w:tc>
          <w:tcPr>
            <w:tcW w:w="3190" w:type="dxa"/>
            <w:tcBorders>
              <w:top w:val="nil"/>
              <w:left w:val="nil"/>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r w:rsidRPr="009D54D8">
              <w:rPr>
                <w:color w:val="000000"/>
              </w:rPr>
              <w:t>83 MW (Simple Cycle CT)</w:t>
            </w:r>
          </w:p>
        </w:tc>
        <w:tc>
          <w:tcPr>
            <w:tcW w:w="3420" w:type="dxa"/>
            <w:tcBorders>
              <w:top w:val="nil"/>
              <w:left w:val="nil"/>
              <w:bottom w:val="nil"/>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tc>
      </w:tr>
      <w:tr w:rsidR="009F08F1" w:rsidRPr="009D54D8" w:rsidTr="00C7025E">
        <w:trPr>
          <w:trHeight w:val="300"/>
        </w:trPr>
        <w:tc>
          <w:tcPr>
            <w:tcW w:w="1575" w:type="dxa"/>
            <w:tcBorders>
              <w:top w:val="nil"/>
              <w:left w:val="single" w:sz="4" w:space="0" w:color="auto"/>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2020</w:t>
            </w:r>
          </w:p>
          <w:p w:rsidR="009F08F1" w:rsidRPr="009D54D8" w:rsidRDefault="009F08F1" w:rsidP="009D54D8">
            <w:pPr>
              <w:spacing w:line="276" w:lineRule="auto"/>
              <w:jc w:val="center"/>
              <w:rPr>
                <w:color w:val="000000"/>
              </w:rPr>
            </w:pPr>
            <w:r w:rsidRPr="009D54D8">
              <w:rPr>
                <w:color w:val="000000"/>
              </w:rPr>
              <w:t>2021</w:t>
            </w:r>
          </w:p>
          <w:p w:rsidR="009F08F1" w:rsidRPr="009D54D8" w:rsidRDefault="009F08F1" w:rsidP="009D54D8">
            <w:pPr>
              <w:spacing w:line="276" w:lineRule="auto"/>
              <w:jc w:val="center"/>
              <w:rPr>
                <w:color w:val="000000"/>
              </w:rPr>
            </w:pPr>
            <w:r w:rsidRPr="009D54D8">
              <w:rPr>
                <w:color w:val="000000"/>
              </w:rPr>
              <w:t>2022</w:t>
            </w:r>
          </w:p>
          <w:p w:rsidR="009F08F1" w:rsidRPr="009D54D8" w:rsidRDefault="009F08F1" w:rsidP="009D54D8">
            <w:pPr>
              <w:spacing w:line="276" w:lineRule="auto"/>
              <w:jc w:val="center"/>
              <w:rPr>
                <w:color w:val="000000"/>
              </w:rPr>
            </w:pPr>
            <w:r w:rsidRPr="009D54D8">
              <w:rPr>
                <w:color w:val="000000"/>
              </w:rPr>
              <w:t>2023</w:t>
            </w:r>
          </w:p>
        </w:tc>
        <w:tc>
          <w:tcPr>
            <w:tcW w:w="3190" w:type="dxa"/>
            <w:tcBorders>
              <w:top w:val="nil"/>
              <w:left w:val="nil"/>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r w:rsidRPr="009D54D8">
              <w:rPr>
                <w:color w:val="000000"/>
              </w:rPr>
              <w:t>83 MW (Simple Cycle CT)</w:t>
            </w:r>
          </w:p>
        </w:tc>
        <w:tc>
          <w:tcPr>
            <w:tcW w:w="3420" w:type="dxa"/>
            <w:tcBorders>
              <w:top w:val="nil"/>
              <w:left w:val="nil"/>
              <w:bottom w:val="nil"/>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96 MW (Simple Cycle CT)</w:t>
            </w:r>
          </w:p>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tc>
      </w:tr>
      <w:tr w:rsidR="009F08F1" w:rsidRPr="009D54D8" w:rsidTr="00C7025E">
        <w:trPr>
          <w:trHeight w:val="300"/>
        </w:trPr>
        <w:tc>
          <w:tcPr>
            <w:tcW w:w="1575" w:type="dxa"/>
            <w:tcBorders>
              <w:top w:val="nil"/>
              <w:left w:val="single" w:sz="4" w:space="0" w:color="auto"/>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2024</w:t>
            </w:r>
          </w:p>
          <w:p w:rsidR="009F08F1" w:rsidRPr="009D54D8" w:rsidRDefault="009F08F1" w:rsidP="009D54D8">
            <w:pPr>
              <w:spacing w:line="276" w:lineRule="auto"/>
              <w:jc w:val="center"/>
              <w:rPr>
                <w:color w:val="000000"/>
              </w:rPr>
            </w:pPr>
            <w:r w:rsidRPr="009D54D8">
              <w:rPr>
                <w:color w:val="000000"/>
              </w:rPr>
              <w:t>2025</w:t>
            </w:r>
          </w:p>
          <w:p w:rsidR="009F08F1" w:rsidRPr="009D54D8" w:rsidRDefault="009F08F1" w:rsidP="009D54D8">
            <w:pPr>
              <w:spacing w:line="276" w:lineRule="auto"/>
              <w:jc w:val="center"/>
              <w:rPr>
                <w:color w:val="000000"/>
              </w:rPr>
            </w:pPr>
            <w:r w:rsidRPr="009D54D8">
              <w:rPr>
                <w:color w:val="000000"/>
              </w:rPr>
              <w:t>2026</w:t>
            </w:r>
          </w:p>
        </w:tc>
        <w:tc>
          <w:tcPr>
            <w:tcW w:w="3190" w:type="dxa"/>
            <w:tcBorders>
              <w:top w:val="nil"/>
              <w:left w:val="nil"/>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270 MW (Combined Cycle CT)</w:t>
            </w:r>
          </w:p>
        </w:tc>
        <w:tc>
          <w:tcPr>
            <w:tcW w:w="3420" w:type="dxa"/>
            <w:tcBorders>
              <w:top w:val="nil"/>
              <w:left w:val="nil"/>
              <w:bottom w:val="nil"/>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38 MW (Thermal Upgrades)</w:t>
            </w:r>
          </w:p>
          <w:p w:rsidR="009F08F1" w:rsidRPr="009D54D8" w:rsidRDefault="009F08F1" w:rsidP="009D54D8">
            <w:pPr>
              <w:spacing w:line="276" w:lineRule="auto"/>
              <w:jc w:val="center"/>
              <w:rPr>
                <w:color w:val="000000"/>
              </w:rPr>
            </w:pPr>
            <w:r w:rsidRPr="009D54D8">
              <w:rPr>
                <w:color w:val="000000"/>
              </w:rPr>
              <w:t>286 MW (Combined Cycle CT)</w:t>
            </w:r>
          </w:p>
        </w:tc>
      </w:tr>
      <w:tr w:rsidR="009F08F1" w:rsidRPr="009D54D8" w:rsidTr="00C7025E">
        <w:trPr>
          <w:trHeight w:val="300"/>
        </w:trPr>
        <w:tc>
          <w:tcPr>
            <w:tcW w:w="1575" w:type="dxa"/>
            <w:tcBorders>
              <w:top w:val="nil"/>
              <w:left w:val="single" w:sz="4" w:space="0" w:color="auto"/>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2027</w:t>
            </w:r>
          </w:p>
        </w:tc>
        <w:tc>
          <w:tcPr>
            <w:tcW w:w="3190" w:type="dxa"/>
            <w:tcBorders>
              <w:top w:val="nil"/>
              <w:left w:val="nil"/>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83 MW (Simple Cycle CT)</w:t>
            </w:r>
          </w:p>
        </w:tc>
        <w:tc>
          <w:tcPr>
            <w:tcW w:w="3420" w:type="dxa"/>
            <w:tcBorders>
              <w:top w:val="nil"/>
              <w:left w:val="nil"/>
              <w:bottom w:val="nil"/>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96 MW (Simple Cycle CT)</w:t>
            </w:r>
          </w:p>
        </w:tc>
      </w:tr>
      <w:tr w:rsidR="009F08F1" w:rsidRPr="009D54D8" w:rsidTr="00C7025E">
        <w:trPr>
          <w:trHeight w:val="300"/>
        </w:trPr>
        <w:tc>
          <w:tcPr>
            <w:tcW w:w="1575" w:type="dxa"/>
            <w:tcBorders>
              <w:top w:val="nil"/>
              <w:left w:val="single" w:sz="4" w:space="0" w:color="auto"/>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2028</w:t>
            </w:r>
          </w:p>
        </w:tc>
        <w:tc>
          <w:tcPr>
            <w:tcW w:w="3190" w:type="dxa"/>
            <w:tcBorders>
              <w:top w:val="nil"/>
              <w:left w:val="nil"/>
              <w:bottom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6 MW (Thermal Upgrade)</w:t>
            </w:r>
          </w:p>
        </w:tc>
        <w:tc>
          <w:tcPr>
            <w:tcW w:w="3420" w:type="dxa"/>
            <w:tcBorders>
              <w:top w:val="nil"/>
              <w:left w:val="nil"/>
              <w:bottom w:val="nil"/>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p>
        </w:tc>
      </w:tr>
      <w:tr w:rsidR="009F08F1" w:rsidRPr="009D54D8" w:rsidTr="00C7025E">
        <w:trPr>
          <w:trHeight w:val="300"/>
        </w:trPr>
        <w:tc>
          <w:tcPr>
            <w:tcW w:w="1575" w:type="dxa"/>
            <w:tcBorders>
              <w:top w:val="nil"/>
              <w:left w:val="single" w:sz="4" w:space="0" w:color="auto"/>
              <w:bottom w:val="single" w:sz="4" w:space="0" w:color="auto"/>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2029</w:t>
            </w:r>
          </w:p>
          <w:p w:rsidR="009F08F1" w:rsidRPr="009D54D8" w:rsidRDefault="009F08F1" w:rsidP="009D54D8">
            <w:pPr>
              <w:spacing w:line="276" w:lineRule="auto"/>
              <w:jc w:val="center"/>
              <w:rPr>
                <w:color w:val="000000"/>
              </w:rPr>
            </w:pPr>
            <w:r w:rsidRPr="009D54D8">
              <w:rPr>
                <w:color w:val="000000"/>
              </w:rPr>
              <w:t>2030</w:t>
            </w:r>
          </w:p>
          <w:p w:rsidR="009F08F1" w:rsidRPr="009D54D8" w:rsidRDefault="009F08F1" w:rsidP="009D54D8">
            <w:pPr>
              <w:spacing w:line="276" w:lineRule="auto"/>
              <w:jc w:val="center"/>
              <w:rPr>
                <w:color w:val="000000"/>
              </w:rPr>
            </w:pPr>
            <w:r w:rsidRPr="009D54D8">
              <w:rPr>
                <w:color w:val="000000"/>
              </w:rPr>
              <w:t>2031</w:t>
            </w:r>
          </w:p>
          <w:p w:rsidR="009F08F1" w:rsidRPr="009D54D8" w:rsidRDefault="009F08F1" w:rsidP="009D54D8">
            <w:pPr>
              <w:spacing w:line="276" w:lineRule="auto"/>
              <w:jc w:val="center"/>
              <w:rPr>
                <w:color w:val="000000"/>
              </w:rPr>
            </w:pPr>
            <w:r w:rsidRPr="009D54D8">
              <w:rPr>
                <w:color w:val="000000"/>
              </w:rPr>
              <w:t>2032</w:t>
            </w:r>
          </w:p>
          <w:p w:rsidR="009F08F1" w:rsidRPr="009D54D8" w:rsidRDefault="009F08F1" w:rsidP="009D54D8">
            <w:pPr>
              <w:spacing w:line="276" w:lineRule="auto"/>
              <w:jc w:val="center"/>
              <w:rPr>
                <w:color w:val="000000"/>
              </w:rPr>
            </w:pPr>
            <w:r w:rsidRPr="009D54D8">
              <w:rPr>
                <w:color w:val="000000"/>
              </w:rPr>
              <w:t>2033</w:t>
            </w:r>
          </w:p>
          <w:p w:rsidR="009F08F1" w:rsidRPr="009D54D8" w:rsidRDefault="009F08F1" w:rsidP="009D54D8">
            <w:pPr>
              <w:spacing w:line="276" w:lineRule="auto"/>
              <w:jc w:val="center"/>
              <w:rPr>
                <w:color w:val="000000"/>
              </w:rPr>
            </w:pPr>
            <w:r w:rsidRPr="009D54D8">
              <w:rPr>
                <w:color w:val="000000"/>
              </w:rPr>
              <w:t>2034</w:t>
            </w:r>
          </w:p>
        </w:tc>
        <w:tc>
          <w:tcPr>
            <w:tcW w:w="3190" w:type="dxa"/>
            <w:tcBorders>
              <w:top w:val="nil"/>
              <w:left w:val="nil"/>
              <w:bottom w:val="single" w:sz="4" w:space="0" w:color="auto"/>
              <w:right w:val="nil"/>
            </w:tcBorders>
            <w:shd w:val="clear" w:color="auto" w:fill="auto"/>
            <w:noWrap/>
            <w:vAlign w:val="bottom"/>
            <w:hideMark/>
          </w:tcPr>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r w:rsidRPr="009D54D8">
              <w:rPr>
                <w:color w:val="000000"/>
              </w:rPr>
              <w:t>50 MW (Simple Cycle CT)</w:t>
            </w:r>
          </w:p>
          <w:p w:rsidR="009F08F1" w:rsidRPr="009D54D8" w:rsidRDefault="009F08F1" w:rsidP="009D54D8">
            <w:pPr>
              <w:spacing w:line="276" w:lineRule="auto"/>
              <w:jc w:val="center"/>
              <w:rPr>
                <w:color w:val="000000"/>
              </w:rPr>
            </w:pPr>
          </w:p>
          <w:p w:rsidR="009F08F1" w:rsidRPr="009D54D8" w:rsidRDefault="009F08F1" w:rsidP="009D54D8">
            <w:pPr>
              <w:spacing w:line="276" w:lineRule="auto"/>
              <w:jc w:val="center"/>
              <w:rPr>
                <w:color w:val="000000"/>
              </w:rPr>
            </w:pPr>
          </w:p>
        </w:tc>
        <w:tc>
          <w:tcPr>
            <w:tcW w:w="3420" w:type="dxa"/>
            <w:tcBorders>
              <w:top w:val="nil"/>
              <w:left w:val="nil"/>
              <w:bottom w:val="single" w:sz="4" w:space="0" w:color="auto"/>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3 MW (Thermal Upgrades)</w:t>
            </w:r>
          </w:p>
          <w:p w:rsidR="009F08F1" w:rsidRPr="009D54D8" w:rsidRDefault="009F08F1" w:rsidP="009D54D8">
            <w:pPr>
              <w:spacing w:line="276" w:lineRule="auto"/>
              <w:jc w:val="center"/>
              <w:rPr>
                <w:color w:val="000000"/>
              </w:rPr>
            </w:pPr>
            <w:r w:rsidRPr="009D54D8">
              <w:rPr>
                <w:color w:val="000000"/>
              </w:rPr>
              <w:t>47 MW (Simple Cycle CT)</w:t>
            </w:r>
          </w:p>
        </w:tc>
      </w:tr>
      <w:tr w:rsidR="009F08F1" w:rsidRPr="009D54D8" w:rsidTr="00AF7905">
        <w:trPr>
          <w:trHeight w:val="300"/>
        </w:trPr>
        <w:tc>
          <w:tcPr>
            <w:tcW w:w="1575" w:type="dxa"/>
            <w:tcBorders>
              <w:top w:val="nil"/>
              <w:left w:val="single" w:sz="4" w:space="0" w:color="auto"/>
              <w:bottom w:val="single" w:sz="4" w:space="0" w:color="auto"/>
              <w:right w:val="nil"/>
            </w:tcBorders>
            <w:shd w:val="clear" w:color="auto" w:fill="548DD4" w:themeFill="text2" w:themeFillTint="99"/>
            <w:noWrap/>
            <w:vAlign w:val="bottom"/>
            <w:hideMark/>
          </w:tcPr>
          <w:p w:rsidR="009F08F1" w:rsidRPr="009D54D8" w:rsidRDefault="009F08F1" w:rsidP="009D54D8">
            <w:pPr>
              <w:spacing w:line="276" w:lineRule="auto"/>
              <w:jc w:val="center"/>
              <w:rPr>
                <w:b/>
                <w:color w:val="000000"/>
              </w:rPr>
            </w:pPr>
            <w:r w:rsidRPr="009D54D8">
              <w:rPr>
                <w:b/>
                <w:color w:val="000000"/>
              </w:rPr>
              <w:t>TOTAL</w:t>
            </w:r>
          </w:p>
        </w:tc>
        <w:tc>
          <w:tcPr>
            <w:tcW w:w="3190" w:type="dxa"/>
            <w:tcBorders>
              <w:top w:val="nil"/>
              <w:left w:val="nil"/>
              <w:bottom w:val="single" w:sz="4" w:space="0" w:color="auto"/>
              <w:right w:val="nil"/>
            </w:tcBorders>
            <w:shd w:val="clear" w:color="auto" w:fill="548DD4" w:themeFill="text2" w:themeFillTint="99"/>
            <w:noWrap/>
            <w:vAlign w:val="bottom"/>
            <w:hideMark/>
          </w:tcPr>
          <w:p w:rsidR="009F08F1" w:rsidRPr="009D54D8" w:rsidRDefault="009F08F1" w:rsidP="009D54D8">
            <w:pPr>
              <w:spacing w:line="276" w:lineRule="auto"/>
              <w:jc w:val="center"/>
              <w:rPr>
                <w:b/>
                <w:bCs/>
                <w:color w:val="000000"/>
              </w:rPr>
            </w:pPr>
            <w:r w:rsidRPr="009D54D8">
              <w:rPr>
                <w:b/>
                <w:bCs/>
                <w:color w:val="000000"/>
              </w:rPr>
              <w:t>581 MW</w:t>
            </w:r>
          </w:p>
        </w:tc>
        <w:tc>
          <w:tcPr>
            <w:tcW w:w="3420" w:type="dxa"/>
            <w:tcBorders>
              <w:top w:val="nil"/>
              <w:left w:val="nil"/>
              <w:bottom w:val="single" w:sz="4" w:space="0" w:color="auto"/>
              <w:right w:val="single" w:sz="4" w:space="0" w:color="auto"/>
            </w:tcBorders>
            <w:shd w:val="clear" w:color="auto" w:fill="548DD4" w:themeFill="text2" w:themeFillTint="99"/>
            <w:noWrap/>
            <w:vAlign w:val="bottom"/>
            <w:hideMark/>
          </w:tcPr>
          <w:p w:rsidR="009F08F1" w:rsidRPr="009D54D8" w:rsidRDefault="009F08F1" w:rsidP="009D54D8">
            <w:pPr>
              <w:spacing w:line="276" w:lineRule="auto"/>
              <w:jc w:val="center"/>
              <w:rPr>
                <w:b/>
                <w:bCs/>
                <w:color w:val="000000"/>
              </w:rPr>
            </w:pPr>
            <w:r w:rsidRPr="009D54D8">
              <w:rPr>
                <w:b/>
                <w:bCs/>
                <w:color w:val="000000"/>
              </w:rPr>
              <w:t>571 MW</w:t>
            </w:r>
          </w:p>
        </w:tc>
      </w:tr>
      <w:tr w:rsidR="009F08F1" w:rsidRPr="009D54D8" w:rsidTr="00C7025E">
        <w:trPr>
          <w:trHeight w:val="300"/>
        </w:trPr>
        <w:tc>
          <w:tcPr>
            <w:tcW w:w="1575" w:type="dxa"/>
            <w:tcBorders>
              <w:top w:val="nil"/>
              <w:left w:val="single" w:sz="4" w:space="0" w:color="auto"/>
              <w:bottom w:val="nil"/>
              <w:right w:val="nil"/>
            </w:tcBorders>
            <w:shd w:val="clear" w:color="auto" w:fill="auto"/>
            <w:noWrap/>
            <w:vAlign w:val="bottom"/>
            <w:hideMark/>
          </w:tcPr>
          <w:p w:rsidR="009F08F1" w:rsidRPr="009D54D8" w:rsidRDefault="009F08F1" w:rsidP="009D54D8">
            <w:pPr>
              <w:spacing w:line="276" w:lineRule="auto"/>
              <w:jc w:val="center"/>
              <w:rPr>
                <w:b/>
                <w:i/>
                <w:color w:val="000000"/>
                <w:u w:val="single"/>
              </w:rPr>
            </w:pPr>
            <w:r w:rsidRPr="009D54D8">
              <w:rPr>
                <w:b/>
                <w:i/>
                <w:color w:val="000000"/>
                <w:u w:val="single"/>
              </w:rPr>
              <w:t>Demand Side</w:t>
            </w:r>
          </w:p>
        </w:tc>
        <w:tc>
          <w:tcPr>
            <w:tcW w:w="3190" w:type="dxa"/>
            <w:tcBorders>
              <w:top w:val="nil"/>
              <w:left w:val="nil"/>
              <w:bottom w:val="nil"/>
              <w:right w:val="nil"/>
            </w:tcBorders>
            <w:shd w:val="clear" w:color="auto" w:fill="auto"/>
            <w:noWrap/>
            <w:vAlign w:val="bottom"/>
            <w:hideMark/>
          </w:tcPr>
          <w:p w:rsidR="009F08F1" w:rsidRPr="009D54D8" w:rsidRDefault="009F08F1" w:rsidP="009D54D8">
            <w:pPr>
              <w:spacing w:line="276" w:lineRule="auto"/>
              <w:jc w:val="center"/>
            </w:pPr>
          </w:p>
        </w:tc>
        <w:tc>
          <w:tcPr>
            <w:tcW w:w="3420" w:type="dxa"/>
            <w:tcBorders>
              <w:top w:val="nil"/>
              <w:left w:val="nil"/>
              <w:bottom w:val="nil"/>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p>
        </w:tc>
      </w:tr>
      <w:tr w:rsidR="009F08F1" w:rsidRPr="009D54D8" w:rsidTr="00C7025E">
        <w:trPr>
          <w:trHeight w:val="300"/>
        </w:trPr>
        <w:tc>
          <w:tcPr>
            <w:tcW w:w="1575" w:type="dxa"/>
            <w:tcBorders>
              <w:top w:val="nil"/>
              <w:left w:val="single" w:sz="4" w:space="0" w:color="auto"/>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 years</w:t>
            </w:r>
          </w:p>
        </w:tc>
        <w:tc>
          <w:tcPr>
            <w:tcW w:w="3190" w:type="dxa"/>
            <w:tcBorders>
              <w:top w:val="nil"/>
              <w:left w:val="nil"/>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221 MW (Energy Efficiency)</w:t>
            </w:r>
          </w:p>
        </w:tc>
        <w:tc>
          <w:tcPr>
            <w:tcW w:w="3420" w:type="dxa"/>
            <w:tcBorders>
              <w:top w:val="nil"/>
              <w:left w:val="nil"/>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193 MW (Energy Efficiency)</w:t>
            </w:r>
          </w:p>
        </w:tc>
      </w:tr>
      <w:tr w:rsidR="009F08F1" w:rsidRPr="009D54D8" w:rsidTr="00C7025E">
        <w:trPr>
          <w:trHeight w:val="300"/>
        </w:trPr>
        <w:tc>
          <w:tcPr>
            <w:tcW w:w="1575" w:type="dxa"/>
            <w:tcBorders>
              <w:top w:val="nil"/>
              <w:left w:val="single" w:sz="4" w:space="0" w:color="auto"/>
              <w:bottom w:val="single" w:sz="4" w:space="0" w:color="auto"/>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2022-2027</w:t>
            </w:r>
          </w:p>
        </w:tc>
        <w:tc>
          <w:tcPr>
            <w:tcW w:w="3190" w:type="dxa"/>
            <w:tcBorders>
              <w:top w:val="nil"/>
              <w:left w:val="nil"/>
              <w:bottom w:val="single" w:sz="4" w:space="0" w:color="auto"/>
              <w:right w:val="nil"/>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19 MW (Demand Response)</w:t>
            </w:r>
          </w:p>
        </w:tc>
        <w:tc>
          <w:tcPr>
            <w:tcW w:w="3420" w:type="dxa"/>
            <w:tcBorders>
              <w:top w:val="nil"/>
              <w:left w:val="nil"/>
              <w:bottom w:val="single" w:sz="4" w:space="0" w:color="auto"/>
              <w:right w:val="single" w:sz="4" w:space="0" w:color="auto"/>
            </w:tcBorders>
            <w:shd w:val="clear" w:color="auto" w:fill="auto"/>
            <w:noWrap/>
            <w:vAlign w:val="bottom"/>
            <w:hideMark/>
          </w:tcPr>
          <w:p w:rsidR="009F08F1" w:rsidRPr="009D54D8" w:rsidRDefault="009F08F1" w:rsidP="009D54D8">
            <w:pPr>
              <w:spacing w:line="276" w:lineRule="auto"/>
              <w:jc w:val="center"/>
              <w:rPr>
                <w:color w:val="000000"/>
              </w:rPr>
            </w:pPr>
            <w:r w:rsidRPr="009D54D8">
              <w:rPr>
                <w:color w:val="000000"/>
              </w:rPr>
              <w:t>0 MW (Demand Response)</w:t>
            </w:r>
          </w:p>
        </w:tc>
      </w:tr>
      <w:tr w:rsidR="009F08F1" w:rsidRPr="009D54D8" w:rsidTr="00AF7905">
        <w:trPr>
          <w:trHeight w:val="300"/>
        </w:trPr>
        <w:tc>
          <w:tcPr>
            <w:tcW w:w="1575" w:type="dxa"/>
            <w:tcBorders>
              <w:top w:val="single" w:sz="4" w:space="0" w:color="auto"/>
              <w:left w:val="single" w:sz="4" w:space="0" w:color="auto"/>
              <w:bottom w:val="single" w:sz="4" w:space="0" w:color="auto"/>
              <w:right w:val="nil"/>
            </w:tcBorders>
            <w:shd w:val="clear" w:color="auto" w:fill="548DD4" w:themeFill="text2" w:themeFillTint="99"/>
            <w:noWrap/>
            <w:vAlign w:val="bottom"/>
            <w:hideMark/>
          </w:tcPr>
          <w:p w:rsidR="009F08F1" w:rsidRPr="009D54D8" w:rsidRDefault="009F08F1" w:rsidP="009D54D8">
            <w:pPr>
              <w:spacing w:line="276" w:lineRule="auto"/>
              <w:jc w:val="center"/>
              <w:rPr>
                <w:b/>
                <w:color w:val="000000"/>
              </w:rPr>
            </w:pPr>
            <w:r w:rsidRPr="009D54D8">
              <w:rPr>
                <w:b/>
                <w:color w:val="000000"/>
              </w:rPr>
              <w:t>TOTAL</w:t>
            </w:r>
          </w:p>
        </w:tc>
        <w:tc>
          <w:tcPr>
            <w:tcW w:w="3190" w:type="dxa"/>
            <w:tcBorders>
              <w:top w:val="single" w:sz="4" w:space="0" w:color="auto"/>
              <w:left w:val="nil"/>
              <w:bottom w:val="single" w:sz="4" w:space="0" w:color="auto"/>
              <w:right w:val="nil"/>
            </w:tcBorders>
            <w:shd w:val="clear" w:color="auto" w:fill="548DD4" w:themeFill="text2" w:themeFillTint="99"/>
            <w:noWrap/>
            <w:vAlign w:val="bottom"/>
            <w:hideMark/>
          </w:tcPr>
          <w:p w:rsidR="009F08F1" w:rsidRPr="009D54D8" w:rsidRDefault="009F08F1" w:rsidP="009D54D8">
            <w:pPr>
              <w:spacing w:line="276" w:lineRule="auto"/>
              <w:jc w:val="center"/>
              <w:rPr>
                <w:color w:val="000000"/>
              </w:rPr>
            </w:pPr>
            <w:r w:rsidRPr="009D54D8">
              <w:rPr>
                <w:b/>
                <w:bCs/>
                <w:color w:val="000000"/>
              </w:rPr>
              <w:t>240 MW</w:t>
            </w:r>
          </w:p>
        </w:tc>
        <w:tc>
          <w:tcPr>
            <w:tcW w:w="3420"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9F08F1" w:rsidRPr="009D54D8" w:rsidRDefault="009F08F1" w:rsidP="009D54D8">
            <w:pPr>
              <w:spacing w:line="276" w:lineRule="auto"/>
              <w:jc w:val="center"/>
              <w:rPr>
                <w:color w:val="000000"/>
              </w:rPr>
            </w:pPr>
            <w:r w:rsidRPr="009D54D8">
              <w:rPr>
                <w:b/>
                <w:bCs/>
                <w:color w:val="000000"/>
              </w:rPr>
              <w:t>193 MW</w:t>
            </w:r>
          </w:p>
        </w:tc>
      </w:tr>
    </w:tbl>
    <w:p w:rsidR="00B90F7D" w:rsidRPr="009D54D8" w:rsidRDefault="00B90F7D" w:rsidP="009D54D8">
      <w:pPr>
        <w:spacing w:line="276" w:lineRule="auto"/>
      </w:pPr>
    </w:p>
    <w:p w:rsidR="00205DC5" w:rsidRPr="009D54D8" w:rsidRDefault="00205DC5" w:rsidP="009D54D8">
      <w:pPr>
        <w:spacing w:line="276" w:lineRule="auto"/>
      </w:pPr>
      <w:r w:rsidRPr="009D54D8">
        <w:t>For this IRP, Avista’s preferred resource strategy looks slightly different than that of the 2013 IRP. Most notably, due to a lower load growth forecast and Avista’s acquisition of new hydro</w:t>
      </w:r>
      <w:r w:rsidR="009F63F1">
        <w:t>-</w:t>
      </w:r>
      <w:r w:rsidR="005974FD" w:rsidRPr="009D54D8">
        <w:lastRenderedPageBreak/>
        <w:t xml:space="preserve">power </w:t>
      </w:r>
      <w:r w:rsidRPr="009D54D8">
        <w:t>contracts,</w:t>
      </w:r>
      <w:r w:rsidRPr="009D54D8">
        <w:rPr>
          <w:rStyle w:val="FootnoteReference"/>
        </w:rPr>
        <w:footnoteReference w:id="8"/>
      </w:r>
      <w:r w:rsidRPr="009D54D8">
        <w:t xml:space="preserve"> Avista’s near-term resource needs have been diminished. Avista currently projects its peak winter load to grow 0.74 percent per year (down from 0.84 percent per year in the 2013 IRP) while it expects its annual load to grow at 0.6 percent per year (down from 1.0 percent per year in the 2013 IRP</w:t>
      </w:r>
      <w:r w:rsidR="00B41C51" w:rsidRPr="009D54D8">
        <w:t>)</w:t>
      </w:r>
      <w:r w:rsidR="005974FD" w:rsidRPr="009D54D8">
        <w:t>.</w:t>
      </w:r>
      <w:r w:rsidRPr="009D54D8">
        <w:t xml:space="preserve"> </w:t>
      </w:r>
    </w:p>
    <w:p w:rsidR="00205DC5" w:rsidRPr="009D54D8" w:rsidRDefault="00205DC5" w:rsidP="009D54D8">
      <w:pPr>
        <w:spacing w:line="276" w:lineRule="auto"/>
      </w:pPr>
    </w:p>
    <w:p w:rsidR="00205DC5" w:rsidRPr="009D54D8" w:rsidRDefault="00205DC5" w:rsidP="009D54D8">
      <w:pPr>
        <w:spacing w:line="276" w:lineRule="auto"/>
      </w:pPr>
      <w:r w:rsidRPr="009D54D8">
        <w:t>Avista has pushed back its expected acquisition of a natural gas peaking unit by one year (from 2019 to 2020) and has removed another peaking unit from its expected resource needs altogether (an 83 MW unit in 2023). Avista now expects to meet some of its capacity need by investing in</w:t>
      </w:r>
      <w:r w:rsidR="00912B57" w:rsidRPr="009D54D8">
        <w:t xml:space="preserve"> upgrades to its thermal fleet.</w:t>
      </w:r>
      <w:r w:rsidRPr="009D54D8">
        <w:rPr>
          <w:rStyle w:val="FootnoteReference"/>
        </w:rPr>
        <w:footnoteReference w:id="9"/>
      </w:r>
      <w:r w:rsidR="00386153" w:rsidRPr="009D54D8">
        <w:t xml:space="preserve"> The largest generation investment in this IRP is a 286 MW combined cycle gas turbine in 2026, planned </w:t>
      </w:r>
      <w:r w:rsidR="00C713D5" w:rsidRPr="009D54D8">
        <w:t xml:space="preserve">largely </w:t>
      </w:r>
      <w:r w:rsidR="00386153" w:rsidRPr="009D54D8">
        <w:t>as a replacement for the Lancaster Power Purchase agreement which expires in October of 2026.</w:t>
      </w:r>
    </w:p>
    <w:p w:rsidR="00B90F7D" w:rsidRPr="009D54D8" w:rsidRDefault="00B90F7D" w:rsidP="009D54D8">
      <w:pPr>
        <w:spacing w:line="276" w:lineRule="auto"/>
      </w:pPr>
    </w:p>
    <w:p w:rsidR="00912B57" w:rsidRPr="009D54D8" w:rsidRDefault="00205DC5" w:rsidP="009D54D8">
      <w:pPr>
        <w:spacing w:line="276" w:lineRule="auto"/>
      </w:pPr>
      <w:r w:rsidRPr="009D54D8">
        <w:t xml:space="preserve">However, the reduction </w:t>
      </w:r>
      <w:r w:rsidR="000574E2" w:rsidRPr="009D54D8">
        <w:t>in demand response and</w:t>
      </w:r>
      <w:r w:rsidRPr="009D54D8">
        <w:t xml:space="preserve"> energy efficiency </w:t>
      </w:r>
      <w:r w:rsidR="00D27D5A" w:rsidRPr="009D54D8">
        <w:t>potential is concerning to the Commission. Although we acknowledge</w:t>
      </w:r>
      <w:r w:rsidRPr="009D54D8">
        <w:t xml:space="preserve"> that </w:t>
      </w:r>
      <w:r w:rsidR="00D27D5A" w:rsidRPr="009D54D8">
        <w:t>lower projecte</w:t>
      </w:r>
      <w:r w:rsidR="00912B57" w:rsidRPr="009D54D8">
        <w:t>d natural gas prices produce</w:t>
      </w:r>
      <w:r w:rsidRPr="009D54D8">
        <w:t xml:space="preserve"> a relatively lower avoided co</w:t>
      </w:r>
      <w:r w:rsidR="00D27D5A" w:rsidRPr="009D54D8">
        <w:t xml:space="preserve">st across the </w:t>
      </w:r>
      <w:r w:rsidR="000574E2" w:rsidRPr="009D54D8">
        <w:t>planning horizon, recent analysis by the Northwest Power and Conservation Council</w:t>
      </w:r>
      <w:r w:rsidR="00912B57" w:rsidRPr="009D54D8">
        <w:t xml:space="preserve"> (Council)</w:t>
      </w:r>
      <w:r w:rsidR="000574E2" w:rsidRPr="009D54D8">
        <w:t xml:space="preserve"> suggests that </w:t>
      </w:r>
      <w:r w:rsidR="001B2FCF" w:rsidRPr="009D54D8">
        <w:t xml:space="preserve">northwest </w:t>
      </w:r>
      <w:r w:rsidR="000574E2" w:rsidRPr="009D54D8">
        <w:t xml:space="preserve">utilities can meet </w:t>
      </w:r>
      <w:r w:rsidR="007F03EC" w:rsidRPr="009D54D8">
        <w:t>projected load growth almost entirely with with energy efficiency</w:t>
      </w:r>
      <w:r w:rsidR="007F03EC" w:rsidRPr="009D54D8">
        <w:rPr>
          <w:rStyle w:val="FootnoteReference"/>
        </w:rPr>
        <w:footnoteReference w:id="10"/>
      </w:r>
      <w:r w:rsidR="000574E2" w:rsidRPr="009D54D8">
        <w:t xml:space="preserve"> </w:t>
      </w:r>
      <w:r w:rsidR="007F03EC" w:rsidRPr="009D54D8">
        <w:t xml:space="preserve">while </w:t>
      </w:r>
      <w:r w:rsidR="00783050" w:rsidRPr="009D54D8">
        <w:t>demand response is most likely to be the</w:t>
      </w:r>
      <w:r w:rsidR="007F03EC" w:rsidRPr="009D54D8">
        <w:t xml:space="preserve"> least-cost solution for providing new peaking capacity.</w:t>
      </w:r>
      <w:r w:rsidR="007F03EC" w:rsidRPr="009D54D8">
        <w:rPr>
          <w:rStyle w:val="FootnoteReference"/>
        </w:rPr>
        <w:footnoteReference w:id="11"/>
      </w:r>
      <w:r w:rsidR="007F03EC" w:rsidRPr="009D54D8">
        <w:t xml:space="preserve"> </w:t>
      </w:r>
      <w:r w:rsidR="00783050" w:rsidRPr="009D54D8">
        <w:t>For the 2017</w:t>
      </w:r>
      <w:r w:rsidR="00912B57" w:rsidRPr="009D54D8">
        <w:t xml:space="preserve"> IRP, t</w:t>
      </w:r>
      <w:r w:rsidR="000574E2" w:rsidRPr="009D54D8">
        <w:t>he Commission expects Avi</w:t>
      </w:r>
      <w:r w:rsidR="009301B0" w:rsidRPr="009D54D8">
        <w:t xml:space="preserve">sta to </w:t>
      </w:r>
      <w:r w:rsidR="00912B57" w:rsidRPr="009D54D8">
        <w:t>work toward reconciling its own demand-side resource potential with that of the region as calculated</w:t>
      </w:r>
      <w:r w:rsidR="00357B46" w:rsidRPr="009D54D8">
        <w:t xml:space="preserve"> by the Council. </w:t>
      </w:r>
    </w:p>
    <w:p w:rsidR="008D5535" w:rsidRPr="009D54D8" w:rsidRDefault="008D5535" w:rsidP="009D54D8">
      <w:pPr>
        <w:spacing w:line="276" w:lineRule="auto"/>
      </w:pPr>
    </w:p>
    <w:p w:rsidR="001158B2" w:rsidRPr="009D54D8" w:rsidRDefault="001158B2" w:rsidP="009D54D8">
      <w:pPr>
        <w:pStyle w:val="Heading1"/>
        <w:numPr>
          <w:ilvl w:val="0"/>
          <w:numId w:val="44"/>
        </w:numPr>
        <w:spacing w:line="276" w:lineRule="auto"/>
        <w:rPr>
          <w:rFonts w:cs="Times New Roman"/>
          <w:sz w:val="25"/>
          <w:szCs w:val="25"/>
        </w:rPr>
      </w:pPr>
      <w:r w:rsidRPr="009D54D8">
        <w:rPr>
          <w:rFonts w:cs="Times New Roman"/>
          <w:sz w:val="25"/>
          <w:szCs w:val="25"/>
        </w:rPr>
        <w:t>Issues Requiring Additional Analysis</w:t>
      </w:r>
    </w:p>
    <w:p w:rsidR="001C084E" w:rsidRPr="009D54D8" w:rsidRDefault="00357B46" w:rsidP="009D54D8">
      <w:pPr>
        <w:pStyle w:val="Heading1"/>
        <w:spacing w:line="276" w:lineRule="auto"/>
        <w:rPr>
          <w:rFonts w:cs="Times New Roman"/>
          <w:b w:val="0"/>
          <w:sz w:val="25"/>
          <w:szCs w:val="25"/>
          <w:u w:val="none"/>
        </w:rPr>
      </w:pPr>
      <w:r w:rsidRPr="009D54D8">
        <w:rPr>
          <w:rFonts w:cs="Times New Roman"/>
          <w:sz w:val="25"/>
          <w:szCs w:val="25"/>
          <w:u w:val="none"/>
        </w:rPr>
        <w:t>Conservation Potential Assessment</w:t>
      </w:r>
      <w:r w:rsidR="000906CC" w:rsidRPr="009D54D8">
        <w:rPr>
          <w:rFonts w:cs="Times New Roman"/>
          <w:sz w:val="25"/>
          <w:szCs w:val="25"/>
          <w:u w:val="none"/>
        </w:rPr>
        <w:t xml:space="preserve"> (CPA)</w:t>
      </w:r>
    </w:p>
    <w:p w:rsidR="00357B46" w:rsidRPr="009D54D8" w:rsidRDefault="00357B46" w:rsidP="009D54D8">
      <w:pPr>
        <w:pStyle w:val="NoSpacing"/>
        <w:spacing w:line="276" w:lineRule="auto"/>
        <w:rPr>
          <w:sz w:val="25"/>
          <w:szCs w:val="25"/>
        </w:rPr>
      </w:pPr>
    </w:p>
    <w:p w:rsidR="00BA3A03" w:rsidRPr="009D54D8" w:rsidRDefault="00BA3A03" w:rsidP="009D54D8">
      <w:pPr>
        <w:spacing w:line="276" w:lineRule="auto"/>
      </w:pPr>
      <w:r w:rsidRPr="009D54D8">
        <w:t xml:space="preserve">For the 2015 IRP, Avista retained Applied Energy Group (AEG, formerly EnerNoc) to conduct the CPA. The CPA identifies the 20-year potential for energy efficiency and provides data on conservation resources specific to Avista’s service territory.  The conservation potential considers </w:t>
      </w:r>
      <w:r w:rsidRPr="009D54D8">
        <w:lastRenderedPageBreak/>
        <w:t xml:space="preserve">the impacts of existing programs, the anticipated effect of known building codes and standards, technology developments and innovation, changes to the economic influences, and energy prices. </w:t>
      </w:r>
    </w:p>
    <w:p w:rsidR="00357B46" w:rsidRPr="009D54D8" w:rsidRDefault="00357B46" w:rsidP="009D54D8">
      <w:pPr>
        <w:pStyle w:val="NoSpacing"/>
        <w:spacing w:line="276" w:lineRule="auto"/>
        <w:rPr>
          <w:sz w:val="25"/>
          <w:szCs w:val="25"/>
        </w:rPr>
      </w:pPr>
    </w:p>
    <w:p w:rsidR="00552DB9" w:rsidRPr="009D54D8" w:rsidRDefault="0034654F" w:rsidP="009D54D8">
      <w:pPr>
        <w:spacing w:line="276" w:lineRule="auto"/>
      </w:pPr>
      <w:r w:rsidRPr="009D54D8">
        <w:t>For Avista’s 2015 CPA, AEG was responsible for determining the technical</w:t>
      </w:r>
      <w:r w:rsidR="001B2FCF" w:rsidRPr="009D54D8">
        <w:t xml:space="preserve">, economic, and </w:t>
      </w:r>
      <w:r w:rsidRPr="009D54D8">
        <w:t xml:space="preserve">achievable </w:t>
      </w:r>
      <w:r w:rsidR="001B2FCF" w:rsidRPr="009D54D8">
        <w:t xml:space="preserve">conservation </w:t>
      </w:r>
      <w:r w:rsidRPr="009D54D8">
        <w:t>potential</w:t>
      </w:r>
      <w:r w:rsidR="001B2FCF" w:rsidRPr="009D54D8">
        <w:t>s</w:t>
      </w:r>
      <w:r w:rsidRPr="009D54D8">
        <w:t>.</w:t>
      </w:r>
      <w:r w:rsidRPr="009D54D8">
        <w:rPr>
          <w:rStyle w:val="FootnoteReference"/>
        </w:rPr>
        <w:footnoteReference w:id="12"/>
      </w:r>
      <w:r w:rsidRPr="009D54D8">
        <w:t xml:space="preserve"> </w:t>
      </w:r>
      <w:r w:rsidR="009153F4" w:rsidRPr="009D54D8">
        <w:t xml:space="preserve">However, the Commission prefers that </w:t>
      </w:r>
      <w:r w:rsidR="00552DB9" w:rsidRPr="009D54D8">
        <w:t>the economic and achievable potentials be calculated within the IRP model</w:t>
      </w:r>
      <w:r w:rsidR="003C44D9" w:rsidRPr="009D54D8">
        <w:t xml:space="preserve"> itself, rather than within a third-party model</w:t>
      </w:r>
      <w:r w:rsidR="00552DB9" w:rsidRPr="009D54D8">
        <w:t>. In this way, conservation resources compete directly against supply side re</w:t>
      </w:r>
      <w:r w:rsidR="003C44D9" w:rsidRPr="009D54D8">
        <w:t>sources in the IRP</w:t>
      </w:r>
      <w:r w:rsidR="00552DB9" w:rsidRPr="009D54D8">
        <w:t xml:space="preserve">. </w:t>
      </w:r>
    </w:p>
    <w:p w:rsidR="00357B46" w:rsidRPr="009D54D8" w:rsidRDefault="00357B46" w:rsidP="009D54D8">
      <w:pPr>
        <w:pStyle w:val="NoSpacing"/>
        <w:spacing w:line="276" w:lineRule="auto"/>
        <w:rPr>
          <w:sz w:val="25"/>
          <w:szCs w:val="25"/>
        </w:rPr>
      </w:pPr>
    </w:p>
    <w:p w:rsidR="000A636E" w:rsidRPr="009D54D8" w:rsidRDefault="00552DB9" w:rsidP="009D54D8">
      <w:pPr>
        <w:spacing w:line="276" w:lineRule="auto"/>
      </w:pPr>
      <w:r w:rsidRPr="009D54D8">
        <w:t>In the 2015</w:t>
      </w:r>
      <w:r w:rsidR="00357B46" w:rsidRPr="009D54D8">
        <w:t xml:space="preserve"> IRP, Avista </w:t>
      </w:r>
      <w:r w:rsidRPr="009D54D8">
        <w:t>made the first step tow</w:t>
      </w:r>
      <w:r w:rsidR="00823452" w:rsidRPr="009D54D8">
        <w:t xml:space="preserve">ard calculating its conservation potential in this way. As a cross-check to the third-party CPA, Avista performed the economic screen of conservation measures within the IRP model. Thus, it appears that </w:t>
      </w:r>
      <w:r w:rsidR="000A636E" w:rsidRPr="009D54D8">
        <w:t xml:space="preserve">Avista is well positioned to begin performing the CPA within the IRP model. A third-party consultant should be used for identification of the Company’s technical potential, for gathering measure-specific details such as relevant ramp rates, measure price and availability, and for providing additional technical information necessary for Avista to perform the </w:t>
      </w:r>
      <w:r w:rsidR="00B41C51" w:rsidRPr="009D54D8">
        <w:t>CPA</w:t>
      </w:r>
      <w:r w:rsidR="000A636E" w:rsidRPr="009D54D8">
        <w:t xml:space="preserve"> within the Co</w:t>
      </w:r>
      <w:r w:rsidR="00EA55A0" w:rsidRPr="009D54D8">
        <w:t>mpany’s IRP model</w:t>
      </w:r>
      <w:r w:rsidR="000A636E" w:rsidRPr="009D54D8">
        <w:t>.</w:t>
      </w:r>
    </w:p>
    <w:p w:rsidR="000A636E" w:rsidRPr="009D54D8" w:rsidRDefault="000A636E" w:rsidP="009D54D8">
      <w:pPr>
        <w:spacing w:line="276" w:lineRule="auto"/>
      </w:pPr>
    </w:p>
    <w:p w:rsidR="00357B46" w:rsidRPr="009D54D8" w:rsidRDefault="006C2222" w:rsidP="009D54D8">
      <w:pPr>
        <w:spacing w:line="276" w:lineRule="auto"/>
      </w:pPr>
      <w:r w:rsidRPr="009D54D8">
        <w:t>Additionally, Avista should explore creating a con</w:t>
      </w:r>
      <w:r w:rsidR="001B5574" w:rsidRPr="009D54D8">
        <w:t>straint within the IRP model that</w:t>
      </w:r>
      <w:r w:rsidRPr="009D54D8">
        <w:t xml:space="preserve"> forces the minimum conservation selection to comply with Washin</w:t>
      </w:r>
      <w:r w:rsidR="00417D7C" w:rsidRPr="009D54D8">
        <w:t>g</w:t>
      </w:r>
      <w:r w:rsidRPr="009D54D8">
        <w:t>ton law and Commission rule</w:t>
      </w:r>
      <w:r w:rsidR="000906CC" w:rsidRPr="009D54D8">
        <w:t>s set forth in WAC 480-</w:t>
      </w:r>
      <w:r w:rsidR="00B5290A" w:rsidRPr="009D54D8">
        <w:t>109</w:t>
      </w:r>
      <w:r w:rsidRPr="009D54D8">
        <w:t>.</w:t>
      </w:r>
      <w:r w:rsidR="00896AA9" w:rsidRPr="009D54D8">
        <w:rPr>
          <w:rStyle w:val="FootnoteReference"/>
        </w:rPr>
        <w:footnoteReference w:id="13"/>
      </w:r>
      <w:r w:rsidRPr="009D54D8">
        <w:t xml:space="preserve"> For the 2015 CPA, the</w:t>
      </w:r>
      <w:r w:rsidR="00357B46" w:rsidRPr="009D54D8">
        <w:t xml:space="preserve"> analysis produced a 2-year achievable potential that fell far below the threshold minimum as required by law</w:t>
      </w:r>
      <w:r w:rsidRPr="009D54D8">
        <w:t>. At a minimum, the</w:t>
      </w:r>
      <w:r w:rsidR="00357B46" w:rsidRPr="009D54D8">
        <w:t xml:space="preserve"> </w:t>
      </w:r>
      <w:r w:rsidR="005070CF" w:rsidRPr="009D54D8">
        <w:t xml:space="preserve">two-year </w:t>
      </w:r>
      <w:r w:rsidR="00357B46" w:rsidRPr="009D54D8">
        <w:t xml:space="preserve">conservation </w:t>
      </w:r>
      <w:r w:rsidRPr="009D54D8">
        <w:t>potential</w:t>
      </w:r>
      <w:r w:rsidR="005070CF" w:rsidRPr="009D54D8">
        <w:t xml:space="preserve"> should be the linear, pro rata share of the </w:t>
      </w:r>
      <w:r w:rsidR="005974FD" w:rsidRPr="009D54D8">
        <w:t>10</w:t>
      </w:r>
      <w:r w:rsidR="005070CF" w:rsidRPr="009D54D8">
        <w:t xml:space="preserve">-year potential. </w:t>
      </w:r>
    </w:p>
    <w:p w:rsidR="001C084E" w:rsidRPr="009D54D8" w:rsidRDefault="00397938" w:rsidP="009D54D8">
      <w:pPr>
        <w:pStyle w:val="Heading1"/>
        <w:spacing w:line="276" w:lineRule="auto"/>
        <w:rPr>
          <w:rFonts w:cs="Times New Roman"/>
          <w:i/>
          <w:sz w:val="25"/>
          <w:szCs w:val="25"/>
          <w:u w:val="none"/>
        </w:rPr>
      </w:pPr>
      <w:r w:rsidRPr="009D54D8">
        <w:rPr>
          <w:rFonts w:cs="Times New Roman"/>
          <w:sz w:val="25"/>
          <w:szCs w:val="25"/>
          <w:u w:val="none"/>
        </w:rPr>
        <w:t>Colstrip</w:t>
      </w:r>
      <w:r w:rsidR="005C2CFE" w:rsidRPr="009D54D8">
        <w:rPr>
          <w:rFonts w:cs="Times New Roman"/>
          <w:sz w:val="25"/>
          <w:szCs w:val="25"/>
          <w:u w:val="none"/>
        </w:rPr>
        <w:t xml:space="preserve"> Units 3 and 4</w:t>
      </w:r>
    </w:p>
    <w:p w:rsidR="00397938" w:rsidRPr="009D54D8" w:rsidRDefault="00397938" w:rsidP="009D54D8">
      <w:pPr>
        <w:spacing w:line="276" w:lineRule="auto"/>
      </w:pPr>
    </w:p>
    <w:p w:rsidR="000646D3" w:rsidRPr="009D54D8" w:rsidRDefault="001C084E" w:rsidP="009D54D8">
      <w:pPr>
        <w:spacing w:line="276" w:lineRule="auto"/>
      </w:pPr>
      <w:r w:rsidRPr="009D54D8">
        <w:t>Avista owns a 15 percent share of Colstrip Units 3 and 4. In its acknowl</w:t>
      </w:r>
      <w:r w:rsidR="005E79BF" w:rsidRPr="009D54D8">
        <w:t>edgment letter to Avista’s 2013</w:t>
      </w:r>
      <w:r w:rsidR="00617B61" w:rsidRPr="009D54D8">
        <w:t xml:space="preserve"> IRP, the Commission requested that Avista continue to evaluate scenarios related to the continued operation of units 3 and 4.</w:t>
      </w:r>
      <w:r w:rsidR="00617B61" w:rsidRPr="009D54D8">
        <w:rPr>
          <w:rStyle w:val="FootnoteReference"/>
        </w:rPr>
        <w:footnoteReference w:id="14"/>
      </w:r>
      <w:r w:rsidR="00617B61" w:rsidRPr="009D54D8">
        <w:t xml:space="preserve"> </w:t>
      </w:r>
      <w:r w:rsidR="005E79BF" w:rsidRPr="009D54D8">
        <w:t xml:space="preserve">In the 2015 IRP, Avista produced additional analysis of the </w:t>
      </w:r>
      <w:r w:rsidR="005E79BF" w:rsidRPr="009D54D8">
        <w:lastRenderedPageBreak/>
        <w:t xml:space="preserve">economics of continuing operations at Colstrip </w:t>
      </w:r>
      <w:r w:rsidR="00417D7C" w:rsidRPr="009D54D8">
        <w:t>U</w:t>
      </w:r>
      <w:r w:rsidR="005E79BF" w:rsidRPr="009D54D8">
        <w:t xml:space="preserve">nits 3 and 4. Most notably, Avista devoted an entire scenario to modeling </w:t>
      </w:r>
      <w:r w:rsidR="00571199" w:rsidRPr="009D54D8">
        <w:t xml:space="preserve">what it labeled </w:t>
      </w:r>
      <w:r w:rsidR="005E79BF" w:rsidRPr="009D54D8">
        <w:t>a “h</w:t>
      </w:r>
      <w:r w:rsidR="00763AFE" w:rsidRPr="009D54D8">
        <w:t>igh-cost” Colstrip case</w:t>
      </w:r>
      <w:r w:rsidR="005E79BF" w:rsidRPr="009D54D8">
        <w:t xml:space="preserve">. </w:t>
      </w:r>
      <w:r w:rsidR="00571199" w:rsidRPr="009D54D8">
        <w:t>The results of this analysis indicated that</w:t>
      </w:r>
      <w:r w:rsidR="005E79BF" w:rsidRPr="009D54D8">
        <w:t xml:space="preserve"> continued operation of </w:t>
      </w:r>
      <w:r w:rsidR="00417D7C" w:rsidRPr="009D54D8">
        <w:t>U</w:t>
      </w:r>
      <w:r w:rsidR="005E79BF" w:rsidRPr="009D54D8">
        <w:t>nits 3 and 4 rem</w:t>
      </w:r>
      <w:r w:rsidR="008C3184" w:rsidRPr="009D54D8">
        <w:t>ains economic</w:t>
      </w:r>
      <w:r w:rsidR="005E79BF" w:rsidRPr="009D54D8">
        <w:t xml:space="preserve">. </w:t>
      </w:r>
    </w:p>
    <w:p w:rsidR="000646D3" w:rsidRPr="009D54D8" w:rsidRDefault="000646D3" w:rsidP="009D54D8">
      <w:pPr>
        <w:spacing w:line="276" w:lineRule="auto"/>
      </w:pPr>
    </w:p>
    <w:p w:rsidR="00A376F2" w:rsidRPr="009D54D8" w:rsidRDefault="00417D7C" w:rsidP="009D54D8">
      <w:pPr>
        <w:spacing w:line="276" w:lineRule="auto"/>
      </w:pPr>
      <w:r w:rsidRPr="009D54D8">
        <w:t>F</w:t>
      </w:r>
      <w:r w:rsidR="000646D3" w:rsidRPr="009D54D8">
        <w:t xml:space="preserve">or </w:t>
      </w:r>
      <w:r w:rsidRPr="009D54D8">
        <w:t xml:space="preserve">the following </w:t>
      </w:r>
      <w:r w:rsidR="000646D3" w:rsidRPr="009D54D8">
        <w:t xml:space="preserve">reasons </w:t>
      </w:r>
      <w:r w:rsidR="008C3184" w:rsidRPr="009D54D8">
        <w:t xml:space="preserve">the </w:t>
      </w:r>
      <w:r w:rsidR="000646D3" w:rsidRPr="009D54D8">
        <w:t xml:space="preserve">Commission remains unconvinced that </w:t>
      </w:r>
      <w:r w:rsidRPr="009D54D8">
        <w:t>U</w:t>
      </w:r>
      <w:r w:rsidR="000646D3" w:rsidRPr="009D54D8">
        <w:t>nits 3 and 4 would remain economic under all scenarios.</w:t>
      </w:r>
      <w:r w:rsidR="004C4661" w:rsidRPr="009D54D8">
        <w:t xml:space="preserve"> First, the </w:t>
      </w:r>
      <w:r w:rsidRPr="009D54D8">
        <w:t>U.S. Environmental Protection Agency’s (</w:t>
      </w:r>
      <w:r w:rsidR="004C4661" w:rsidRPr="009D54D8">
        <w:t>EPA</w:t>
      </w:r>
      <w:r w:rsidR="009F63F1">
        <w:t>’s</w:t>
      </w:r>
      <w:r w:rsidRPr="009D54D8">
        <w:t>)</w:t>
      </w:r>
      <w:r w:rsidR="00467E4A" w:rsidRPr="009D54D8">
        <w:t xml:space="preserve"> rules for</w:t>
      </w:r>
      <w:r w:rsidR="004C4661" w:rsidRPr="009D54D8">
        <w:t xml:space="preserve"> Clean</w:t>
      </w:r>
      <w:r w:rsidR="00467E4A" w:rsidRPr="009D54D8">
        <w:t xml:space="preserve"> Power Plan compliance were not finalized at the time Avista </w:t>
      </w:r>
      <w:r w:rsidR="00571199" w:rsidRPr="009D54D8">
        <w:t>performed its IRP modeling runs</w:t>
      </w:r>
      <w:r w:rsidR="00467E4A" w:rsidRPr="009D54D8">
        <w:t>.</w:t>
      </w:r>
      <w:r w:rsidRPr="009D54D8">
        <w:rPr>
          <w:rStyle w:val="FootnoteReference"/>
        </w:rPr>
        <w:footnoteReference w:id="15"/>
      </w:r>
      <w:r w:rsidR="00467E4A" w:rsidRPr="009D54D8">
        <w:t xml:space="preserve"> </w:t>
      </w:r>
      <w:r w:rsidR="00A376F2" w:rsidRPr="009D54D8">
        <w:t>Although the Supreme Court has issued a stay on the EPA’s rule, the litigation on the substance of the rule is proceeding on an expedited basis before the U.S. District Court of Appeals. Although there may be a delay of a year or two in the implementation of this rule, we believe it is more likely than not that some type of federal rule from the EPA on greenhouse gas reductions on existing powerplants will occur in the relatively near future.</w:t>
      </w:r>
    </w:p>
    <w:p w:rsidR="00A376F2" w:rsidRPr="009D54D8" w:rsidRDefault="00A376F2" w:rsidP="009D54D8">
      <w:pPr>
        <w:spacing w:line="276" w:lineRule="auto"/>
      </w:pPr>
    </w:p>
    <w:p w:rsidR="008C3184" w:rsidRPr="009D54D8" w:rsidRDefault="00467E4A" w:rsidP="009D54D8">
      <w:pPr>
        <w:spacing w:line="276" w:lineRule="auto"/>
      </w:pPr>
      <w:r w:rsidRPr="009D54D8">
        <w:t>Second, prospective carbon pricing policies</w:t>
      </w:r>
      <w:r w:rsidR="00571199" w:rsidRPr="009D54D8">
        <w:t xml:space="preserve"> in Washington State</w:t>
      </w:r>
      <w:r w:rsidR="00417D7C" w:rsidRPr="009D54D8">
        <w:t>, including a state rule establishing carbon limits and an initiative for a carbon tax,</w:t>
      </w:r>
      <w:r w:rsidRPr="009D54D8">
        <w:t xml:space="preserve"> are more likely, and potentially more </w:t>
      </w:r>
      <w:r w:rsidR="00736F8A" w:rsidRPr="009D54D8">
        <w:t xml:space="preserve">costly, than what </w:t>
      </w:r>
      <w:r w:rsidR="00417D7C" w:rsidRPr="009D54D8">
        <w:t xml:space="preserve">Avista </w:t>
      </w:r>
      <w:r w:rsidR="00736F8A" w:rsidRPr="009D54D8">
        <w:t xml:space="preserve">assumed </w:t>
      </w:r>
      <w:r w:rsidR="00417D7C" w:rsidRPr="009D54D8">
        <w:t>in its</w:t>
      </w:r>
      <w:r w:rsidRPr="009D54D8">
        <w:t xml:space="preserve"> 2015 IRP. These ca</w:t>
      </w:r>
      <w:r w:rsidR="00F159FB" w:rsidRPr="009D54D8">
        <w:t>rbon policies woul</w:t>
      </w:r>
      <w:r w:rsidR="00EB3688" w:rsidRPr="009D54D8">
        <w:t>d very likely</w:t>
      </w:r>
      <w:r w:rsidR="00736F8A" w:rsidRPr="009D54D8">
        <w:t xml:space="preserve"> impact the cost of continued operation of</w:t>
      </w:r>
      <w:r w:rsidR="00F159FB" w:rsidRPr="009D54D8">
        <w:t xml:space="preserve"> </w:t>
      </w:r>
      <w:r w:rsidR="00417D7C" w:rsidRPr="009D54D8">
        <w:t>U</w:t>
      </w:r>
      <w:r w:rsidR="00A376F2" w:rsidRPr="009D54D8">
        <w:t>nits 3 and 4. Additionally</w:t>
      </w:r>
      <w:r w:rsidR="00F159FB" w:rsidRPr="009D54D8">
        <w:t xml:space="preserve">, </w:t>
      </w:r>
      <w:r w:rsidR="009A25A5" w:rsidRPr="009D54D8">
        <w:t xml:space="preserve">natural gas prices have continued to decline putting </w:t>
      </w:r>
      <w:r w:rsidR="00F755A0" w:rsidRPr="009D54D8">
        <w:t xml:space="preserve">into question </w:t>
      </w:r>
      <w:r w:rsidR="009A25A5" w:rsidRPr="009D54D8">
        <w:t>coal-fired generation</w:t>
      </w:r>
      <w:r w:rsidR="00F755A0" w:rsidRPr="009D54D8">
        <w:t xml:space="preserve">’s economic advantage over natural gas generation. Further, </w:t>
      </w:r>
      <w:r w:rsidR="00417D7C" w:rsidRPr="009D54D8">
        <w:t xml:space="preserve">Avista could not estimate </w:t>
      </w:r>
      <w:r w:rsidR="00F159FB" w:rsidRPr="009D54D8">
        <w:t xml:space="preserve">some of the potential costs of continued operation of </w:t>
      </w:r>
      <w:r w:rsidR="00417D7C" w:rsidRPr="009D54D8">
        <w:t xml:space="preserve">the </w:t>
      </w:r>
      <w:r w:rsidR="00F159FB" w:rsidRPr="009D54D8">
        <w:t xml:space="preserve">units </w:t>
      </w:r>
      <w:r w:rsidR="00417D7C" w:rsidRPr="009D54D8">
        <w:t>and did</w:t>
      </w:r>
      <w:r w:rsidR="00EB3688" w:rsidRPr="009D54D8">
        <w:t xml:space="preserve"> not include </w:t>
      </w:r>
      <w:r w:rsidR="00417D7C" w:rsidRPr="009D54D8">
        <w:t xml:space="preserve">them </w:t>
      </w:r>
      <w:r w:rsidR="00EB3688" w:rsidRPr="009D54D8">
        <w:t xml:space="preserve">in </w:t>
      </w:r>
      <w:r w:rsidR="00417D7C" w:rsidRPr="009D54D8">
        <w:t xml:space="preserve">the </w:t>
      </w:r>
      <w:r w:rsidR="00F159FB" w:rsidRPr="009D54D8">
        <w:t xml:space="preserve">“high cost” analysis. </w:t>
      </w:r>
      <w:r w:rsidR="00F755A0" w:rsidRPr="009D54D8">
        <w:t>Clearly, there is additional analysis that needs to occur before the continued operation of Colstrip units 3 and 4 can be shown to be economc.</w:t>
      </w:r>
    </w:p>
    <w:p w:rsidR="005A507E" w:rsidRPr="009D54D8" w:rsidRDefault="005A507E" w:rsidP="009D54D8">
      <w:pPr>
        <w:spacing w:line="276" w:lineRule="auto"/>
      </w:pPr>
    </w:p>
    <w:p w:rsidR="005A507E" w:rsidRPr="009D54D8" w:rsidRDefault="005A507E" w:rsidP="009D54D8">
      <w:pPr>
        <w:spacing w:line="276" w:lineRule="auto"/>
      </w:pPr>
      <w:r w:rsidRPr="009D54D8">
        <w:t>For the 2017 IRP, the Commission requests that Avista:</w:t>
      </w:r>
    </w:p>
    <w:p w:rsidR="005A507E" w:rsidRPr="009D54D8" w:rsidRDefault="005A507E" w:rsidP="009D54D8">
      <w:pPr>
        <w:pStyle w:val="ListParagraph"/>
        <w:numPr>
          <w:ilvl w:val="0"/>
          <w:numId w:val="41"/>
        </w:numPr>
        <w:spacing w:line="276" w:lineRule="auto"/>
      </w:pPr>
      <w:r w:rsidRPr="009D54D8">
        <w:t>Incorporate new prospective carbon pricing policies into the expected case stochastic modeling. Avista may consult with its Advisory Group regarding assigning probabilities to these policies; and</w:t>
      </w:r>
    </w:p>
    <w:p w:rsidR="005A507E" w:rsidRPr="009D54D8" w:rsidRDefault="00296F3E" w:rsidP="009D54D8">
      <w:pPr>
        <w:pStyle w:val="ListParagraph"/>
        <w:numPr>
          <w:ilvl w:val="0"/>
          <w:numId w:val="41"/>
        </w:numPr>
        <w:spacing w:line="276" w:lineRule="auto"/>
      </w:pPr>
      <w:r w:rsidRPr="009D54D8">
        <w:t>Work toward developing a more complete suite of potential costs to include in a revised, “high-cost” scenario.</w:t>
      </w:r>
    </w:p>
    <w:p w:rsidR="002D1A5D" w:rsidRPr="009D54D8" w:rsidRDefault="002D1A5D" w:rsidP="009D54D8">
      <w:pPr>
        <w:spacing w:line="276" w:lineRule="auto"/>
      </w:pPr>
    </w:p>
    <w:p w:rsidR="009D54D8" w:rsidRDefault="009D54D8" w:rsidP="009D54D8">
      <w:pPr>
        <w:spacing w:line="276" w:lineRule="auto"/>
        <w:rPr>
          <w:b/>
        </w:rPr>
      </w:pPr>
    </w:p>
    <w:p w:rsidR="009D54D8" w:rsidRDefault="009D54D8" w:rsidP="009D54D8">
      <w:pPr>
        <w:spacing w:line="276" w:lineRule="auto"/>
        <w:rPr>
          <w:b/>
        </w:rPr>
      </w:pPr>
    </w:p>
    <w:p w:rsidR="009D54D8" w:rsidRDefault="009D54D8" w:rsidP="009D54D8">
      <w:pPr>
        <w:spacing w:line="276" w:lineRule="auto"/>
        <w:rPr>
          <w:b/>
        </w:rPr>
      </w:pPr>
    </w:p>
    <w:p w:rsidR="002D1A5D" w:rsidRPr="009D54D8" w:rsidRDefault="002D1A5D" w:rsidP="009D54D8">
      <w:pPr>
        <w:spacing w:line="276" w:lineRule="auto"/>
        <w:rPr>
          <w:b/>
        </w:rPr>
      </w:pPr>
      <w:r w:rsidRPr="009D54D8">
        <w:rPr>
          <w:b/>
        </w:rPr>
        <w:lastRenderedPageBreak/>
        <w:t>Storage Resources</w:t>
      </w:r>
    </w:p>
    <w:p w:rsidR="001B5574" w:rsidRPr="009D54D8" w:rsidRDefault="001B5574" w:rsidP="009D54D8">
      <w:pPr>
        <w:spacing w:line="276" w:lineRule="auto"/>
      </w:pPr>
    </w:p>
    <w:p w:rsidR="00024824" w:rsidRPr="009D54D8" w:rsidRDefault="00024824" w:rsidP="009D54D8">
      <w:pPr>
        <w:spacing w:line="276" w:lineRule="auto"/>
      </w:pPr>
      <w:r w:rsidRPr="009D54D8">
        <w:t>Avista has created the analytical framework for valuing the economics of storage resources in the IRP. Avista</w:t>
      </w:r>
      <w:r w:rsidR="000A3A62" w:rsidRPr="009D54D8">
        <w:t>’s IRP modeling</w:t>
      </w:r>
      <w:r w:rsidRPr="009D54D8">
        <w:t xml:space="preserve"> is unique in that it can simultaneously optimize both hydro</w:t>
      </w:r>
      <w:r w:rsidR="005974FD" w:rsidRPr="009D54D8">
        <w:t xml:space="preserve"> power</w:t>
      </w:r>
      <w:r w:rsidRPr="009D54D8">
        <w:t xml:space="preserve"> and thermal resources. Such modeling capability lends itself well to fully evaluating the costs and benefits of storage to Avista’s system. </w:t>
      </w:r>
      <w:r w:rsidR="002B438A" w:rsidRPr="009D54D8">
        <w:t xml:space="preserve">Avista did an exceptional job of developing a framework for modeling storage resources in an integrated hydro-thermal system. </w:t>
      </w:r>
      <w:r w:rsidR="000A3A62" w:rsidRPr="009D54D8">
        <w:t>In the 2015 IRP, Avista modeled the cost and operational impact of a generic storage resource on its system. In its next IRP, the Commission requests that Avista model the costs and operational impact of specific storage technologies.</w:t>
      </w:r>
    </w:p>
    <w:p w:rsidR="00736F8A" w:rsidRPr="009D54D8" w:rsidRDefault="00736F8A" w:rsidP="009D54D8">
      <w:pPr>
        <w:spacing w:line="276" w:lineRule="auto"/>
      </w:pPr>
    </w:p>
    <w:p w:rsidR="00C72904" w:rsidRPr="009D54D8" w:rsidRDefault="00C72904" w:rsidP="009D54D8">
      <w:pPr>
        <w:spacing w:line="276" w:lineRule="auto"/>
      </w:pPr>
      <w:r w:rsidRPr="009D54D8">
        <w:t>For the 2017 IRP, the Commission requests that Avista</w:t>
      </w:r>
      <w:r w:rsidR="002B438A" w:rsidRPr="009D54D8">
        <w:t xml:space="preserve"> continue to develop the modeling capability for storage by</w:t>
      </w:r>
      <w:r w:rsidRPr="009D54D8">
        <w:t>:</w:t>
      </w:r>
    </w:p>
    <w:p w:rsidR="00C72904" w:rsidRPr="009D54D8" w:rsidRDefault="00544D52" w:rsidP="009D54D8">
      <w:pPr>
        <w:pStyle w:val="ListParagraph"/>
        <w:numPr>
          <w:ilvl w:val="0"/>
          <w:numId w:val="46"/>
        </w:numPr>
        <w:spacing w:line="276" w:lineRule="auto"/>
      </w:pPr>
      <w:r w:rsidRPr="009D54D8">
        <w:t>Continu</w:t>
      </w:r>
      <w:r w:rsidR="002B438A" w:rsidRPr="009D54D8">
        <w:t>ing</w:t>
      </w:r>
      <w:r w:rsidRPr="009D54D8">
        <w:t xml:space="preserve"> to acquire </w:t>
      </w:r>
      <w:r w:rsidR="000A3A62" w:rsidRPr="009D54D8">
        <w:t xml:space="preserve">the most up to date </w:t>
      </w:r>
      <w:r w:rsidRPr="009D54D8">
        <w:t>data related to</w:t>
      </w:r>
      <w:r w:rsidR="00C72904" w:rsidRPr="009D54D8">
        <w:t xml:space="preserve"> </w:t>
      </w:r>
      <w:r w:rsidRPr="009D54D8">
        <w:t>the</w:t>
      </w:r>
      <w:r w:rsidR="003406F8" w:rsidRPr="009D54D8">
        <w:t xml:space="preserve"> operational characteristics of specific storage technologies as well as the costs of purchasin</w:t>
      </w:r>
      <w:r w:rsidR="00B66067" w:rsidRPr="009D54D8">
        <w:t>g and operating those technologies;</w:t>
      </w:r>
      <w:r w:rsidRPr="009D54D8">
        <w:t xml:space="preserve"> and </w:t>
      </w:r>
    </w:p>
    <w:p w:rsidR="002D1A5D" w:rsidRPr="009D54D8" w:rsidRDefault="00C72904" w:rsidP="009D54D8">
      <w:pPr>
        <w:pStyle w:val="ListParagraph"/>
        <w:numPr>
          <w:ilvl w:val="0"/>
          <w:numId w:val="46"/>
        </w:numPr>
        <w:spacing w:line="276" w:lineRule="auto"/>
        <w:rPr>
          <w:b/>
        </w:rPr>
      </w:pPr>
      <w:r w:rsidRPr="009D54D8">
        <w:t>E</w:t>
      </w:r>
      <w:r w:rsidR="002D1A5D" w:rsidRPr="009D54D8">
        <w:t>xplor</w:t>
      </w:r>
      <w:r w:rsidR="002B438A" w:rsidRPr="009D54D8">
        <w:t>ing</w:t>
      </w:r>
      <w:r w:rsidR="002D1A5D" w:rsidRPr="009D54D8">
        <w:t xml:space="preserve"> the potential for incorporating </w:t>
      </w:r>
      <w:r w:rsidR="003406F8" w:rsidRPr="009D54D8">
        <w:t xml:space="preserve">the </w:t>
      </w:r>
      <w:r w:rsidR="00AB76F4" w:rsidRPr="009D54D8">
        <w:t>costs and be</w:t>
      </w:r>
      <w:r w:rsidR="003406F8" w:rsidRPr="009D54D8">
        <w:t xml:space="preserve">nefits of storage resources to Avista’s distribution system. </w:t>
      </w:r>
    </w:p>
    <w:p w:rsidR="00B66067" w:rsidRPr="009D54D8" w:rsidRDefault="00B66067" w:rsidP="009D54D8">
      <w:pPr>
        <w:pStyle w:val="ListParagraph"/>
        <w:spacing w:line="276" w:lineRule="auto"/>
        <w:rPr>
          <w:b/>
        </w:rPr>
      </w:pPr>
    </w:p>
    <w:p w:rsidR="002D1A5D" w:rsidRPr="009D54D8" w:rsidRDefault="00C101F8" w:rsidP="009D54D8">
      <w:pPr>
        <w:spacing w:line="276" w:lineRule="auto"/>
        <w:rPr>
          <w:b/>
        </w:rPr>
      </w:pPr>
      <w:r w:rsidRPr="009D54D8">
        <w:rPr>
          <w:b/>
        </w:rPr>
        <w:t>Planning reserve</w:t>
      </w:r>
      <w:r w:rsidR="002B438A" w:rsidRPr="009D54D8">
        <w:rPr>
          <w:b/>
        </w:rPr>
        <w:t xml:space="preserve"> margin</w:t>
      </w:r>
    </w:p>
    <w:p w:rsidR="00C101F8" w:rsidRPr="009D54D8" w:rsidRDefault="00C101F8" w:rsidP="009D54D8">
      <w:pPr>
        <w:spacing w:line="276" w:lineRule="auto"/>
      </w:pPr>
    </w:p>
    <w:p w:rsidR="00C101F8" w:rsidRPr="009D54D8" w:rsidRDefault="002D1A5D" w:rsidP="009D54D8">
      <w:pPr>
        <w:spacing w:line="276" w:lineRule="auto"/>
      </w:pPr>
      <w:r w:rsidRPr="009D54D8">
        <w:t xml:space="preserve">Avista’s description of its analysis of planning </w:t>
      </w:r>
      <w:r w:rsidR="002B438A" w:rsidRPr="009D54D8">
        <w:t xml:space="preserve">reserve </w:t>
      </w:r>
      <w:r w:rsidRPr="009D54D8">
        <w:t xml:space="preserve">margin is much more accessible than </w:t>
      </w:r>
      <w:r w:rsidR="002B438A" w:rsidRPr="009D54D8">
        <w:t>in</w:t>
      </w:r>
      <w:r w:rsidRPr="009D54D8">
        <w:t xml:space="preserve"> the previous IRP</w:t>
      </w:r>
      <w:r w:rsidR="002B438A" w:rsidRPr="009D54D8">
        <w:t>. However</w:t>
      </w:r>
      <w:r w:rsidRPr="009D54D8">
        <w:t xml:space="preserve">, </w:t>
      </w:r>
      <w:r w:rsidR="002B438A" w:rsidRPr="009D54D8">
        <w:t>the 2015 IRP</w:t>
      </w:r>
      <w:r w:rsidRPr="009D54D8">
        <w:t xml:space="preserve"> still fails</w:t>
      </w:r>
      <w:r w:rsidR="00C101F8" w:rsidRPr="009D54D8">
        <w:t xml:space="preserve"> to sufficiently address one </w:t>
      </w:r>
      <w:r w:rsidR="008A18E9" w:rsidRPr="009D54D8">
        <w:t xml:space="preserve">important </w:t>
      </w:r>
      <w:r w:rsidR="00C101F8" w:rsidRPr="009D54D8">
        <w:t>issue</w:t>
      </w:r>
      <w:r w:rsidR="002B438A" w:rsidRPr="009D54D8">
        <w:t>:</w:t>
      </w:r>
      <w:r w:rsidRPr="009D54D8">
        <w:t xml:space="preserve"> </w:t>
      </w:r>
      <w:r w:rsidR="009B2216" w:rsidRPr="009D54D8">
        <w:t xml:space="preserve">Specifically, it does not address the risk of reliance on front office transactions </w:t>
      </w:r>
      <w:r w:rsidR="0025325F" w:rsidRPr="009D54D8">
        <w:t xml:space="preserve">(FOTs) </w:t>
      </w:r>
      <w:r w:rsidR="009B2216" w:rsidRPr="009D54D8">
        <w:t xml:space="preserve">to meet its specified planning reserve margin. </w:t>
      </w:r>
      <w:r w:rsidR="0025325F" w:rsidRPr="009D54D8">
        <w:t xml:space="preserve">Although </w:t>
      </w:r>
      <w:r w:rsidR="002B438A" w:rsidRPr="009D54D8">
        <w:t>Avista</w:t>
      </w:r>
      <w:r w:rsidR="0025325F" w:rsidRPr="009D54D8">
        <w:t xml:space="preserve"> does not rely on FOTs to meet expected peak day load obligation, </w:t>
      </w:r>
      <w:r w:rsidR="002B438A" w:rsidRPr="009D54D8">
        <w:t xml:space="preserve">the Company’s </w:t>
      </w:r>
      <w:r w:rsidR="0025325F" w:rsidRPr="009D54D8">
        <w:t xml:space="preserve">almost complete reliance on FOTs for its planning reserve indicates that if there is an event on Avista’s system (such as a </w:t>
      </w:r>
      <w:r w:rsidR="00426BD8" w:rsidRPr="009D54D8">
        <w:t>generator failure), Avista assumes there will be sufficient capacity available on the market. There is risk associated with that assumption.</w:t>
      </w:r>
    </w:p>
    <w:p w:rsidR="00426BD8" w:rsidRPr="009D54D8" w:rsidRDefault="00426BD8" w:rsidP="009D54D8">
      <w:pPr>
        <w:spacing w:line="276" w:lineRule="auto"/>
      </w:pPr>
    </w:p>
    <w:p w:rsidR="001C633D" w:rsidRPr="009D54D8" w:rsidRDefault="00426BD8" w:rsidP="009D54D8">
      <w:pPr>
        <w:spacing w:line="276" w:lineRule="auto"/>
      </w:pPr>
      <w:r w:rsidRPr="009D54D8">
        <w:t xml:space="preserve">It appears to the Commission </w:t>
      </w:r>
      <w:r w:rsidR="00CB6793" w:rsidRPr="009D54D8">
        <w:t xml:space="preserve">in reviewing the IRPs filed by </w:t>
      </w:r>
      <w:r w:rsidRPr="009D54D8">
        <w:t xml:space="preserve">all three Washington IOUs </w:t>
      </w:r>
      <w:r w:rsidR="00CB6793" w:rsidRPr="009D54D8">
        <w:t xml:space="preserve">that all three companies’ plans </w:t>
      </w:r>
      <w:r w:rsidR="00512C33" w:rsidRPr="009D54D8">
        <w:t>almost exclusively</w:t>
      </w:r>
      <w:r w:rsidRPr="009D54D8">
        <w:t xml:space="preserve"> rel</w:t>
      </w:r>
      <w:r w:rsidR="00CB6793" w:rsidRPr="009D54D8">
        <w:t>y</w:t>
      </w:r>
      <w:r w:rsidRPr="009D54D8">
        <w:t xml:space="preserve"> on FO</w:t>
      </w:r>
      <w:r w:rsidR="00512C33" w:rsidRPr="009D54D8">
        <w:t>Ts for meeting planning reserve margin for peak planning</w:t>
      </w:r>
      <w:r w:rsidRPr="009D54D8">
        <w:t xml:space="preserve">. </w:t>
      </w:r>
      <w:r w:rsidR="00512C33" w:rsidRPr="009D54D8">
        <w:t xml:space="preserve">Further, </w:t>
      </w:r>
      <w:r w:rsidRPr="009D54D8">
        <w:t>Pacific Power</w:t>
      </w:r>
      <w:r w:rsidR="009F6AF3" w:rsidRPr="009D54D8">
        <w:t xml:space="preserve"> and Puget Sound Energy</w:t>
      </w:r>
      <w:r w:rsidRPr="009D54D8">
        <w:t xml:space="preserve"> </w:t>
      </w:r>
      <w:r w:rsidR="00512C33" w:rsidRPr="009D54D8">
        <w:t>both rely</w:t>
      </w:r>
      <w:r w:rsidRPr="009D54D8">
        <w:t xml:space="preserve"> on</w:t>
      </w:r>
      <w:r w:rsidR="00512C33" w:rsidRPr="009D54D8">
        <w:t xml:space="preserve"> FOTs for meeting capacity needs (let alone the reserve margin) for peak planning.</w:t>
      </w:r>
      <w:r w:rsidRPr="009D54D8">
        <w:t xml:space="preserve"> </w:t>
      </w:r>
      <w:r w:rsidR="001C633D" w:rsidRPr="009D54D8">
        <w:t xml:space="preserve">The Commission is not convinced that </w:t>
      </w:r>
      <w:r w:rsidR="007D0334" w:rsidRPr="009D54D8">
        <w:t xml:space="preserve">a regional capacity surplus will continue to provide capacity to all utilities with load </w:t>
      </w:r>
      <w:r w:rsidR="007D0334" w:rsidRPr="009D54D8">
        <w:lastRenderedPageBreak/>
        <w:t>obligations above their generation capacity. There appears to be risk to over-reliance on a shrinking regional capacity surplus</w:t>
      </w:r>
      <w:r w:rsidR="00D96F85" w:rsidRPr="009D54D8">
        <w:t>, and the Commission expects all electric IOUs in Washington to address this issue in their respective next IRPs.</w:t>
      </w:r>
      <w:r w:rsidR="007D0334" w:rsidRPr="009D54D8">
        <w:t xml:space="preserve"> </w:t>
      </w:r>
    </w:p>
    <w:p w:rsidR="00A95B6A" w:rsidRPr="009D54D8" w:rsidRDefault="00A95B6A" w:rsidP="009D54D8">
      <w:pPr>
        <w:pStyle w:val="NoSpacing"/>
        <w:spacing w:line="276" w:lineRule="auto"/>
        <w:rPr>
          <w:sz w:val="25"/>
          <w:szCs w:val="25"/>
        </w:rPr>
      </w:pPr>
    </w:p>
    <w:p w:rsidR="009F6AF3" w:rsidRPr="009D54D8" w:rsidRDefault="009F6AF3" w:rsidP="009D54D8">
      <w:pPr>
        <w:pStyle w:val="NoSpacing"/>
        <w:spacing w:line="276" w:lineRule="auto"/>
        <w:rPr>
          <w:b/>
          <w:sz w:val="25"/>
          <w:szCs w:val="25"/>
        </w:rPr>
      </w:pPr>
      <w:r w:rsidRPr="009D54D8">
        <w:rPr>
          <w:b/>
          <w:sz w:val="25"/>
          <w:szCs w:val="25"/>
        </w:rPr>
        <w:t>Reserve requirements</w:t>
      </w:r>
    </w:p>
    <w:p w:rsidR="009F6AF3" w:rsidRPr="009D54D8" w:rsidRDefault="009F6AF3" w:rsidP="009D54D8">
      <w:pPr>
        <w:pStyle w:val="NoSpacing"/>
        <w:spacing w:line="276" w:lineRule="auto"/>
        <w:rPr>
          <w:sz w:val="25"/>
          <w:szCs w:val="25"/>
        </w:rPr>
      </w:pPr>
    </w:p>
    <w:p w:rsidR="009F6AF3" w:rsidRPr="009D54D8" w:rsidRDefault="009F6AF3" w:rsidP="009D54D8">
      <w:pPr>
        <w:pStyle w:val="NoSpacing"/>
        <w:spacing w:line="276" w:lineRule="auto"/>
        <w:rPr>
          <w:sz w:val="25"/>
          <w:szCs w:val="25"/>
        </w:rPr>
      </w:pPr>
      <w:r w:rsidRPr="009D54D8">
        <w:rPr>
          <w:sz w:val="25"/>
          <w:szCs w:val="25"/>
        </w:rPr>
        <w:t>The draft Northwest Power Plan recommends IRPs include an estimate of the utility’s operating reserve requirement, including which plants should be assigned in power system models to provide these reserves.</w:t>
      </w:r>
      <w:r w:rsidRPr="009D54D8">
        <w:rPr>
          <w:sz w:val="25"/>
          <w:szCs w:val="25"/>
          <w:vertAlign w:val="superscript"/>
        </w:rPr>
        <w:footnoteReference w:id="16"/>
      </w:r>
      <w:r w:rsidRPr="009D54D8">
        <w:rPr>
          <w:sz w:val="25"/>
          <w:szCs w:val="25"/>
        </w:rPr>
        <w:t xml:space="preserve"> The Commission requests that Avista work with regional stakeholders, including the Northwest Power and Conservation Council Staff, to publish information about Avista’s reserve requirements needs in the next IRP.</w:t>
      </w:r>
    </w:p>
    <w:p w:rsidR="009F6AF3" w:rsidRPr="009D54D8" w:rsidRDefault="009F6AF3" w:rsidP="002A5569">
      <w:pPr>
        <w:pStyle w:val="NoSpacing"/>
        <w:spacing w:line="264" w:lineRule="auto"/>
        <w:rPr>
          <w:sz w:val="25"/>
          <w:szCs w:val="25"/>
        </w:rPr>
      </w:pPr>
    </w:p>
    <w:sectPr w:rsidR="009F6AF3" w:rsidRPr="009D54D8" w:rsidSect="00457591">
      <w:headerReference w:type="default" r:id="rId8"/>
      <w:footerReference w:type="default" r:id="rId9"/>
      <w:pgSz w:w="12240" w:h="15840"/>
      <w:pgMar w:top="1440" w:right="1440" w:bottom="1440" w:left="144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06" w:rsidRDefault="00AD3D06" w:rsidP="00300415">
      <w:r>
        <w:separator/>
      </w:r>
    </w:p>
  </w:endnote>
  <w:endnote w:type="continuationSeparator" w:id="0">
    <w:p w:rsidR="00AD3D06" w:rsidRDefault="00AD3D06" w:rsidP="0030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34" w:rsidRDefault="00953134" w:rsidP="00542AA8">
    <w:pPr>
      <w:pStyle w:val="Footer"/>
    </w:pPr>
  </w:p>
  <w:p w:rsidR="00953134" w:rsidRDefault="00953134" w:rsidP="004D7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06" w:rsidRDefault="00AD3D06" w:rsidP="008E5FDC">
      <w:r>
        <w:separator/>
      </w:r>
    </w:p>
  </w:footnote>
  <w:footnote w:type="continuationSeparator" w:id="0">
    <w:p w:rsidR="00AD3D06" w:rsidRDefault="00AD3D06" w:rsidP="00300415">
      <w:r>
        <w:continuationSeparator/>
      </w:r>
    </w:p>
  </w:footnote>
  <w:footnote w:id="1">
    <w:p w:rsidR="00953134" w:rsidRDefault="00953134">
      <w:pPr>
        <w:pStyle w:val="FootnoteText"/>
      </w:pPr>
      <w:r>
        <w:rPr>
          <w:rStyle w:val="FootnoteReference"/>
        </w:rPr>
        <w:footnoteRef/>
      </w:r>
      <w:r>
        <w:t xml:space="preserve"> WAC 480-100-238(2)(a).</w:t>
      </w:r>
    </w:p>
  </w:footnote>
  <w:footnote w:id="2">
    <w:p w:rsidR="003E4B51" w:rsidRPr="003E4B51" w:rsidRDefault="003E4B51">
      <w:pPr>
        <w:pStyle w:val="FootnoteText"/>
      </w:pPr>
      <w:r>
        <w:rPr>
          <w:rStyle w:val="FootnoteReference"/>
        </w:rPr>
        <w:footnoteRef/>
      </w:r>
      <w:r>
        <w:t xml:space="preserve"> </w:t>
      </w:r>
      <w:r>
        <w:rPr>
          <w:i/>
        </w:rPr>
        <w:t xml:space="preserve">Avista Corp., </w:t>
      </w:r>
      <w:r>
        <w:t xml:space="preserve">Docket UE-121421, </w:t>
      </w:r>
      <w:r w:rsidR="00562A7A">
        <w:t>Attachment to the Commission’s IRP Acknowledgment Letter (March 28, 2014).</w:t>
      </w:r>
    </w:p>
  </w:footnote>
  <w:footnote w:id="3">
    <w:p w:rsidR="002D1A5D" w:rsidRDefault="002D1A5D" w:rsidP="002D1A5D">
      <w:pPr>
        <w:pStyle w:val="FootnoteText"/>
      </w:pPr>
      <w:r>
        <w:rPr>
          <w:rStyle w:val="FootnoteReference"/>
        </w:rPr>
        <w:footnoteRef/>
      </w:r>
      <w:r>
        <w:t xml:space="preserve"> See pages 11-17 to 11-19 of Avista’s 2015 IRP. </w:t>
      </w:r>
    </w:p>
  </w:footnote>
  <w:footnote w:id="4">
    <w:p w:rsidR="002D1A5D" w:rsidRPr="00194602" w:rsidRDefault="002D1A5D" w:rsidP="002D1A5D">
      <w:pPr>
        <w:pStyle w:val="FootnoteText"/>
      </w:pPr>
      <w:r>
        <w:rPr>
          <w:rStyle w:val="FootnoteReference"/>
        </w:rPr>
        <w:footnoteRef/>
      </w:r>
      <w:r>
        <w:t xml:space="preserve"> See Chapter 6, </w:t>
      </w:r>
      <w:r>
        <w:rPr>
          <w:i/>
        </w:rPr>
        <w:t>Long-Term Position</w:t>
      </w:r>
      <w:r>
        <w:t xml:space="preserve">, of Avista’s 2015 IRP. </w:t>
      </w:r>
    </w:p>
  </w:footnote>
  <w:footnote w:id="5">
    <w:p w:rsidR="002D1A5D" w:rsidRDefault="002D1A5D" w:rsidP="002D1A5D">
      <w:pPr>
        <w:pStyle w:val="FootnoteText"/>
      </w:pPr>
      <w:r>
        <w:rPr>
          <w:rStyle w:val="FootnoteReference"/>
        </w:rPr>
        <w:footnoteRef/>
      </w:r>
      <w:r>
        <w:t xml:space="preserve"> See pages 5-6 and 5-7 of Avista’s 2015 IRP. </w:t>
      </w:r>
    </w:p>
  </w:footnote>
  <w:footnote w:id="6">
    <w:p w:rsidR="002D1A5D" w:rsidRDefault="002D1A5D" w:rsidP="002D1A5D">
      <w:pPr>
        <w:pStyle w:val="FootnoteText"/>
      </w:pPr>
      <w:r>
        <w:rPr>
          <w:rStyle w:val="FootnoteReference"/>
        </w:rPr>
        <w:footnoteRef/>
      </w:r>
      <w:r>
        <w:t xml:space="preserve"> See pages 12-7 and 12-8 of Avista’s 2015 IRP. </w:t>
      </w:r>
    </w:p>
  </w:footnote>
  <w:footnote w:id="7">
    <w:p w:rsidR="002D1A5D" w:rsidRDefault="002D1A5D" w:rsidP="002D1A5D">
      <w:pPr>
        <w:pStyle w:val="FootnoteText"/>
      </w:pPr>
      <w:r>
        <w:rPr>
          <w:rStyle w:val="FootnoteReference"/>
        </w:rPr>
        <w:footnoteRef/>
      </w:r>
      <w:r>
        <w:t xml:space="preserve"> See pages 9-16 to 9-18 of Avista’s 2015 IRP. </w:t>
      </w:r>
    </w:p>
  </w:footnote>
  <w:footnote w:id="8">
    <w:p w:rsidR="00205DC5" w:rsidRDefault="00205DC5" w:rsidP="00205DC5">
      <w:pPr>
        <w:pStyle w:val="FootnoteText"/>
      </w:pPr>
      <w:r>
        <w:rPr>
          <w:rStyle w:val="FootnoteReference"/>
        </w:rPr>
        <w:footnoteRef/>
      </w:r>
      <w:r>
        <w:t xml:space="preserve"> See Table 4.3 of Avista’s 2015 IRP, page 4-8. Avista has contracted for a 5 percent share of both Rocky Reach and Rock Island dams for the period January 2016 through December 2020, for a combined on-peak capacity increase of 78.2 MW. </w:t>
      </w:r>
    </w:p>
  </w:footnote>
  <w:footnote w:id="9">
    <w:p w:rsidR="00205DC5" w:rsidRDefault="00205DC5" w:rsidP="00205DC5">
      <w:pPr>
        <w:pStyle w:val="FootnoteText"/>
      </w:pPr>
      <w:r>
        <w:rPr>
          <w:rStyle w:val="FootnoteReference"/>
        </w:rPr>
        <w:footnoteRef/>
      </w:r>
      <w:r>
        <w:t xml:space="preserve"> </w:t>
      </w:r>
      <w:r w:rsidRPr="005F77A4">
        <w:t>The specific projects are confidential, though all are upgrades to natural gas facilities.</w:t>
      </w:r>
    </w:p>
  </w:footnote>
  <w:footnote w:id="10">
    <w:p w:rsidR="007F03EC" w:rsidRDefault="007F03EC">
      <w:pPr>
        <w:pStyle w:val="FootnoteText"/>
      </w:pPr>
      <w:r>
        <w:rPr>
          <w:rStyle w:val="FootnoteReference"/>
        </w:rPr>
        <w:footnoteRef/>
      </w:r>
      <w:r>
        <w:t xml:space="preserve"> Northwest</w:t>
      </w:r>
      <w:r w:rsidR="00783050">
        <w:t xml:space="preserve"> Power and Conservation Council</w:t>
      </w:r>
      <w:r>
        <w:t xml:space="preserve">, </w:t>
      </w:r>
      <w:r w:rsidR="00783050">
        <w:t>Draft 7</w:t>
      </w:r>
      <w:r w:rsidR="00783050" w:rsidRPr="00783050">
        <w:rPr>
          <w:vertAlign w:val="superscript"/>
        </w:rPr>
        <w:t>th</w:t>
      </w:r>
      <w:r w:rsidR="00783050">
        <w:t xml:space="preserve"> Power Plan </w:t>
      </w:r>
      <w:r>
        <w:t xml:space="preserve">at 1-2. </w:t>
      </w:r>
    </w:p>
  </w:footnote>
  <w:footnote w:id="11">
    <w:p w:rsidR="007F03EC" w:rsidRDefault="007F03EC">
      <w:pPr>
        <w:pStyle w:val="FootnoteText"/>
      </w:pPr>
      <w:r>
        <w:rPr>
          <w:rStyle w:val="FootnoteReference"/>
        </w:rPr>
        <w:footnoteRef/>
      </w:r>
      <w:r>
        <w:t xml:space="preserve"> </w:t>
      </w:r>
      <w:r w:rsidR="00783050">
        <w:rPr>
          <w:i/>
        </w:rPr>
        <w:t xml:space="preserve">Id. </w:t>
      </w:r>
      <w:r w:rsidR="00783050">
        <w:t xml:space="preserve">at </w:t>
      </w:r>
      <w:r>
        <w:t xml:space="preserve">1-6. </w:t>
      </w:r>
    </w:p>
  </w:footnote>
  <w:footnote w:id="12">
    <w:p w:rsidR="0034654F" w:rsidRDefault="0034654F">
      <w:pPr>
        <w:pStyle w:val="FootnoteText"/>
      </w:pPr>
      <w:r>
        <w:rPr>
          <w:rStyle w:val="FootnoteReference"/>
        </w:rPr>
        <w:footnoteRef/>
      </w:r>
      <w:r>
        <w:t xml:space="preserve"> The “technical” potential refers to the total conservation potential without regard to cost or customer uptake limitations. The “economic” potential refers to the technical potential after application of a cost-effectiveness economic screen. The “achievable” potential refers to </w:t>
      </w:r>
      <w:r w:rsidR="00043F8E">
        <w:t>the cost-effective potential after consideration of customer uptake limitations, often referred to as “ramp rates.”</w:t>
      </w:r>
    </w:p>
  </w:footnote>
  <w:footnote w:id="13">
    <w:p w:rsidR="00896AA9" w:rsidRDefault="00896AA9">
      <w:pPr>
        <w:pStyle w:val="FootnoteText"/>
      </w:pPr>
      <w:r>
        <w:rPr>
          <w:rStyle w:val="FootnoteReference"/>
        </w:rPr>
        <w:footnoteRef/>
      </w:r>
      <w:r>
        <w:t xml:space="preserve"> </w:t>
      </w:r>
      <w:r w:rsidR="00B5290A">
        <w:t xml:space="preserve">WAC 480-109-100(3)(b) states that the biennial target “must be no lower than a pro rata share of the utility’s ten-year conservation potential.” WAC </w:t>
      </w:r>
      <w:r w:rsidR="00AB76F4">
        <w:t>480-109-050(19) defines “pro rata” as “the calculation dividing the utility’s projected ten-year conservation potential into five equal proportions to establish the minimum biennial conservation target.”</w:t>
      </w:r>
    </w:p>
  </w:footnote>
  <w:footnote w:id="14">
    <w:p w:rsidR="00617B61" w:rsidRDefault="00617B61">
      <w:pPr>
        <w:pStyle w:val="FootnoteText"/>
      </w:pPr>
      <w:r>
        <w:rPr>
          <w:rStyle w:val="FootnoteReference"/>
        </w:rPr>
        <w:footnoteRef/>
      </w:r>
      <w:r>
        <w:t xml:space="preserve"> </w:t>
      </w:r>
      <w:r w:rsidR="000F260B">
        <w:t xml:space="preserve">Commission acknowledgment of Avista’s 2013 IRP, Docket UE-121421, Page 2. </w:t>
      </w:r>
    </w:p>
  </w:footnote>
  <w:footnote w:id="15">
    <w:p w:rsidR="00417D7C" w:rsidRDefault="00417D7C">
      <w:pPr>
        <w:pStyle w:val="FootnoteText"/>
      </w:pPr>
      <w:r>
        <w:rPr>
          <w:rStyle w:val="FootnoteReference"/>
        </w:rPr>
        <w:footnoteRef/>
      </w:r>
      <w:r>
        <w:t xml:space="preserve"> While the effective date of the Clean Power Plan is currently in question, the EPA did issue its final rule after Avista performed modelling for and filed its 2015 IRP.</w:t>
      </w:r>
    </w:p>
  </w:footnote>
  <w:footnote w:id="16">
    <w:p w:rsidR="009F6AF3" w:rsidRPr="00F837BA" w:rsidRDefault="009F6AF3" w:rsidP="009F6AF3">
      <w:pPr>
        <w:pStyle w:val="FootnoteText"/>
      </w:pPr>
      <w:r w:rsidRPr="00F837BA">
        <w:rPr>
          <w:rStyle w:val="FootnoteReference"/>
        </w:rPr>
        <w:footnoteRef/>
      </w:r>
      <w:r w:rsidRPr="00F837BA">
        <w:t xml:space="preserve"> Draft 7</w:t>
      </w:r>
      <w:r w:rsidRPr="00F837BA">
        <w:rPr>
          <w:vertAlign w:val="superscript"/>
        </w:rPr>
        <w:t>th</w:t>
      </w:r>
      <w:r w:rsidRPr="00F837BA">
        <w:t xml:space="preserve"> </w:t>
      </w:r>
      <w:r>
        <w:t>Northwest Power Plan, page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134" w:rsidRPr="00FA039F" w:rsidRDefault="00953134" w:rsidP="004D7A3E">
    <w:pPr>
      <w:pStyle w:val="Header"/>
    </w:pPr>
    <w:r>
      <w:t>Avista</w:t>
    </w:r>
    <w:r w:rsidRPr="00FA039F">
      <w:t xml:space="preserve"> IRP Acknowledgment Letter – Attachment</w:t>
    </w:r>
  </w:p>
  <w:p w:rsidR="00953134" w:rsidRPr="00FA039F" w:rsidRDefault="00705C1D" w:rsidP="004D7A3E">
    <w:pPr>
      <w:pStyle w:val="Header"/>
    </w:pPr>
    <w:r>
      <w:t>Docket UE-143214</w:t>
    </w:r>
  </w:p>
  <w:p w:rsidR="00953134" w:rsidRPr="00FA039F" w:rsidRDefault="00953134" w:rsidP="004D7A3E">
    <w:pPr>
      <w:pStyle w:val="Header"/>
    </w:pPr>
    <w:r w:rsidRPr="00FA039F">
      <w:t xml:space="preserve">Page </w:t>
    </w:r>
    <w:r w:rsidRPr="00FA039F">
      <w:fldChar w:fldCharType="begin"/>
    </w:r>
    <w:r w:rsidRPr="00FA039F">
      <w:instrText xml:space="preserve"> PAGE  \* Arabic  \* MERGEFORMAT </w:instrText>
    </w:r>
    <w:r w:rsidRPr="00FA039F">
      <w:fldChar w:fldCharType="separate"/>
    </w:r>
    <w:r w:rsidR="00E410B9">
      <w:t>9</w:t>
    </w:r>
    <w:r w:rsidRPr="00FA039F">
      <w:fldChar w:fldCharType="end"/>
    </w:r>
    <w:r w:rsidRPr="00FA039F">
      <w:t xml:space="preserve"> of </w:t>
    </w:r>
    <w:r w:rsidR="00E410B9">
      <w:fldChar w:fldCharType="begin"/>
    </w:r>
    <w:r w:rsidR="00E410B9">
      <w:instrText xml:space="preserve"> NUMPAGES  \* Arabic  \* MERGEFORMAT </w:instrText>
    </w:r>
    <w:r w:rsidR="00E410B9">
      <w:fldChar w:fldCharType="separate"/>
    </w:r>
    <w:r w:rsidR="00E410B9">
      <w:t>9</w:t>
    </w:r>
    <w:r w:rsidR="00E410B9">
      <w:fldChar w:fldCharType="end"/>
    </w:r>
  </w:p>
  <w:p w:rsidR="00953134" w:rsidRPr="009F59D7" w:rsidRDefault="00953134" w:rsidP="004D7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A91"/>
    <w:multiLevelType w:val="hybridMultilevel"/>
    <w:tmpl w:val="1124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00523"/>
    <w:multiLevelType w:val="hybridMultilevel"/>
    <w:tmpl w:val="7E66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C1182"/>
    <w:multiLevelType w:val="hybridMultilevel"/>
    <w:tmpl w:val="B208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209DF"/>
    <w:multiLevelType w:val="hybridMultilevel"/>
    <w:tmpl w:val="A3C2E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24D3B"/>
    <w:multiLevelType w:val="hybridMultilevel"/>
    <w:tmpl w:val="200A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C458B"/>
    <w:multiLevelType w:val="hybridMultilevel"/>
    <w:tmpl w:val="3842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E3ECB"/>
    <w:multiLevelType w:val="hybridMultilevel"/>
    <w:tmpl w:val="F48C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14723"/>
    <w:multiLevelType w:val="hybridMultilevel"/>
    <w:tmpl w:val="79E4B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CF3FFC"/>
    <w:multiLevelType w:val="hybridMultilevel"/>
    <w:tmpl w:val="C28CF1BA"/>
    <w:lvl w:ilvl="0" w:tplc="F88CDA28">
      <w:start w:val="20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400ED"/>
    <w:multiLevelType w:val="hybridMultilevel"/>
    <w:tmpl w:val="55E2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16548"/>
    <w:multiLevelType w:val="hybridMultilevel"/>
    <w:tmpl w:val="9DAC7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16B3D"/>
    <w:multiLevelType w:val="hybridMultilevel"/>
    <w:tmpl w:val="9CD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40390"/>
    <w:multiLevelType w:val="hybridMultilevel"/>
    <w:tmpl w:val="A762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07782"/>
    <w:multiLevelType w:val="hybridMultilevel"/>
    <w:tmpl w:val="62E46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F15720"/>
    <w:multiLevelType w:val="hybridMultilevel"/>
    <w:tmpl w:val="5E36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226E9"/>
    <w:multiLevelType w:val="hybridMultilevel"/>
    <w:tmpl w:val="0756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D60F5"/>
    <w:multiLevelType w:val="hybridMultilevel"/>
    <w:tmpl w:val="B936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66453"/>
    <w:multiLevelType w:val="hybridMultilevel"/>
    <w:tmpl w:val="14B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F6C89"/>
    <w:multiLevelType w:val="hybridMultilevel"/>
    <w:tmpl w:val="111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B6E77"/>
    <w:multiLevelType w:val="hybridMultilevel"/>
    <w:tmpl w:val="38BCCE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C317A"/>
    <w:multiLevelType w:val="hybridMultilevel"/>
    <w:tmpl w:val="E2A22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564FA6"/>
    <w:multiLevelType w:val="hybridMultilevel"/>
    <w:tmpl w:val="C586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4731A"/>
    <w:multiLevelType w:val="hybridMultilevel"/>
    <w:tmpl w:val="D8B2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B7AA6"/>
    <w:multiLevelType w:val="hybridMultilevel"/>
    <w:tmpl w:val="0B4A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22CEE"/>
    <w:multiLevelType w:val="hybridMultilevel"/>
    <w:tmpl w:val="98B6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76B7B"/>
    <w:multiLevelType w:val="hybridMultilevel"/>
    <w:tmpl w:val="2C80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F199A"/>
    <w:multiLevelType w:val="hybridMultilevel"/>
    <w:tmpl w:val="AFD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FD3489"/>
    <w:multiLevelType w:val="hybridMultilevel"/>
    <w:tmpl w:val="5584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9F3871"/>
    <w:multiLevelType w:val="hybridMultilevel"/>
    <w:tmpl w:val="7F2C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C7C80"/>
    <w:multiLevelType w:val="hybridMultilevel"/>
    <w:tmpl w:val="C520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C25008"/>
    <w:multiLevelType w:val="hybridMultilevel"/>
    <w:tmpl w:val="60F4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AA37C7"/>
    <w:multiLevelType w:val="hybridMultilevel"/>
    <w:tmpl w:val="3BD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9D052C"/>
    <w:multiLevelType w:val="hybridMultilevel"/>
    <w:tmpl w:val="53B2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13712"/>
    <w:multiLevelType w:val="hybridMultilevel"/>
    <w:tmpl w:val="C35A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081E1B"/>
    <w:multiLevelType w:val="hybridMultilevel"/>
    <w:tmpl w:val="40BE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622799"/>
    <w:multiLevelType w:val="hybridMultilevel"/>
    <w:tmpl w:val="9768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7D055E"/>
    <w:multiLevelType w:val="hybridMultilevel"/>
    <w:tmpl w:val="099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F3574F"/>
    <w:multiLevelType w:val="hybridMultilevel"/>
    <w:tmpl w:val="BE6C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53D0A"/>
    <w:multiLevelType w:val="hybridMultilevel"/>
    <w:tmpl w:val="E140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2154AE"/>
    <w:multiLevelType w:val="hybridMultilevel"/>
    <w:tmpl w:val="D32E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C20CE"/>
    <w:multiLevelType w:val="hybridMultilevel"/>
    <w:tmpl w:val="669E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1A0020"/>
    <w:multiLevelType w:val="hybridMultilevel"/>
    <w:tmpl w:val="F3AEE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D519B"/>
    <w:multiLevelType w:val="hybridMultilevel"/>
    <w:tmpl w:val="AE10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BEC5820"/>
    <w:multiLevelType w:val="hybridMultilevel"/>
    <w:tmpl w:val="09B0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D266BD"/>
    <w:multiLevelType w:val="hybridMultilevel"/>
    <w:tmpl w:val="43D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7B18C7"/>
    <w:multiLevelType w:val="hybridMultilevel"/>
    <w:tmpl w:val="98A6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7"/>
  </w:num>
  <w:num w:numId="4">
    <w:abstractNumId w:val="7"/>
  </w:num>
  <w:num w:numId="5">
    <w:abstractNumId w:val="41"/>
  </w:num>
  <w:num w:numId="6">
    <w:abstractNumId w:val="40"/>
  </w:num>
  <w:num w:numId="7">
    <w:abstractNumId w:val="35"/>
  </w:num>
  <w:num w:numId="8">
    <w:abstractNumId w:val="44"/>
  </w:num>
  <w:num w:numId="9">
    <w:abstractNumId w:val="43"/>
  </w:num>
  <w:num w:numId="10">
    <w:abstractNumId w:val="14"/>
  </w:num>
  <w:num w:numId="11">
    <w:abstractNumId w:val="23"/>
  </w:num>
  <w:num w:numId="12">
    <w:abstractNumId w:val="5"/>
  </w:num>
  <w:num w:numId="13">
    <w:abstractNumId w:val="1"/>
  </w:num>
  <w:num w:numId="14">
    <w:abstractNumId w:val="15"/>
  </w:num>
  <w:num w:numId="15">
    <w:abstractNumId w:val="38"/>
  </w:num>
  <w:num w:numId="16">
    <w:abstractNumId w:val="32"/>
  </w:num>
  <w:num w:numId="17">
    <w:abstractNumId w:val="2"/>
  </w:num>
  <w:num w:numId="18">
    <w:abstractNumId w:val="16"/>
  </w:num>
  <w:num w:numId="19">
    <w:abstractNumId w:val="39"/>
  </w:num>
  <w:num w:numId="20">
    <w:abstractNumId w:val="17"/>
  </w:num>
  <w:num w:numId="21">
    <w:abstractNumId w:val="45"/>
  </w:num>
  <w:num w:numId="22">
    <w:abstractNumId w:val="11"/>
  </w:num>
  <w:num w:numId="23">
    <w:abstractNumId w:val="30"/>
  </w:num>
  <w:num w:numId="24">
    <w:abstractNumId w:val="36"/>
  </w:num>
  <w:num w:numId="25">
    <w:abstractNumId w:val="26"/>
  </w:num>
  <w:num w:numId="26">
    <w:abstractNumId w:val="4"/>
  </w:num>
  <w:num w:numId="27">
    <w:abstractNumId w:val="9"/>
  </w:num>
  <w:num w:numId="28">
    <w:abstractNumId w:val="25"/>
  </w:num>
  <w:num w:numId="29">
    <w:abstractNumId w:val="28"/>
  </w:num>
  <w:num w:numId="30">
    <w:abstractNumId w:val="24"/>
  </w:num>
  <w:num w:numId="31">
    <w:abstractNumId w:val="34"/>
  </w:num>
  <w:num w:numId="32">
    <w:abstractNumId w:val="6"/>
  </w:num>
  <w:num w:numId="33">
    <w:abstractNumId w:val="2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0"/>
  </w:num>
  <w:num w:numId="37">
    <w:abstractNumId w:val="12"/>
  </w:num>
  <w:num w:numId="38">
    <w:abstractNumId w:val="0"/>
  </w:num>
  <w:num w:numId="39">
    <w:abstractNumId w:val="27"/>
  </w:num>
  <w:num w:numId="40">
    <w:abstractNumId w:val="13"/>
  </w:num>
  <w:num w:numId="41">
    <w:abstractNumId w:val="21"/>
  </w:num>
  <w:num w:numId="42">
    <w:abstractNumId w:val="22"/>
  </w:num>
  <w:num w:numId="43">
    <w:abstractNumId w:val="31"/>
  </w:num>
  <w:num w:numId="44">
    <w:abstractNumId w:val="29"/>
  </w:num>
  <w:num w:numId="45">
    <w:abstractNumId w:val="3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96"/>
    <w:rsid w:val="00004B4F"/>
    <w:rsid w:val="00011205"/>
    <w:rsid w:val="00011323"/>
    <w:rsid w:val="00013997"/>
    <w:rsid w:val="00013D26"/>
    <w:rsid w:val="000145A0"/>
    <w:rsid w:val="000155FC"/>
    <w:rsid w:val="0002353E"/>
    <w:rsid w:val="00024824"/>
    <w:rsid w:val="00024CE3"/>
    <w:rsid w:val="00031F7E"/>
    <w:rsid w:val="000369CB"/>
    <w:rsid w:val="00037520"/>
    <w:rsid w:val="000403D8"/>
    <w:rsid w:val="00042D3F"/>
    <w:rsid w:val="00043F8E"/>
    <w:rsid w:val="00046D2D"/>
    <w:rsid w:val="0005110A"/>
    <w:rsid w:val="000533B6"/>
    <w:rsid w:val="00056AF2"/>
    <w:rsid w:val="000574E2"/>
    <w:rsid w:val="000646D3"/>
    <w:rsid w:val="00064FA0"/>
    <w:rsid w:val="000704B7"/>
    <w:rsid w:val="000740AC"/>
    <w:rsid w:val="00075381"/>
    <w:rsid w:val="000800E0"/>
    <w:rsid w:val="00080EB2"/>
    <w:rsid w:val="00082049"/>
    <w:rsid w:val="000821AA"/>
    <w:rsid w:val="00084A52"/>
    <w:rsid w:val="00085B9D"/>
    <w:rsid w:val="00086428"/>
    <w:rsid w:val="00086CB6"/>
    <w:rsid w:val="0008743D"/>
    <w:rsid w:val="000906CC"/>
    <w:rsid w:val="000911B9"/>
    <w:rsid w:val="000A3A62"/>
    <w:rsid w:val="000A4480"/>
    <w:rsid w:val="000A636E"/>
    <w:rsid w:val="000B3B8D"/>
    <w:rsid w:val="000B551B"/>
    <w:rsid w:val="000B5F91"/>
    <w:rsid w:val="000B6538"/>
    <w:rsid w:val="000C210D"/>
    <w:rsid w:val="000C429D"/>
    <w:rsid w:val="000C6033"/>
    <w:rsid w:val="000C651A"/>
    <w:rsid w:val="000C6C14"/>
    <w:rsid w:val="000D192C"/>
    <w:rsid w:val="000D2CA6"/>
    <w:rsid w:val="000E1A57"/>
    <w:rsid w:val="000E315B"/>
    <w:rsid w:val="000F0507"/>
    <w:rsid w:val="000F0C82"/>
    <w:rsid w:val="000F260B"/>
    <w:rsid w:val="000F3D31"/>
    <w:rsid w:val="000F6392"/>
    <w:rsid w:val="000F6B27"/>
    <w:rsid w:val="00100047"/>
    <w:rsid w:val="00107DDC"/>
    <w:rsid w:val="00113432"/>
    <w:rsid w:val="001158B2"/>
    <w:rsid w:val="00115C3F"/>
    <w:rsid w:val="00121238"/>
    <w:rsid w:val="00121C1E"/>
    <w:rsid w:val="00123FC9"/>
    <w:rsid w:val="00124316"/>
    <w:rsid w:val="0013065D"/>
    <w:rsid w:val="001334F4"/>
    <w:rsid w:val="001348C0"/>
    <w:rsid w:val="00143EE3"/>
    <w:rsid w:val="00144895"/>
    <w:rsid w:val="001452B8"/>
    <w:rsid w:val="00147026"/>
    <w:rsid w:val="00147200"/>
    <w:rsid w:val="00147B12"/>
    <w:rsid w:val="0015469C"/>
    <w:rsid w:val="00155D99"/>
    <w:rsid w:val="00156E35"/>
    <w:rsid w:val="00162D97"/>
    <w:rsid w:val="00162E61"/>
    <w:rsid w:val="001634BA"/>
    <w:rsid w:val="00164B89"/>
    <w:rsid w:val="00165CDC"/>
    <w:rsid w:val="00166F07"/>
    <w:rsid w:val="0017029C"/>
    <w:rsid w:val="001723B9"/>
    <w:rsid w:val="00174642"/>
    <w:rsid w:val="00176F07"/>
    <w:rsid w:val="00177F36"/>
    <w:rsid w:val="0018308F"/>
    <w:rsid w:val="00185148"/>
    <w:rsid w:val="0018597D"/>
    <w:rsid w:val="001907AB"/>
    <w:rsid w:val="00197ED7"/>
    <w:rsid w:val="001A0E17"/>
    <w:rsid w:val="001B2FCF"/>
    <w:rsid w:val="001B485A"/>
    <w:rsid w:val="001B5574"/>
    <w:rsid w:val="001B6DA1"/>
    <w:rsid w:val="001B7265"/>
    <w:rsid w:val="001C084E"/>
    <w:rsid w:val="001C28E7"/>
    <w:rsid w:val="001C2C9A"/>
    <w:rsid w:val="001C633D"/>
    <w:rsid w:val="001C6817"/>
    <w:rsid w:val="001C6833"/>
    <w:rsid w:val="001D02C8"/>
    <w:rsid w:val="001D02C9"/>
    <w:rsid w:val="001D10EA"/>
    <w:rsid w:val="001D2041"/>
    <w:rsid w:val="001D30EA"/>
    <w:rsid w:val="001D487C"/>
    <w:rsid w:val="001D4B54"/>
    <w:rsid w:val="001D52FE"/>
    <w:rsid w:val="001D5FFE"/>
    <w:rsid w:val="001E3A0E"/>
    <w:rsid w:val="001E4C4E"/>
    <w:rsid w:val="001E4C8A"/>
    <w:rsid w:val="001E7F60"/>
    <w:rsid w:val="001F31EF"/>
    <w:rsid w:val="001F5A69"/>
    <w:rsid w:val="001F5C9D"/>
    <w:rsid w:val="001F6467"/>
    <w:rsid w:val="001F757F"/>
    <w:rsid w:val="002013EF"/>
    <w:rsid w:val="00201740"/>
    <w:rsid w:val="002029C5"/>
    <w:rsid w:val="002047A5"/>
    <w:rsid w:val="00205DC5"/>
    <w:rsid w:val="0020632E"/>
    <w:rsid w:val="0020650D"/>
    <w:rsid w:val="00206997"/>
    <w:rsid w:val="002118FA"/>
    <w:rsid w:val="00213B43"/>
    <w:rsid w:val="00214698"/>
    <w:rsid w:val="00215080"/>
    <w:rsid w:val="00215C39"/>
    <w:rsid w:val="00226151"/>
    <w:rsid w:val="00230A6C"/>
    <w:rsid w:val="00230B4C"/>
    <w:rsid w:val="00232A88"/>
    <w:rsid w:val="00242583"/>
    <w:rsid w:val="00244862"/>
    <w:rsid w:val="00244CD3"/>
    <w:rsid w:val="00250426"/>
    <w:rsid w:val="0025325F"/>
    <w:rsid w:val="00255842"/>
    <w:rsid w:val="002619F0"/>
    <w:rsid w:val="00262D04"/>
    <w:rsid w:val="002660ED"/>
    <w:rsid w:val="002710DF"/>
    <w:rsid w:val="00272BD2"/>
    <w:rsid w:val="00277D7A"/>
    <w:rsid w:val="00281CEB"/>
    <w:rsid w:val="0028238F"/>
    <w:rsid w:val="00282497"/>
    <w:rsid w:val="0028585B"/>
    <w:rsid w:val="00286818"/>
    <w:rsid w:val="002876FB"/>
    <w:rsid w:val="00290957"/>
    <w:rsid w:val="00296F3E"/>
    <w:rsid w:val="00296FA8"/>
    <w:rsid w:val="0029704F"/>
    <w:rsid w:val="00297E63"/>
    <w:rsid w:val="002A1C2E"/>
    <w:rsid w:val="002A4205"/>
    <w:rsid w:val="002A5569"/>
    <w:rsid w:val="002A756B"/>
    <w:rsid w:val="002B1286"/>
    <w:rsid w:val="002B1750"/>
    <w:rsid w:val="002B2B4F"/>
    <w:rsid w:val="002B42F9"/>
    <w:rsid w:val="002B438A"/>
    <w:rsid w:val="002B64CD"/>
    <w:rsid w:val="002C1E95"/>
    <w:rsid w:val="002D0566"/>
    <w:rsid w:val="002D0748"/>
    <w:rsid w:val="002D1A5D"/>
    <w:rsid w:val="002D7221"/>
    <w:rsid w:val="002D770C"/>
    <w:rsid w:val="002E2C20"/>
    <w:rsid w:val="002E5134"/>
    <w:rsid w:val="002E56C5"/>
    <w:rsid w:val="002E5B19"/>
    <w:rsid w:val="002F09C1"/>
    <w:rsid w:val="002F2D2E"/>
    <w:rsid w:val="002F5B81"/>
    <w:rsid w:val="00300415"/>
    <w:rsid w:val="00305E92"/>
    <w:rsid w:val="003103A8"/>
    <w:rsid w:val="003118B0"/>
    <w:rsid w:val="00316BF6"/>
    <w:rsid w:val="00322AD8"/>
    <w:rsid w:val="003403D6"/>
    <w:rsid w:val="003406F8"/>
    <w:rsid w:val="00340D28"/>
    <w:rsid w:val="0034348B"/>
    <w:rsid w:val="003458F6"/>
    <w:rsid w:val="0034654F"/>
    <w:rsid w:val="00350E44"/>
    <w:rsid w:val="00353C97"/>
    <w:rsid w:val="00355FF0"/>
    <w:rsid w:val="00357B46"/>
    <w:rsid w:val="00357E03"/>
    <w:rsid w:val="00363A8B"/>
    <w:rsid w:val="003670A0"/>
    <w:rsid w:val="003758F5"/>
    <w:rsid w:val="0037628A"/>
    <w:rsid w:val="00377EFB"/>
    <w:rsid w:val="00384FA4"/>
    <w:rsid w:val="003859E0"/>
    <w:rsid w:val="00385FB0"/>
    <w:rsid w:val="00386153"/>
    <w:rsid w:val="00386316"/>
    <w:rsid w:val="00390B37"/>
    <w:rsid w:val="00390DD9"/>
    <w:rsid w:val="003910AB"/>
    <w:rsid w:val="0039178D"/>
    <w:rsid w:val="00397938"/>
    <w:rsid w:val="003A116A"/>
    <w:rsid w:val="003A3A0C"/>
    <w:rsid w:val="003A6B28"/>
    <w:rsid w:val="003B34EF"/>
    <w:rsid w:val="003B48C9"/>
    <w:rsid w:val="003B654E"/>
    <w:rsid w:val="003B7071"/>
    <w:rsid w:val="003C0D71"/>
    <w:rsid w:val="003C36D9"/>
    <w:rsid w:val="003C3844"/>
    <w:rsid w:val="003C44D9"/>
    <w:rsid w:val="003C4C64"/>
    <w:rsid w:val="003C7016"/>
    <w:rsid w:val="003D2330"/>
    <w:rsid w:val="003E077C"/>
    <w:rsid w:val="003E44AB"/>
    <w:rsid w:val="003E4B51"/>
    <w:rsid w:val="003E6D45"/>
    <w:rsid w:val="003F0FF0"/>
    <w:rsid w:val="003F391B"/>
    <w:rsid w:val="003F3E1F"/>
    <w:rsid w:val="003F43B2"/>
    <w:rsid w:val="003F5600"/>
    <w:rsid w:val="003F638B"/>
    <w:rsid w:val="003F63ED"/>
    <w:rsid w:val="003F736B"/>
    <w:rsid w:val="00400872"/>
    <w:rsid w:val="00400CC6"/>
    <w:rsid w:val="00404D2E"/>
    <w:rsid w:val="00407A67"/>
    <w:rsid w:val="0041176D"/>
    <w:rsid w:val="00412E37"/>
    <w:rsid w:val="00417D7C"/>
    <w:rsid w:val="00420536"/>
    <w:rsid w:val="00423C71"/>
    <w:rsid w:val="00426BD8"/>
    <w:rsid w:val="00434EE6"/>
    <w:rsid w:val="004373DB"/>
    <w:rsid w:val="00450CB8"/>
    <w:rsid w:val="00451BC6"/>
    <w:rsid w:val="00457591"/>
    <w:rsid w:val="00462E82"/>
    <w:rsid w:val="00464DE3"/>
    <w:rsid w:val="00467E4A"/>
    <w:rsid w:val="00471930"/>
    <w:rsid w:val="004725A2"/>
    <w:rsid w:val="00472E9B"/>
    <w:rsid w:val="00475F03"/>
    <w:rsid w:val="004779B6"/>
    <w:rsid w:val="00477CB4"/>
    <w:rsid w:val="00480AA4"/>
    <w:rsid w:val="00480D9D"/>
    <w:rsid w:val="00496238"/>
    <w:rsid w:val="004A6634"/>
    <w:rsid w:val="004B0FBD"/>
    <w:rsid w:val="004B362B"/>
    <w:rsid w:val="004B394B"/>
    <w:rsid w:val="004B5C26"/>
    <w:rsid w:val="004C0CEA"/>
    <w:rsid w:val="004C1189"/>
    <w:rsid w:val="004C1B36"/>
    <w:rsid w:val="004C29F9"/>
    <w:rsid w:val="004C3FC9"/>
    <w:rsid w:val="004C4661"/>
    <w:rsid w:val="004C66D5"/>
    <w:rsid w:val="004C7D81"/>
    <w:rsid w:val="004D1C76"/>
    <w:rsid w:val="004D4E32"/>
    <w:rsid w:val="004D52E3"/>
    <w:rsid w:val="004D709C"/>
    <w:rsid w:val="004D7A3E"/>
    <w:rsid w:val="004E0F0B"/>
    <w:rsid w:val="004E2F32"/>
    <w:rsid w:val="004E3F5F"/>
    <w:rsid w:val="004E49A7"/>
    <w:rsid w:val="004F341D"/>
    <w:rsid w:val="004F7FDF"/>
    <w:rsid w:val="005008A2"/>
    <w:rsid w:val="00500E14"/>
    <w:rsid w:val="005070CF"/>
    <w:rsid w:val="00512C33"/>
    <w:rsid w:val="00517A1A"/>
    <w:rsid w:val="00525AC6"/>
    <w:rsid w:val="00527ACD"/>
    <w:rsid w:val="00531AC3"/>
    <w:rsid w:val="00535E09"/>
    <w:rsid w:val="00537707"/>
    <w:rsid w:val="005407F2"/>
    <w:rsid w:val="00542AA8"/>
    <w:rsid w:val="00543E8F"/>
    <w:rsid w:val="00544012"/>
    <w:rsid w:val="00544D52"/>
    <w:rsid w:val="00547B79"/>
    <w:rsid w:val="00547BE1"/>
    <w:rsid w:val="00547BFB"/>
    <w:rsid w:val="0055245B"/>
    <w:rsid w:val="00552DB9"/>
    <w:rsid w:val="00554715"/>
    <w:rsid w:val="00561B9C"/>
    <w:rsid w:val="00562A7A"/>
    <w:rsid w:val="00564E45"/>
    <w:rsid w:val="005659B2"/>
    <w:rsid w:val="00571199"/>
    <w:rsid w:val="00572124"/>
    <w:rsid w:val="005762D8"/>
    <w:rsid w:val="00577A8F"/>
    <w:rsid w:val="00583C9D"/>
    <w:rsid w:val="005919A4"/>
    <w:rsid w:val="0059212C"/>
    <w:rsid w:val="00592D9E"/>
    <w:rsid w:val="005974FD"/>
    <w:rsid w:val="00597B64"/>
    <w:rsid w:val="005A00B6"/>
    <w:rsid w:val="005A2D35"/>
    <w:rsid w:val="005A355F"/>
    <w:rsid w:val="005A4EC2"/>
    <w:rsid w:val="005A507E"/>
    <w:rsid w:val="005A6F30"/>
    <w:rsid w:val="005B14B8"/>
    <w:rsid w:val="005B2772"/>
    <w:rsid w:val="005B5EB7"/>
    <w:rsid w:val="005B66D0"/>
    <w:rsid w:val="005C0C2C"/>
    <w:rsid w:val="005C1EF5"/>
    <w:rsid w:val="005C2ABC"/>
    <w:rsid w:val="005C2CFE"/>
    <w:rsid w:val="005C3512"/>
    <w:rsid w:val="005C6362"/>
    <w:rsid w:val="005D29F4"/>
    <w:rsid w:val="005D39E4"/>
    <w:rsid w:val="005D5367"/>
    <w:rsid w:val="005D7982"/>
    <w:rsid w:val="005E15FC"/>
    <w:rsid w:val="005E3E94"/>
    <w:rsid w:val="005E64FF"/>
    <w:rsid w:val="005E79BF"/>
    <w:rsid w:val="005F0F33"/>
    <w:rsid w:val="005F1430"/>
    <w:rsid w:val="005F3CA8"/>
    <w:rsid w:val="00604C5F"/>
    <w:rsid w:val="00611156"/>
    <w:rsid w:val="00611223"/>
    <w:rsid w:val="00615DF9"/>
    <w:rsid w:val="00617B61"/>
    <w:rsid w:val="00621E85"/>
    <w:rsid w:val="006254DA"/>
    <w:rsid w:val="00633880"/>
    <w:rsid w:val="006349B5"/>
    <w:rsid w:val="00635A4B"/>
    <w:rsid w:val="006367DC"/>
    <w:rsid w:val="00637A50"/>
    <w:rsid w:val="006429A4"/>
    <w:rsid w:val="00645CFE"/>
    <w:rsid w:val="00651D3E"/>
    <w:rsid w:val="00665E29"/>
    <w:rsid w:val="00666C18"/>
    <w:rsid w:val="0067152A"/>
    <w:rsid w:val="00676300"/>
    <w:rsid w:val="0067701E"/>
    <w:rsid w:val="006848AA"/>
    <w:rsid w:val="00686A07"/>
    <w:rsid w:val="00686D7A"/>
    <w:rsid w:val="006903FC"/>
    <w:rsid w:val="00691152"/>
    <w:rsid w:val="00692DDC"/>
    <w:rsid w:val="0069409E"/>
    <w:rsid w:val="00694981"/>
    <w:rsid w:val="00695D3C"/>
    <w:rsid w:val="006960DF"/>
    <w:rsid w:val="00696D41"/>
    <w:rsid w:val="00696F7A"/>
    <w:rsid w:val="006A3139"/>
    <w:rsid w:val="006A7450"/>
    <w:rsid w:val="006B3476"/>
    <w:rsid w:val="006B3C8E"/>
    <w:rsid w:val="006B4790"/>
    <w:rsid w:val="006B6B73"/>
    <w:rsid w:val="006B7209"/>
    <w:rsid w:val="006C2222"/>
    <w:rsid w:val="006C6CE4"/>
    <w:rsid w:val="006C77A5"/>
    <w:rsid w:val="006E0567"/>
    <w:rsid w:val="006E0D06"/>
    <w:rsid w:val="006E1637"/>
    <w:rsid w:val="006E4BDC"/>
    <w:rsid w:val="006F0BCD"/>
    <w:rsid w:val="006F6611"/>
    <w:rsid w:val="00702075"/>
    <w:rsid w:val="00705C1D"/>
    <w:rsid w:val="00706F74"/>
    <w:rsid w:val="00711021"/>
    <w:rsid w:val="00723821"/>
    <w:rsid w:val="00723A62"/>
    <w:rsid w:val="00723F0B"/>
    <w:rsid w:val="00724E3C"/>
    <w:rsid w:val="00735DA6"/>
    <w:rsid w:val="00736F8A"/>
    <w:rsid w:val="00737A9A"/>
    <w:rsid w:val="00737C1A"/>
    <w:rsid w:val="0074128A"/>
    <w:rsid w:val="00752D02"/>
    <w:rsid w:val="00752EB9"/>
    <w:rsid w:val="00756C42"/>
    <w:rsid w:val="00757859"/>
    <w:rsid w:val="007629E2"/>
    <w:rsid w:val="00763AFE"/>
    <w:rsid w:val="007648D7"/>
    <w:rsid w:val="00764EDB"/>
    <w:rsid w:val="00766830"/>
    <w:rsid w:val="00771FD3"/>
    <w:rsid w:val="00773574"/>
    <w:rsid w:val="00773E3E"/>
    <w:rsid w:val="00775DFF"/>
    <w:rsid w:val="00783050"/>
    <w:rsid w:val="007833BF"/>
    <w:rsid w:val="007843B9"/>
    <w:rsid w:val="00784933"/>
    <w:rsid w:val="007863E0"/>
    <w:rsid w:val="00786468"/>
    <w:rsid w:val="007911A7"/>
    <w:rsid w:val="0079266F"/>
    <w:rsid w:val="007950DC"/>
    <w:rsid w:val="00796DF6"/>
    <w:rsid w:val="007A096D"/>
    <w:rsid w:val="007A147B"/>
    <w:rsid w:val="007A3FE9"/>
    <w:rsid w:val="007A552A"/>
    <w:rsid w:val="007A63FB"/>
    <w:rsid w:val="007B20B5"/>
    <w:rsid w:val="007B270E"/>
    <w:rsid w:val="007B2B79"/>
    <w:rsid w:val="007B3296"/>
    <w:rsid w:val="007B3C22"/>
    <w:rsid w:val="007B432E"/>
    <w:rsid w:val="007C176A"/>
    <w:rsid w:val="007D0334"/>
    <w:rsid w:val="007D1445"/>
    <w:rsid w:val="007D35FC"/>
    <w:rsid w:val="007D635A"/>
    <w:rsid w:val="007E2596"/>
    <w:rsid w:val="007E3B00"/>
    <w:rsid w:val="007E65C7"/>
    <w:rsid w:val="007F03EC"/>
    <w:rsid w:val="007F046B"/>
    <w:rsid w:val="007F30F1"/>
    <w:rsid w:val="007F6A09"/>
    <w:rsid w:val="008007BB"/>
    <w:rsid w:val="00801180"/>
    <w:rsid w:val="00805F1E"/>
    <w:rsid w:val="00810ADB"/>
    <w:rsid w:val="00811E00"/>
    <w:rsid w:val="00812C2D"/>
    <w:rsid w:val="00814AAF"/>
    <w:rsid w:val="008229F9"/>
    <w:rsid w:val="00823452"/>
    <w:rsid w:val="008308D6"/>
    <w:rsid w:val="00832CAF"/>
    <w:rsid w:val="00834187"/>
    <w:rsid w:val="00835F11"/>
    <w:rsid w:val="00836D0A"/>
    <w:rsid w:val="00843DC1"/>
    <w:rsid w:val="00846FA4"/>
    <w:rsid w:val="00847455"/>
    <w:rsid w:val="0084785E"/>
    <w:rsid w:val="00851273"/>
    <w:rsid w:val="00853F0C"/>
    <w:rsid w:val="00854C4D"/>
    <w:rsid w:val="00856487"/>
    <w:rsid w:val="00857894"/>
    <w:rsid w:val="0086762D"/>
    <w:rsid w:val="00874BC5"/>
    <w:rsid w:val="0087609F"/>
    <w:rsid w:val="00876D49"/>
    <w:rsid w:val="008776B2"/>
    <w:rsid w:val="0088112D"/>
    <w:rsid w:val="00882625"/>
    <w:rsid w:val="00887A62"/>
    <w:rsid w:val="0089156E"/>
    <w:rsid w:val="00893B1C"/>
    <w:rsid w:val="0089608A"/>
    <w:rsid w:val="00896AA9"/>
    <w:rsid w:val="00897B54"/>
    <w:rsid w:val="008A027C"/>
    <w:rsid w:val="008A18E9"/>
    <w:rsid w:val="008A3345"/>
    <w:rsid w:val="008A4601"/>
    <w:rsid w:val="008A64AC"/>
    <w:rsid w:val="008B03E9"/>
    <w:rsid w:val="008B0E20"/>
    <w:rsid w:val="008B2A72"/>
    <w:rsid w:val="008B31C4"/>
    <w:rsid w:val="008B478D"/>
    <w:rsid w:val="008B4E18"/>
    <w:rsid w:val="008B65F7"/>
    <w:rsid w:val="008C291E"/>
    <w:rsid w:val="008C3184"/>
    <w:rsid w:val="008C7BB8"/>
    <w:rsid w:val="008D5535"/>
    <w:rsid w:val="008D67BF"/>
    <w:rsid w:val="008E2FC2"/>
    <w:rsid w:val="008E5FDC"/>
    <w:rsid w:val="008F1247"/>
    <w:rsid w:val="009003A0"/>
    <w:rsid w:val="0090108A"/>
    <w:rsid w:val="00905533"/>
    <w:rsid w:val="00906796"/>
    <w:rsid w:val="00912B57"/>
    <w:rsid w:val="009140DE"/>
    <w:rsid w:val="00914195"/>
    <w:rsid w:val="009153F4"/>
    <w:rsid w:val="00915709"/>
    <w:rsid w:val="00920E26"/>
    <w:rsid w:val="0092355A"/>
    <w:rsid w:val="009260E6"/>
    <w:rsid w:val="00930131"/>
    <w:rsid w:val="009301B0"/>
    <w:rsid w:val="00932BB6"/>
    <w:rsid w:val="00940CFD"/>
    <w:rsid w:val="009441C8"/>
    <w:rsid w:val="009515F4"/>
    <w:rsid w:val="00951CE1"/>
    <w:rsid w:val="00953134"/>
    <w:rsid w:val="009538FB"/>
    <w:rsid w:val="00953EC1"/>
    <w:rsid w:val="0095413C"/>
    <w:rsid w:val="0095456E"/>
    <w:rsid w:val="00955036"/>
    <w:rsid w:val="009563C6"/>
    <w:rsid w:val="00957580"/>
    <w:rsid w:val="0096197F"/>
    <w:rsid w:val="00963ED6"/>
    <w:rsid w:val="00966272"/>
    <w:rsid w:val="00966374"/>
    <w:rsid w:val="0097509D"/>
    <w:rsid w:val="009759C2"/>
    <w:rsid w:val="00975DE6"/>
    <w:rsid w:val="0098285F"/>
    <w:rsid w:val="00983927"/>
    <w:rsid w:val="00985A55"/>
    <w:rsid w:val="00987A4A"/>
    <w:rsid w:val="009903DB"/>
    <w:rsid w:val="00991B47"/>
    <w:rsid w:val="009953F6"/>
    <w:rsid w:val="00995B5E"/>
    <w:rsid w:val="00997094"/>
    <w:rsid w:val="009A0243"/>
    <w:rsid w:val="009A25A5"/>
    <w:rsid w:val="009A3B46"/>
    <w:rsid w:val="009B03C1"/>
    <w:rsid w:val="009B2216"/>
    <w:rsid w:val="009B5F3B"/>
    <w:rsid w:val="009D01E1"/>
    <w:rsid w:val="009D323C"/>
    <w:rsid w:val="009D3D3F"/>
    <w:rsid w:val="009D520E"/>
    <w:rsid w:val="009D54D8"/>
    <w:rsid w:val="009D5F7C"/>
    <w:rsid w:val="009D6FFA"/>
    <w:rsid w:val="009D7687"/>
    <w:rsid w:val="009E051B"/>
    <w:rsid w:val="009E281E"/>
    <w:rsid w:val="009E50CF"/>
    <w:rsid w:val="009E7250"/>
    <w:rsid w:val="009E75EC"/>
    <w:rsid w:val="009E77C2"/>
    <w:rsid w:val="009F08A4"/>
    <w:rsid w:val="009F08F1"/>
    <w:rsid w:val="009F2363"/>
    <w:rsid w:val="009F2CA5"/>
    <w:rsid w:val="009F59D7"/>
    <w:rsid w:val="009F63F1"/>
    <w:rsid w:val="009F68AD"/>
    <w:rsid w:val="009F6AF3"/>
    <w:rsid w:val="00A0678B"/>
    <w:rsid w:val="00A156A0"/>
    <w:rsid w:val="00A1761F"/>
    <w:rsid w:val="00A31E03"/>
    <w:rsid w:val="00A32723"/>
    <w:rsid w:val="00A32DBB"/>
    <w:rsid w:val="00A33082"/>
    <w:rsid w:val="00A33647"/>
    <w:rsid w:val="00A34A53"/>
    <w:rsid w:val="00A376F2"/>
    <w:rsid w:val="00A52014"/>
    <w:rsid w:val="00A5250A"/>
    <w:rsid w:val="00A534E5"/>
    <w:rsid w:val="00A56EB1"/>
    <w:rsid w:val="00A57740"/>
    <w:rsid w:val="00A601F1"/>
    <w:rsid w:val="00A60311"/>
    <w:rsid w:val="00A61580"/>
    <w:rsid w:val="00A61895"/>
    <w:rsid w:val="00A61C8E"/>
    <w:rsid w:val="00A7091B"/>
    <w:rsid w:val="00A7374E"/>
    <w:rsid w:val="00A74C4D"/>
    <w:rsid w:val="00A758FC"/>
    <w:rsid w:val="00A764BB"/>
    <w:rsid w:val="00A7677D"/>
    <w:rsid w:val="00A76DAA"/>
    <w:rsid w:val="00A94AF1"/>
    <w:rsid w:val="00A95B6A"/>
    <w:rsid w:val="00A9756F"/>
    <w:rsid w:val="00AA7A31"/>
    <w:rsid w:val="00AB26C0"/>
    <w:rsid w:val="00AB4E0A"/>
    <w:rsid w:val="00AB68CC"/>
    <w:rsid w:val="00AB76F4"/>
    <w:rsid w:val="00AC052D"/>
    <w:rsid w:val="00AC71AC"/>
    <w:rsid w:val="00AC72A5"/>
    <w:rsid w:val="00AD01A1"/>
    <w:rsid w:val="00AD3D06"/>
    <w:rsid w:val="00AD4DBC"/>
    <w:rsid w:val="00AD7208"/>
    <w:rsid w:val="00AE2A55"/>
    <w:rsid w:val="00AE6AE8"/>
    <w:rsid w:val="00AF143A"/>
    <w:rsid w:val="00AF75C5"/>
    <w:rsid w:val="00AF7905"/>
    <w:rsid w:val="00B02FE9"/>
    <w:rsid w:val="00B07D91"/>
    <w:rsid w:val="00B1241E"/>
    <w:rsid w:val="00B14B96"/>
    <w:rsid w:val="00B15ABC"/>
    <w:rsid w:val="00B16B98"/>
    <w:rsid w:val="00B16BE2"/>
    <w:rsid w:val="00B1721B"/>
    <w:rsid w:val="00B17683"/>
    <w:rsid w:val="00B209A3"/>
    <w:rsid w:val="00B234C7"/>
    <w:rsid w:val="00B26335"/>
    <w:rsid w:val="00B322A9"/>
    <w:rsid w:val="00B326F1"/>
    <w:rsid w:val="00B3491E"/>
    <w:rsid w:val="00B34EC9"/>
    <w:rsid w:val="00B35EEB"/>
    <w:rsid w:val="00B41C51"/>
    <w:rsid w:val="00B42256"/>
    <w:rsid w:val="00B45E91"/>
    <w:rsid w:val="00B512D0"/>
    <w:rsid w:val="00B51CA9"/>
    <w:rsid w:val="00B524B3"/>
    <w:rsid w:val="00B5290A"/>
    <w:rsid w:val="00B54DEB"/>
    <w:rsid w:val="00B54E43"/>
    <w:rsid w:val="00B578CF"/>
    <w:rsid w:val="00B6327D"/>
    <w:rsid w:val="00B64D96"/>
    <w:rsid w:val="00B66067"/>
    <w:rsid w:val="00B66E98"/>
    <w:rsid w:val="00B726D3"/>
    <w:rsid w:val="00B72F89"/>
    <w:rsid w:val="00B7428E"/>
    <w:rsid w:val="00B76EDC"/>
    <w:rsid w:val="00B77657"/>
    <w:rsid w:val="00B802FB"/>
    <w:rsid w:val="00B81916"/>
    <w:rsid w:val="00B90F7D"/>
    <w:rsid w:val="00B91383"/>
    <w:rsid w:val="00B932FE"/>
    <w:rsid w:val="00B936FE"/>
    <w:rsid w:val="00B9552F"/>
    <w:rsid w:val="00B97BB6"/>
    <w:rsid w:val="00BA08C9"/>
    <w:rsid w:val="00BA3A03"/>
    <w:rsid w:val="00BA3A96"/>
    <w:rsid w:val="00BA421C"/>
    <w:rsid w:val="00BA491C"/>
    <w:rsid w:val="00BA730B"/>
    <w:rsid w:val="00BA7D35"/>
    <w:rsid w:val="00BB2B4F"/>
    <w:rsid w:val="00BB4770"/>
    <w:rsid w:val="00BB7728"/>
    <w:rsid w:val="00BB7CA4"/>
    <w:rsid w:val="00BC241B"/>
    <w:rsid w:val="00BC68D1"/>
    <w:rsid w:val="00BC6C2C"/>
    <w:rsid w:val="00BC7A0E"/>
    <w:rsid w:val="00BD2E8B"/>
    <w:rsid w:val="00BD7F24"/>
    <w:rsid w:val="00BE1605"/>
    <w:rsid w:val="00BE1D1A"/>
    <w:rsid w:val="00BE49F0"/>
    <w:rsid w:val="00BF4DE8"/>
    <w:rsid w:val="00BF547B"/>
    <w:rsid w:val="00BF548A"/>
    <w:rsid w:val="00BF77D0"/>
    <w:rsid w:val="00BF7CAD"/>
    <w:rsid w:val="00C0322D"/>
    <w:rsid w:val="00C07A85"/>
    <w:rsid w:val="00C101F8"/>
    <w:rsid w:val="00C127DF"/>
    <w:rsid w:val="00C21F7F"/>
    <w:rsid w:val="00C231BE"/>
    <w:rsid w:val="00C27AF8"/>
    <w:rsid w:val="00C321F0"/>
    <w:rsid w:val="00C3433F"/>
    <w:rsid w:val="00C35584"/>
    <w:rsid w:val="00C43175"/>
    <w:rsid w:val="00C45EAB"/>
    <w:rsid w:val="00C4707D"/>
    <w:rsid w:val="00C520F2"/>
    <w:rsid w:val="00C564F8"/>
    <w:rsid w:val="00C56773"/>
    <w:rsid w:val="00C60352"/>
    <w:rsid w:val="00C61867"/>
    <w:rsid w:val="00C666FF"/>
    <w:rsid w:val="00C707CA"/>
    <w:rsid w:val="00C71146"/>
    <w:rsid w:val="00C713D5"/>
    <w:rsid w:val="00C719D0"/>
    <w:rsid w:val="00C72904"/>
    <w:rsid w:val="00C766F9"/>
    <w:rsid w:val="00C95371"/>
    <w:rsid w:val="00CA3ABE"/>
    <w:rsid w:val="00CA6175"/>
    <w:rsid w:val="00CB0307"/>
    <w:rsid w:val="00CB282A"/>
    <w:rsid w:val="00CB3271"/>
    <w:rsid w:val="00CB6682"/>
    <w:rsid w:val="00CB6793"/>
    <w:rsid w:val="00CB6E80"/>
    <w:rsid w:val="00CC16AF"/>
    <w:rsid w:val="00CC6307"/>
    <w:rsid w:val="00CD2E88"/>
    <w:rsid w:val="00CD527E"/>
    <w:rsid w:val="00CD6FCC"/>
    <w:rsid w:val="00CE1716"/>
    <w:rsid w:val="00CE64E3"/>
    <w:rsid w:val="00CE6AF9"/>
    <w:rsid w:val="00CE7C47"/>
    <w:rsid w:val="00CF3174"/>
    <w:rsid w:val="00CF611B"/>
    <w:rsid w:val="00CF6AE4"/>
    <w:rsid w:val="00D007F9"/>
    <w:rsid w:val="00D01012"/>
    <w:rsid w:val="00D05E46"/>
    <w:rsid w:val="00D07ABB"/>
    <w:rsid w:val="00D13899"/>
    <w:rsid w:val="00D13BBF"/>
    <w:rsid w:val="00D2041C"/>
    <w:rsid w:val="00D218FE"/>
    <w:rsid w:val="00D219ED"/>
    <w:rsid w:val="00D234B4"/>
    <w:rsid w:val="00D27527"/>
    <w:rsid w:val="00D27D5A"/>
    <w:rsid w:val="00D40979"/>
    <w:rsid w:val="00D42233"/>
    <w:rsid w:val="00D454ED"/>
    <w:rsid w:val="00D55191"/>
    <w:rsid w:val="00D63CB7"/>
    <w:rsid w:val="00D64CED"/>
    <w:rsid w:val="00D735E9"/>
    <w:rsid w:val="00D73A87"/>
    <w:rsid w:val="00D77F25"/>
    <w:rsid w:val="00D84C09"/>
    <w:rsid w:val="00D8669D"/>
    <w:rsid w:val="00D87FC0"/>
    <w:rsid w:val="00D92B97"/>
    <w:rsid w:val="00D92C18"/>
    <w:rsid w:val="00D95143"/>
    <w:rsid w:val="00D96F85"/>
    <w:rsid w:val="00DA1A10"/>
    <w:rsid w:val="00DA5DC0"/>
    <w:rsid w:val="00DA5DC6"/>
    <w:rsid w:val="00DA6B11"/>
    <w:rsid w:val="00DB04ED"/>
    <w:rsid w:val="00DB1889"/>
    <w:rsid w:val="00DB1908"/>
    <w:rsid w:val="00DB1C40"/>
    <w:rsid w:val="00DB2F38"/>
    <w:rsid w:val="00DB34E0"/>
    <w:rsid w:val="00DB3E48"/>
    <w:rsid w:val="00DB4D70"/>
    <w:rsid w:val="00DB518F"/>
    <w:rsid w:val="00DB5ECB"/>
    <w:rsid w:val="00DB7FAE"/>
    <w:rsid w:val="00DC2C2A"/>
    <w:rsid w:val="00DC69B6"/>
    <w:rsid w:val="00DC6E4E"/>
    <w:rsid w:val="00DD06B6"/>
    <w:rsid w:val="00DD3522"/>
    <w:rsid w:val="00DD4881"/>
    <w:rsid w:val="00DD69E1"/>
    <w:rsid w:val="00DE464C"/>
    <w:rsid w:val="00DE4A06"/>
    <w:rsid w:val="00DE68E4"/>
    <w:rsid w:val="00DF243D"/>
    <w:rsid w:val="00DF328A"/>
    <w:rsid w:val="00DF4DC2"/>
    <w:rsid w:val="00DF55A1"/>
    <w:rsid w:val="00DF6673"/>
    <w:rsid w:val="00DF6B41"/>
    <w:rsid w:val="00E012F9"/>
    <w:rsid w:val="00E02BA2"/>
    <w:rsid w:val="00E03FD0"/>
    <w:rsid w:val="00E0527F"/>
    <w:rsid w:val="00E05547"/>
    <w:rsid w:val="00E13290"/>
    <w:rsid w:val="00E13FC9"/>
    <w:rsid w:val="00E156B9"/>
    <w:rsid w:val="00E165A4"/>
    <w:rsid w:val="00E209F8"/>
    <w:rsid w:val="00E25CA1"/>
    <w:rsid w:val="00E269CC"/>
    <w:rsid w:val="00E27A8A"/>
    <w:rsid w:val="00E325D4"/>
    <w:rsid w:val="00E32A42"/>
    <w:rsid w:val="00E35257"/>
    <w:rsid w:val="00E36529"/>
    <w:rsid w:val="00E410B9"/>
    <w:rsid w:val="00E422AD"/>
    <w:rsid w:val="00E42EC1"/>
    <w:rsid w:val="00E43229"/>
    <w:rsid w:val="00E43C4A"/>
    <w:rsid w:val="00E47BFA"/>
    <w:rsid w:val="00E52823"/>
    <w:rsid w:val="00E533DF"/>
    <w:rsid w:val="00E545BE"/>
    <w:rsid w:val="00E54C03"/>
    <w:rsid w:val="00E57930"/>
    <w:rsid w:val="00E603DE"/>
    <w:rsid w:val="00E72E65"/>
    <w:rsid w:val="00E80710"/>
    <w:rsid w:val="00E82D62"/>
    <w:rsid w:val="00E83458"/>
    <w:rsid w:val="00E86384"/>
    <w:rsid w:val="00E8714F"/>
    <w:rsid w:val="00E93A42"/>
    <w:rsid w:val="00E940A8"/>
    <w:rsid w:val="00E95DBB"/>
    <w:rsid w:val="00EA000F"/>
    <w:rsid w:val="00EA0A2E"/>
    <w:rsid w:val="00EA1ACD"/>
    <w:rsid w:val="00EA2AB6"/>
    <w:rsid w:val="00EA55A0"/>
    <w:rsid w:val="00EB0B74"/>
    <w:rsid w:val="00EB3688"/>
    <w:rsid w:val="00EB4AFA"/>
    <w:rsid w:val="00EB5129"/>
    <w:rsid w:val="00EC1D03"/>
    <w:rsid w:val="00EC2ADB"/>
    <w:rsid w:val="00EC44E3"/>
    <w:rsid w:val="00ED043F"/>
    <w:rsid w:val="00ED7217"/>
    <w:rsid w:val="00EE04CC"/>
    <w:rsid w:val="00EE0D07"/>
    <w:rsid w:val="00EE1CF8"/>
    <w:rsid w:val="00EE5EB7"/>
    <w:rsid w:val="00EE63C0"/>
    <w:rsid w:val="00EF7E89"/>
    <w:rsid w:val="00F002A1"/>
    <w:rsid w:val="00F018A9"/>
    <w:rsid w:val="00F01F59"/>
    <w:rsid w:val="00F04C52"/>
    <w:rsid w:val="00F06392"/>
    <w:rsid w:val="00F159FB"/>
    <w:rsid w:val="00F20655"/>
    <w:rsid w:val="00F271FD"/>
    <w:rsid w:val="00F31761"/>
    <w:rsid w:val="00F31970"/>
    <w:rsid w:val="00F322AE"/>
    <w:rsid w:val="00F32472"/>
    <w:rsid w:val="00F34E10"/>
    <w:rsid w:val="00F350B9"/>
    <w:rsid w:val="00F357E8"/>
    <w:rsid w:val="00F4564D"/>
    <w:rsid w:val="00F459BD"/>
    <w:rsid w:val="00F52E26"/>
    <w:rsid w:val="00F605B9"/>
    <w:rsid w:val="00F63A6F"/>
    <w:rsid w:val="00F64927"/>
    <w:rsid w:val="00F663DD"/>
    <w:rsid w:val="00F67961"/>
    <w:rsid w:val="00F679DD"/>
    <w:rsid w:val="00F71EBB"/>
    <w:rsid w:val="00F72DD8"/>
    <w:rsid w:val="00F75094"/>
    <w:rsid w:val="00F755A0"/>
    <w:rsid w:val="00F763FD"/>
    <w:rsid w:val="00F77492"/>
    <w:rsid w:val="00F82144"/>
    <w:rsid w:val="00F82C44"/>
    <w:rsid w:val="00F83706"/>
    <w:rsid w:val="00F8397E"/>
    <w:rsid w:val="00F93680"/>
    <w:rsid w:val="00F942E7"/>
    <w:rsid w:val="00F955EC"/>
    <w:rsid w:val="00F955F7"/>
    <w:rsid w:val="00FA039F"/>
    <w:rsid w:val="00FA075E"/>
    <w:rsid w:val="00FA0895"/>
    <w:rsid w:val="00FA164E"/>
    <w:rsid w:val="00FA215B"/>
    <w:rsid w:val="00FB0793"/>
    <w:rsid w:val="00FB2605"/>
    <w:rsid w:val="00FB4EC1"/>
    <w:rsid w:val="00FB6032"/>
    <w:rsid w:val="00FC2044"/>
    <w:rsid w:val="00FC214F"/>
    <w:rsid w:val="00FC3E1B"/>
    <w:rsid w:val="00FC7794"/>
    <w:rsid w:val="00FD1CA2"/>
    <w:rsid w:val="00FD66D6"/>
    <w:rsid w:val="00FD70E6"/>
    <w:rsid w:val="00FD733A"/>
    <w:rsid w:val="00FE7635"/>
    <w:rsid w:val="00FE7A9A"/>
    <w:rsid w:val="00FF4863"/>
    <w:rsid w:val="00FF5AAF"/>
    <w:rsid w:val="00FF6BC8"/>
    <w:rsid w:val="00FF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BC6335-339D-4A1C-81CA-A906E96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3E"/>
    <w:pPr>
      <w:spacing w:after="0" w:line="264" w:lineRule="auto"/>
    </w:pPr>
    <w:rPr>
      <w:rFonts w:ascii="Times New Roman" w:eastAsia="Times New Roman" w:hAnsi="Times New Roman" w:cs="Times New Roman"/>
      <w:noProof/>
      <w:spacing w:val="-5"/>
      <w:sz w:val="25"/>
      <w:szCs w:val="25"/>
    </w:rPr>
  </w:style>
  <w:style w:type="paragraph" w:styleId="Heading1">
    <w:name w:val="heading 1"/>
    <w:basedOn w:val="NoSpacing"/>
    <w:next w:val="NoSpacing"/>
    <w:link w:val="Heading1Char"/>
    <w:uiPriority w:val="9"/>
    <w:qFormat/>
    <w:rsid w:val="001C084E"/>
    <w:pPr>
      <w:keepNext/>
      <w:keepLines/>
      <w:spacing w:before="480"/>
      <w:outlineLvl w:val="0"/>
    </w:pPr>
    <w:rPr>
      <w:rFonts w:eastAsiaTheme="majorEastAsia" w:cstheme="majorBidi"/>
      <w:b/>
      <w:bCs/>
      <w:spacing w:val="0"/>
      <w:szCs w:val="28"/>
      <w:u w:val="single"/>
    </w:rPr>
  </w:style>
  <w:style w:type="paragraph" w:styleId="Heading2">
    <w:name w:val="heading 2"/>
    <w:basedOn w:val="NoSpacing"/>
    <w:next w:val="NoSpacing"/>
    <w:link w:val="Heading2Char"/>
    <w:uiPriority w:val="9"/>
    <w:unhideWhenUsed/>
    <w:qFormat/>
    <w:rsid w:val="001C084E"/>
    <w:pPr>
      <w:keepNext/>
      <w:keepLines/>
      <w:spacing w:before="200"/>
      <w:outlineLvl w:val="1"/>
    </w:pPr>
    <w:rPr>
      <w:rFonts w:eastAsiaTheme="majorEastAsia" w:cstheme="majorBidi"/>
      <w:b/>
      <w:bCs/>
      <w:i/>
      <w:spacing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96"/>
    <w:pPr>
      <w:ind w:left="720"/>
      <w:contextualSpacing/>
    </w:pPr>
  </w:style>
  <w:style w:type="table" w:styleId="TableGrid">
    <w:name w:val="Table Grid"/>
    <w:basedOn w:val="TableNormal"/>
    <w:uiPriority w:val="59"/>
    <w:rsid w:val="00D2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916"/>
    <w:pPr>
      <w:tabs>
        <w:tab w:val="center" w:pos="4680"/>
        <w:tab w:val="right" w:pos="9360"/>
      </w:tabs>
      <w:spacing w:line="240" w:lineRule="auto"/>
    </w:pPr>
  </w:style>
  <w:style w:type="character" w:customStyle="1" w:styleId="HeaderChar">
    <w:name w:val="Header Char"/>
    <w:basedOn w:val="DefaultParagraphFont"/>
    <w:link w:val="Header"/>
    <w:uiPriority w:val="99"/>
    <w:rsid w:val="00B81916"/>
  </w:style>
  <w:style w:type="paragraph" w:styleId="Footer">
    <w:name w:val="footer"/>
    <w:basedOn w:val="Normal"/>
    <w:link w:val="FooterChar"/>
    <w:uiPriority w:val="99"/>
    <w:unhideWhenUsed/>
    <w:rsid w:val="00B81916"/>
    <w:pPr>
      <w:tabs>
        <w:tab w:val="center" w:pos="4680"/>
        <w:tab w:val="right" w:pos="9360"/>
      </w:tabs>
      <w:spacing w:line="240" w:lineRule="auto"/>
    </w:pPr>
  </w:style>
  <w:style w:type="character" w:customStyle="1" w:styleId="FooterChar">
    <w:name w:val="Footer Char"/>
    <w:basedOn w:val="DefaultParagraphFont"/>
    <w:link w:val="Footer"/>
    <w:uiPriority w:val="99"/>
    <w:rsid w:val="00B81916"/>
  </w:style>
  <w:style w:type="character" w:styleId="CommentReference">
    <w:name w:val="annotation reference"/>
    <w:basedOn w:val="DefaultParagraphFont"/>
    <w:uiPriority w:val="99"/>
    <w:semiHidden/>
    <w:unhideWhenUsed/>
    <w:rsid w:val="009759C2"/>
    <w:rPr>
      <w:sz w:val="16"/>
      <w:szCs w:val="16"/>
    </w:rPr>
  </w:style>
  <w:style w:type="paragraph" w:styleId="CommentText">
    <w:name w:val="annotation text"/>
    <w:basedOn w:val="Normal"/>
    <w:link w:val="CommentTextChar"/>
    <w:uiPriority w:val="99"/>
    <w:unhideWhenUsed/>
    <w:rsid w:val="009759C2"/>
    <w:pPr>
      <w:spacing w:line="240" w:lineRule="auto"/>
    </w:pPr>
    <w:rPr>
      <w:sz w:val="20"/>
      <w:szCs w:val="20"/>
    </w:rPr>
  </w:style>
  <w:style w:type="character" w:customStyle="1" w:styleId="CommentTextChar">
    <w:name w:val="Comment Text Char"/>
    <w:basedOn w:val="DefaultParagraphFont"/>
    <w:link w:val="CommentText"/>
    <w:uiPriority w:val="99"/>
    <w:rsid w:val="009759C2"/>
    <w:rPr>
      <w:sz w:val="20"/>
      <w:szCs w:val="20"/>
    </w:rPr>
  </w:style>
  <w:style w:type="paragraph" w:styleId="CommentSubject">
    <w:name w:val="annotation subject"/>
    <w:basedOn w:val="CommentText"/>
    <w:next w:val="CommentText"/>
    <w:link w:val="CommentSubjectChar"/>
    <w:uiPriority w:val="99"/>
    <w:semiHidden/>
    <w:unhideWhenUsed/>
    <w:rsid w:val="009759C2"/>
    <w:rPr>
      <w:b/>
      <w:bCs/>
    </w:rPr>
  </w:style>
  <w:style w:type="character" w:customStyle="1" w:styleId="CommentSubjectChar">
    <w:name w:val="Comment Subject Char"/>
    <w:basedOn w:val="CommentTextChar"/>
    <w:link w:val="CommentSubject"/>
    <w:uiPriority w:val="99"/>
    <w:semiHidden/>
    <w:rsid w:val="009759C2"/>
    <w:rPr>
      <w:b/>
      <w:bCs/>
      <w:sz w:val="20"/>
      <w:szCs w:val="20"/>
    </w:rPr>
  </w:style>
  <w:style w:type="paragraph" w:styleId="BalloonText">
    <w:name w:val="Balloon Text"/>
    <w:basedOn w:val="Normal"/>
    <w:link w:val="BalloonTextChar"/>
    <w:uiPriority w:val="99"/>
    <w:semiHidden/>
    <w:unhideWhenUsed/>
    <w:rsid w:val="009759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C2"/>
    <w:rPr>
      <w:rFonts w:ascii="Tahoma" w:hAnsi="Tahoma" w:cs="Tahoma"/>
      <w:sz w:val="16"/>
      <w:szCs w:val="16"/>
    </w:rPr>
  </w:style>
  <w:style w:type="paragraph" w:styleId="FootnoteText">
    <w:name w:val="footnote text"/>
    <w:basedOn w:val="Normal"/>
    <w:link w:val="FootnoteTextChar"/>
    <w:uiPriority w:val="99"/>
    <w:unhideWhenUsed/>
    <w:rsid w:val="00A156A0"/>
    <w:pPr>
      <w:spacing w:line="240" w:lineRule="auto"/>
    </w:pPr>
    <w:rPr>
      <w:sz w:val="20"/>
      <w:szCs w:val="20"/>
    </w:rPr>
  </w:style>
  <w:style w:type="character" w:customStyle="1" w:styleId="FootnoteTextChar">
    <w:name w:val="Footnote Text Char"/>
    <w:basedOn w:val="DefaultParagraphFont"/>
    <w:link w:val="FootnoteText"/>
    <w:uiPriority w:val="99"/>
    <w:rsid w:val="00A156A0"/>
    <w:rPr>
      <w:sz w:val="20"/>
      <w:szCs w:val="20"/>
    </w:rPr>
  </w:style>
  <w:style w:type="character" w:styleId="FootnoteReference">
    <w:name w:val="footnote reference"/>
    <w:basedOn w:val="DefaultParagraphFont"/>
    <w:uiPriority w:val="99"/>
    <w:semiHidden/>
    <w:unhideWhenUsed/>
    <w:rsid w:val="00A156A0"/>
    <w:rPr>
      <w:vertAlign w:val="superscript"/>
    </w:rPr>
  </w:style>
  <w:style w:type="paragraph" w:styleId="NoSpacing">
    <w:name w:val="No Spacing"/>
    <w:uiPriority w:val="1"/>
    <w:qFormat/>
    <w:rsid w:val="008308D6"/>
    <w:pPr>
      <w:spacing w:after="0" w:line="240" w:lineRule="auto"/>
    </w:pPr>
    <w:rPr>
      <w:rFonts w:ascii="Times New Roman" w:eastAsia="Times New Roman" w:hAnsi="Times New Roman" w:cs="Times New Roman"/>
      <w:spacing w:val="-5"/>
      <w:sz w:val="24"/>
      <w:szCs w:val="24"/>
    </w:rPr>
  </w:style>
  <w:style w:type="character" w:styleId="Hyperlink">
    <w:name w:val="Hyperlink"/>
    <w:basedOn w:val="DefaultParagraphFont"/>
    <w:uiPriority w:val="99"/>
    <w:unhideWhenUsed/>
    <w:rsid w:val="00262D04"/>
    <w:rPr>
      <w:color w:val="0000FF" w:themeColor="hyperlink"/>
      <w:u w:val="single"/>
    </w:rPr>
  </w:style>
  <w:style w:type="character" w:styleId="FollowedHyperlink">
    <w:name w:val="FollowedHyperlink"/>
    <w:basedOn w:val="DefaultParagraphFont"/>
    <w:uiPriority w:val="99"/>
    <w:semiHidden/>
    <w:unhideWhenUsed/>
    <w:rsid w:val="00262D04"/>
    <w:rPr>
      <w:color w:val="800080" w:themeColor="followedHyperlink"/>
      <w:u w:val="single"/>
    </w:rPr>
  </w:style>
  <w:style w:type="character" w:customStyle="1" w:styleId="Heading1Char">
    <w:name w:val="Heading 1 Char"/>
    <w:basedOn w:val="DefaultParagraphFont"/>
    <w:link w:val="Heading1"/>
    <w:uiPriority w:val="9"/>
    <w:rsid w:val="001C084E"/>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1C084E"/>
    <w:rPr>
      <w:rFonts w:ascii="Times New Roman" w:eastAsiaTheme="majorEastAsia" w:hAnsi="Times New Roman" w:cstheme="majorBidi"/>
      <w:b/>
      <w:bCs/>
      <w:i/>
      <w:sz w:val="24"/>
      <w:szCs w:val="26"/>
    </w:rPr>
  </w:style>
  <w:style w:type="table" w:styleId="LightList-Accent5">
    <w:name w:val="Light List Accent 5"/>
    <w:basedOn w:val="TableNormal"/>
    <w:uiPriority w:val="61"/>
    <w:rsid w:val="00BA73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666C18"/>
    <w:pPr>
      <w:spacing w:after="0" w:line="240" w:lineRule="auto"/>
    </w:pPr>
  </w:style>
  <w:style w:type="paragraph" w:styleId="EndnoteText">
    <w:name w:val="endnote text"/>
    <w:basedOn w:val="Normal"/>
    <w:link w:val="EndnoteTextChar"/>
    <w:uiPriority w:val="99"/>
    <w:semiHidden/>
    <w:unhideWhenUsed/>
    <w:rsid w:val="00042D3F"/>
    <w:pPr>
      <w:spacing w:line="240" w:lineRule="auto"/>
    </w:pPr>
    <w:rPr>
      <w:sz w:val="20"/>
      <w:szCs w:val="20"/>
    </w:rPr>
  </w:style>
  <w:style w:type="character" w:customStyle="1" w:styleId="EndnoteTextChar">
    <w:name w:val="Endnote Text Char"/>
    <w:basedOn w:val="DefaultParagraphFont"/>
    <w:link w:val="EndnoteText"/>
    <w:uiPriority w:val="99"/>
    <w:semiHidden/>
    <w:rsid w:val="00042D3F"/>
    <w:rPr>
      <w:rFonts w:ascii="Times New Roman" w:eastAsia="Times New Roman" w:hAnsi="Times New Roman" w:cs="Times New Roman"/>
      <w:noProof/>
      <w:spacing w:val="-5"/>
      <w:sz w:val="20"/>
      <w:szCs w:val="20"/>
    </w:rPr>
  </w:style>
  <w:style w:type="character" w:styleId="EndnoteReference">
    <w:name w:val="endnote reference"/>
    <w:basedOn w:val="DefaultParagraphFont"/>
    <w:uiPriority w:val="99"/>
    <w:semiHidden/>
    <w:unhideWhenUsed/>
    <w:rsid w:val="00042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747802">
      <w:bodyDiv w:val="1"/>
      <w:marLeft w:val="0"/>
      <w:marRight w:val="0"/>
      <w:marTop w:val="0"/>
      <w:marBottom w:val="0"/>
      <w:divBdr>
        <w:top w:val="none" w:sz="0" w:space="0" w:color="auto"/>
        <w:left w:val="none" w:sz="0" w:space="0" w:color="auto"/>
        <w:bottom w:val="none" w:sz="0" w:space="0" w:color="auto"/>
        <w:right w:val="none" w:sz="0" w:space="0" w:color="auto"/>
      </w:divBdr>
    </w:div>
    <w:div w:id="1187255058">
      <w:bodyDiv w:val="1"/>
      <w:marLeft w:val="0"/>
      <w:marRight w:val="0"/>
      <w:marTop w:val="0"/>
      <w:marBottom w:val="0"/>
      <w:divBdr>
        <w:top w:val="none" w:sz="0" w:space="0" w:color="auto"/>
        <w:left w:val="none" w:sz="0" w:space="0" w:color="auto"/>
        <w:bottom w:val="none" w:sz="0" w:space="0" w:color="auto"/>
        <w:right w:val="none" w:sz="0" w:space="0" w:color="auto"/>
      </w:divBdr>
    </w:div>
    <w:div w:id="1382359597">
      <w:bodyDiv w:val="1"/>
      <w:marLeft w:val="0"/>
      <w:marRight w:val="0"/>
      <w:marTop w:val="0"/>
      <w:marBottom w:val="0"/>
      <w:divBdr>
        <w:top w:val="none" w:sz="0" w:space="0" w:color="auto"/>
        <w:left w:val="none" w:sz="0" w:space="0" w:color="auto"/>
        <w:bottom w:val="none" w:sz="0" w:space="0" w:color="auto"/>
        <w:right w:val="none" w:sz="0" w:space="0" w:color="auto"/>
      </w:divBdr>
      <w:divsChild>
        <w:div w:id="27410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2014-08-29T07:00:00+00:00</OpenedDate>
    <Date1 xmlns="dc463f71-b30c-4ab2-9473-d307f9d35888">2016-03-14T21:24:18+00:00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143214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DAEF87628CA64BBBFC454776DE17F8" ma:contentTypeVersion="175" ma:contentTypeDescription="" ma:contentTypeScope="" ma:versionID="c5907669075eff8e2198c6987ee59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CF958-0416-4E88-ACCB-5252B04EC699}"/>
</file>

<file path=customXml/itemProps2.xml><?xml version="1.0" encoding="utf-8"?>
<ds:datastoreItem xmlns:ds="http://schemas.openxmlformats.org/officeDocument/2006/customXml" ds:itemID="{A218822F-4BD6-4463-B787-1A8F47247B49}"/>
</file>

<file path=customXml/itemProps3.xml><?xml version="1.0" encoding="utf-8"?>
<ds:datastoreItem xmlns:ds="http://schemas.openxmlformats.org/officeDocument/2006/customXml" ds:itemID="{42E8EB15-6C86-489D-9CC2-E1DDB6E0807D}"/>
</file>

<file path=customXml/itemProps4.xml><?xml version="1.0" encoding="utf-8"?>
<ds:datastoreItem xmlns:ds="http://schemas.openxmlformats.org/officeDocument/2006/customXml" ds:itemID="{2173AEEE-1D05-4DA5-AAF9-5E04382EC65C}"/>
</file>

<file path=customXml/itemProps5.xml><?xml version="1.0" encoding="utf-8"?>
<ds:datastoreItem xmlns:ds="http://schemas.openxmlformats.org/officeDocument/2006/customXml" ds:itemID="{16101D2E-53E5-4E34-9A0C-6597569312F7}"/>
</file>

<file path=docProps/app.xml><?xml version="1.0" encoding="utf-8"?>
<Properties xmlns="http://schemas.openxmlformats.org/officeDocument/2006/extended-properties" xmlns:vt="http://schemas.openxmlformats.org/officeDocument/2006/docPropsVTypes">
  <Template>Normal</Template>
  <TotalTime>1</TotalTime>
  <Pages>9</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Kermode</dc:creator>
  <cp:lastModifiedBy>Moen, Nancy (UTC)</cp:lastModifiedBy>
  <cp:revision>3</cp:revision>
  <cp:lastPrinted>2016-03-14T18:19:00Z</cp:lastPrinted>
  <dcterms:created xsi:type="dcterms:W3CDTF">2016-03-14T18:19:00Z</dcterms:created>
  <dcterms:modified xsi:type="dcterms:W3CDTF">2016-03-14T18:20:00Z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0x0101006E56B4D1795A2E4DB2F0B01679ED314A001BDAEF87628CA64BBBFC454776DE17F8</vt:lpwstr>
  </property>
  <property fmtid="{D5CDD505-2E9C-101B-9397-08002B2CF9AE}" pid="3" name="_docset_NoMedatataSyncRequired">
    <vt:lpwstr>False</vt:lpwstr>
  </property>
</Properties>
</file>