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892" w:rsidRDefault="00827240" w:rsidP="002E4892">
      <w:pPr>
        <w:rPr>
          <w:b/>
          <w:color w:val="000000"/>
        </w:rPr>
      </w:pPr>
      <w:bookmarkStart w:id="0" w:name="_GoBack"/>
      <w:bookmarkEnd w:id="0"/>
      <w:r>
        <w:rPr>
          <w:b/>
          <w:noProof/>
          <w:color w:val="000000"/>
        </w:rPr>
        <w:pict>
          <v:shapetype id="_x0000_t202" coordsize="21600,21600" o:spt="202" path="m,l,21600r21600,l21600,xe">
            <v:stroke joinstyle="miter"/>
            <v:path gradientshapeok="t" o:connecttype="rect"/>
          </v:shapetype>
          <v:shape id="_x0000_s1026" type="#_x0000_t202" style="position:absolute;margin-left:270.75pt;margin-top:-59.7pt;width:217.5pt;height:40.5pt;z-index:251658240" stroked="f">
            <v:textbox>
              <w:txbxContent>
                <w:p w:rsidR="00827240" w:rsidRDefault="00827240" w:rsidP="00827240">
                  <w:pPr>
                    <w:jc w:val="right"/>
                  </w:pPr>
                  <w:r>
                    <w:t>Exhibit No. ___(</w:t>
                  </w:r>
                  <w:proofErr w:type="spellStart"/>
                  <w:r>
                    <w:t>MCD</w:t>
                  </w:r>
                  <w:proofErr w:type="spellEnd"/>
                  <w:r>
                    <w:t>-7)</w:t>
                  </w:r>
                </w:p>
                <w:p w:rsidR="00827240" w:rsidRDefault="00827240" w:rsidP="00827240">
                  <w:pPr>
                    <w:jc w:val="right"/>
                  </w:pPr>
                  <w:r>
                    <w:t>Page 1 of 2</w:t>
                  </w:r>
                </w:p>
              </w:txbxContent>
            </v:textbox>
          </v:shape>
        </w:pict>
      </w:r>
    </w:p>
    <w:p w:rsidR="002E4892" w:rsidRDefault="002E4892" w:rsidP="002E4892">
      <w:pPr>
        <w:rPr>
          <w:b/>
          <w:color w:val="000000"/>
        </w:rPr>
      </w:pPr>
      <w:proofErr w:type="spellStart"/>
      <w:r>
        <w:rPr>
          <w:b/>
          <w:color w:val="000000"/>
        </w:rPr>
        <w:t>ICNU</w:t>
      </w:r>
      <w:proofErr w:type="spellEnd"/>
      <w:r w:rsidRPr="00D718CD">
        <w:rPr>
          <w:b/>
          <w:color w:val="000000"/>
        </w:rPr>
        <w:t xml:space="preserve"> </w:t>
      </w:r>
      <w:r>
        <w:rPr>
          <w:b/>
          <w:color w:val="000000"/>
        </w:rPr>
        <w:t>Data Request 6.10</w:t>
      </w:r>
    </w:p>
    <w:p w:rsidR="002E4892" w:rsidRDefault="002E4892" w:rsidP="002E4892">
      <w:pPr>
        <w:rPr>
          <w:b/>
          <w:color w:val="000000"/>
        </w:rPr>
      </w:pPr>
    </w:p>
    <w:p w:rsidR="002E4892" w:rsidRPr="00FC57D2" w:rsidRDefault="002E4892" w:rsidP="002E4892">
      <w:pPr>
        <w:pStyle w:val="ListParagraph"/>
      </w:pPr>
      <w:r w:rsidRPr="000D4F28">
        <w:t>Please provide a detailed explanation and all supporting work</w:t>
      </w:r>
      <w:r>
        <w:t xml:space="preserve"> </w:t>
      </w:r>
      <w:r w:rsidRPr="000D4F28">
        <w:t xml:space="preserve">papers for the variation in the hydro generation for each West hydro generating facility between the current proceeding and </w:t>
      </w:r>
      <w:proofErr w:type="spellStart"/>
      <w:r w:rsidRPr="000D4F28">
        <w:t>UE</w:t>
      </w:r>
      <w:proofErr w:type="spellEnd"/>
      <w:r w:rsidRPr="000D4F28">
        <w:t>-100749.</w:t>
      </w:r>
    </w:p>
    <w:p w:rsidR="002E4892" w:rsidRDefault="002E4892" w:rsidP="002E4892">
      <w:pPr>
        <w:ind w:left="720"/>
        <w:rPr>
          <w:b/>
          <w:color w:val="000000"/>
        </w:rPr>
      </w:pPr>
    </w:p>
    <w:p w:rsidR="002E4892" w:rsidRDefault="002E4892" w:rsidP="002E4892">
      <w:pPr>
        <w:rPr>
          <w:b/>
          <w:color w:val="000000"/>
        </w:rPr>
      </w:pPr>
      <w:r>
        <w:rPr>
          <w:b/>
          <w:color w:val="000000"/>
        </w:rPr>
        <w:t>1</w:t>
      </w:r>
      <w:r w:rsidRPr="00464FFF">
        <w:rPr>
          <w:b/>
          <w:color w:val="000000"/>
          <w:vertAlign w:val="superscript"/>
        </w:rPr>
        <w:t>st</w:t>
      </w:r>
      <w:r>
        <w:rPr>
          <w:b/>
          <w:color w:val="000000"/>
        </w:rPr>
        <w:t xml:space="preserve"> Supplemental Response to </w:t>
      </w:r>
      <w:proofErr w:type="spellStart"/>
      <w:r>
        <w:rPr>
          <w:b/>
          <w:color w:val="000000"/>
        </w:rPr>
        <w:t>ICNU</w:t>
      </w:r>
      <w:proofErr w:type="spellEnd"/>
      <w:r>
        <w:rPr>
          <w:b/>
          <w:color w:val="000000"/>
        </w:rPr>
        <w:t xml:space="preserve"> Data Request 6.10</w:t>
      </w:r>
    </w:p>
    <w:p w:rsidR="002E4892" w:rsidRDefault="002E4892" w:rsidP="002E4892">
      <w:pPr>
        <w:rPr>
          <w:b/>
          <w:color w:val="000000"/>
        </w:rPr>
      </w:pPr>
    </w:p>
    <w:p w:rsidR="002E4892" w:rsidRDefault="002E4892" w:rsidP="002E4892">
      <w:pPr>
        <w:ind w:left="720" w:hanging="720"/>
        <w:rPr>
          <w:color w:val="000000"/>
        </w:rPr>
      </w:pPr>
      <w:r>
        <w:rPr>
          <w:b/>
          <w:color w:val="000000"/>
        </w:rPr>
        <w:tab/>
      </w:r>
      <w:r>
        <w:rPr>
          <w:color w:val="000000"/>
        </w:rPr>
        <w:t xml:space="preserve">Further to the Company’s response to </w:t>
      </w:r>
      <w:proofErr w:type="spellStart"/>
      <w:r>
        <w:rPr>
          <w:color w:val="000000"/>
        </w:rPr>
        <w:t>ICNU</w:t>
      </w:r>
      <w:proofErr w:type="spellEnd"/>
      <w:r>
        <w:rPr>
          <w:color w:val="000000"/>
        </w:rPr>
        <w:t xml:space="preserve"> Data Request 6.10 dated October 26, 2011.</w:t>
      </w:r>
    </w:p>
    <w:p w:rsidR="002E4892" w:rsidRDefault="002E4892" w:rsidP="002E4892">
      <w:pPr>
        <w:ind w:left="720"/>
        <w:rPr>
          <w:color w:val="000000"/>
        </w:rPr>
      </w:pPr>
    </w:p>
    <w:p w:rsidR="002E4892" w:rsidRDefault="002E4892" w:rsidP="002E4892">
      <w:pPr>
        <w:ind w:left="720"/>
        <w:rPr>
          <w:color w:val="000000"/>
        </w:rPr>
      </w:pPr>
      <w:r>
        <w:rPr>
          <w:color w:val="000000"/>
        </w:rPr>
        <w:t xml:space="preserve">Please refer to Confidential Attachment </w:t>
      </w:r>
      <w:proofErr w:type="spellStart"/>
      <w:r>
        <w:rPr>
          <w:color w:val="000000"/>
        </w:rPr>
        <w:t>ICNU</w:t>
      </w:r>
      <w:proofErr w:type="spellEnd"/>
      <w:r>
        <w:rPr>
          <w:color w:val="000000"/>
        </w:rPr>
        <w:t xml:space="preserve"> 6.10 -1 1</w:t>
      </w:r>
      <w:r w:rsidRPr="007D7D7E">
        <w:rPr>
          <w:color w:val="000000"/>
          <w:vertAlign w:val="superscript"/>
        </w:rPr>
        <w:t>st</w:t>
      </w:r>
      <w:r>
        <w:rPr>
          <w:color w:val="000000"/>
        </w:rPr>
        <w:t xml:space="preserve"> Supplemental for hourly hydro generation in the Company’s 2010 general rate case (Docket </w:t>
      </w:r>
      <w:proofErr w:type="spellStart"/>
      <w:r w:rsidRPr="00E65DE6">
        <w:rPr>
          <w:color w:val="000000"/>
        </w:rPr>
        <w:t>UE</w:t>
      </w:r>
      <w:proofErr w:type="spellEnd"/>
      <w:r w:rsidRPr="00E65DE6">
        <w:rPr>
          <w:color w:val="000000"/>
        </w:rPr>
        <w:t>-100749</w:t>
      </w:r>
      <w:r>
        <w:rPr>
          <w:color w:val="000000"/>
        </w:rPr>
        <w:t>), which excluded planned and forced outages.</w:t>
      </w:r>
    </w:p>
    <w:p w:rsidR="002E4892" w:rsidRDefault="002E4892" w:rsidP="002E4892">
      <w:pPr>
        <w:ind w:left="720"/>
        <w:rPr>
          <w:color w:val="000000"/>
        </w:rPr>
      </w:pPr>
    </w:p>
    <w:p w:rsidR="002E4892" w:rsidRDefault="002E4892" w:rsidP="002E4892">
      <w:pPr>
        <w:ind w:left="720"/>
        <w:rPr>
          <w:color w:val="000000"/>
        </w:rPr>
      </w:pPr>
      <w:r>
        <w:rPr>
          <w:color w:val="000000"/>
        </w:rPr>
        <w:t xml:space="preserve">Please refer to Confidential Attachment </w:t>
      </w:r>
      <w:proofErr w:type="spellStart"/>
      <w:r>
        <w:rPr>
          <w:color w:val="000000"/>
        </w:rPr>
        <w:t>ICNU</w:t>
      </w:r>
      <w:proofErr w:type="spellEnd"/>
      <w:r>
        <w:rPr>
          <w:color w:val="000000"/>
        </w:rPr>
        <w:t xml:space="preserve"> 6.10 </w:t>
      </w:r>
      <w:proofErr w:type="gramStart"/>
      <w:r>
        <w:rPr>
          <w:color w:val="000000"/>
        </w:rPr>
        <w:t>-2 1</w:t>
      </w:r>
      <w:r w:rsidRPr="00187F27">
        <w:rPr>
          <w:color w:val="000000"/>
          <w:vertAlign w:val="superscript"/>
        </w:rPr>
        <w:t>st</w:t>
      </w:r>
      <w:r>
        <w:rPr>
          <w:color w:val="000000"/>
        </w:rPr>
        <w:t xml:space="preserve"> Supplemental</w:t>
      </w:r>
      <w:proofErr w:type="gramEnd"/>
      <w:r>
        <w:rPr>
          <w:color w:val="000000"/>
        </w:rPr>
        <w:t xml:space="preserve"> for hourly hydro generation in the current proceeding, which included the planned and forced outages.  Planned outages are inputs to the Vista model, and the model optimizes the utilization of </w:t>
      </w:r>
      <w:proofErr w:type="spellStart"/>
      <w:r>
        <w:rPr>
          <w:color w:val="000000"/>
        </w:rPr>
        <w:t>streamflow</w:t>
      </w:r>
      <w:proofErr w:type="spellEnd"/>
      <w:r>
        <w:rPr>
          <w:color w:val="000000"/>
        </w:rPr>
        <w:t xml:space="preserve"> around the timing and duration of the planned outages.  The impact of forced outages is reflected after the Vista run as explicit reduction in generation, given the unexpected nature of forced outages.</w:t>
      </w:r>
    </w:p>
    <w:p w:rsidR="002E4892" w:rsidRDefault="002E4892" w:rsidP="002E4892">
      <w:pPr>
        <w:ind w:left="720"/>
        <w:rPr>
          <w:color w:val="000000"/>
        </w:rPr>
      </w:pPr>
    </w:p>
    <w:p w:rsidR="002E4892" w:rsidRDefault="002E4892" w:rsidP="002E4892">
      <w:pPr>
        <w:ind w:left="720"/>
        <w:rPr>
          <w:color w:val="000000"/>
        </w:rPr>
      </w:pPr>
      <w:r>
        <w:rPr>
          <w:color w:val="000000"/>
        </w:rPr>
        <w:t xml:space="preserve">Please refer to Confidential Attachment </w:t>
      </w:r>
      <w:proofErr w:type="spellStart"/>
      <w:r>
        <w:rPr>
          <w:color w:val="000000"/>
        </w:rPr>
        <w:t>ICNU</w:t>
      </w:r>
      <w:proofErr w:type="spellEnd"/>
      <w:r>
        <w:rPr>
          <w:color w:val="000000"/>
        </w:rPr>
        <w:t xml:space="preserve"> 6.10 </w:t>
      </w:r>
      <w:proofErr w:type="gramStart"/>
      <w:r>
        <w:rPr>
          <w:color w:val="000000"/>
        </w:rPr>
        <w:t>-3 1</w:t>
      </w:r>
      <w:r w:rsidRPr="00187F27">
        <w:rPr>
          <w:color w:val="000000"/>
          <w:vertAlign w:val="superscript"/>
        </w:rPr>
        <w:t>st</w:t>
      </w:r>
      <w:r>
        <w:rPr>
          <w:color w:val="000000"/>
        </w:rPr>
        <w:t xml:space="preserve"> Supplemental for the development of planned and forced outages in the current proceeding</w:t>
      </w:r>
      <w:proofErr w:type="gramEnd"/>
      <w:r>
        <w:rPr>
          <w:color w:val="000000"/>
        </w:rPr>
        <w:t>. The preparation of the files is as follows:</w:t>
      </w:r>
    </w:p>
    <w:p w:rsidR="002E4892" w:rsidRDefault="002E4892" w:rsidP="002E4892">
      <w:pPr>
        <w:ind w:left="720"/>
        <w:rPr>
          <w:color w:val="000000"/>
        </w:rPr>
      </w:pPr>
    </w:p>
    <w:p w:rsidR="002E4892" w:rsidRDefault="002E4892" w:rsidP="002E4892">
      <w:pPr>
        <w:numPr>
          <w:ilvl w:val="0"/>
          <w:numId w:val="3"/>
        </w:numPr>
        <w:ind w:left="1080"/>
      </w:pPr>
      <w:r>
        <w:t>Identify planned and forced outages for January 1, 2007 through December 31, 2010.</w:t>
      </w:r>
    </w:p>
    <w:p w:rsidR="002E4892" w:rsidRDefault="002E4892" w:rsidP="002E4892">
      <w:pPr>
        <w:ind w:left="360" w:firstLine="360"/>
      </w:pPr>
    </w:p>
    <w:p w:rsidR="002E4892" w:rsidRDefault="002E4892" w:rsidP="002E4892">
      <w:pPr>
        <w:ind w:firstLine="720"/>
      </w:pPr>
      <w:r>
        <w:t>For planned and forced outages do steps 2 through 5 separately:</w:t>
      </w:r>
    </w:p>
    <w:p w:rsidR="002E4892" w:rsidRDefault="002E4892" w:rsidP="002E4892">
      <w:pPr>
        <w:ind w:firstLine="720"/>
        <w:rPr>
          <w:rFonts w:eastAsia="SimSun"/>
        </w:rPr>
      </w:pPr>
    </w:p>
    <w:p w:rsidR="002E4892" w:rsidRDefault="002E4892" w:rsidP="002E4892">
      <w:pPr>
        <w:numPr>
          <w:ilvl w:val="0"/>
          <w:numId w:val="3"/>
        </w:numPr>
        <w:ind w:left="1080"/>
      </w:pPr>
      <w:r>
        <w:t>Sort outages by plant and convert length from hours to days.</w:t>
      </w:r>
    </w:p>
    <w:p w:rsidR="002E4892" w:rsidRDefault="002E4892" w:rsidP="002E4892">
      <w:pPr>
        <w:ind w:left="720"/>
      </w:pPr>
    </w:p>
    <w:p w:rsidR="002E4892" w:rsidRDefault="002E4892" w:rsidP="002E4892">
      <w:pPr>
        <w:numPr>
          <w:ilvl w:val="0"/>
          <w:numId w:val="3"/>
        </w:numPr>
        <w:ind w:left="1080"/>
      </w:pPr>
      <w:r>
        <w:t xml:space="preserve">Use pivot table to average the number of </w:t>
      </w:r>
      <w:proofErr w:type="gramStart"/>
      <w:r>
        <w:t>days</w:t>
      </w:r>
      <w:proofErr w:type="gramEnd"/>
      <w:r>
        <w:t xml:space="preserve"> offline per month at each plant.</w:t>
      </w:r>
    </w:p>
    <w:p w:rsidR="002E4892" w:rsidRDefault="002E4892" w:rsidP="002E4892">
      <w:pPr>
        <w:ind w:left="720"/>
      </w:pPr>
    </w:p>
    <w:p w:rsidR="002E4892" w:rsidRDefault="002E4892" w:rsidP="002E4892">
      <w:pPr>
        <w:numPr>
          <w:ilvl w:val="0"/>
          <w:numId w:val="3"/>
        </w:numPr>
        <w:ind w:left="1080"/>
      </w:pPr>
      <w:r>
        <w:t>Sum the outages by month to get average number of outage days per month.</w:t>
      </w:r>
    </w:p>
    <w:p w:rsidR="002E4892" w:rsidRDefault="002E4892" w:rsidP="002E4892">
      <w:pPr>
        <w:ind w:left="720"/>
      </w:pPr>
    </w:p>
    <w:p w:rsidR="002E4892" w:rsidRDefault="002E4892" w:rsidP="002E4892">
      <w:pPr>
        <w:numPr>
          <w:ilvl w:val="0"/>
          <w:numId w:val="3"/>
        </w:numPr>
        <w:ind w:left="1080"/>
      </w:pPr>
      <w:r>
        <w:t>Create outage cases for each plant based on the results from step 4 above:</w:t>
      </w:r>
    </w:p>
    <w:p w:rsidR="002E4892" w:rsidRDefault="002E4892" w:rsidP="002E4892">
      <w:pPr>
        <w:pStyle w:val="ListParagraph"/>
      </w:pPr>
    </w:p>
    <w:p w:rsidR="002E4892" w:rsidRDefault="002E4892" w:rsidP="002E4892">
      <w:pPr>
        <w:numPr>
          <w:ilvl w:val="1"/>
          <w:numId w:val="3"/>
        </w:numPr>
        <w:ind w:left="1440"/>
      </w:pPr>
      <w:r>
        <w:t>The number outage days in each month are placed randomly in weeks of the month.</w:t>
      </w:r>
    </w:p>
    <w:p w:rsidR="002E4892" w:rsidRDefault="002E4892" w:rsidP="002E4892">
      <w:pPr>
        <w:numPr>
          <w:ilvl w:val="1"/>
          <w:numId w:val="3"/>
        </w:numPr>
        <w:ind w:left="1440"/>
      </w:pPr>
      <w:r>
        <w:t>For months with a high number of outage days, the days were scheduled in contiguous weeks.</w:t>
      </w:r>
    </w:p>
    <w:p w:rsidR="002E4892" w:rsidRDefault="00827240" w:rsidP="002E4892">
      <w:pPr>
        <w:numPr>
          <w:ilvl w:val="1"/>
          <w:numId w:val="3"/>
        </w:numPr>
        <w:ind w:left="1440"/>
      </w:pPr>
      <w:r>
        <w:rPr>
          <w:noProof/>
        </w:rPr>
        <w:lastRenderedPageBreak/>
        <w:pict>
          <v:shape id="_x0000_s1027" type="#_x0000_t202" style="position:absolute;left:0;text-align:left;margin-left:270pt;margin-top:-61.2pt;width:215.25pt;height:44.25pt;z-index:251659264" stroked="f">
            <v:textbox>
              <w:txbxContent>
                <w:p w:rsidR="00827240" w:rsidRDefault="00827240" w:rsidP="00827240">
                  <w:pPr>
                    <w:jc w:val="right"/>
                  </w:pPr>
                  <w:r>
                    <w:t>Exhibit No. ___(</w:t>
                  </w:r>
                  <w:proofErr w:type="spellStart"/>
                  <w:r>
                    <w:t>MCD</w:t>
                  </w:r>
                  <w:proofErr w:type="spellEnd"/>
                  <w:r>
                    <w:t>-7)</w:t>
                  </w:r>
                </w:p>
                <w:p w:rsidR="00827240" w:rsidRDefault="00827240" w:rsidP="00827240">
                  <w:pPr>
                    <w:jc w:val="right"/>
                  </w:pPr>
                  <w:r>
                    <w:t>Page 2 of 2</w:t>
                  </w:r>
                </w:p>
                <w:p w:rsidR="00827240" w:rsidRDefault="00827240"/>
              </w:txbxContent>
            </v:textbox>
          </v:shape>
        </w:pict>
      </w:r>
      <w:r w:rsidR="002E4892">
        <w:t>Months containing less than 1 average outage day were ignored or combined.</w:t>
      </w:r>
    </w:p>
    <w:p w:rsidR="002E4892" w:rsidRDefault="002E4892" w:rsidP="002E4892">
      <w:pPr>
        <w:numPr>
          <w:ilvl w:val="1"/>
          <w:numId w:val="3"/>
        </w:numPr>
        <w:ind w:left="1440"/>
      </w:pPr>
      <w:r>
        <w:t xml:space="preserve">The sum of the yearly outages at each plant was checked to match the results of step 4. </w:t>
      </w:r>
    </w:p>
    <w:p w:rsidR="002E4892" w:rsidRDefault="002E4892" w:rsidP="002E4892">
      <w:pPr>
        <w:ind w:left="1080"/>
      </w:pPr>
    </w:p>
    <w:p w:rsidR="002E4892" w:rsidRDefault="002E4892" w:rsidP="002E4892">
      <w:pPr>
        <w:numPr>
          <w:ilvl w:val="0"/>
          <w:numId w:val="3"/>
        </w:numPr>
        <w:ind w:left="1080"/>
      </w:pPr>
      <w:r>
        <w:t>Planned outage cases are input into Vista.</w:t>
      </w:r>
    </w:p>
    <w:p w:rsidR="002E4892" w:rsidRDefault="002E4892" w:rsidP="002E4892">
      <w:pPr>
        <w:ind w:left="720"/>
      </w:pPr>
    </w:p>
    <w:p w:rsidR="002E4892" w:rsidRDefault="002E4892" w:rsidP="002E4892">
      <w:pPr>
        <w:numPr>
          <w:ilvl w:val="0"/>
          <w:numId w:val="3"/>
        </w:numPr>
        <w:ind w:left="1080"/>
      </w:pPr>
      <w:r>
        <w:t>Forced outage cases are further assigned a random starting day within the month and applied to Vista output. The Vista generation and capacity output is reduced so that it does not exceed the outage-reduced capacity.  The forced outages are applied as a capacity limit which is zero for single-unit plants and the remaining plant capacity for multiple unit plants. The outage-reduced generation is the lesser of the remaining capacity and the scheduled generation. In many cases, a single-unit outage results in no lost generation.</w:t>
      </w:r>
    </w:p>
    <w:p w:rsidR="002E4892" w:rsidRDefault="002E4892" w:rsidP="002E4892">
      <w:pPr>
        <w:rPr>
          <w:rFonts w:eastAsia="SimSun"/>
        </w:rPr>
      </w:pPr>
    </w:p>
    <w:p w:rsidR="002E4892" w:rsidRDefault="002E4892" w:rsidP="002E4892">
      <w:pPr>
        <w:ind w:left="720"/>
        <w:rPr>
          <w:color w:val="000000"/>
        </w:rPr>
      </w:pPr>
      <w:r>
        <w:t xml:space="preserve">This process is used for the Lewis, Klamath and North Umpqua Rivers. </w:t>
      </w:r>
      <w:r>
        <w:rPr>
          <w:color w:val="000000"/>
        </w:rPr>
        <w:t xml:space="preserve"> For run-of rivers, the outages have been reflected in the historical generation that is the basis of the normalized generation for the test period.  </w:t>
      </w:r>
    </w:p>
    <w:p w:rsidR="002E4892" w:rsidRDefault="002E4892" w:rsidP="002E4892">
      <w:pPr>
        <w:ind w:left="720"/>
        <w:rPr>
          <w:color w:val="000000"/>
        </w:rPr>
      </w:pPr>
    </w:p>
    <w:p w:rsidR="002E4892" w:rsidRDefault="002E4892" w:rsidP="002E4892">
      <w:pPr>
        <w:ind w:left="720"/>
      </w:pPr>
      <w:r>
        <w:t>Confidential information is provided subject to the terms and conditions of the protective order in this proceeding.</w:t>
      </w:r>
    </w:p>
    <w:p w:rsidR="002E4892" w:rsidRPr="00464FFF" w:rsidRDefault="002E4892" w:rsidP="002E4892">
      <w:pPr>
        <w:ind w:left="720"/>
        <w:rPr>
          <w:color w:val="000000"/>
        </w:rPr>
      </w:pPr>
    </w:p>
    <w:p w:rsidR="002E4892" w:rsidRDefault="002E4892" w:rsidP="002E4892">
      <w:pPr>
        <w:rPr>
          <w:b/>
          <w:color w:val="000000"/>
        </w:rPr>
      </w:pPr>
    </w:p>
    <w:p w:rsidR="002E4892" w:rsidRDefault="002E4892" w:rsidP="002E4892">
      <w:pPr>
        <w:ind w:firstLine="720"/>
      </w:pPr>
      <w:r>
        <w:t xml:space="preserve">PREPARER: </w:t>
      </w:r>
      <w:r>
        <w:tab/>
      </w:r>
      <w:proofErr w:type="spellStart"/>
      <w:r>
        <w:t>Connely</w:t>
      </w:r>
      <w:proofErr w:type="spellEnd"/>
      <w:r>
        <w:t xml:space="preserve"> Baldwin</w:t>
      </w:r>
    </w:p>
    <w:p w:rsidR="002E4892" w:rsidRDefault="002E4892" w:rsidP="002E4892">
      <w:pPr>
        <w:ind w:left="720"/>
      </w:pPr>
    </w:p>
    <w:p w:rsidR="002E4892" w:rsidRDefault="002E4892" w:rsidP="002E4892">
      <w:pPr>
        <w:ind w:left="720"/>
      </w:pPr>
      <w:r>
        <w:t xml:space="preserve">SPONSOR:  </w:t>
      </w:r>
      <w:r>
        <w:tab/>
        <w:t>Greg Duvall</w:t>
      </w:r>
    </w:p>
    <w:p w:rsidR="002E4892" w:rsidRDefault="002E4892" w:rsidP="002E4892">
      <w:pPr>
        <w:rPr>
          <w:b/>
          <w:color w:val="000000"/>
        </w:rPr>
      </w:pPr>
    </w:p>
    <w:p w:rsidR="002E4892" w:rsidRPr="00256452" w:rsidRDefault="002E4892" w:rsidP="002E4892">
      <w:pPr>
        <w:rPr>
          <w:color w:val="000000"/>
        </w:rPr>
      </w:pPr>
      <w:r>
        <w:rPr>
          <w:color w:val="000000"/>
        </w:rPr>
        <w:t xml:space="preserve"> </w:t>
      </w:r>
    </w:p>
    <w:p w:rsidR="005D57D9" w:rsidRDefault="005D57D9"/>
    <w:sectPr w:rsidR="005D57D9" w:rsidSect="00FE241B">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892" w:rsidRPr="0048625D" w:rsidRDefault="002E4892" w:rsidP="002E4892">
      <w:r>
        <w:separator/>
      </w:r>
    </w:p>
  </w:endnote>
  <w:endnote w:type="continuationSeparator" w:id="0">
    <w:p w:rsidR="002E4892" w:rsidRPr="0048625D" w:rsidRDefault="002E4892" w:rsidP="002E4892">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892" w:rsidRPr="0048625D" w:rsidRDefault="002E4892" w:rsidP="002E4892">
      <w:r>
        <w:separator/>
      </w:r>
    </w:p>
  </w:footnote>
  <w:footnote w:type="continuationSeparator" w:id="0">
    <w:p w:rsidR="002E4892" w:rsidRPr="0048625D" w:rsidRDefault="002E4892" w:rsidP="002E4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452" w:rsidRDefault="00827240" w:rsidP="00062F85">
    <w:pPr>
      <w:pStyle w:val="Header"/>
      <w:rPr>
        <w:color w:val="000000"/>
      </w:rPr>
    </w:pPr>
    <w:proofErr w:type="spellStart"/>
    <w:r>
      <w:rPr>
        <w:color w:val="000000"/>
      </w:rPr>
      <w:t>UE</w:t>
    </w:r>
    <w:proofErr w:type="spellEnd"/>
    <w:r>
      <w:rPr>
        <w:color w:val="000000"/>
      </w:rPr>
      <w:t>-111190/PacifiCorp</w:t>
    </w:r>
  </w:p>
  <w:p w:rsidR="00256452" w:rsidRPr="00DD3A6B" w:rsidRDefault="00827240" w:rsidP="00DD3A6B">
    <w:pPr>
      <w:pStyle w:val="Header"/>
      <w:rPr>
        <w:color w:val="000000"/>
      </w:rPr>
    </w:pPr>
    <w:r>
      <w:rPr>
        <w:color w:val="000000"/>
      </w:rPr>
      <w:t>November  3</w:t>
    </w:r>
    <w:r>
      <w:rPr>
        <w:color w:val="000000"/>
      </w:rPr>
      <w:t>, 2011</w:t>
    </w:r>
  </w:p>
  <w:p w:rsidR="00256452" w:rsidRDefault="00827240">
    <w:pPr>
      <w:pStyle w:val="Header"/>
      <w:rPr>
        <w:color w:val="000000"/>
      </w:rPr>
    </w:pPr>
    <w:proofErr w:type="spellStart"/>
    <w:r>
      <w:rPr>
        <w:color w:val="000000"/>
      </w:rPr>
      <w:t>ICNU</w:t>
    </w:r>
    <w:proofErr w:type="spellEnd"/>
    <w:r w:rsidRPr="00D718CD">
      <w:rPr>
        <w:color w:val="000000"/>
      </w:rPr>
      <w:t xml:space="preserve"> </w:t>
    </w:r>
    <w:r w:rsidRPr="00DD3A6B">
      <w:rPr>
        <w:color w:val="000000"/>
      </w:rPr>
      <w:t>Data Re</w:t>
    </w:r>
    <w:r>
      <w:rPr>
        <w:color w:val="000000"/>
      </w:rPr>
      <w:t>quest 6.10 – 1</w:t>
    </w:r>
    <w:r w:rsidRPr="00B3730F">
      <w:rPr>
        <w:color w:val="000000"/>
        <w:vertAlign w:val="superscript"/>
      </w:rPr>
      <w:t>st</w:t>
    </w:r>
    <w:r>
      <w:rPr>
        <w:color w:val="000000"/>
      </w:rPr>
      <w:t xml:space="preserve"> Supplementa</w:t>
    </w:r>
    <w:r>
      <w:rPr>
        <w:color w:val="000000"/>
      </w:rPr>
      <w:t>l</w:t>
    </w:r>
  </w:p>
  <w:p w:rsidR="002E4892" w:rsidRPr="002E191B" w:rsidRDefault="002E4892">
    <w:pPr>
      <w:pStyle w:val="Head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13B93"/>
    <w:multiLevelType w:val="hybridMultilevel"/>
    <w:tmpl w:val="6C067B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2CD8291B"/>
    <w:multiLevelType w:val="multilevel"/>
    <w:tmpl w:val="7D5E04F0"/>
    <w:styleLink w:val="briefnumbertabspots"/>
    <w:lvl w:ilvl="0">
      <w:start w:val="1"/>
      <w:numFmt w:val="decimal"/>
      <w:lvlText w:val="%1"/>
      <w:lvlJc w:val="left"/>
      <w:pPr>
        <w:tabs>
          <w:tab w:val="num" w:pos="720"/>
        </w:tabs>
        <w:ind w:left="720" w:hanging="1440"/>
      </w:pPr>
      <w:rPr>
        <w:rFonts w:ascii="Palatino Linotype" w:hAnsi="Palatino Linotype" w:hint="default"/>
        <w:b w:val="0"/>
        <w:i/>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68931D5B"/>
    <w:multiLevelType w:val="hybridMultilevel"/>
    <w:tmpl w:val="3EBC2A3C"/>
    <w:lvl w:ilvl="0" w:tplc="BA48FABC">
      <w:start w:val="1"/>
      <w:numFmt w:val="decimal"/>
      <w:pStyle w:val="WUTCParagraph"/>
      <w:lvlText w:val="%1"/>
      <w:lvlJc w:val="left"/>
      <w:pPr>
        <w:tabs>
          <w:tab w:val="num" w:pos="720"/>
        </w:tabs>
        <w:ind w:left="72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624"/>
  <w:defaultTabStop w:val="720"/>
  <w:characterSpacingControl w:val="doNotCompress"/>
  <w:footnotePr>
    <w:footnote w:id="-1"/>
    <w:footnote w:id="0"/>
  </w:footnotePr>
  <w:endnotePr>
    <w:endnote w:id="-1"/>
    <w:endnote w:id="0"/>
  </w:endnotePr>
  <w:compat/>
  <w:rsids>
    <w:rsidRoot w:val="002E4892"/>
    <w:rsid w:val="00292C0B"/>
    <w:rsid w:val="002E4892"/>
    <w:rsid w:val="00552F8C"/>
    <w:rsid w:val="005D57D9"/>
    <w:rsid w:val="00827240"/>
    <w:rsid w:val="00B1515F"/>
    <w:rsid w:val="00E31B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8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riefnumbertabspots">
    <w:name w:val="brief number tab spots"/>
    <w:uiPriority w:val="99"/>
    <w:rsid w:val="00E31BC9"/>
    <w:pPr>
      <w:numPr>
        <w:numId w:val="1"/>
      </w:numPr>
    </w:pPr>
  </w:style>
  <w:style w:type="paragraph" w:customStyle="1" w:styleId="WUTCParagraph">
    <w:name w:val="WUTC Paragraph"/>
    <w:basedOn w:val="Normal"/>
    <w:rsid w:val="00292C0B"/>
    <w:pPr>
      <w:numPr>
        <w:numId w:val="2"/>
      </w:numPr>
      <w:tabs>
        <w:tab w:val="left" w:pos="1440"/>
      </w:tabs>
      <w:spacing w:line="480" w:lineRule="auto"/>
    </w:pPr>
  </w:style>
  <w:style w:type="paragraph" w:styleId="TableofAuthorities">
    <w:name w:val="table of authorities"/>
    <w:basedOn w:val="Normal"/>
    <w:next w:val="Normal"/>
    <w:uiPriority w:val="99"/>
    <w:unhideWhenUsed/>
    <w:rsid w:val="00292C0B"/>
    <w:pPr>
      <w:ind w:left="240" w:hanging="240"/>
    </w:pPr>
  </w:style>
  <w:style w:type="paragraph" w:styleId="Header">
    <w:name w:val="header"/>
    <w:basedOn w:val="Normal"/>
    <w:link w:val="HeaderChar"/>
    <w:rsid w:val="002E4892"/>
    <w:pPr>
      <w:tabs>
        <w:tab w:val="center" w:pos="4320"/>
        <w:tab w:val="right" w:pos="8640"/>
      </w:tabs>
    </w:pPr>
  </w:style>
  <w:style w:type="character" w:customStyle="1" w:styleId="HeaderChar">
    <w:name w:val="Header Char"/>
    <w:basedOn w:val="DefaultParagraphFont"/>
    <w:link w:val="Header"/>
    <w:rsid w:val="002E4892"/>
    <w:rPr>
      <w:rFonts w:ascii="Times New Roman" w:eastAsia="Times New Roman" w:hAnsi="Times New Roman" w:cs="Times New Roman"/>
      <w:sz w:val="24"/>
      <w:szCs w:val="24"/>
    </w:rPr>
  </w:style>
  <w:style w:type="paragraph" w:styleId="ListParagraph">
    <w:name w:val="List Paragraph"/>
    <w:basedOn w:val="Normal"/>
    <w:uiPriority w:val="34"/>
    <w:qFormat/>
    <w:rsid w:val="002E4892"/>
    <w:pPr>
      <w:ind w:left="720"/>
    </w:pPr>
  </w:style>
  <w:style w:type="paragraph" w:styleId="Footer">
    <w:name w:val="footer"/>
    <w:basedOn w:val="Normal"/>
    <w:link w:val="FooterChar"/>
    <w:uiPriority w:val="99"/>
    <w:semiHidden/>
    <w:unhideWhenUsed/>
    <w:rsid w:val="002E4892"/>
    <w:pPr>
      <w:tabs>
        <w:tab w:val="center" w:pos="4680"/>
        <w:tab w:val="right" w:pos="9360"/>
      </w:tabs>
    </w:pPr>
  </w:style>
  <w:style w:type="character" w:customStyle="1" w:styleId="FooterChar">
    <w:name w:val="Footer Char"/>
    <w:basedOn w:val="DefaultParagraphFont"/>
    <w:link w:val="Footer"/>
    <w:uiPriority w:val="99"/>
    <w:semiHidden/>
    <w:rsid w:val="002E489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2012-01-06T08:00:00+00:00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D7CB0B9-EF0A-4CFE-AE79-12C0AD03095D}"/>
</file>

<file path=customXml/itemProps2.xml><?xml version="1.0" encoding="utf-8"?>
<ds:datastoreItem xmlns:ds="http://schemas.openxmlformats.org/officeDocument/2006/customXml" ds:itemID="{20713B64-6B3F-4468-BDCC-7A92D4035DE2}"/>
</file>

<file path=customXml/itemProps3.xml><?xml version="1.0" encoding="utf-8"?>
<ds:datastoreItem xmlns:ds="http://schemas.openxmlformats.org/officeDocument/2006/customXml" ds:itemID="{B16E96A3-4795-4D60-A917-282D8B1812B3}"/>
</file>

<file path=customXml/itemProps4.xml><?xml version="1.0" encoding="utf-8"?>
<ds:datastoreItem xmlns:ds="http://schemas.openxmlformats.org/officeDocument/2006/customXml" ds:itemID="{6887163B-539B-4A77-B565-686FEA64D212}"/>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2539</Characters>
  <Application>Microsoft Office Word</Application>
  <DocSecurity>0</DocSecurity>
  <Lines>21</Lines>
  <Paragraphs>5</Paragraphs>
  <ScaleCrop>false</ScaleCrop>
  <Company>Microsoft</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 Kohler</dc:creator>
  <cp:lastModifiedBy>Sarah A. Kohler</cp:lastModifiedBy>
  <cp:revision>2</cp:revision>
  <dcterms:created xsi:type="dcterms:W3CDTF">2011-12-29T20:53:00Z</dcterms:created>
  <dcterms:modified xsi:type="dcterms:W3CDTF">2011-12-29T20:55:00Z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0x0101006E56B4D1795A2E4DB2F0B01679ED314A00D17CE28074734D4792DBD415A4708DE0</vt:lpwstr>
  </property>
  <property fmtid="{D5CDD505-2E9C-101B-9397-08002B2CF9AE}" pid="3" name="_docset_NoMedatataSyncRequired">
    <vt:lpwstr>False</vt:lpwstr>
  </property>
</Properties>
</file>