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0207D4" w:rsidRDefault="00931AC6" w:rsidP="0095127C">
      <w:pPr>
        <w:pStyle w:val="single"/>
        <w:widowControl w:val="0"/>
        <w:spacing w:before="0" w:line="240" w:lineRule="auto"/>
        <w:ind w:left="4320" w:firstLine="0"/>
        <w:rPr>
          <w:rStyle w:val="Strong"/>
        </w:rPr>
      </w:pPr>
      <w:r>
        <w:rPr>
          <w:rStyle w:val="Strong"/>
        </w:rPr>
        <w:t>EXHIBIT NO. ___(</w:t>
      </w:r>
      <w:r w:rsidR="00A63DA2">
        <w:rPr>
          <w:rStyle w:val="Strong"/>
        </w:rPr>
        <w:t xml:space="preserve"> </w:t>
      </w:r>
      <w:r w:rsidR="00C5493A">
        <w:rPr>
          <w:rStyle w:val="Strong"/>
        </w:rPr>
        <w:t>AF-</w:t>
      </w:r>
      <w:r w:rsidR="00C85FBD">
        <w:rPr>
          <w:rStyle w:val="Strong"/>
        </w:rPr>
        <w:t>1T</w:t>
      </w:r>
      <w:r w:rsidR="00A63DA2">
        <w:rPr>
          <w:rStyle w:val="Strong"/>
        </w:rPr>
        <w:t xml:space="preserve"> </w:t>
      </w:r>
      <w:r>
        <w:rPr>
          <w:rStyle w:val="Strong"/>
        </w:rPr>
        <w:t>)</w:t>
      </w:r>
      <w:r>
        <w:rPr>
          <w:rStyle w:val="Strong"/>
        </w:rPr>
        <w:br/>
        <w:t>DOCKET</w:t>
      </w:r>
      <w:r w:rsidR="00A63DA2">
        <w:rPr>
          <w:rStyle w:val="Strong"/>
        </w:rPr>
        <w:t>S</w:t>
      </w:r>
      <w:r>
        <w:rPr>
          <w:rStyle w:val="Strong"/>
        </w:rPr>
        <w:t> UE</w:t>
      </w:r>
      <w:r>
        <w:rPr>
          <w:rStyle w:val="Strong"/>
        </w:rPr>
        <w:noBreakHyphen/>
      </w:r>
      <w:r w:rsidR="00CF7990">
        <w:rPr>
          <w:rStyle w:val="Strong"/>
        </w:rPr>
        <w:t>1</w:t>
      </w:r>
      <w:r w:rsidR="002F5D43">
        <w:rPr>
          <w:rStyle w:val="Strong"/>
        </w:rPr>
        <w:t>5</w:t>
      </w:r>
      <w:r w:rsidR="00A63DA2">
        <w:rPr>
          <w:rStyle w:val="Strong"/>
        </w:rPr>
        <w:t>1871/UG-151872</w:t>
      </w:r>
      <w:r>
        <w:rPr>
          <w:rStyle w:val="Strong"/>
        </w:rPr>
        <w:br/>
      </w:r>
      <w:r w:rsidR="00A63DA2">
        <w:rPr>
          <w:rStyle w:val="Strong"/>
        </w:rPr>
        <w:t>PSE LEASING TARIFF</w:t>
      </w:r>
      <w:r>
        <w:rPr>
          <w:rStyle w:val="Strong"/>
        </w:rPr>
        <w:t xml:space="preserve"> </w:t>
      </w:r>
      <w:r>
        <w:rPr>
          <w:rStyle w:val="Strong"/>
        </w:rPr>
        <w:br/>
        <w:t>WITNESS:  </w:t>
      </w:r>
      <w:r w:rsidR="007D25F3">
        <w:rPr>
          <w:rStyle w:val="Strong"/>
        </w:rPr>
        <w:t>AHMAD FARUQUI, PhD</w:t>
      </w: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p>
    <w:p w:rsidR="00931AC6" w:rsidRDefault="00931AC6" w:rsidP="0095127C">
      <w:pPr>
        <w:pStyle w:val="center"/>
        <w:keepLines w:val="0"/>
        <w:widowControl w:val="0"/>
        <w:tabs>
          <w:tab w:val="left" w:pos="6480"/>
        </w:tabs>
        <w:spacing w:before="0" w:line="240" w:lineRule="auto"/>
        <w:rPr>
          <w:b/>
        </w:rPr>
      </w:pP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r>
        <w:rPr>
          <w:b/>
        </w:rPr>
        <w:t>BEFORE THE</w:t>
      </w:r>
    </w:p>
    <w:p w:rsidR="00931AC6" w:rsidRDefault="00931AC6" w:rsidP="0055158E">
      <w:pPr>
        <w:pStyle w:val="center"/>
        <w:keepLines w:val="0"/>
        <w:widowControl w:val="0"/>
        <w:spacing w:before="0" w:line="240" w:lineRule="auto"/>
        <w:rPr>
          <w:b/>
        </w:rPr>
      </w:pPr>
      <w:r>
        <w:rPr>
          <w:b/>
        </w:rPr>
        <w:t>WASHINGTON UTILITIES AND TRANSPORTATION COMMISSION</w:t>
      </w: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p>
    <w:p w:rsidR="00931AC6" w:rsidRDefault="00931AC6" w:rsidP="0055158E">
      <w:pPr>
        <w:pStyle w:val="center"/>
        <w:keepLines w:val="0"/>
        <w:widowControl w:val="0"/>
        <w:spacing w:before="0" w:line="240" w:lineRule="auto"/>
        <w:rPr>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Tr="00092314">
        <w:trPr>
          <w:cantSplit/>
        </w:trPr>
        <w:tc>
          <w:tcPr>
            <w:tcW w:w="5102" w:type="dxa"/>
            <w:tcBorders>
              <w:bottom w:val="single" w:sz="4" w:space="0" w:color="auto"/>
              <w:right w:val="single" w:sz="4" w:space="0" w:color="auto"/>
            </w:tcBorders>
          </w:tcPr>
          <w:p w:rsidR="00931AC6" w:rsidRDefault="00931AC6" w:rsidP="00092314">
            <w:pPr>
              <w:pStyle w:val="SingleSpacing"/>
              <w:widowControl w:val="0"/>
              <w:rPr>
                <w:b/>
                <w:sz w:val="24"/>
              </w:rPr>
            </w:pPr>
            <w:r>
              <w:rPr>
                <w:b/>
                <w:sz w:val="24"/>
              </w:rPr>
              <w:t>WASHINGTON UTILITIES AND</w:t>
            </w:r>
          </w:p>
          <w:p w:rsidR="00931AC6" w:rsidRDefault="00931AC6" w:rsidP="00092314">
            <w:pPr>
              <w:pStyle w:val="SingleSpacing"/>
              <w:widowControl w:val="0"/>
              <w:rPr>
                <w:b/>
                <w:sz w:val="24"/>
              </w:rPr>
            </w:pPr>
            <w:r>
              <w:rPr>
                <w:b/>
                <w:sz w:val="24"/>
              </w:rPr>
              <w:t>TRANSPORTATION COMMISSION,</w:t>
            </w:r>
          </w:p>
          <w:p w:rsidR="00931AC6" w:rsidRDefault="00931AC6" w:rsidP="00092314">
            <w:pPr>
              <w:pStyle w:val="SingleSpacing"/>
              <w:widowControl w:val="0"/>
              <w:rPr>
                <w:b/>
                <w:sz w:val="24"/>
              </w:rPr>
            </w:pPr>
          </w:p>
          <w:p w:rsidR="00931AC6" w:rsidRDefault="00931AC6" w:rsidP="00092314">
            <w:pPr>
              <w:pStyle w:val="SingleSpacing"/>
              <w:widowControl w:val="0"/>
              <w:tabs>
                <w:tab w:val="left" w:pos="2168"/>
                <w:tab w:val="left" w:pos="4550"/>
              </w:tabs>
              <w:ind w:right="360"/>
              <w:jc w:val="right"/>
              <w:rPr>
                <w:b/>
                <w:sz w:val="24"/>
              </w:rPr>
            </w:pPr>
            <w:r>
              <w:rPr>
                <w:b/>
                <w:sz w:val="24"/>
              </w:rPr>
              <w:t>Complainant,</w:t>
            </w:r>
          </w:p>
          <w:p w:rsidR="00931AC6" w:rsidRDefault="00931AC6" w:rsidP="00092314">
            <w:pPr>
              <w:pStyle w:val="SingleSpacing"/>
              <w:widowControl w:val="0"/>
              <w:rPr>
                <w:b/>
                <w:sz w:val="24"/>
              </w:rPr>
            </w:pPr>
          </w:p>
          <w:p w:rsidR="00931AC6" w:rsidRDefault="00931AC6" w:rsidP="00092314">
            <w:pPr>
              <w:pStyle w:val="SingleSpacing"/>
              <w:widowControl w:val="0"/>
              <w:rPr>
                <w:b/>
                <w:sz w:val="24"/>
              </w:rPr>
            </w:pPr>
            <w:r>
              <w:rPr>
                <w:b/>
                <w:sz w:val="24"/>
              </w:rPr>
              <w:tab/>
              <w:t>v.</w:t>
            </w:r>
          </w:p>
          <w:p w:rsidR="00931AC6" w:rsidRDefault="00931AC6" w:rsidP="00092314">
            <w:pPr>
              <w:pStyle w:val="SingleSpacing"/>
              <w:widowControl w:val="0"/>
              <w:rPr>
                <w:b/>
                <w:sz w:val="24"/>
              </w:rPr>
            </w:pPr>
          </w:p>
          <w:p w:rsidR="00931AC6" w:rsidRDefault="00931AC6" w:rsidP="00092314">
            <w:pPr>
              <w:pStyle w:val="SingleSpacing"/>
              <w:widowControl w:val="0"/>
              <w:rPr>
                <w:b/>
                <w:sz w:val="24"/>
              </w:rPr>
            </w:pPr>
            <w:r>
              <w:rPr>
                <w:b/>
                <w:sz w:val="24"/>
              </w:rPr>
              <w:t>PUGET SOUND ENERGY,</w:t>
            </w:r>
          </w:p>
          <w:p w:rsidR="00931AC6" w:rsidRDefault="00931AC6" w:rsidP="00092314">
            <w:pPr>
              <w:pStyle w:val="SingleSpacing"/>
              <w:widowControl w:val="0"/>
              <w:rPr>
                <w:b/>
                <w:sz w:val="24"/>
              </w:rPr>
            </w:pPr>
          </w:p>
          <w:p w:rsidR="00931AC6" w:rsidRDefault="00931AC6" w:rsidP="00092314">
            <w:pPr>
              <w:pStyle w:val="SingleSpacing"/>
              <w:widowControl w:val="0"/>
              <w:tabs>
                <w:tab w:val="left" w:pos="2168"/>
              </w:tabs>
              <w:ind w:right="360"/>
              <w:jc w:val="right"/>
              <w:rPr>
                <w:b/>
                <w:sz w:val="24"/>
              </w:rPr>
            </w:pPr>
            <w:r>
              <w:rPr>
                <w:b/>
                <w:sz w:val="24"/>
              </w:rPr>
              <w:t>Respondent.</w:t>
            </w:r>
          </w:p>
          <w:p w:rsidR="00931AC6" w:rsidRDefault="00931AC6" w:rsidP="00092314">
            <w:pPr>
              <w:pStyle w:val="SingleSpacing"/>
              <w:widowControl w:val="0"/>
              <w:tabs>
                <w:tab w:val="left" w:pos="1440"/>
              </w:tabs>
              <w:rPr>
                <w:b/>
                <w:sz w:val="24"/>
              </w:rPr>
            </w:pPr>
          </w:p>
        </w:tc>
        <w:tc>
          <w:tcPr>
            <w:tcW w:w="130" w:type="dxa"/>
            <w:tcBorders>
              <w:left w:val="single" w:sz="4" w:space="0" w:color="auto"/>
            </w:tcBorders>
          </w:tcPr>
          <w:p w:rsidR="00931AC6" w:rsidRDefault="00931AC6" w:rsidP="00092314">
            <w:pPr>
              <w:widowControl w:val="0"/>
              <w:rPr>
                <w:b/>
              </w:rPr>
            </w:pPr>
          </w:p>
        </w:tc>
        <w:tc>
          <w:tcPr>
            <w:tcW w:w="4423" w:type="dxa"/>
            <w:vAlign w:val="center"/>
          </w:tcPr>
          <w:p w:rsidR="00C85FBD" w:rsidRDefault="00931AC6" w:rsidP="00863BAA">
            <w:pPr>
              <w:pStyle w:val="SingleSpacing"/>
              <w:widowControl w:val="0"/>
              <w:tabs>
                <w:tab w:val="left" w:pos="1076"/>
                <w:tab w:val="left" w:pos="1605"/>
              </w:tabs>
              <w:ind w:left="198"/>
              <w:rPr>
                <w:b/>
                <w:sz w:val="24"/>
              </w:rPr>
            </w:pPr>
            <w:r>
              <w:rPr>
                <w:b/>
                <w:sz w:val="24"/>
              </w:rPr>
              <w:t>Docket</w:t>
            </w:r>
            <w:r w:rsidR="00A63DA2">
              <w:rPr>
                <w:b/>
                <w:sz w:val="24"/>
              </w:rPr>
              <w:t>s</w:t>
            </w:r>
            <w:r w:rsidR="00863BAA">
              <w:rPr>
                <w:b/>
                <w:sz w:val="24"/>
              </w:rPr>
              <w:tab/>
            </w:r>
            <w:r>
              <w:rPr>
                <w:b/>
                <w:sz w:val="24"/>
              </w:rPr>
              <w:t>UE-</w:t>
            </w:r>
            <w:r w:rsidR="00CF7990">
              <w:rPr>
                <w:b/>
                <w:sz w:val="24"/>
              </w:rPr>
              <w:t>1</w:t>
            </w:r>
            <w:r w:rsidR="002F5D43">
              <w:rPr>
                <w:b/>
                <w:sz w:val="24"/>
              </w:rPr>
              <w:t>5</w:t>
            </w:r>
            <w:r w:rsidR="00A63DA2">
              <w:rPr>
                <w:b/>
                <w:sz w:val="24"/>
              </w:rPr>
              <w:t>1871</w:t>
            </w:r>
          </w:p>
          <w:p w:rsidR="00931AC6" w:rsidRDefault="00863BAA" w:rsidP="00863BAA">
            <w:pPr>
              <w:pStyle w:val="SingleSpacing"/>
              <w:widowControl w:val="0"/>
              <w:tabs>
                <w:tab w:val="left" w:pos="1076"/>
                <w:tab w:val="left" w:pos="1605"/>
              </w:tabs>
              <w:ind w:left="198"/>
              <w:rPr>
                <w:b/>
                <w:sz w:val="24"/>
              </w:rPr>
            </w:pPr>
            <w:r>
              <w:rPr>
                <w:b/>
                <w:sz w:val="24"/>
              </w:rPr>
              <w:tab/>
            </w:r>
            <w:r w:rsidR="00C85FBD">
              <w:rPr>
                <w:b/>
                <w:sz w:val="24"/>
              </w:rPr>
              <w:t>U</w:t>
            </w:r>
            <w:r w:rsidR="00A63DA2">
              <w:rPr>
                <w:b/>
                <w:sz w:val="24"/>
              </w:rPr>
              <w:t>G-151872</w:t>
            </w:r>
          </w:p>
          <w:p w:rsidR="00931AC6" w:rsidRDefault="00931AC6" w:rsidP="00092314">
            <w:pPr>
              <w:pStyle w:val="SingleSpacing"/>
              <w:widowControl w:val="0"/>
              <w:ind w:left="198"/>
              <w:rPr>
                <w:b/>
                <w:sz w:val="24"/>
              </w:rPr>
            </w:pPr>
          </w:p>
        </w:tc>
      </w:tr>
    </w:tbl>
    <w:p w:rsidR="00931AC6" w:rsidRDefault="00931AC6" w:rsidP="0055158E">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C85FBD" w:rsidRDefault="00931AC6" w:rsidP="00810F5B">
      <w:pPr>
        <w:pStyle w:val="center"/>
        <w:keepLines w:val="0"/>
        <w:widowControl w:val="0"/>
        <w:spacing w:before="0" w:line="240" w:lineRule="auto"/>
        <w:rPr>
          <w:b/>
        </w:rPr>
      </w:pPr>
      <w:r>
        <w:rPr>
          <w:b/>
        </w:rPr>
        <w:t>PREFILED DIRECT TESTIMONY OF</w:t>
      </w:r>
    </w:p>
    <w:p w:rsidR="00931AC6" w:rsidRPr="00954155" w:rsidRDefault="007D25F3" w:rsidP="00810F5B">
      <w:pPr>
        <w:pStyle w:val="center"/>
        <w:keepLines w:val="0"/>
        <w:widowControl w:val="0"/>
        <w:spacing w:before="0" w:line="240" w:lineRule="auto"/>
        <w:rPr>
          <w:b/>
        </w:rPr>
      </w:pPr>
      <w:r w:rsidRPr="007D25F3">
        <w:rPr>
          <w:b/>
        </w:rPr>
        <w:t>AHMAD FARUQUI, Ph</w:t>
      </w:r>
      <w:r>
        <w:rPr>
          <w:b/>
        </w:rPr>
        <w:t>.</w:t>
      </w:r>
      <w:r w:rsidRPr="007D25F3">
        <w:rPr>
          <w:b/>
        </w:rPr>
        <w:t>D</w:t>
      </w:r>
      <w:r w:rsidR="00B240E3">
        <w:rPr>
          <w:b/>
        </w:rPr>
        <w:t>.</w:t>
      </w:r>
    </w:p>
    <w:p w:rsidR="00931AC6" w:rsidRDefault="00931AC6" w:rsidP="0095127C">
      <w:pPr>
        <w:pStyle w:val="center"/>
        <w:keepLines w:val="0"/>
        <w:widowControl w:val="0"/>
        <w:spacing w:before="0" w:line="240" w:lineRule="auto"/>
        <w:rPr>
          <w:b/>
        </w:rPr>
      </w:pPr>
      <w:r>
        <w:rPr>
          <w:b/>
        </w:rPr>
        <w:t>ON BEHALF OF PUGET SOUND ENERGY</w:t>
      </w: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CE536E" w:rsidRPr="00CE536E" w:rsidRDefault="00CE536E"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Default="00931AC6" w:rsidP="0095127C">
      <w:pPr>
        <w:pStyle w:val="center"/>
        <w:keepLines w:val="0"/>
        <w:widowControl w:val="0"/>
        <w:spacing w:before="0" w:line="240" w:lineRule="auto"/>
        <w:rPr>
          <w:b/>
        </w:rPr>
      </w:pPr>
    </w:p>
    <w:p w:rsidR="00931AC6" w:rsidRPr="00155AC8" w:rsidRDefault="00A63DA2" w:rsidP="0095127C">
      <w:pPr>
        <w:widowControl w:val="0"/>
        <w:jc w:val="center"/>
        <w:rPr>
          <w:b/>
        </w:rPr>
        <w:sectPr w:rsidR="00931AC6" w:rsidRPr="00155AC8" w:rsidSect="00330B4F">
          <w:headerReference w:type="default" r:id="rId13"/>
          <w:pgSz w:w="12240" w:h="15840" w:code="1"/>
          <w:pgMar w:top="1440" w:right="1440" w:bottom="1440" w:left="2160" w:header="720" w:footer="864" w:gutter="0"/>
          <w:pgNumType w:start="1"/>
          <w:cols w:space="720"/>
          <w:rtlGutter/>
        </w:sectPr>
      </w:pPr>
      <w:r>
        <w:rPr>
          <w:b/>
        </w:rPr>
        <w:t>February 2</w:t>
      </w:r>
      <w:r w:rsidR="002D4BC7">
        <w:rPr>
          <w:b/>
        </w:rPr>
        <w:t>5,</w:t>
      </w:r>
      <w:r w:rsidR="00F24D0F">
        <w:rPr>
          <w:b/>
        </w:rPr>
        <w:t xml:space="preserve"> </w:t>
      </w:r>
      <w:r w:rsidR="002F5D43">
        <w:rPr>
          <w:b/>
        </w:rPr>
        <w:t>201</w:t>
      </w:r>
      <w:r w:rsidR="00863BAA">
        <w:rPr>
          <w:b/>
        </w:rPr>
        <w:t>6</w:t>
      </w:r>
    </w:p>
    <w:p w:rsidR="00931AC6" w:rsidRDefault="00931AC6" w:rsidP="0095127C">
      <w:pPr>
        <w:keepNext/>
        <w:spacing w:before="240" w:after="240"/>
        <w:jc w:val="center"/>
        <w:rPr>
          <w:rStyle w:val="Strong"/>
          <w:rFonts w:eastAsia="SimSun"/>
        </w:rPr>
      </w:pPr>
      <w:bookmarkStart w:id="0" w:name="_Toc117411518"/>
      <w:bookmarkStart w:id="1" w:name="_Toc125892215"/>
      <w:bookmarkStart w:id="2" w:name="_Toc126495831"/>
      <w:r w:rsidRPr="00E05C6E">
        <w:rPr>
          <w:rStyle w:val="Strong"/>
          <w:rFonts w:eastAsia="SimSun"/>
        </w:rPr>
        <w:t>PUGET SOUND ENERGY</w:t>
      </w:r>
    </w:p>
    <w:p w:rsidR="00931AC6" w:rsidRPr="00E05C6E" w:rsidRDefault="00931AC6" w:rsidP="00863BAA">
      <w:pPr>
        <w:keepNext/>
        <w:spacing w:after="360"/>
        <w:jc w:val="center"/>
        <w:rPr>
          <w:rStyle w:val="Strong"/>
          <w:rFonts w:eastAsia="SimSun"/>
          <w:b w:val="0"/>
        </w:rPr>
      </w:pPr>
      <w:r w:rsidRPr="00E05C6E">
        <w:rPr>
          <w:rStyle w:val="Strong"/>
          <w:rFonts w:eastAsia="SimSun"/>
        </w:rPr>
        <w:t>PREFILED DIRECT TESTIMONY</w:t>
      </w:r>
      <w:r w:rsidRPr="00E05C6E">
        <w:rPr>
          <w:rFonts w:eastAsia="SimSun"/>
          <w:b/>
          <w:color w:val="000000"/>
        </w:rPr>
        <w:t xml:space="preserve"> </w:t>
      </w:r>
      <w:r w:rsidRPr="00E05C6E">
        <w:rPr>
          <w:rStyle w:val="Strong"/>
          <w:rFonts w:eastAsia="SimSun"/>
        </w:rPr>
        <w:t>OF</w:t>
      </w:r>
      <w:r w:rsidR="006513A1">
        <w:rPr>
          <w:rStyle w:val="Strong"/>
          <w:rFonts w:eastAsia="SimSun"/>
        </w:rPr>
        <w:br/>
      </w:r>
      <w:r w:rsidR="007D25F3" w:rsidRPr="007D25F3">
        <w:rPr>
          <w:rFonts w:eastAsia="SimSun"/>
          <w:b/>
        </w:rPr>
        <w:t>AHMAD FARUQUI</w:t>
      </w:r>
      <w:r w:rsidR="007D25F3">
        <w:rPr>
          <w:rFonts w:eastAsia="SimSun"/>
          <w:b/>
        </w:rPr>
        <w:t>, Ph.</w:t>
      </w:r>
      <w:r w:rsidR="007D25F3" w:rsidRPr="007D25F3">
        <w:rPr>
          <w:rFonts w:eastAsia="SimSun"/>
          <w:b/>
        </w:rPr>
        <w:t>D</w:t>
      </w:r>
      <w:r w:rsidR="00B240E3">
        <w:rPr>
          <w:rFonts w:eastAsia="SimSun"/>
          <w:b/>
        </w:rPr>
        <w:t>.</w:t>
      </w:r>
    </w:p>
    <w:p w:rsidR="00931AC6" w:rsidRDefault="00931AC6" w:rsidP="0095127C">
      <w:pPr>
        <w:keepNext/>
        <w:spacing w:before="240" w:after="360"/>
        <w:jc w:val="center"/>
        <w:rPr>
          <w:rStyle w:val="Strong"/>
          <w:rFonts w:eastAsia="SimSun"/>
        </w:rPr>
      </w:pPr>
      <w:r>
        <w:rPr>
          <w:rStyle w:val="Strong"/>
          <w:rFonts w:eastAsia="SimSun"/>
        </w:rPr>
        <w:t>CONTENTS</w:t>
      </w:r>
    </w:p>
    <w:p w:rsidR="006E072C" w:rsidRDefault="00931AC6">
      <w:pPr>
        <w:pStyle w:val="TOC1"/>
        <w:rPr>
          <w:rFonts w:asciiTheme="minorHAnsi" w:eastAsiaTheme="minorEastAsia" w:hAnsiTheme="minorHAnsi" w:cstheme="minorBidi"/>
          <w:color w:val="auto"/>
          <w:sz w:val="22"/>
          <w:szCs w:val="22"/>
          <w:lang w:eastAsia="en-US"/>
        </w:rPr>
      </w:pPr>
      <w:r w:rsidRPr="004E590F">
        <w:rPr>
          <w:rStyle w:val="Strong"/>
          <w:color w:val="auto"/>
        </w:rPr>
        <w:fldChar w:fldCharType="begin"/>
      </w:r>
      <w:r w:rsidRPr="004E590F">
        <w:rPr>
          <w:rStyle w:val="Strong"/>
          <w:color w:val="auto"/>
        </w:rPr>
        <w:instrText xml:space="preserve"> TOC \o "1-3" \h \z \u </w:instrText>
      </w:r>
      <w:r w:rsidRPr="004E590F">
        <w:rPr>
          <w:rStyle w:val="Strong"/>
          <w:color w:val="auto"/>
        </w:rPr>
        <w:fldChar w:fldCharType="separate"/>
      </w:r>
      <w:hyperlink w:anchor="_Toc444180128" w:history="1">
        <w:r w:rsidR="006E072C" w:rsidRPr="007726AE">
          <w:rPr>
            <w:rStyle w:val="Hyperlink"/>
          </w:rPr>
          <w:t>I.</w:t>
        </w:r>
        <w:r w:rsidR="006E072C">
          <w:rPr>
            <w:rFonts w:asciiTheme="minorHAnsi" w:eastAsiaTheme="minorEastAsia" w:hAnsiTheme="minorHAnsi" w:cstheme="minorBidi"/>
            <w:color w:val="auto"/>
            <w:sz w:val="22"/>
            <w:szCs w:val="22"/>
            <w:lang w:eastAsia="en-US"/>
          </w:rPr>
          <w:tab/>
        </w:r>
        <w:r w:rsidR="006E072C" w:rsidRPr="007726AE">
          <w:rPr>
            <w:rStyle w:val="Hyperlink"/>
          </w:rPr>
          <w:t>INTRODUCTION</w:t>
        </w:r>
        <w:r w:rsidR="006E072C">
          <w:rPr>
            <w:webHidden/>
          </w:rPr>
          <w:tab/>
        </w:r>
        <w:r w:rsidR="006E072C">
          <w:rPr>
            <w:webHidden/>
          </w:rPr>
          <w:fldChar w:fldCharType="begin"/>
        </w:r>
        <w:r w:rsidR="006E072C">
          <w:rPr>
            <w:webHidden/>
          </w:rPr>
          <w:instrText xml:space="preserve"> PAGEREF _Toc444180128 \h </w:instrText>
        </w:r>
        <w:r w:rsidR="006E072C">
          <w:rPr>
            <w:webHidden/>
          </w:rPr>
        </w:r>
        <w:r w:rsidR="006E072C">
          <w:rPr>
            <w:webHidden/>
          </w:rPr>
          <w:fldChar w:fldCharType="separate"/>
        </w:r>
        <w:r w:rsidR="00987B63">
          <w:rPr>
            <w:webHidden/>
          </w:rPr>
          <w:t>1</w:t>
        </w:r>
        <w:r w:rsidR="006E072C">
          <w:rPr>
            <w:webHidden/>
          </w:rPr>
          <w:fldChar w:fldCharType="end"/>
        </w:r>
      </w:hyperlink>
    </w:p>
    <w:p w:rsidR="006E072C" w:rsidRDefault="006E072C">
      <w:pPr>
        <w:pStyle w:val="TOC1"/>
        <w:rPr>
          <w:rFonts w:asciiTheme="minorHAnsi" w:eastAsiaTheme="minorEastAsia" w:hAnsiTheme="minorHAnsi" w:cstheme="minorBidi"/>
          <w:color w:val="auto"/>
          <w:sz w:val="22"/>
          <w:szCs w:val="22"/>
          <w:lang w:eastAsia="en-US"/>
        </w:rPr>
      </w:pPr>
      <w:hyperlink w:anchor="_Toc444180129" w:history="1">
        <w:r w:rsidRPr="007726AE">
          <w:rPr>
            <w:rStyle w:val="Hyperlink"/>
          </w:rPr>
          <w:t>II.</w:t>
        </w:r>
        <w:r>
          <w:rPr>
            <w:rFonts w:asciiTheme="minorHAnsi" w:eastAsiaTheme="minorEastAsia" w:hAnsiTheme="minorHAnsi" w:cstheme="minorBidi"/>
            <w:color w:val="auto"/>
            <w:sz w:val="22"/>
            <w:szCs w:val="22"/>
            <w:lang w:eastAsia="en-US"/>
          </w:rPr>
          <w:tab/>
        </w:r>
        <w:r w:rsidRPr="007726AE">
          <w:rPr>
            <w:rStyle w:val="Hyperlink"/>
          </w:rPr>
          <w:t>BARRIERS TO ADOPTION OF NEW, EFFICIENT PRODUCTS</w:t>
        </w:r>
        <w:r>
          <w:rPr>
            <w:webHidden/>
          </w:rPr>
          <w:tab/>
        </w:r>
        <w:r>
          <w:rPr>
            <w:webHidden/>
          </w:rPr>
          <w:fldChar w:fldCharType="begin"/>
        </w:r>
        <w:r>
          <w:rPr>
            <w:webHidden/>
          </w:rPr>
          <w:instrText xml:space="preserve"> PAGEREF _Toc444180129 \h </w:instrText>
        </w:r>
        <w:r>
          <w:rPr>
            <w:webHidden/>
          </w:rPr>
        </w:r>
        <w:r>
          <w:rPr>
            <w:webHidden/>
          </w:rPr>
          <w:fldChar w:fldCharType="separate"/>
        </w:r>
        <w:r w:rsidR="00987B63">
          <w:rPr>
            <w:webHidden/>
          </w:rPr>
          <w:t>3</w:t>
        </w:r>
        <w:r>
          <w:rPr>
            <w:webHidden/>
          </w:rPr>
          <w:fldChar w:fldCharType="end"/>
        </w:r>
      </w:hyperlink>
    </w:p>
    <w:p w:rsidR="006E072C" w:rsidRDefault="006E072C">
      <w:pPr>
        <w:pStyle w:val="TOC1"/>
        <w:rPr>
          <w:rFonts w:asciiTheme="minorHAnsi" w:eastAsiaTheme="minorEastAsia" w:hAnsiTheme="minorHAnsi" w:cstheme="minorBidi"/>
          <w:color w:val="auto"/>
          <w:sz w:val="22"/>
          <w:szCs w:val="22"/>
          <w:lang w:eastAsia="en-US"/>
        </w:rPr>
      </w:pPr>
      <w:hyperlink w:anchor="_Toc444180130" w:history="1">
        <w:r w:rsidRPr="007726AE">
          <w:rPr>
            <w:rStyle w:val="Hyperlink"/>
          </w:rPr>
          <w:t>III.</w:t>
        </w:r>
        <w:r>
          <w:rPr>
            <w:rFonts w:asciiTheme="minorHAnsi" w:eastAsiaTheme="minorEastAsia" w:hAnsiTheme="minorHAnsi" w:cstheme="minorBidi"/>
            <w:color w:val="auto"/>
            <w:sz w:val="22"/>
            <w:szCs w:val="22"/>
            <w:lang w:eastAsia="en-US"/>
          </w:rPr>
          <w:tab/>
        </w:r>
        <w:r w:rsidRPr="007726AE">
          <w:rPr>
            <w:rStyle w:val="Hyperlink"/>
          </w:rPr>
          <w:t>THESE BARRIERS ARE ADDRESSED BY THE PROPOSED PSE LEASE SOLUTIONS</w:t>
        </w:r>
        <w:r>
          <w:rPr>
            <w:webHidden/>
          </w:rPr>
          <w:tab/>
        </w:r>
        <w:r>
          <w:rPr>
            <w:webHidden/>
          </w:rPr>
          <w:fldChar w:fldCharType="begin"/>
        </w:r>
        <w:r>
          <w:rPr>
            <w:webHidden/>
          </w:rPr>
          <w:instrText xml:space="preserve"> PAGEREF _Toc444180130 \h </w:instrText>
        </w:r>
        <w:r>
          <w:rPr>
            <w:webHidden/>
          </w:rPr>
        </w:r>
        <w:r>
          <w:rPr>
            <w:webHidden/>
          </w:rPr>
          <w:fldChar w:fldCharType="separate"/>
        </w:r>
        <w:r w:rsidR="00987B63">
          <w:rPr>
            <w:webHidden/>
          </w:rPr>
          <w:t>13</w:t>
        </w:r>
        <w:r>
          <w:rPr>
            <w:webHidden/>
          </w:rPr>
          <w:fldChar w:fldCharType="end"/>
        </w:r>
      </w:hyperlink>
    </w:p>
    <w:p w:rsidR="006E072C" w:rsidRDefault="006E072C">
      <w:pPr>
        <w:pStyle w:val="TOC1"/>
        <w:rPr>
          <w:rFonts w:asciiTheme="minorHAnsi" w:eastAsiaTheme="minorEastAsia" w:hAnsiTheme="minorHAnsi" w:cstheme="minorBidi"/>
          <w:color w:val="auto"/>
          <w:sz w:val="22"/>
          <w:szCs w:val="22"/>
          <w:lang w:eastAsia="en-US"/>
        </w:rPr>
      </w:pPr>
      <w:hyperlink w:anchor="_Toc444180131" w:history="1">
        <w:r w:rsidRPr="007726AE">
          <w:rPr>
            <w:rStyle w:val="Hyperlink"/>
          </w:rPr>
          <w:t>IV.</w:t>
        </w:r>
        <w:r>
          <w:rPr>
            <w:rFonts w:asciiTheme="minorHAnsi" w:eastAsiaTheme="minorEastAsia" w:hAnsiTheme="minorHAnsi" w:cstheme="minorBidi"/>
            <w:color w:val="auto"/>
            <w:sz w:val="22"/>
            <w:szCs w:val="22"/>
            <w:lang w:eastAsia="en-US"/>
          </w:rPr>
          <w:tab/>
        </w:r>
        <w:r w:rsidRPr="007726AE">
          <w:rPr>
            <w:rStyle w:val="Hyperlink"/>
          </w:rPr>
          <w:t>POTENTIAL LEASE SOLUTIONS ADOPTION</w:t>
        </w:r>
        <w:r>
          <w:rPr>
            <w:webHidden/>
          </w:rPr>
          <w:tab/>
        </w:r>
        <w:r>
          <w:rPr>
            <w:webHidden/>
          </w:rPr>
          <w:fldChar w:fldCharType="begin"/>
        </w:r>
        <w:r>
          <w:rPr>
            <w:webHidden/>
          </w:rPr>
          <w:instrText xml:space="preserve"> PAGEREF _Toc444180131 \h </w:instrText>
        </w:r>
        <w:r>
          <w:rPr>
            <w:webHidden/>
          </w:rPr>
        </w:r>
        <w:r>
          <w:rPr>
            <w:webHidden/>
          </w:rPr>
          <w:fldChar w:fldCharType="separate"/>
        </w:r>
        <w:r w:rsidR="00987B63">
          <w:rPr>
            <w:webHidden/>
          </w:rPr>
          <w:t>16</w:t>
        </w:r>
        <w:r>
          <w:rPr>
            <w:webHidden/>
          </w:rPr>
          <w:fldChar w:fldCharType="end"/>
        </w:r>
      </w:hyperlink>
    </w:p>
    <w:p w:rsidR="006E072C" w:rsidRDefault="006E072C">
      <w:pPr>
        <w:pStyle w:val="TOC1"/>
        <w:rPr>
          <w:rFonts w:asciiTheme="minorHAnsi" w:eastAsiaTheme="minorEastAsia" w:hAnsiTheme="minorHAnsi" w:cstheme="minorBidi"/>
          <w:color w:val="auto"/>
          <w:sz w:val="22"/>
          <w:szCs w:val="22"/>
          <w:lang w:eastAsia="en-US"/>
        </w:rPr>
      </w:pPr>
      <w:hyperlink w:anchor="_Toc444180132" w:history="1">
        <w:r w:rsidRPr="007726AE">
          <w:rPr>
            <w:rStyle w:val="Hyperlink"/>
          </w:rPr>
          <w:t>V.</w:t>
        </w:r>
        <w:r>
          <w:rPr>
            <w:rFonts w:asciiTheme="minorHAnsi" w:eastAsiaTheme="minorEastAsia" w:hAnsiTheme="minorHAnsi" w:cstheme="minorBidi"/>
            <w:color w:val="auto"/>
            <w:sz w:val="22"/>
            <w:szCs w:val="22"/>
            <w:lang w:eastAsia="en-US"/>
          </w:rPr>
          <w:tab/>
        </w:r>
        <w:r w:rsidRPr="007726AE">
          <w:rPr>
            <w:rStyle w:val="Hyperlink"/>
          </w:rPr>
          <w:t>QUANTIFIABLE PROGRAM BENEFITS</w:t>
        </w:r>
        <w:r>
          <w:rPr>
            <w:webHidden/>
          </w:rPr>
          <w:tab/>
        </w:r>
        <w:r>
          <w:rPr>
            <w:webHidden/>
          </w:rPr>
          <w:fldChar w:fldCharType="begin"/>
        </w:r>
        <w:r>
          <w:rPr>
            <w:webHidden/>
          </w:rPr>
          <w:instrText xml:space="preserve"> PAGEREF _Toc444180132 \h </w:instrText>
        </w:r>
        <w:r>
          <w:rPr>
            <w:webHidden/>
          </w:rPr>
        </w:r>
        <w:r>
          <w:rPr>
            <w:webHidden/>
          </w:rPr>
          <w:fldChar w:fldCharType="separate"/>
        </w:r>
        <w:r w:rsidR="00987B63">
          <w:rPr>
            <w:webHidden/>
          </w:rPr>
          <w:t>19</w:t>
        </w:r>
        <w:r>
          <w:rPr>
            <w:webHidden/>
          </w:rPr>
          <w:fldChar w:fldCharType="end"/>
        </w:r>
      </w:hyperlink>
    </w:p>
    <w:p w:rsidR="006E072C" w:rsidRDefault="006E072C">
      <w:pPr>
        <w:pStyle w:val="TOC1"/>
        <w:rPr>
          <w:rFonts w:asciiTheme="minorHAnsi" w:eastAsiaTheme="minorEastAsia" w:hAnsiTheme="minorHAnsi" w:cstheme="minorBidi"/>
          <w:color w:val="auto"/>
          <w:sz w:val="22"/>
          <w:szCs w:val="22"/>
          <w:lang w:eastAsia="en-US"/>
        </w:rPr>
      </w:pPr>
      <w:hyperlink w:anchor="_Toc444180133" w:history="1">
        <w:r w:rsidRPr="007726AE">
          <w:rPr>
            <w:rStyle w:val="Hyperlink"/>
          </w:rPr>
          <w:t>VI.</w:t>
        </w:r>
        <w:r>
          <w:rPr>
            <w:rFonts w:asciiTheme="minorHAnsi" w:eastAsiaTheme="minorEastAsia" w:hAnsiTheme="minorHAnsi" w:cstheme="minorBidi"/>
            <w:color w:val="auto"/>
            <w:sz w:val="22"/>
            <w:szCs w:val="22"/>
            <w:lang w:eastAsia="en-US"/>
          </w:rPr>
          <w:tab/>
        </w:r>
        <w:r w:rsidRPr="007726AE">
          <w:rPr>
            <w:rStyle w:val="Hyperlink"/>
          </w:rPr>
          <w:t>CONCLUSION</w:t>
        </w:r>
        <w:r>
          <w:rPr>
            <w:webHidden/>
          </w:rPr>
          <w:tab/>
        </w:r>
        <w:r>
          <w:rPr>
            <w:webHidden/>
          </w:rPr>
          <w:fldChar w:fldCharType="begin"/>
        </w:r>
        <w:r>
          <w:rPr>
            <w:webHidden/>
          </w:rPr>
          <w:instrText xml:space="preserve"> PAGEREF _Toc444180133 \h </w:instrText>
        </w:r>
        <w:r>
          <w:rPr>
            <w:webHidden/>
          </w:rPr>
        </w:r>
        <w:r>
          <w:rPr>
            <w:webHidden/>
          </w:rPr>
          <w:fldChar w:fldCharType="separate"/>
        </w:r>
        <w:r w:rsidR="00987B63">
          <w:rPr>
            <w:webHidden/>
          </w:rPr>
          <w:t>30</w:t>
        </w:r>
        <w:r>
          <w:rPr>
            <w:webHidden/>
          </w:rPr>
          <w:fldChar w:fldCharType="end"/>
        </w:r>
      </w:hyperlink>
    </w:p>
    <w:p w:rsidR="00931AC6" w:rsidRDefault="00931AC6" w:rsidP="008A64B2">
      <w:pPr>
        <w:keepNext/>
        <w:spacing w:before="240" w:after="240"/>
        <w:ind w:left="1440" w:right="720"/>
        <w:jc w:val="center"/>
        <w:rPr>
          <w:rStyle w:val="Strong"/>
          <w:rFonts w:eastAsia="SimSun"/>
        </w:rPr>
        <w:sectPr w:rsidR="00931AC6" w:rsidSect="007F2521">
          <w:headerReference w:type="default" r:id="rId14"/>
          <w:footerReference w:type="default" r:id="rId15"/>
          <w:pgSz w:w="12240" w:h="15840" w:code="1"/>
          <w:pgMar w:top="1440" w:right="1440" w:bottom="1440" w:left="2160" w:header="720" w:footer="864" w:gutter="0"/>
          <w:pgNumType w:fmt="lowerRoman" w:start="1" w:chapStyle="1"/>
          <w:cols w:space="720"/>
        </w:sectPr>
      </w:pPr>
      <w:r w:rsidRPr="004E590F">
        <w:rPr>
          <w:rStyle w:val="Strong"/>
        </w:rPr>
        <w:fldChar w:fldCharType="end"/>
      </w:r>
    </w:p>
    <w:p w:rsidR="00931AC6" w:rsidRPr="00E05C6E" w:rsidRDefault="00931AC6" w:rsidP="00480476">
      <w:pPr>
        <w:keepNext/>
        <w:spacing w:before="240" w:after="240"/>
        <w:ind w:left="720" w:right="720"/>
        <w:jc w:val="center"/>
        <w:rPr>
          <w:rStyle w:val="Strong"/>
          <w:rFonts w:eastAsia="SimSun"/>
        </w:rPr>
      </w:pPr>
      <w:r w:rsidRPr="00E05C6E">
        <w:rPr>
          <w:rStyle w:val="Strong"/>
          <w:rFonts w:eastAsia="SimSun"/>
        </w:rPr>
        <w:t>PUGET SOUND ENERGY</w:t>
      </w:r>
    </w:p>
    <w:p w:rsidR="006513A1" w:rsidRPr="00E05C6E" w:rsidRDefault="00931AC6" w:rsidP="006513A1">
      <w:pPr>
        <w:keepNext/>
        <w:spacing w:after="360"/>
        <w:jc w:val="center"/>
        <w:rPr>
          <w:rStyle w:val="Strong"/>
          <w:rFonts w:eastAsia="SimSun"/>
          <w:b w:val="0"/>
        </w:rPr>
      </w:pPr>
      <w:r w:rsidRPr="00E05C6E">
        <w:rPr>
          <w:rStyle w:val="Strong"/>
          <w:rFonts w:eastAsia="SimSun"/>
        </w:rPr>
        <w:t>PREFILED DIRECT TESTIMONY OF</w:t>
      </w:r>
      <w:r w:rsidRPr="00E05C6E">
        <w:rPr>
          <w:rStyle w:val="Strong"/>
          <w:rFonts w:eastAsia="SimSun"/>
          <w:b w:val="0"/>
        </w:rPr>
        <w:br/>
      </w:r>
      <w:r w:rsidR="007D25F3" w:rsidRPr="007D25F3">
        <w:rPr>
          <w:rFonts w:eastAsia="SimSun"/>
          <w:b/>
        </w:rPr>
        <w:t>AHMAD FARUQUI, Ph.D</w:t>
      </w:r>
      <w:r w:rsidR="00B240E3">
        <w:rPr>
          <w:rFonts w:eastAsia="SimSun"/>
          <w:b/>
        </w:rPr>
        <w:t>.</w:t>
      </w:r>
    </w:p>
    <w:p w:rsidR="00931AC6" w:rsidRDefault="00931AC6" w:rsidP="00480476">
      <w:pPr>
        <w:keepNext/>
        <w:spacing w:before="240" w:after="360"/>
        <w:ind w:left="547" w:right="547"/>
        <w:jc w:val="center"/>
        <w:rPr>
          <w:b/>
        </w:rPr>
      </w:pPr>
    </w:p>
    <w:p w:rsidR="002D4BC7" w:rsidRPr="00AF32A8" w:rsidRDefault="002D4BC7" w:rsidP="00480476">
      <w:pPr>
        <w:keepNext/>
        <w:spacing w:before="240" w:after="360"/>
        <w:ind w:left="547" w:right="547"/>
        <w:jc w:val="center"/>
        <w:rPr>
          <w:rStyle w:val="Strong"/>
          <w:rFonts w:eastAsia="SimSun"/>
          <w:b w:val="0"/>
        </w:rPr>
      </w:pPr>
    </w:p>
    <w:p w:rsidR="00931AC6" w:rsidRPr="00E05C6E" w:rsidRDefault="00931AC6" w:rsidP="00CE536E">
      <w:pPr>
        <w:pStyle w:val="Heading1"/>
        <w:spacing w:line="240" w:lineRule="auto"/>
        <w:rPr>
          <w:rFonts w:eastAsia="SimSun"/>
        </w:rPr>
      </w:pPr>
      <w:bookmarkStart w:id="3" w:name="_Toc161487050"/>
      <w:bookmarkStart w:id="4" w:name="_Toc162007393"/>
      <w:bookmarkStart w:id="5" w:name="_Toc181442358"/>
      <w:bookmarkStart w:id="6" w:name="_Toc179284150"/>
      <w:bookmarkStart w:id="7" w:name="_Toc182774604"/>
      <w:bookmarkStart w:id="8" w:name="_Toc184207473"/>
      <w:bookmarkStart w:id="9" w:name="_Toc444180128"/>
      <w:r w:rsidRPr="00E05C6E">
        <w:rPr>
          <w:rFonts w:eastAsia="SimSun"/>
        </w:rPr>
        <w:t>I.</w:t>
      </w:r>
      <w:r w:rsidRPr="00E05C6E">
        <w:rPr>
          <w:rFonts w:eastAsia="SimSun"/>
        </w:rPr>
        <w:tab/>
        <w:t>INTRODUCTION</w:t>
      </w:r>
      <w:bookmarkEnd w:id="0"/>
      <w:bookmarkEnd w:id="1"/>
      <w:bookmarkEnd w:id="2"/>
      <w:bookmarkEnd w:id="3"/>
      <w:bookmarkEnd w:id="4"/>
      <w:bookmarkEnd w:id="5"/>
      <w:bookmarkEnd w:id="6"/>
      <w:bookmarkEnd w:id="7"/>
      <w:bookmarkEnd w:id="8"/>
      <w:bookmarkEnd w:id="9"/>
    </w:p>
    <w:p w:rsidR="00931AC6" w:rsidRDefault="00931AC6" w:rsidP="00CE536E">
      <w:pPr>
        <w:pStyle w:val="question"/>
        <w:keepNext/>
        <w:keepLines/>
        <w:spacing w:before="120"/>
      </w:pPr>
      <w:r>
        <w:t>Q.</w:t>
      </w:r>
      <w:r>
        <w:tab/>
        <w:t>Please state your name, business address, and position.</w:t>
      </w:r>
    </w:p>
    <w:p w:rsidR="00931AC6" w:rsidRDefault="007D25F3" w:rsidP="005632C9">
      <w:pPr>
        <w:pStyle w:val="answer"/>
      </w:pPr>
      <w:r>
        <w:t>A.</w:t>
      </w:r>
      <w:r>
        <w:tab/>
      </w:r>
      <w:r w:rsidR="00353C06">
        <w:t>My name is Ahmad Faruqui. My business address is 201 Mission Street, Suite 2800, San Francisco, California 94105. I am a Principal at The Brattle Group. I am testifying on behalf of Puget Sound Energy (“PSE”) in this proceeding.</w:t>
      </w:r>
    </w:p>
    <w:p w:rsidR="00931AC6" w:rsidRDefault="00931AC6" w:rsidP="00397EA2">
      <w:pPr>
        <w:pStyle w:val="question"/>
        <w:keepNext/>
        <w:keepLines/>
        <w:spacing w:before="120"/>
      </w:pPr>
      <w:r>
        <w:t>Q.</w:t>
      </w:r>
      <w:r>
        <w:tab/>
        <w:t>Have you prepared an exhibit describing your education, relevant employment experience, and other professional qualifications?</w:t>
      </w:r>
    </w:p>
    <w:p w:rsidR="00931AC6" w:rsidRDefault="00931AC6" w:rsidP="007D25F3">
      <w:pPr>
        <w:pStyle w:val="answer"/>
      </w:pPr>
      <w:r>
        <w:t>A.</w:t>
      </w:r>
      <w:r>
        <w:tab/>
        <w:t>Yes, I have. It is</w:t>
      </w:r>
      <w:r>
        <w:rPr>
          <w:b/>
        </w:rPr>
        <w:t xml:space="preserve"> </w:t>
      </w:r>
      <w:r>
        <w:t>Exhibit No. ___(</w:t>
      </w:r>
      <w:r w:rsidR="00BF43CE">
        <w:t>AF</w:t>
      </w:r>
      <w:r>
        <w:t>-2).</w:t>
      </w:r>
    </w:p>
    <w:p w:rsidR="00931AC6" w:rsidRDefault="00931AC6" w:rsidP="00397EA2">
      <w:pPr>
        <w:pStyle w:val="question"/>
        <w:keepNext/>
        <w:keepLines/>
        <w:spacing w:before="120"/>
      </w:pPr>
      <w:r w:rsidRPr="002329AD">
        <w:t>Q.</w:t>
      </w:r>
      <w:r w:rsidRPr="002329AD">
        <w:tab/>
        <w:t>Please summarize your testimony.</w:t>
      </w:r>
    </w:p>
    <w:p w:rsidR="006764F1" w:rsidRDefault="00931AC6" w:rsidP="006764F1">
      <w:pPr>
        <w:pStyle w:val="answer"/>
        <w:rPr>
          <w:bCs/>
        </w:rPr>
      </w:pPr>
      <w:r w:rsidRPr="009F451F">
        <w:t>A.</w:t>
      </w:r>
      <w:r w:rsidRPr="009F451F">
        <w:tab/>
      </w:r>
      <w:r w:rsidR="00A07D20">
        <w:t xml:space="preserve">Customers do not always purchase new, efficient products, even when it is in </w:t>
      </w:r>
      <w:r w:rsidR="00F0219F">
        <w:t>their best</w:t>
      </w:r>
      <w:r w:rsidR="00A07D20">
        <w:t xml:space="preserve"> interest</w:t>
      </w:r>
      <w:r w:rsidR="000D4D19">
        <w:t xml:space="preserve"> to do so. </w:t>
      </w:r>
      <w:r w:rsidR="00A07D20">
        <w:t xml:space="preserve"> </w:t>
      </w:r>
      <w:r w:rsidR="000D4D19">
        <w:t xml:space="preserve">To understand the barriers to the adoption of new, efficient products, I </w:t>
      </w:r>
      <w:r w:rsidR="00F0219F">
        <w:t>undertook a</w:t>
      </w:r>
      <w:r w:rsidR="00A07D20">
        <w:t xml:space="preserve"> review of the academic and industry literature</w:t>
      </w:r>
      <w:r w:rsidR="000D4D19">
        <w:t>.</w:t>
      </w:r>
      <w:r w:rsidR="00A07D20">
        <w:t xml:space="preserve"> </w:t>
      </w:r>
      <w:r w:rsidR="00F0219F">
        <w:t xml:space="preserve">Five barriers stand out: credit constraints, myopic behavior, risk aversion, search costs, and externalities. </w:t>
      </w:r>
      <w:r w:rsidR="005239DE">
        <w:t>Traditional energy efficiency programs</w:t>
      </w:r>
      <w:r w:rsidR="000D4D19">
        <w:t>, whether run by electric utilities or third parties,</w:t>
      </w:r>
      <w:r w:rsidR="005239DE">
        <w:t xml:space="preserve"> </w:t>
      </w:r>
      <w:r w:rsidR="00F0219F">
        <w:t>do address</w:t>
      </w:r>
      <w:r w:rsidR="000D4D19">
        <w:t xml:space="preserve"> some of</w:t>
      </w:r>
      <w:r w:rsidR="005239DE">
        <w:t xml:space="preserve"> these barriers,</w:t>
      </w:r>
      <w:r w:rsidR="000D4D19">
        <w:t xml:space="preserve"> but not all of them. I </w:t>
      </w:r>
      <w:r w:rsidR="00F0219F">
        <w:t>believe PSE’s</w:t>
      </w:r>
      <w:r w:rsidR="005239DE">
        <w:t xml:space="preserve"> proposed </w:t>
      </w:r>
      <w:r w:rsidR="00ED23DD">
        <w:t>Lease Solutions</w:t>
      </w:r>
      <w:r w:rsidR="009D7109">
        <w:t xml:space="preserve"> </w:t>
      </w:r>
      <w:r w:rsidR="005239DE">
        <w:t>will</w:t>
      </w:r>
      <w:r w:rsidR="000D4D19">
        <w:t xml:space="preserve"> act as a complement to its energy efficiency programs </w:t>
      </w:r>
      <w:r w:rsidR="0019429F">
        <w:t xml:space="preserve">to help further </w:t>
      </w:r>
      <w:r w:rsidR="000D4D19">
        <w:t xml:space="preserve">address </w:t>
      </w:r>
      <w:r w:rsidR="0019429F">
        <w:t>these barriers</w:t>
      </w:r>
      <w:r w:rsidR="005239DE">
        <w:t xml:space="preserve">. I </w:t>
      </w:r>
      <w:r w:rsidR="000D4D19">
        <w:t xml:space="preserve">have developed a model to </w:t>
      </w:r>
      <w:r w:rsidR="00F0219F">
        <w:t>quantify the</w:t>
      </w:r>
      <w:r w:rsidR="005239DE">
        <w:t xml:space="preserve"> benefits that PSE’s </w:t>
      </w:r>
      <w:r w:rsidR="00ED23DD">
        <w:t>Lease Solutions</w:t>
      </w:r>
      <w:r w:rsidR="009D7109">
        <w:t xml:space="preserve"> </w:t>
      </w:r>
      <w:r w:rsidR="005239DE">
        <w:t xml:space="preserve">will provide to both participating and non-participating customers. </w:t>
      </w:r>
      <w:r w:rsidR="000D4D19">
        <w:t xml:space="preserve">The leasing service will ensure </w:t>
      </w:r>
      <w:r w:rsidR="00F0219F">
        <w:t xml:space="preserve">that </w:t>
      </w:r>
      <w:r w:rsidR="00F0219F" w:rsidRPr="001F5DA8">
        <w:t>newer</w:t>
      </w:r>
      <w:r w:rsidR="005239DE" w:rsidRPr="001F5DA8">
        <w:t xml:space="preserve"> and more efficient units </w:t>
      </w:r>
      <w:r w:rsidR="000D4D19">
        <w:t xml:space="preserve">are installed in customer’s premises, and accelerate the </w:t>
      </w:r>
      <w:r w:rsidR="005239DE" w:rsidRPr="001F5DA8">
        <w:t>replacement of older</w:t>
      </w:r>
      <w:r w:rsidR="005239DE">
        <w:t>, less</w:t>
      </w:r>
      <w:r w:rsidR="005435AC">
        <w:t>-</w:t>
      </w:r>
      <w:r w:rsidR="005239DE">
        <w:t>efficient</w:t>
      </w:r>
      <w:r w:rsidR="005239DE" w:rsidRPr="001F5DA8">
        <w:t xml:space="preserve"> </w:t>
      </w:r>
      <w:r w:rsidR="005239DE">
        <w:t xml:space="preserve">equipment that would continue to be operated in a world without </w:t>
      </w:r>
      <w:r w:rsidR="00ED23DD">
        <w:t>Lease Solutions</w:t>
      </w:r>
      <w:r w:rsidR="005239DE">
        <w:t>. Benefits to all customers include conservation of both electricity and natural gas</w:t>
      </w:r>
      <w:r w:rsidR="009D7109">
        <w:t>,</w:t>
      </w:r>
      <w:r w:rsidR="005239DE">
        <w:t xml:space="preserve"> reduced greenhouse gas </w:t>
      </w:r>
      <w:r w:rsidR="009D7109">
        <w:t xml:space="preserve">emissions </w:t>
      </w:r>
      <w:r w:rsidR="005239DE">
        <w:t>and pollut</w:t>
      </w:r>
      <w:r w:rsidR="009D7109">
        <w:t>ion,</w:t>
      </w:r>
      <w:r w:rsidR="005239DE">
        <w:t xml:space="preserve"> and deferred capacity investments. Benefits to participating customers include lower utility bills</w:t>
      </w:r>
      <w:r w:rsidR="00A25E9E">
        <w:t>,</w:t>
      </w:r>
      <w:r w:rsidR="005239DE">
        <w:t xml:space="preserve"> increased comfort and quality of life due to better </w:t>
      </w:r>
      <w:r w:rsidR="00381640">
        <w:t>equipment performance</w:t>
      </w:r>
      <w:r w:rsidR="005239DE">
        <w:t xml:space="preserve">, peace of mind due to the </w:t>
      </w:r>
      <w:r w:rsidR="000D4D19">
        <w:t xml:space="preserve">maintenance feature of </w:t>
      </w:r>
      <w:r w:rsidR="00ED23DD">
        <w:t>Lease Solutions</w:t>
      </w:r>
      <w:r w:rsidR="00F0219F">
        <w:t>, and</w:t>
      </w:r>
      <w:r w:rsidR="005239DE">
        <w:t xml:space="preserve"> greater control over their energy usage. </w:t>
      </w:r>
      <w:r w:rsidR="00D35B30">
        <w:t>I</w:t>
      </w:r>
      <w:r w:rsidR="005239DE">
        <w:t xml:space="preserve"> </w:t>
      </w:r>
      <w:r w:rsidR="000D4D19">
        <w:t xml:space="preserve">have used my model to </w:t>
      </w:r>
      <w:r w:rsidR="005239DE">
        <w:t xml:space="preserve">quantify several of these benefits and </w:t>
      </w:r>
      <w:r w:rsidR="000D4D19">
        <w:t xml:space="preserve">found </w:t>
      </w:r>
      <w:r w:rsidR="006764F1">
        <w:rPr>
          <w:bCs/>
        </w:rPr>
        <w:t>that i</w:t>
      </w:r>
      <w:r w:rsidR="006764F1" w:rsidRPr="00817D76">
        <w:rPr>
          <w:rFonts w:hint="eastAsia"/>
          <w:bCs/>
        </w:rPr>
        <w:t>n the first 20 years</w:t>
      </w:r>
      <w:r w:rsidR="006764F1">
        <w:rPr>
          <w:bCs/>
        </w:rPr>
        <w:t xml:space="preserve"> of existence</w:t>
      </w:r>
      <w:r w:rsidR="006764F1" w:rsidRPr="00817D76">
        <w:rPr>
          <w:rFonts w:hint="eastAsia"/>
          <w:bCs/>
        </w:rPr>
        <w:t xml:space="preserve">, </w:t>
      </w:r>
      <w:r w:rsidR="00ED23DD">
        <w:rPr>
          <w:bCs/>
        </w:rPr>
        <w:t>Lease Solutions</w:t>
      </w:r>
      <w:r w:rsidR="006764F1" w:rsidRPr="00817D76">
        <w:rPr>
          <w:rFonts w:hint="eastAsia"/>
          <w:bCs/>
        </w:rPr>
        <w:t xml:space="preserve"> </w:t>
      </w:r>
      <w:r w:rsidR="000D4D19">
        <w:rPr>
          <w:bCs/>
        </w:rPr>
        <w:t xml:space="preserve">would likely yield the following benefit streams: </w:t>
      </w:r>
    </w:p>
    <w:p w:rsidR="00A25E9E" w:rsidRPr="00817D76" w:rsidRDefault="00406548" w:rsidP="00B25672">
      <w:pPr>
        <w:pStyle w:val="answer"/>
        <w:numPr>
          <w:ilvl w:val="0"/>
          <w:numId w:val="44"/>
        </w:numPr>
      </w:pPr>
      <w:r>
        <w:rPr>
          <w:bCs/>
        </w:rPr>
        <w:t xml:space="preserve">Over </w:t>
      </w:r>
      <w:r w:rsidR="006764F1" w:rsidRPr="00817D76">
        <w:rPr>
          <w:rFonts w:hint="eastAsia"/>
          <w:bCs/>
        </w:rPr>
        <w:t>321</w:t>
      </w:r>
      <w:r w:rsidR="006764F1">
        <w:rPr>
          <w:bCs/>
        </w:rPr>
        <w:t>,000</w:t>
      </w:r>
      <w:r w:rsidR="006764F1" w:rsidRPr="00817D76">
        <w:rPr>
          <w:rFonts w:hint="eastAsia"/>
          <w:bCs/>
        </w:rPr>
        <w:t xml:space="preserve"> </w:t>
      </w:r>
      <w:r w:rsidR="006764F1">
        <w:rPr>
          <w:bCs/>
        </w:rPr>
        <w:t>M</w:t>
      </w:r>
      <w:r w:rsidR="006764F1" w:rsidRPr="00817D76">
        <w:rPr>
          <w:rFonts w:hint="eastAsia"/>
          <w:bCs/>
        </w:rPr>
        <w:t>Wh of electric energy conservation</w:t>
      </w:r>
      <w:r w:rsidR="006764F1">
        <w:rPr>
          <w:bCs/>
        </w:rPr>
        <w:t xml:space="preserve"> (equivalent to powering </w:t>
      </w:r>
      <w:r w:rsidR="009307AA">
        <w:rPr>
          <w:bCs/>
        </w:rPr>
        <w:t xml:space="preserve">over </w:t>
      </w:r>
      <w:r w:rsidR="006764F1">
        <w:rPr>
          <w:bCs/>
        </w:rPr>
        <w:t>1,</w:t>
      </w:r>
      <w:r w:rsidR="0036404D">
        <w:rPr>
          <w:bCs/>
        </w:rPr>
        <w:t>3</w:t>
      </w:r>
      <w:r w:rsidR="006764F1">
        <w:rPr>
          <w:bCs/>
        </w:rPr>
        <w:t xml:space="preserve">00 homes </w:t>
      </w:r>
      <w:r w:rsidR="006764F1" w:rsidRPr="00817D76">
        <w:rPr>
          <w:bCs/>
          <w:u w:val="single"/>
        </w:rPr>
        <w:t>each</w:t>
      </w:r>
      <w:r w:rsidR="006764F1" w:rsidRPr="00B25672">
        <w:rPr>
          <w:rFonts w:hint="eastAsia"/>
          <w:bCs/>
        </w:rPr>
        <w:t xml:space="preserve"> </w:t>
      </w:r>
      <w:r w:rsidR="006764F1">
        <w:rPr>
          <w:bCs/>
        </w:rPr>
        <w:t>year for twenty years)</w:t>
      </w:r>
      <w:r w:rsidR="00151518">
        <w:rPr>
          <w:bCs/>
        </w:rPr>
        <w:t>.</w:t>
      </w:r>
    </w:p>
    <w:p w:rsidR="00A25E9E" w:rsidRPr="00817D76" w:rsidRDefault="006764F1" w:rsidP="00B25672">
      <w:pPr>
        <w:pStyle w:val="answer"/>
        <w:numPr>
          <w:ilvl w:val="0"/>
          <w:numId w:val="44"/>
        </w:numPr>
      </w:pPr>
      <w:r w:rsidRPr="00A25E9E">
        <w:rPr>
          <w:rFonts w:hint="eastAsia"/>
          <w:bCs/>
        </w:rPr>
        <w:t>19</w:t>
      </w:r>
      <w:r w:rsidR="000C3C4E">
        <w:rPr>
          <w:bCs/>
        </w:rPr>
        <w:t>0</w:t>
      </w:r>
      <w:r w:rsidRPr="00A25E9E">
        <w:rPr>
          <w:rFonts w:hint="eastAsia"/>
          <w:bCs/>
        </w:rPr>
        <w:t xml:space="preserve"> million therms of gas energy conservation</w:t>
      </w:r>
      <w:r w:rsidRPr="00A25E9E">
        <w:rPr>
          <w:bCs/>
        </w:rPr>
        <w:t xml:space="preserve"> (equivalent to fueling</w:t>
      </w:r>
      <w:r w:rsidR="000C3C4E">
        <w:rPr>
          <w:bCs/>
        </w:rPr>
        <w:t xml:space="preserve"> over </w:t>
      </w:r>
      <w:r w:rsidR="0036404D">
        <w:rPr>
          <w:bCs/>
        </w:rPr>
        <w:t>11</w:t>
      </w:r>
      <w:r w:rsidRPr="00A25E9E">
        <w:rPr>
          <w:bCs/>
        </w:rPr>
        <w:t>,</w:t>
      </w:r>
      <w:r w:rsidR="0036404D">
        <w:rPr>
          <w:bCs/>
        </w:rPr>
        <w:t>5</w:t>
      </w:r>
      <w:r w:rsidRPr="00A25E9E">
        <w:rPr>
          <w:bCs/>
        </w:rPr>
        <w:t xml:space="preserve">00 homes </w:t>
      </w:r>
      <w:r w:rsidRPr="00A25E9E">
        <w:rPr>
          <w:bCs/>
          <w:u w:val="single"/>
        </w:rPr>
        <w:t>each</w:t>
      </w:r>
      <w:r w:rsidRPr="00A25E9E">
        <w:rPr>
          <w:bCs/>
        </w:rPr>
        <w:t xml:space="preserve"> year for twenty years)</w:t>
      </w:r>
      <w:r w:rsidR="00151518">
        <w:rPr>
          <w:bCs/>
        </w:rPr>
        <w:t>.</w:t>
      </w:r>
    </w:p>
    <w:p w:rsidR="00A25E9E" w:rsidRPr="00817D76" w:rsidRDefault="006764F1" w:rsidP="00B25672">
      <w:pPr>
        <w:pStyle w:val="answer"/>
        <w:numPr>
          <w:ilvl w:val="0"/>
          <w:numId w:val="44"/>
        </w:numPr>
      </w:pPr>
      <w:r w:rsidRPr="00A25E9E">
        <w:rPr>
          <w:rFonts w:hint="eastAsia"/>
          <w:bCs/>
        </w:rPr>
        <w:t xml:space="preserve">1.3 million tons of </w:t>
      </w:r>
      <w:r w:rsidR="00CD5CF1">
        <w:rPr>
          <w:bCs/>
        </w:rPr>
        <w:t>carbon dioxide (</w:t>
      </w:r>
      <w:r w:rsidRPr="00A25E9E">
        <w:rPr>
          <w:rFonts w:hint="eastAsia"/>
          <w:bCs/>
        </w:rPr>
        <w:t>CO</w:t>
      </w:r>
      <w:r w:rsidRPr="00A25E9E">
        <w:rPr>
          <w:rFonts w:hint="eastAsia"/>
          <w:bCs/>
          <w:vertAlign w:val="subscript"/>
        </w:rPr>
        <w:t>2</w:t>
      </w:r>
      <w:r w:rsidR="00CD5CF1">
        <w:rPr>
          <w:bCs/>
        </w:rPr>
        <w:t xml:space="preserve">) </w:t>
      </w:r>
      <w:r w:rsidRPr="00A25E9E">
        <w:rPr>
          <w:rFonts w:hint="eastAsia"/>
          <w:bCs/>
        </w:rPr>
        <w:t>emissions avoided</w:t>
      </w:r>
      <w:r w:rsidRPr="00A25E9E">
        <w:rPr>
          <w:bCs/>
        </w:rPr>
        <w:t xml:space="preserve"> (equivalent to taking </w:t>
      </w:r>
      <w:r w:rsidR="000C3C4E">
        <w:rPr>
          <w:bCs/>
        </w:rPr>
        <w:t xml:space="preserve">over </w:t>
      </w:r>
      <w:r w:rsidRPr="00A25E9E">
        <w:rPr>
          <w:bCs/>
        </w:rPr>
        <w:t>1</w:t>
      </w:r>
      <w:r w:rsidR="000C3C4E">
        <w:rPr>
          <w:bCs/>
        </w:rPr>
        <w:t>2</w:t>
      </w:r>
      <w:r w:rsidRPr="00A25E9E">
        <w:rPr>
          <w:bCs/>
        </w:rPr>
        <w:t>,</w:t>
      </w:r>
      <w:r w:rsidR="000C3C4E">
        <w:rPr>
          <w:bCs/>
        </w:rPr>
        <w:t>5</w:t>
      </w:r>
      <w:r w:rsidRPr="00A25E9E">
        <w:rPr>
          <w:bCs/>
        </w:rPr>
        <w:t>00 cars off the road)</w:t>
      </w:r>
      <w:r w:rsidR="00151518">
        <w:rPr>
          <w:bCs/>
        </w:rPr>
        <w:t>.</w:t>
      </w:r>
    </w:p>
    <w:p w:rsidR="00A25E9E" w:rsidRDefault="006764F1" w:rsidP="00B25672">
      <w:pPr>
        <w:pStyle w:val="answer"/>
        <w:numPr>
          <w:ilvl w:val="0"/>
          <w:numId w:val="44"/>
        </w:numPr>
      </w:pPr>
      <w:r w:rsidRPr="00A25E9E">
        <w:rPr>
          <w:rFonts w:hint="eastAsia"/>
          <w:bCs/>
        </w:rPr>
        <w:t xml:space="preserve">$5.5 million in avoided </w:t>
      </w:r>
      <w:r w:rsidR="005435AC">
        <w:rPr>
          <w:bCs/>
        </w:rPr>
        <w:t xml:space="preserve">generation and </w:t>
      </w:r>
      <w:r w:rsidR="004E1F2E">
        <w:rPr>
          <w:bCs/>
        </w:rPr>
        <w:t>distribution</w:t>
      </w:r>
      <w:r w:rsidR="005435AC">
        <w:rPr>
          <w:bCs/>
        </w:rPr>
        <w:t xml:space="preserve"> </w:t>
      </w:r>
      <w:r w:rsidRPr="00A25E9E">
        <w:rPr>
          <w:rFonts w:hint="eastAsia"/>
          <w:bCs/>
        </w:rPr>
        <w:t>capacity costs.</w:t>
      </w:r>
    </w:p>
    <w:p w:rsidR="006764F1" w:rsidRPr="00435A62" w:rsidRDefault="006764F1" w:rsidP="00B25672">
      <w:pPr>
        <w:pStyle w:val="answer"/>
        <w:numPr>
          <w:ilvl w:val="0"/>
          <w:numId w:val="44"/>
        </w:numPr>
      </w:pPr>
      <w:r w:rsidRPr="00A25E9E">
        <w:rPr>
          <w:rFonts w:hint="eastAsia"/>
          <w:bCs/>
        </w:rPr>
        <w:t>$</w:t>
      </w:r>
      <w:r w:rsidR="000C3C4E" w:rsidRPr="00A25E9E">
        <w:rPr>
          <w:rFonts w:hint="eastAsia"/>
          <w:bCs/>
        </w:rPr>
        <w:t>1</w:t>
      </w:r>
      <w:r w:rsidR="000C3C4E">
        <w:rPr>
          <w:bCs/>
        </w:rPr>
        <w:t>44</w:t>
      </w:r>
      <w:r w:rsidR="000C3C4E" w:rsidRPr="00A25E9E">
        <w:rPr>
          <w:rFonts w:hint="eastAsia"/>
          <w:bCs/>
        </w:rPr>
        <w:t xml:space="preserve"> </w:t>
      </w:r>
      <w:r w:rsidRPr="00A25E9E">
        <w:rPr>
          <w:rFonts w:hint="eastAsia"/>
          <w:bCs/>
        </w:rPr>
        <w:t>million saved in lower utility bills</w:t>
      </w:r>
      <w:r w:rsidRPr="00A25E9E">
        <w:rPr>
          <w:bCs/>
        </w:rPr>
        <w:t xml:space="preserve"> for participating customers</w:t>
      </w:r>
      <w:r>
        <w:t>.</w:t>
      </w:r>
    </w:p>
    <w:p w:rsidR="00931AC6" w:rsidRPr="006E625F" w:rsidRDefault="003F2E79" w:rsidP="004D4437">
      <w:pPr>
        <w:pStyle w:val="answer"/>
        <w:ind w:firstLine="0"/>
      </w:pPr>
      <w:r>
        <w:t>Given that t</w:t>
      </w:r>
      <w:r w:rsidRPr="003F2E79">
        <w:t xml:space="preserve">he proposed PSE </w:t>
      </w:r>
      <w:r w:rsidR="00ED23DD">
        <w:t xml:space="preserve">Lease </w:t>
      </w:r>
      <w:r w:rsidR="00B564DE">
        <w:t>Solutions</w:t>
      </w:r>
      <w:r w:rsidRPr="003F2E79">
        <w:t xml:space="preserve"> </w:t>
      </w:r>
      <w:r>
        <w:t>will address</w:t>
      </w:r>
      <w:r w:rsidRPr="003F2E79">
        <w:t xml:space="preserve"> key barriers to customer adoption of new, efficient products by making the purchasing and maintenance process easier and more attainable</w:t>
      </w:r>
      <w:r w:rsidR="00A25E9E">
        <w:t>,</w:t>
      </w:r>
      <w:r w:rsidRPr="003F2E79">
        <w:t xml:space="preserve"> I expect that the PSE </w:t>
      </w:r>
      <w:r w:rsidR="00ED23DD">
        <w:t>Lease Solutions</w:t>
      </w:r>
      <w:r w:rsidRPr="003F2E79">
        <w:t xml:space="preserve"> will reach thousands of customers and generate significant benefits in terms of bill savings, enhanced comfort and quality of life, avoided energy costs, avoided capacity costs, and avoided emissions.</w:t>
      </w:r>
    </w:p>
    <w:p w:rsidR="00AF32A8" w:rsidRPr="00E05C6E" w:rsidRDefault="00AA34A8" w:rsidP="00AF32A8">
      <w:pPr>
        <w:pStyle w:val="Heading1"/>
        <w:spacing w:line="240" w:lineRule="auto"/>
        <w:rPr>
          <w:rFonts w:eastAsia="SimSun"/>
        </w:rPr>
      </w:pPr>
      <w:bookmarkStart w:id="10" w:name="_Toc444180129"/>
      <w:r>
        <w:rPr>
          <w:rFonts w:eastAsia="SimSun"/>
        </w:rPr>
        <w:t>II.</w:t>
      </w:r>
      <w:r>
        <w:rPr>
          <w:rFonts w:eastAsia="SimSun"/>
        </w:rPr>
        <w:tab/>
        <w:t xml:space="preserve">BARRIERS TO ADOPTION OF </w:t>
      </w:r>
      <w:r w:rsidR="0021752B">
        <w:rPr>
          <w:rFonts w:eastAsia="SimSun"/>
        </w:rPr>
        <w:t>NEW</w:t>
      </w:r>
      <w:r w:rsidR="00A02B60">
        <w:rPr>
          <w:rFonts w:eastAsia="SimSun"/>
        </w:rPr>
        <w:t>, EFFICIENT PRODUCTS</w:t>
      </w:r>
      <w:bookmarkEnd w:id="10"/>
      <w:r>
        <w:rPr>
          <w:rFonts w:eastAsia="SimSun"/>
        </w:rPr>
        <w:t xml:space="preserve"> </w:t>
      </w:r>
    </w:p>
    <w:p w:rsidR="00241CA3" w:rsidRDefault="00241CA3" w:rsidP="00397EA2">
      <w:pPr>
        <w:pStyle w:val="question"/>
        <w:keepNext/>
        <w:keepLines/>
        <w:spacing w:before="120"/>
        <w:rPr>
          <w:bCs/>
        </w:rPr>
      </w:pPr>
      <w:r>
        <w:t>Q.</w:t>
      </w:r>
      <w:r>
        <w:tab/>
      </w:r>
      <w:r w:rsidRPr="00241CA3">
        <w:rPr>
          <w:bCs/>
        </w:rPr>
        <w:t>Do all customers adopt efficient products?</w:t>
      </w:r>
    </w:p>
    <w:p w:rsidR="00C76528" w:rsidRDefault="00241CA3" w:rsidP="00241CA3">
      <w:pPr>
        <w:pStyle w:val="answer"/>
      </w:pPr>
      <w:r>
        <w:t xml:space="preserve">A. </w:t>
      </w:r>
      <w:r>
        <w:tab/>
        <w:t xml:space="preserve">No, customers do not always make </w:t>
      </w:r>
      <w:r w:rsidR="00310A14">
        <w:t xml:space="preserve">optimal </w:t>
      </w:r>
      <w:r>
        <w:t>decisions</w:t>
      </w:r>
      <w:r w:rsidR="00310A14">
        <w:t xml:space="preserve"> when purchasing new consumer products</w:t>
      </w:r>
      <w:r>
        <w:t xml:space="preserve">. </w:t>
      </w:r>
      <w:r w:rsidR="00310A14">
        <w:t>Academic and industry r</w:t>
      </w:r>
      <w:r>
        <w:t xml:space="preserve">esearch </w:t>
      </w:r>
      <w:r w:rsidR="004D4437">
        <w:t>a</w:t>
      </w:r>
      <w:r w:rsidR="005A5C15">
        <w:t>long with</w:t>
      </w:r>
      <w:r>
        <w:t xml:space="preserve"> a number of case s</w:t>
      </w:r>
      <w:r>
        <w:rPr>
          <w:rFonts w:hint="eastAsia"/>
        </w:rPr>
        <w:t>t</w:t>
      </w:r>
      <w:r>
        <w:t xml:space="preserve">udies have </w:t>
      </w:r>
      <w:r w:rsidR="00F0219F">
        <w:t xml:space="preserve">identified </w:t>
      </w:r>
      <w:r w:rsidR="00F0219F" w:rsidRPr="00353C06">
        <w:t>the</w:t>
      </w:r>
      <w:r w:rsidRPr="00353C06">
        <w:t xml:space="preserve"> presence of an “efficiency gap</w:t>
      </w:r>
      <w:r w:rsidR="005A5C15">
        <w:t>.</w:t>
      </w:r>
      <w:r w:rsidRPr="00353C06">
        <w:t xml:space="preserve">” </w:t>
      </w:r>
      <w:r w:rsidR="005A5C15">
        <w:t xml:space="preserve">This is </w:t>
      </w:r>
      <w:r w:rsidRPr="00353C06">
        <w:t>“the difference between the actual level of investment in energy efficiency and the higher level that would be cost-beneficial from the consumer’s […] point of view.”</w:t>
      </w:r>
      <w:r>
        <w:rPr>
          <w:rStyle w:val="FootnoteReference"/>
          <w:rFonts w:hint="eastAsia"/>
        </w:rPr>
        <w:footnoteReference w:id="2"/>
      </w:r>
      <w:r w:rsidRPr="00353C06">
        <w:t xml:space="preserve">  </w:t>
      </w:r>
      <w:r>
        <w:t xml:space="preserve">In their 2009 discussion report </w:t>
      </w:r>
      <w:r w:rsidRPr="000E60C7">
        <w:t>“Energy Efficiency Economics and Policy,”</w:t>
      </w:r>
      <w:r>
        <w:t xml:space="preserve"> Gillingham et al. indi</w:t>
      </w:r>
      <w:r>
        <w:rPr>
          <w:rFonts w:hint="eastAsia"/>
        </w:rPr>
        <w:t>cat</w:t>
      </w:r>
      <w:r>
        <w:t>e that the efficiency gap illustrates underinvestment in energy efficiency overall compared to a socially optimal level; essentially, that adoption of efficient technologies is “too slow.”</w:t>
      </w:r>
      <w:r>
        <w:rPr>
          <w:rStyle w:val="FootnoteReference"/>
          <w:rFonts w:hint="eastAsia"/>
        </w:rPr>
        <w:footnoteReference w:id="3"/>
      </w:r>
      <w:r>
        <w:t xml:space="preserve"> </w:t>
      </w:r>
    </w:p>
    <w:p w:rsidR="00241CA3" w:rsidRPr="00241CA3" w:rsidRDefault="00161776" w:rsidP="00214D0A">
      <w:pPr>
        <w:pStyle w:val="answer"/>
        <w:ind w:firstLine="0"/>
      </w:pPr>
      <w:r>
        <w:rPr>
          <w:bCs/>
        </w:rPr>
        <w:t>M</w:t>
      </w:r>
      <w:r w:rsidR="005239DE" w:rsidRPr="00CF23C2">
        <w:rPr>
          <w:bCs/>
        </w:rPr>
        <w:t xml:space="preserve">any customers </w:t>
      </w:r>
      <w:r>
        <w:rPr>
          <w:bCs/>
        </w:rPr>
        <w:t>i</w:t>
      </w:r>
      <w:r>
        <w:t xml:space="preserve">n PSE’s service territory </w:t>
      </w:r>
      <w:r w:rsidR="005239DE" w:rsidRPr="00CF23C2">
        <w:rPr>
          <w:bCs/>
        </w:rPr>
        <w:t>hold onto equipment that is far past its useful life</w:t>
      </w:r>
      <w:r w:rsidR="00C1106A" w:rsidRPr="00C1106A">
        <w:rPr>
          <w:bCs/>
        </w:rPr>
        <w:t xml:space="preserve">. </w:t>
      </w:r>
      <w:r w:rsidR="00991C65">
        <w:t>A recent survey</w:t>
      </w:r>
      <w:r w:rsidR="00381640">
        <w:t xml:space="preserve"> of PSE customers</w:t>
      </w:r>
      <w:r w:rsidR="00991C65">
        <w:t xml:space="preserve"> showed that</w:t>
      </w:r>
      <w:r w:rsidR="00991C65" w:rsidRPr="00C76528">
        <w:t xml:space="preserve"> </w:t>
      </w:r>
      <w:r w:rsidR="00991C65">
        <w:t>s</w:t>
      </w:r>
      <w:r w:rsidR="00C1106A" w:rsidRPr="00991C65">
        <w:rPr>
          <w:bCs/>
        </w:rPr>
        <w:t xml:space="preserve">ome of this equipment has been in operation for almost </w:t>
      </w:r>
      <w:r w:rsidR="00F0219F">
        <w:rPr>
          <w:bCs/>
        </w:rPr>
        <w:t xml:space="preserve">twice </w:t>
      </w:r>
      <w:r w:rsidR="00F0219F" w:rsidRPr="00991C65">
        <w:rPr>
          <w:bCs/>
        </w:rPr>
        <w:t>its</w:t>
      </w:r>
      <w:r w:rsidR="00C1106A" w:rsidRPr="00991C65">
        <w:rPr>
          <w:bCs/>
        </w:rPr>
        <w:t xml:space="preserve"> intended life</w:t>
      </w:r>
      <w:r w:rsidR="00736655">
        <w:rPr>
          <w:bCs/>
        </w:rPr>
        <w:t>.</w:t>
      </w:r>
      <w:r w:rsidR="00991C65">
        <w:t xml:space="preserve"> </w:t>
      </w:r>
      <w:r w:rsidR="00736655">
        <w:t xml:space="preserve">Additionally, it has been observed that </w:t>
      </w:r>
      <w:r w:rsidR="00F0219F">
        <w:t xml:space="preserve">some </w:t>
      </w:r>
      <w:r w:rsidR="00F0219F" w:rsidRPr="00CF23C2">
        <w:rPr>
          <w:bCs/>
        </w:rPr>
        <w:t>customers</w:t>
      </w:r>
      <w:r w:rsidR="005239DE" w:rsidRPr="00CF23C2">
        <w:rPr>
          <w:bCs/>
        </w:rPr>
        <w:t xml:space="preserve"> </w:t>
      </w:r>
      <w:r w:rsidR="00736655">
        <w:rPr>
          <w:bCs/>
        </w:rPr>
        <w:t>do replace their equipment at the correct time</w:t>
      </w:r>
      <w:r w:rsidR="00151518">
        <w:rPr>
          <w:bCs/>
        </w:rPr>
        <w:t>,</w:t>
      </w:r>
      <w:r w:rsidR="00736655">
        <w:rPr>
          <w:bCs/>
        </w:rPr>
        <w:t xml:space="preserve"> but </w:t>
      </w:r>
      <w:r w:rsidR="00F0219F">
        <w:rPr>
          <w:bCs/>
        </w:rPr>
        <w:t>often replace</w:t>
      </w:r>
      <w:r w:rsidR="005239DE" w:rsidRPr="00CF23C2">
        <w:rPr>
          <w:bCs/>
        </w:rPr>
        <w:t xml:space="preserve"> </w:t>
      </w:r>
      <w:r w:rsidR="005A5C15">
        <w:rPr>
          <w:bCs/>
        </w:rPr>
        <w:t xml:space="preserve">their aging </w:t>
      </w:r>
      <w:r w:rsidR="005239DE" w:rsidRPr="00CF23C2">
        <w:rPr>
          <w:bCs/>
        </w:rPr>
        <w:t>equipment with less efficient models</w:t>
      </w:r>
      <w:r w:rsidR="005A5C15">
        <w:rPr>
          <w:bCs/>
        </w:rPr>
        <w:t xml:space="preserve"> than is optimal. </w:t>
      </w:r>
      <w:r w:rsidR="008B59FE">
        <w:t xml:space="preserve">Older </w:t>
      </w:r>
      <w:r w:rsidR="005239DE" w:rsidRPr="008B59FE">
        <w:t xml:space="preserve">equipment </w:t>
      </w:r>
      <w:r w:rsidR="008B59FE">
        <w:t>may have</w:t>
      </w:r>
      <w:r w:rsidR="005239DE" w:rsidRPr="008B59FE">
        <w:t xml:space="preserve"> degraded performance </w:t>
      </w:r>
      <w:r w:rsidR="008B59FE">
        <w:t xml:space="preserve">after decades of use and was most likely </w:t>
      </w:r>
      <w:r w:rsidR="005239DE" w:rsidRPr="008B59FE">
        <w:t xml:space="preserve">built </w:t>
      </w:r>
      <w:r w:rsidR="008B59FE">
        <w:t xml:space="preserve">using less efficient technologies. This results in </w:t>
      </w:r>
      <w:r w:rsidR="00015D35">
        <w:t xml:space="preserve">wasted energy, higher </w:t>
      </w:r>
      <w:r w:rsidR="00CD5CF1" w:rsidRPr="00A25E9E">
        <w:rPr>
          <w:rFonts w:hint="eastAsia"/>
          <w:bCs/>
        </w:rPr>
        <w:t>CO</w:t>
      </w:r>
      <w:r w:rsidR="00CD5CF1" w:rsidRPr="00A25E9E">
        <w:rPr>
          <w:rFonts w:hint="eastAsia"/>
          <w:bCs/>
          <w:vertAlign w:val="subscript"/>
        </w:rPr>
        <w:t>2</w:t>
      </w:r>
      <w:r w:rsidR="00015D35">
        <w:t xml:space="preserve"> and </w:t>
      </w:r>
      <w:r w:rsidR="00CD5CF1">
        <w:t xml:space="preserve">other </w:t>
      </w:r>
      <w:r w:rsidR="00015D35">
        <w:t>greenhouse gas emissions, higher utility bills,</w:t>
      </w:r>
      <w:r w:rsidR="00F44A01">
        <w:t xml:space="preserve"> and loss of</w:t>
      </w:r>
      <w:r w:rsidR="00C96455">
        <w:t xml:space="preserve"> c</w:t>
      </w:r>
      <w:r w:rsidR="00F44A01">
        <w:t>omfor</w:t>
      </w:r>
      <w:r w:rsidR="00C96455">
        <w:t>t</w:t>
      </w:r>
      <w:r w:rsidR="00F44A01">
        <w:t xml:space="preserve">. </w:t>
      </w:r>
      <w:r w:rsidR="00241CA3">
        <w:t xml:space="preserve">Furthermore, in a 1996 report for the Lawrence Berkeley National Laboratory, </w:t>
      </w:r>
      <w:r w:rsidR="00241CA3" w:rsidRPr="00C76540">
        <w:t>William H. Golove and Joseph H. Eto</w:t>
      </w:r>
      <w:r w:rsidR="00241CA3">
        <w:t xml:space="preserve"> discuss the fact that energy efficient </w:t>
      </w:r>
      <w:r w:rsidR="00FF3034">
        <w:t xml:space="preserve">products </w:t>
      </w:r>
      <w:r w:rsidR="00241CA3">
        <w:t>could provide energy services at lower costs than the development of new energy supplies. Thus, the efficiency gap implies that there are significant, cost-effective energy savings that are not being taken advantage of.</w:t>
      </w:r>
      <w:r w:rsidR="00241CA3">
        <w:rPr>
          <w:rStyle w:val="FootnoteReference"/>
          <w:rFonts w:hint="eastAsia"/>
        </w:rPr>
        <w:footnoteReference w:id="4"/>
      </w:r>
    </w:p>
    <w:p w:rsidR="00BF33C1" w:rsidRDefault="00931AC6" w:rsidP="00397EA2">
      <w:pPr>
        <w:pStyle w:val="question"/>
        <w:keepNext/>
        <w:keepLines/>
        <w:spacing w:before="120"/>
      </w:pPr>
      <w:r w:rsidRPr="002329AD">
        <w:t>Q</w:t>
      </w:r>
      <w:r w:rsidR="00AF32A8">
        <w:t>.</w:t>
      </w:r>
      <w:r w:rsidRPr="002329AD">
        <w:tab/>
      </w:r>
      <w:r w:rsidR="00BF33C1">
        <w:t xml:space="preserve">Are there barriers to the </w:t>
      </w:r>
      <w:r w:rsidR="00566386">
        <w:t>consumer</w:t>
      </w:r>
      <w:r w:rsidR="00031CC6">
        <w:t xml:space="preserve"> </w:t>
      </w:r>
      <w:r w:rsidR="00BF33C1">
        <w:t>adoption of new</w:t>
      </w:r>
      <w:r w:rsidR="00A02B60">
        <w:t>, efficient</w:t>
      </w:r>
      <w:r w:rsidR="00BF33C1">
        <w:t xml:space="preserve"> </w:t>
      </w:r>
      <w:r w:rsidR="00A02B60">
        <w:t>products</w:t>
      </w:r>
      <w:r w:rsidR="00BF33C1">
        <w:t>?</w:t>
      </w:r>
    </w:p>
    <w:p w:rsidR="00BF33C1" w:rsidRDefault="00BF33C1" w:rsidP="004D4437">
      <w:pPr>
        <w:pStyle w:val="answer"/>
      </w:pPr>
      <w:r>
        <w:rPr>
          <w:rFonts w:ascii="Times New Roman" w:hAnsi="Times New Roman"/>
        </w:rPr>
        <w:t>A.</w:t>
      </w:r>
      <w:r>
        <w:rPr>
          <w:rFonts w:ascii="Times New Roman" w:hAnsi="Times New Roman"/>
        </w:rPr>
        <w:tab/>
        <w:t xml:space="preserve">Yes. </w:t>
      </w:r>
      <w:r w:rsidRPr="00353C06">
        <w:t xml:space="preserve">Several studies and papers over the past 40 years have categorized market and behavioral barriers to the adoption of </w:t>
      </w:r>
      <w:r w:rsidR="00C91BB5">
        <w:t>new and</w:t>
      </w:r>
      <w:r w:rsidRPr="00353C06">
        <w:t xml:space="preserve"> efficien</w:t>
      </w:r>
      <w:r>
        <w:t xml:space="preserve">t </w:t>
      </w:r>
      <w:r w:rsidR="00FF3034">
        <w:t>products</w:t>
      </w:r>
      <w:r w:rsidR="00FF3034" w:rsidRPr="00353C06">
        <w:t xml:space="preserve"> </w:t>
      </w:r>
      <w:r w:rsidRPr="00353C06">
        <w:t xml:space="preserve">by </w:t>
      </w:r>
      <w:r w:rsidR="00566386">
        <w:t>consumers</w:t>
      </w:r>
      <w:r w:rsidR="00C91BB5">
        <w:t xml:space="preserve">. </w:t>
      </w:r>
      <w:r w:rsidR="00A30CC8">
        <w:t xml:space="preserve">These barriers affect different </w:t>
      </w:r>
      <w:r w:rsidR="00911B22">
        <w:t>customers</w:t>
      </w:r>
      <w:r w:rsidR="00A30CC8">
        <w:t xml:space="preserve"> to varying extents</w:t>
      </w:r>
      <w:r w:rsidR="004D4437">
        <w:t>—</w:t>
      </w:r>
      <w:r w:rsidR="00031CC6">
        <w:t>n</w:t>
      </w:r>
      <w:r w:rsidR="00A30CC8">
        <w:t xml:space="preserve">ot all </w:t>
      </w:r>
      <w:r w:rsidR="00911B22">
        <w:t>customers</w:t>
      </w:r>
      <w:r w:rsidR="00A30CC8">
        <w:t xml:space="preserve"> will be affected by all barriers, and some will not be affected by any. Nonetheless, the existence of these barriers means that </w:t>
      </w:r>
      <w:r w:rsidR="00FF3034">
        <w:t>some</w:t>
      </w:r>
      <w:r w:rsidR="00A30CC8">
        <w:t xml:space="preserve"> </w:t>
      </w:r>
      <w:r w:rsidR="00911B22">
        <w:t>customers</w:t>
      </w:r>
      <w:r w:rsidR="00A30CC8">
        <w:t xml:space="preserve"> do not adopt new </w:t>
      </w:r>
      <w:r w:rsidR="00FF3034">
        <w:t xml:space="preserve">products </w:t>
      </w:r>
      <w:r w:rsidR="00A30CC8">
        <w:t xml:space="preserve">even when it is in their own and/or society’s benefit to do so. </w:t>
      </w:r>
    </w:p>
    <w:p w:rsidR="008814D2" w:rsidRDefault="008814D2" w:rsidP="00312D99">
      <w:pPr>
        <w:pStyle w:val="question"/>
        <w:keepNext/>
        <w:keepLines/>
        <w:spacing w:before="120"/>
        <w:ind w:left="0" w:firstLine="0"/>
      </w:pPr>
      <w:r w:rsidRPr="005A5A09">
        <w:t>Q.</w:t>
      </w:r>
      <w:r w:rsidRPr="005A5A09">
        <w:tab/>
      </w:r>
      <w:r>
        <w:t>What are the barriers to the adoption of new</w:t>
      </w:r>
      <w:r w:rsidR="00A02B60">
        <w:t>, efficient products?</w:t>
      </w:r>
      <w:r>
        <w:t xml:space="preserve"> </w:t>
      </w:r>
    </w:p>
    <w:p w:rsidR="008814D2" w:rsidRPr="00312D99" w:rsidRDefault="008814D2" w:rsidP="008814D2">
      <w:pPr>
        <w:pStyle w:val="question"/>
        <w:keepNext/>
        <w:keepLines/>
        <w:spacing w:before="120"/>
        <w:rPr>
          <w:b w:val="0"/>
          <w:bCs/>
        </w:rPr>
      </w:pPr>
      <w:r w:rsidRPr="00312D99">
        <w:rPr>
          <w:b w:val="0"/>
        </w:rPr>
        <w:t>A.</w:t>
      </w:r>
      <w:r w:rsidRPr="00312D99">
        <w:rPr>
          <w:b w:val="0"/>
        </w:rPr>
        <w:tab/>
      </w:r>
      <w:r w:rsidRPr="008814D2">
        <w:rPr>
          <w:b w:val="0"/>
        </w:rPr>
        <w:t xml:space="preserve">Five key barriers emerge from a review of the literature: credit constraints, risk aversion, imperfect information and search costs, myopic behavior (hyperbolic discounting), and externalities that do not directly benefit those customers who purchase </w:t>
      </w:r>
      <w:r w:rsidR="00DB3619">
        <w:rPr>
          <w:b w:val="0"/>
        </w:rPr>
        <w:t xml:space="preserve">new, more </w:t>
      </w:r>
      <w:r w:rsidRPr="008814D2">
        <w:rPr>
          <w:b w:val="0"/>
        </w:rPr>
        <w:t xml:space="preserve">efficient </w:t>
      </w:r>
      <w:r w:rsidR="00A02B60">
        <w:rPr>
          <w:b w:val="0"/>
        </w:rPr>
        <w:t>products</w:t>
      </w:r>
      <w:r w:rsidRPr="008814D2">
        <w:rPr>
          <w:b w:val="0"/>
        </w:rPr>
        <w:t xml:space="preserve">.  </w:t>
      </w:r>
    </w:p>
    <w:p w:rsidR="00FC3B0E" w:rsidRDefault="00931AC6" w:rsidP="00AF32A8">
      <w:pPr>
        <w:pStyle w:val="question"/>
        <w:keepNext/>
        <w:keepLines/>
        <w:spacing w:before="120"/>
      </w:pPr>
      <w:r w:rsidRPr="005A5A09">
        <w:t>Q.</w:t>
      </w:r>
      <w:r w:rsidRPr="005A5A09">
        <w:tab/>
      </w:r>
      <w:r w:rsidR="00353C06">
        <w:t xml:space="preserve">What are credit constraints and how do they inhibit customer adoption of </w:t>
      </w:r>
      <w:r w:rsidR="00A02B60">
        <w:t>efficient products</w:t>
      </w:r>
      <w:r w:rsidR="00353C06">
        <w:t>?</w:t>
      </w:r>
    </w:p>
    <w:p w:rsidR="00353C06" w:rsidRDefault="00353C06" w:rsidP="00353C06">
      <w:pPr>
        <w:pStyle w:val="answer"/>
      </w:pPr>
      <w:r>
        <w:t>A.</w:t>
      </w:r>
      <w:r>
        <w:tab/>
      </w:r>
      <w:r w:rsidRPr="00353C06">
        <w:t xml:space="preserve">Credit constraints can be defined as the lack of access to capital to pay for the upfront costs of an investment. </w:t>
      </w:r>
      <w:r w:rsidR="00A02B60">
        <w:t xml:space="preserve">More </w:t>
      </w:r>
      <w:r w:rsidRPr="00353C06">
        <w:t xml:space="preserve">efficient </w:t>
      </w:r>
      <w:r w:rsidR="00A02B60">
        <w:t xml:space="preserve">consumer products </w:t>
      </w:r>
      <w:r w:rsidRPr="00353C06">
        <w:t>“typically require a substantial upfront investment in exchange for savings that accrue over the lifetime of the deployed measures.”</w:t>
      </w:r>
      <w:r>
        <w:rPr>
          <w:rStyle w:val="FootnoteReference"/>
          <w:rFonts w:hint="eastAsia"/>
        </w:rPr>
        <w:footnoteReference w:id="5"/>
      </w:r>
      <w:r w:rsidRPr="00353C06">
        <w:t xml:space="preserve"> If an individual or organization does not have the internal funds required to invest in costly upgrades, and is unable to access that capital through borrowing or other means, such investments may not occur</w:t>
      </w:r>
      <w:r w:rsidR="00C96455">
        <w:t xml:space="preserve"> in a timely manner</w:t>
      </w:r>
      <w:r w:rsidRPr="00353C06">
        <w:t>.</w:t>
      </w:r>
      <w:r w:rsidR="00723BA5">
        <w:rPr>
          <w:rStyle w:val="FootnoteReference"/>
          <w:rFonts w:hint="eastAsia"/>
        </w:rPr>
        <w:footnoteReference w:id="6"/>
      </w:r>
    </w:p>
    <w:p w:rsidR="00A30CC8" w:rsidRDefault="00723BA5" w:rsidP="00353C06">
      <w:pPr>
        <w:pStyle w:val="answer"/>
        <w:rPr>
          <w:rFonts w:ascii="Times New Roman" w:eastAsia="Times New Roman" w:hAnsi="Times New Roman"/>
          <w:szCs w:val="24"/>
        </w:rPr>
      </w:pPr>
      <w:r>
        <w:tab/>
      </w:r>
      <w:r w:rsidRPr="00723BA5">
        <w:t xml:space="preserve">In addition to significant immediate costs, potential consumers of </w:t>
      </w:r>
      <w:r w:rsidR="001763D1">
        <w:t>new, more</w:t>
      </w:r>
      <w:r w:rsidR="001763D1" w:rsidRPr="00723BA5">
        <w:t xml:space="preserve"> </w:t>
      </w:r>
      <w:r w:rsidRPr="00723BA5">
        <w:t xml:space="preserve">efficient equipment </w:t>
      </w:r>
      <w:r w:rsidR="002E2758">
        <w:t xml:space="preserve">may </w:t>
      </w:r>
      <w:r w:rsidRPr="00723BA5">
        <w:t xml:space="preserve">face high financing costs. </w:t>
      </w:r>
      <w:r w:rsidR="004362F5">
        <w:t>For both individuals and small commercial and industrial customers, a</w:t>
      </w:r>
      <w:r w:rsidRPr="00723BA5">
        <w:t>cquiring the required capital can be difficult due to the perceived riskines</w:t>
      </w:r>
      <w:r>
        <w:t>s of efficiency opportun</w:t>
      </w:r>
      <w:r w:rsidRPr="00723BA5">
        <w:t>ities.</w:t>
      </w:r>
      <w:r w:rsidRPr="00723BA5">
        <w:rPr>
          <w:rFonts w:eastAsia="Times New Roman" w:hint="eastAsia"/>
          <w:szCs w:val="24"/>
          <w:vertAlign w:val="superscript"/>
        </w:rPr>
        <w:footnoteReference w:id="7"/>
      </w:r>
      <w:r w:rsidRPr="00723BA5">
        <w:t xml:space="preserve"> </w:t>
      </w:r>
      <w:r w:rsidR="00BF43CE">
        <w:t xml:space="preserve"> </w:t>
      </w:r>
      <w:r w:rsidRPr="00723BA5">
        <w:rPr>
          <w:rFonts w:eastAsia="Calibri"/>
          <w:szCs w:val="24"/>
        </w:rPr>
        <w:t>L</w:t>
      </w:r>
      <w:r w:rsidRPr="00723BA5">
        <w:rPr>
          <w:rFonts w:eastAsia="Times New Roman"/>
          <w:szCs w:val="24"/>
        </w:rPr>
        <w:t xml:space="preserve">enders generally do not adjust the interest rate based on the </w:t>
      </w:r>
      <w:r w:rsidRPr="00C76540">
        <w:rPr>
          <w:rFonts w:ascii="Times New Roman" w:eastAsia="Times New Roman" w:hAnsi="Times New Roman"/>
          <w:szCs w:val="24"/>
        </w:rPr>
        <w:t>improvement in the borrower’s cash flow that comes from the savings t</w:t>
      </w:r>
      <w:r w:rsidR="004362F5">
        <w:rPr>
          <w:rFonts w:ascii="Times New Roman" w:eastAsia="Times New Roman" w:hAnsi="Times New Roman"/>
          <w:szCs w:val="24"/>
        </w:rPr>
        <w:t>hat accrue with energy efficient</w:t>
      </w:r>
      <w:r w:rsidRPr="00C76540">
        <w:rPr>
          <w:rFonts w:ascii="Times New Roman" w:eastAsia="Times New Roman" w:hAnsi="Times New Roman"/>
          <w:szCs w:val="24"/>
        </w:rPr>
        <w:t xml:space="preserve"> investments. </w:t>
      </w:r>
      <w:r w:rsidR="00BF43CE">
        <w:rPr>
          <w:rFonts w:ascii="Times New Roman" w:eastAsia="Times New Roman" w:hAnsi="Times New Roman"/>
          <w:szCs w:val="24"/>
        </w:rPr>
        <w:t xml:space="preserve"> </w:t>
      </w:r>
      <w:r w:rsidRPr="00C76540">
        <w:rPr>
          <w:rFonts w:ascii="Times New Roman" w:eastAsia="Times New Roman" w:hAnsi="Times New Roman"/>
          <w:szCs w:val="24"/>
        </w:rPr>
        <w:t xml:space="preserve">At the same time, some potential borrowers, such as low-income </w:t>
      </w:r>
      <w:r w:rsidR="004362F5">
        <w:rPr>
          <w:rFonts w:ascii="Times New Roman" w:eastAsia="Times New Roman" w:hAnsi="Times New Roman"/>
          <w:szCs w:val="24"/>
        </w:rPr>
        <w:t>residential households</w:t>
      </w:r>
      <w:r w:rsidRPr="00C76540">
        <w:rPr>
          <w:rFonts w:ascii="Times New Roman" w:eastAsia="Times New Roman" w:hAnsi="Times New Roman"/>
          <w:szCs w:val="24"/>
        </w:rPr>
        <w:t xml:space="preserve"> or small business owners, may be unable to borrow </w:t>
      </w:r>
      <w:r w:rsidR="00DC133E">
        <w:rPr>
          <w:rFonts w:ascii="Times New Roman" w:eastAsia="Times New Roman" w:hAnsi="Times New Roman"/>
          <w:szCs w:val="24"/>
        </w:rPr>
        <w:t xml:space="preserve">money </w:t>
      </w:r>
      <w:r w:rsidRPr="00C76540">
        <w:rPr>
          <w:rFonts w:ascii="Times New Roman" w:eastAsia="Times New Roman" w:hAnsi="Times New Roman"/>
          <w:szCs w:val="24"/>
        </w:rPr>
        <w:t xml:space="preserve">due to their </w:t>
      </w:r>
      <w:r w:rsidR="00DC133E">
        <w:rPr>
          <w:rFonts w:ascii="Times New Roman" w:eastAsia="Times New Roman" w:hAnsi="Times New Roman"/>
          <w:szCs w:val="24"/>
        </w:rPr>
        <w:t xml:space="preserve">low </w:t>
      </w:r>
      <w:r w:rsidRPr="00C76540">
        <w:rPr>
          <w:rFonts w:ascii="Times New Roman" w:eastAsia="Times New Roman" w:hAnsi="Times New Roman"/>
          <w:szCs w:val="24"/>
        </w:rPr>
        <w:t>“credit-worthiness.”</w:t>
      </w:r>
      <w:r w:rsidRPr="00C76540">
        <w:rPr>
          <w:rFonts w:ascii="Times New Roman" w:eastAsia="Times New Roman" w:hAnsi="Times New Roman"/>
          <w:szCs w:val="24"/>
          <w:vertAlign w:val="superscript"/>
        </w:rPr>
        <w:footnoteReference w:id="8"/>
      </w:r>
      <w:r w:rsidR="004362F5">
        <w:rPr>
          <w:rFonts w:ascii="Times New Roman" w:eastAsia="Times New Roman" w:hAnsi="Times New Roman"/>
          <w:szCs w:val="24"/>
        </w:rPr>
        <w:t xml:space="preserve"> </w:t>
      </w:r>
      <w:r w:rsidR="00BF43CE">
        <w:rPr>
          <w:rFonts w:ascii="Times New Roman" w:eastAsia="Times New Roman" w:hAnsi="Times New Roman"/>
          <w:szCs w:val="24"/>
        </w:rPr>
        <w:t xml:space="preserve"> </w:t>
      </w:r>
      <w:r w:rsidR="004362F5">
        <w:rPr>
          <w:rFonts w:ascii="Times New Roman" w:eastAsia="Times New Roman" w:hAnsi="Times New Roman"/>
          <w:szCs w:val="24"/>
        </w:rPr>
        <w:t>Further, c</w:t>
      </w:r>
      <w:r w:rsidR="00C76540" w:rsidRPr="00C76540">
        <w:rPr>
          <w:rFonts w:ascii="Times New Roman" w:eastAsia="Times New Roman" w:hAnsi="Times New Roman"/>
          <w:szCs w:val="24"/>
        </w:rPr>
        <w:t>redit may be unavailable in some regions and loan terms may be too short compared to the lifetime of the investment.</w:t>
      </w:r>
      <w:r w:rsidR="00C76540" w:rsidRPr="00C76540">
        <w:rPr>
          <w:rStyle w:val="FootnoteReference"/>
          <w:rFonts w:ascii="Times New Roman" w:eastAsia="Times New Roman" w:hAnsi="Times New Roman"/>
          <w:szCs w:val="24"/>
        </w:rPr>
        <w:footnoteReference w:id="9"/>
      </w:r>
      <w:r w:rsidR="00C76540" w:rsidRPr="00C76540">
        <w:rPr>
          <w:rFonts w:ascii="Times New Roman" w:eastAsia="Times New Roman" w:hAnsi="Times New Roman"/>
          <w:szCs w:val="24"/>
        </w:rPr>
        <w:t xml:space="preserve"> </w:t>
      </w:r>
      <w:r w:rsidR="00BF43CE">
        <w:rPr>
          <w:rFonts w:ascii="Times New Roman" w:eastAsia="Times New Roman" w:hAnsi="Times New Roman"/>
          <w:szCs w:val="24"/>
        </w:rPr>
        <w:t xml:space="preserve"> </w:t>
      </w:r>
      <w:r w:rsidR="00C76540" w:rsidRPr="00C76540">
        <w:rPr>
          <w:rFonts w:ascii="Times New Roman" w:eastAsia="Times New Roman" w:hAnsi="Times New Roman"/>
          <w:szCs w:val="24"/>
        </w:rPr>
        <w:t xml:space="preserve">In her 2001 article, “Market failures and barriers as a basis for clean energy policies,” Marilyn A. Brown </w:t>
      </w:r>
      <w:r w:rsidR="009872F0">
        <w:rPr>
          <w:rFonts w:ascii="Times New Roman" w:eastAsia="Times New Roman" w:hAnsi="Times New Roman"/>
          <w:szCs w:val="24"/>
        </w:rPr>
        <w:t>et al. discuss</w:t>
      </w:r>
      <w:r w:rsidR="00C76540" w:rsidRPr="00C76540">
        <w:rPr>
          <w:rFonts w:ascii="Times New Roman" w:eastAsia="Times New Roman" w:hAnsi="Times New Roman"/>
          <w:szCs w:val="24"/>
        </w:rPr>
        <w:t xml:space="preserve"> the existence of an “interest rate gap” where energy suppliers can borrow capital at lower interest rates than energy consumers can, likely because of “differences in the knowledge base of the lenders about the likely performance of investments as well as the financial risk of the potential borrower.”</w:t>
      </w:r>
      <w:r w:rsidR="00C76540" w:rsidRPr="00C76540">
        <w:rPr>
          <w:rFonts w:ascii="Times New Roman" w:eastAsia="Times New Roman" w:hAnsi="Times New Roman"/>
          <w:szCs w:val="24"/>
          <w:vertAlign w:val="superscript"/>
        </w:rPr>
        <w:footnoteReference w:id="10"/>
      </w:r>
    </w:p>
    <w:p w:rsidR="00353C06" w:rsidRDefault="00353C06" w:rsidP="00353C06">
      <w:pPr>
        <w:pStyle w:val="answer"/>
        <w:rPr>
          <w:b/>
        </w:rPr>
      </w:pPr>
      <w:r w:rsidRPr="00353C06">
        <w:rPr>
          <w:b/>
        </w:rPr>
        <w:t>Q.</w:t>
      </w:r>
      <w:r>
        <w:rPr>
          <w:b/>
        </w:rPr>
        <w:tab/>
        <w:t xml:space="preserve">What is risk aversion and how does it impede customer adoption of </w:t>
      </w:r>
      <w:r w:rsidR="009304CE">
        <w:rPr>
          <w:b/>
        </w:rPr>
        <w:t>efficient products</w:t>
      </w:r>
      <w:r>
        <w:rPr>
          <w:b/>
        </w:rPr>
        <w:t>?</w:t>
      </w:r>
    </w:p>
    <w:p w:rsidR="00353C06" w:rsidRDefault="00353C06" w:rsidP="00353C06">
      <w:pPr>
        <w:pStyle w:val="answer"/>
      </w:pPr>
      <w:r>
        <w:t>A.</w:t>
      </w:r>
      <w:r>
        <w:tab/>
      </w:r>
      <w:r w:rsidR="00CA4D47" w:rsidRPr="00CA4D47">
        <w:t xml:space="preserve">Risk aversion refers to the natural tendency of people to </w:t>
      </w:r>
      <w:r w:rsidR="002225DC">
        <w:t>dislike</w:t>
      </w:r>
      <w:r w:rsidR="00CA4D47" w:rsidRPr="00CA4D47">
        <w:t xml:space="preserve"> uncertainty when mak</w:t>
      </w:r>
      <w:r w:rsidR="002225DC">
        <w:t xml:space="preserve">ing decisions. </w:t>
      </w:r>
      <w:r w:rsidR="009304CE">
        <w:t>I</w:t>
      </w:r>
      <w:r w:rsidR="00CA4D47" w:rsidRPr="00CA4D47">
        <w:t xml:space="preserve">nvestments </w:t>
      </w:r>
      <w:r w:rsidR="009304CE">
        <w:t xml:space="preserve">in new, efficient products </w:t>
      </w:r>
      <w:r w:rsidR="00CA4D47" w:rsidRPr="00CA4D47">
        <w:t>have technical and financial risks that lead the rational decision-maker to require short</w:t>
      </w:r>
      <w:r w:rsidR="009304CE">
        <w:t>er</w:t>
      </w:r>
      <w:r w:rsidR="00CA4D47" w:rsidRPr="00CA4D47">
        <w:t xml:space="preserve"> payback periods</w:t>
      </w:r>
      <w:r w:rsidR="002225DC">
        <w:t xml:space="preserve"> as compensation for this risk</w:t>
      </w:r>
      <w:r w:rsidR="00CA4D47" w:rsidRPr="00CA4D47">
        <w:t>.</w:t>
      </w:r>
      <w:r w:rsidR="00CA4D47">
        <w:rPr>
          <w:rStyle w:val="FootnoteReference"/>
          <w:rFonts w:hint="eastAsia"/>
        </w:rPr>
        <w:footnoteReference w:id="11"/>
      </w:r>
      <w:r w:rsidR="00CA4D47" w:rsidRPr="00CA4D47">
        <w:t xml:space="preserve"> In particular, the cost savings associated with </w:t>
      </w:r>
      <w:r w:rsidR="009304CE">
        <w:t>product</w:t>
      </w:r>
      <w:r w:rsidR="009304CE" w:rsidRPr="00CA4D47">
        <w:t xml:space="preserve"> </w:t>
      </w:r>
      <w:r w:rsidR="00CA4D47" w:rsidRPr="00CA4D47">
        <w:t>upgrades can be difficult to estimate, as they depend on “future economic conditions in general,</w:t>
      </w:r>
      <w:r w:rsidR="00A51125">
        <w:t>”</w:t>
      </w:r>
      <w:r w:rsidR="00CA4D47" w:rsidRPr="00CA4D47">
        <w:t xml:space="preserve"> and </w:t>
      </w:r>
      <w:r w:rsidR="00A51125">
        <w:t>in the case of energy efficiency</w:t>
      </w:r>
      <w:r w:rsidR="00CA4D47" w:rsidRPr="00CA4D47">
        <w:t xml:space="preserve">, </w:t>
      </w:r>
      <w:r w:rsidR="00A51125">
        <w:t>“</w:t>
      </w:r>
      <w:r w:rsidR="00CA4D47" w:rsidRPr="00CA4D47">
        <w:t>on future e</w:t>
      </w:r>
      <w:r w:rsidR="00CA4D47">
        <w:t>nergy prices and availability,”</w:t>
      </w:r>
      <w:r w:rsidR="00CA4D47">
        <w:rPr>
          <w:rStyle w:val="FootnoteReference"/>
          <w:rFonts w:hint="eastAsia"/>
        </w:rPr>
        <w:footnoteReference w:id="12"/>
      </w:r>
      <w:r w:rsidR="00CA4D47">
        <w:t xml:space="preserve"> which fluctuate over time.</w:t>
      </w:r>
      <w:r w:rsidR="00CA4D47">
        <w:rPr>
          <w:rStyle w:val="FootnoteReference"/>
          <w:rFonts w:hint="eastAsia"/>
        </w:rPr>
        <w:footnoteReference w:id="13"/>
      </w:r>
      <w:r w:rsidR="00FE184E">
        <w:t xml:space="preserve"> </w:t>
      </w:r>
      <w:r w:rsidR="002225DC">
        <w:t>Financing efficient</w:t>
      </w:r>
      <w:r w:rsidR="00FE184E" w:rsidRPr="00FE184E">
        <w:t xml:space="preserve"> investments at a guaranteed rate is often discussed as a method to </w:t>
      </w:r>
      <w:r w:rsidR="002225DC">
        <w:t xml:space="preserve">address </w:t>
      </w:r>
      <w:r w:rsidR="00FE184E" w:rsidRPr="00FE184E">
        <w:t>this concern.</w:t>
      </w:r>
      <w:r w:rsidR="00FE184E">
        <w:rPr>
          <w:rStyle w:val="FootnoteReference"/>
          <w:rFonts w:hint="eastAsia"/>
        </w:rPr>
        <w:footnoteReference w:id="14"/>
      </w:r>
    </w:p>
    <w:p w:rsidR="00FE184E" w:rsidRDefault="00FE184E" w:rsidP="00353C06">
      <w:pPr>
        <w:pStyle w:val="answer"/>
      </w:pPr>
      <w:r>
        <w:tab/>
      </w:r>
      <w:r w:rsidRPr="00FE184E">
        <w:t xml:space="preserve">The uncertainty associated with </w:t>
      </w:r>
      <w:r w:rsidR="00377241">
        <w:t>new</w:t>
      </w:r>
      <w:r w:rsidR="00930477">
        <w:t xml:space="preserve"> consumer</w:t>
      </w:r>
      <w:r w:rsidR="00377241">
        <w:t xml:space="preserve"> </w:t>
      </w:r>
      <w:r w:rsidR="009304CE">
        <w:t>products</w:t>
      </w:r>
      <w:r w:rsidR="009304CE" w:rsidRPr="00FE184E">
        <w:t xml:space="preserve"> </w:t>
      </w:r>
      <w:r w:rsidRPr="00FE184E">
        <w:t xml:space="preserve">leads to a </w:t>
      </w:r>
      <w:r w:rsidR="002225DC">
        <w:t xml:space="preserve">cognitive </w:t>
      </w:r>
      <w:r w:rsidRPr="00FE184E">
        <w:t xml:space="preserve">bias towards not making these </w:t>
      </w:r>
      <w:r w:rsidR="002225DC">
        <w:t xml:space="preserve">types of </w:t>
      </w:r>
      <w:r w:rsidRPr="00FE184E">
        <w:t>investments.</w:t>
      </w:r>
      <w:r w:rsidR="002225DC">
        <w:t xml:space="preserve"> Behavioral economists call this cognitive bias the “</w:t>
      </w:r>
      <w:r w:rsidRPr="00FE184E">
        <w:t>certainty effect</w:t>
      </w:r>
      <w:r w:rsidR="002225DC">
        <w:t>.” The certainty effect</w:t>
      </w:r>
      <w:r w:rsidRPr="00FE184E">
        <w:t xml:space="preserve"> is the idea that “people underweight outcomes that are merely probable in comparison with outcomes that</w:t>
      </w:r>
      <w:r>
        <w:t xml:space="preserve"> are obtained with certainty.”</w:t>
      </w:r>
      <w:r>
        <w:rPr>
          <w:rStyle w:val="FootnoteReference"/>
          <w:rFonts w:hint="eastAsia"/>
        </w:rPr>
        <w:footnoteReference w:id="15"/>
      </w:r>
      <w:r>
        <w:t xml:space="preserve"> </w:t>
      </w:r>
      <w:r w:rsidR="00377241">
        <w:t>For example, s</w:t>
      </w:r>
      <w:r w:rsidRPr="00FE184E">
        <w:t xml:space="preserve">ince the upfront installment cost of </w:t>
      </w:r>
      <w:r w:rsidR="00B6115C">
        <w:t>new</w:t>
      </w:r>
      <w:r w:rsidR="00B6115C" w:rsidRPr="00FE184E">
        <w:t xml:space="preserve"> </w:t>
      </w:r>
      <w:r w:rsidR="002E2758">
        <w:t>products</w:t>
      </w:r>
      <w:r w:rsidR="002E2758" w:rsidRPr="00FE184E">
        <w:t xml:space="preserve"> </w:t>
      </w:r>
      <w:r w:rsidRPr="00FE184E">
        <w:t xml:space="preserve">are more definite and certain than the </w:t>
      </w:r>
      <w:r w:rsidR="00B6115C">
        <w:t xml:space="preserve">higher </w:t>
      </w:r>
      <w:r w:rsidRPr="00FE184E">
        <w:t>energy savings</w:t>
      </w:r>
      <w:r w:rsidR="00B6115C">
        <w:t xml:space="preserve"> associated with higher efficient products</w:t>
      </w:r>
      <w:r w:rsidRPr="00FE184E">
        <w:t xml:space="preserve">, people are not inclined to purchase the </w:t>
      </w:r>
      <w:r w:rsidR="00B6115C">
        <w:t xml:space="preserve">higher efficient </w:t>
      </w:r>
      <w:r w:rsidR="002E2758">
        <w:t>products</w:t>
      </w:r>
      <w:r w:rsidRPr="00FE184E">
        <w:t>.</w:t>
      </w:r>
      <w:r>
        <w:rPr>
          <w:rStyle w:val="FootnoteReference"/>
          <w:rFonts w:hint="eastAsia"/>
        </w:rPr>
        <w:footnoteReference w:id="16"/>
      </w:r>
    </w:p>
    <w:p w:rsidR="00353C06" w:rsidRDefault="00353C06" w:rsidP="00353C06">
      <w:pPr>
        <w:pStyle w:val="answer"/>
        <w:rPr>
          <w:b/>
        </w:rPr>
      </w:pPr>
      <w:r>
        <w:rPr>
          <w:b/>
        </w:rPr>
        <w:t>Q.</w:t>
      </w:r>
      <w:r>
        <w:rPr>
          <w:b/>
        </w:rPr>
        <w:tab/>
        <w:t>What are imperfect information and search costs and how do they obstruct customer adoption of</w:t>
      </w:r>
      <w:r w:rsidR="009304CE">
        <w:rPr>
          <w:b/>
        </w:rPr>
        <w:t xml:space="preserve"> new, efficient products</w:t>
      </w:r>
      <w:r>
        <w:rPr>
          <w:b/>
        </w:rPr>
        <w:t>?</w:t>
      </w:r>
    </w:p>
    <w:p w:rsidR="00353C06" w:rsidRDefault="00353C06" w:rsidP="00353C06">
      <w:pPr>
        <w:pStyle w:val="answer"/>
      </w:pPr>
      <w:r>
        <w:t>A.</w:t>
      </w:r>
      <w:r>
        <w:tab/>
      </w:r>
      <w:r w:rsidR="009872F0" w:rsidRPr="009872F0">
        <w:t xml:space="preserve">Imperfect information is the lack of adequate information to make an optimal decision. In general, </w:t>
      </w:r>
      <w:r w:rsidR="00911B22">
        <w:t xml:space="preserve">customers </w:t>
      </w:r>
      <w:r w:rsidR="009872F0" w:rsidRPr="009872F0">
        <w:t xml:space="preserve">lack information on the performance </w:t>
      </w:r>
      <w:r w:rsidR="00370504">
        <w:t xml:space="preserve">and availability </w:t>
      </w:r>
      <w:r w:rsidR="009872F0" w:rsidRPr="009872F0">
        <w:t xml:space="preserve">of new </w:t>
      </w:r>
      <w:r w:rsidR="009304CE">
        <w:t>products</w:t>
      </w:r>
      <w:r w:rsidR="009304CE" w:rsidRPr="009872F0">
        <w:t xml:space="preserve"> </w:t>
      </w:r>
      <w:r w:rsidR="009872F0" w:rsidRPr="009872F0">
        <w:t>compared to existing equipment or systems</w:t>
      </w:r>
      <w:r w:rsidR="00370504">
        <w:t>.</w:t>
      </w:r>
      <w:r w:rsidR="009872F0" w:rsidRPr="009872F0">
        <w:t xml:space="preserve"> </w:t>
      </w:r>
      <w:r w:rsidR="00370504">
        <w:t>This lack of knowledge can</w:t>
      </w:r>
      <w:r w:rsidR="009872F0" w:rsidRPr="009872F0">
        <w:t xml:space="preserve"> impede investment</w:t>
      </w:r>
      <w:r w:rsidR="00370504">
        <w:t xml:space="preserve"> in viable new </w:t>
      </w:r>
      <w:r w:rsidR="006B46FB">
        <w:t>(</w:t>
      </w:r>
      <w:r w:rsidR="005435AC">
        <w:t>replacement</w:t>
      </w:r>
      <w:r w:rsidR="006B46FB">
        <w:t>)</w:t>
      </w:r>
      <w:r w:rsidR="005435AC">
        <w:t xml:space="preserve"> </w:t>
      </w:r>
      <w:r w:rsidR="00370504">
        <w:t>technologies</w:t>
      </w:r>
      <w:r w:rsidR="009872F0" w:rsidRPr="009872F0">
        <w:t>.</w:t>
      </w:r>
      <w:r w:rsidR="009872F0">
        <w:rPr>
          <w:rStyle w:val="FootnoteReference"/>
          <w:rFonts w:hint="eastAsia"/>
        </w:rPr>
        <w:footnoteReference w:id="17"/>
      </w:r>
      <w:r w:rsidR="009872F0">
        <w:t xml:space="preserve"> </w:t>
      </w:r>
      <w:r w:rsidR="00EE6BAB">
        <w:t>For example, i</w:t>
      </w:r>
      <w:r w:rsidR="009872F0" w:rsidRPr="009872F0">
        <w:t xml:space="preserve">n </w:t>
      </w:r>
      <w:r w:rsidR="009872F0">
        <w:t>the</w:t>
      </w:r>
      <w:r w:rsidR="009872F0" w:rsidRPr="009872F0">
        <w:t xml:space="preserve"> paper, “Overcoming Social and Institutional Barriers to Energy Conservation,” Carl Blumstein</w:t>
      </w:r>
      <w:r w:rsidR="009872F0">
        <w:t xml:space="preserve"> et al. note</w:t>
      </w:r>
      <w:r w:rsidR="009872F0" w:rsidRPr="009872F0">
        <w:t xml:space="preserve"> that information issues “range from mundane questions such as how to find a reliable insulation installer, to very complex topics such as the optimum design for a house.”</w:t>
      </w:r>
      <w:r w:rsidR="009872F0">
        <w:rPr>
          <w:rStyle w:val="FootnoteReference"/>
          <w:rFonts w:hint="eastAsia"/>
        </w:rPr>
        <w:footnoteReference w:id="18"/>
      </w:r>
    </w:p>
    <w:p w:rsidR="009872F0" w:rsidRDefault="009872F0" w:rsidP="00353C06">
      <w:pPr>
        <w:pStyle w:val="answer"/>
      </w:pPr>
      <w:r>
        <w:tab/>
      </w:r>
      <w:r w:rsidRPr="009872F0">
        <w:t>Obtaining this information</w:t>
      </w:r>
      <w:r w:rsidR="00DC133E">
        <w:t xml:space="preserve"> is not a trivial task. Searching for information is a costly endeavor.</w:t>
      </w:r>
      <w:r>
        <w:rPr>
          <w:rStyle w:val="FootnoteReference"/>
          <w:rFonts w:hint="eastAsia"/>
        </w:rPr>
        <w:footnoteReference w:id="19"/>
      </w:r>
      <w:r>
        <w:t xml:space="preserve"> </w:t>
      </w:r>
      <w:r w:rsidR="00F0219F" w:rsidRPr="009872F0">
        <w:t xml:space="preserve">Finding </w:t>
      </w:r>
      <w:r w:rsidR="00F0219F">
        <w:t>accurate</w:t>
      </w:r>
      <w:r w:rsidRPr="009872F0">
        <w:t xml:space="preserve"> information is difficult since </w:t>
      </w:r>
      <w:r w:rsidR="00911B22">
        <w:t xml:space="preserve">customers </w:t>
      </w:r>
      <w:r w:rsidR="00F0219F">
        <w:t>often face</w:t>
      </w:r>
      <w:r w:rsidR="00A10C3F">
        <w:t xml:space="preserve"> a plethora of competing </w:t>
      </w:r>
      <w:r w:rsidR="009304CE">
        <w:t xml:space="preserve">products, </w:t>
      </w:r>
      <w:r w:rsidR="00A10C3F">
        <w:t>technologies</w:t>
      </w:r>
      <w:r w:rsidR="00151518">
        <w:t>,</w:t>
      </w:r>
      <w:r w:rsidR="00A10C3F">
        <w:t xml:space="preserve"> and vendors.</w:t>
      </w:r>
      <w:r>
        <w:rPr>
          <w:rStyle w:val="FootnoteReference"/>
          <w:rFonts w:hint="eastAsia"/>
        </w:rPr>
        <w:footnoteReference w:id="20"/>
      </w:r>
      <w:r>
        <w:t xml:space="preserve"> </w:t>
      </w:r>
      <w:r w:rsidR="0062708E">
        <w:t xml:space="preserve"> </w:t>
      </w:r>
      <w:r w:rsidR="009304CE">
        <w:t>Customers</w:t>
      </w:r>
      <w:r w:rsidR="009304CE" w:rsidRPr="009872F0">
        <w:t xml:space="preserve"> </w:t>
      </w:r>
      <w:r w:rsidRPr="009872F0">
        <w:t>and small businesses “rarely have the time and money” to invest in this research.</w:t>
      </w:r>
      <w:r>
        <w:rPr>
          <w:rStyle w:val="FootnoteReference"/>
          <w:rFonts w:hint="eastAsia"/>
        </w:rPr>
        <w:footnoteReference w:id="21"/>
      </w:r>
      <w:r>
        <w:t xml:space="preserve"> </w:t>
      </w:r>
      <w:r w:rsidR="00802A8F">
        <w:t xml:space="preserve">In the case of energy efficiency, </w:t>
      </w:r>
      <w:r w:rsidRPr="009872F0">
        <w:t xml:space="preserve">information on savings potential may be inaccurate due to the difficulty associated </w:t>
      </w:r>
      <w:r>
        <w:t>with measuring energy savings,</w:t>
      </w:r>
      <w:r>
        <w:rPr>
          <w:rStyle w:val="FootnoteReference"/>
          <w:rFonts w:hint="eastAsia"/>
        </w:rPr>
        <w:footnoteReference w:id="22"/>
      </w:r>
      <w:r>
        <w:t xml:space="preserve"> </w:t>
      </w:r>
      <w:r w:rsidRPr="009872F0">
        <w:t>as well as the aforementioned uncertainty associated with quantifying cost savings due to the</w:t>
      </w:r>
      <w:r>
        <w:t xml:space="preserve"> fluctuation of energy prices.</w:t>
      </w:r>
      <w:r>
        <w:rPr>
          <w:rStyle w:val="FootnoteReference"/>
          <w:rFonts w:hint="eastAsia"/>
        </w:rPr>
        <w:footnoteReference w:id="23"/>
      </w:r>
    </w:p>
    <w:p w:rsidR="006C710B" w:rsidRDefault="006C710B" w:rsidP="00353C06">
      <w:pPr>
        <w:pStyle w:val="answer"/>
      </w:pPr>
      <w:r>
        <w:tab/>
      </w:r>
      <w:r w:rsidRPr="006C710B">
        <w:t>Asymmetric information is a specific type of imperfect information where “parties to a transaction have access to dif</w:t>
      </w:r>
      <w:r>
        <w:t>ferent levels of information.”</w:t>
      </w:r>
      <w:r>
        <w:rPr>
          <w:rStyle w:val="FootnoteReference"/>
          <w:rFonts w:hint="eastAsia"/>
        </w:rPr>
        <w:footnoteReference w:id="24"/>
      </w:r>
      <w:r>
        <w:t xml:space="preserve"> </w:t>
      </w:r>
      <w:r w:rsidR="009304CE">
        <w:t>Equipment vendors</w:t>
      </w:r>
      <w:r w:rsidRPr="006C710B">
        <w:t xml:space="preserve"> are usually more informed about the product than prospective buyers, and thus:</w:t>
      </w:r>
    </w:p>
    <w:p w:rsidR="006C710B" w:rsidRDefault="006C710B" w:rsidP="0062708E">
      <w:pPr>
        <w:pStyle w:val="answer"/>
        <w:spacing w:line="240" w:lineRule="auto"/>
        <w:ind w:left="1440" w:firstLine="0"/>
      </w:pPr>
      <w:r w:rsidRPr="006C710B">
        <w:t>[</w:t>
      </w:r>
      <w:r w:rsidR="00BF117C" w:rsidRPr="006C710B">
        <w:t>If</w:t>
      </w:r>
      <w:r w:rsidRPr="006C710B">
        <w:t>] improving the information held by consumers is difficult or costly, the problem of adverse selection may arise: given competitive markets, producers may be unable to market clearly desirable technologies since consumers are unable to observe their superior characteristics prior to sale.</w:t>
      </w:r>
      <w:r>
        <w:rPr>
          <w:rStyle w:val="FootnoteReference"/>
          <w:rFonts w:hint="eastAsia"/>
        </w:rPr>
        <w:footnoteReference w:id="25"/>
      </w:r>
    </w:p>
    <w:p w:rsidR="0062708E" w:rsidRDefault="0062708E" w:rsidP="0062708E">
      <w:pPr>
        <w:pStyle w:val="answer"/>
        <w:spacing w:line="240" w:lineRule="auto"/>
        <w:ind w:left="1440" w:firstLine="0"/>
      </w:pPr>
    </w:p>
    <w:p w:rsidR="00EF5D54" w:rsidRDefault="00EF5D54" w:rsidP="00EF5D54">
      <w:pPr>
        <w:pStyle w:val="answer"/>
      </w:pPr>
      <w:r>
        <w:tab/>
      </w:r>
      <w:r w:rsidRPr="00EF5D54">
        <w:t>Another form of imperfect information rests in the credibility of the information provider. In their book</w:t>
      </w:r>
      <w:r w:rsidR="00151518">
        <w:t xml:space="preserve">, </w:t>
      </w:r>
      <w:r w:rsidRPr="00C5033A">
        <w:rPr>
          <w:i/>
        </w:rPr>
        <w:t>Energy Use: The Human Dimension</w:t>
      </w:r>
      <w:r w:rsidRPr="00EF5D54">
        <w:t>, Paul C. Stern and Elliot Aronson note that “other things being equal, the greater the expertise and trustworthiness of the communicator, the greater the impact on the audience,”</w:t>
      </w:r>
      <w:r>
        <w:rPr>
          <w:rStyle w:val="FootnoteReference"/>
          <w:rFonts w:hint="eastAsia"/>
        </w:rPr>
        <w:footnoteReference w:id="26"/>
      </w:r>
      <w:r w:rsidRPr="00EF5D54">
        <w:t xml:space="preserve"> —thus, the more knowledgeable and trustworthy an information source is, the more likely </w:t>
      </w:r>
      <w:r w:rsidR="00911B22">
        <w:t>customers</w:t>
      </w:r>
      <w:r w:rsidR="00911B22" w:rsidRPr="00EF5D54">
        <w:t xml:space="preserve"> </w:t>
      </w:r>
      <w:r w:rsidRPr="00EF5D54">
        <w:t>would make decisio</w:t>
      </w:r>
      <w:r w:rsidR="009974BC">
        <w:t>ns based on the information.</w:t>
      </w:r>
    </w:p>
    <w:p w:rsidR="009974BC" w:rsidRDefault="009974BC" w:rsidP="00EF5D54">
      <w:pPr>
        <w:pStyle w:val="answer"/>
      </w:pPr>
      <w:r>
        <w:tab/>
      </w:r>
      <w:r w:rsidRPr="009974BC">
        <w:t xml:space="preserve">Overall, imperfect information and the associated search costs lead </w:t>
      </w:r>
      <w:r w:rsidR="00911B22">
        <w:t>customers</w:t>
      </w:r>
      <w:r w:rsidR="00911B22" w:rsidRPr="009974BC">
        <w:t xml:space="preserve"> </w:t>
      </w:r>
      <w:r w:rsidRPr="009974BC">
        <w:t>to “make sub-optimal decisions</w:t>
      </w:r>
      <w:r w:rsidR="00C96455">
        <w:t xml:space="preserve"> </w:t>
      </w:r>
      <w:r w:rsidRPr="009974BC">
        <w:t>based on provisional and uncertain information</w:t>
      </w:r>
      <w:r w:rsidR="007B2E4F">
        <w:t>,</w:t>
      </w:r>
      <w:r w:rsidRPr="009974BC">
        <w:t>”</w:t>
      </w:r>
      <w:r>
        <w:rPr>
          <w:rStyle w:val="FootnoteReference"/>
          <w:rFonts w:hint="eastAsia"/>
        </w:rPr>
        <w:footnoteReference w:id="27"/>
      </w:r>
      <w:r w:rsidR="007B2E4F">
        <w:t xml:space="preserve"> </w:t>
      </w:r>
      <w:r w:rsidR="007B2E4F">
        <w:rPr>
          <w:rFonts w:hint="eastAsia"/>
        </w:rPr>
        <w:t xml:space="preserve">and </w:t>
      </w:r>
      <w:r w:rsidR="00BE2F00">
        <w:t xml:space="preserve">thus </w:t>
      </w:r>
      <w:r w:rsidR="007B2E4F">
        <w:rPr>
          <w:rFonts w:hint="eastAsia"/>
        </w:rPr>
        <w:t xml:space="preserve">under-invest in </w:t>
      </w:r>
      <w:r w:rsidR="009304CE">
        <w:t>efficient products</w:t>
      </w:r>
      <w:r w:rsidR="007B2E4F">
        <w:rPr>
          <w:rFonts w:hint="eastAsia"/>
        </w:rPr>
        <w:t>.</w:t>
      </w:r>
      <w:r w:rsidR="007B2E4F">
        <w:t xml:space="preserve"> </w:t>
      </w:r>
    </w:p>
    <w:p w:rsidR="00353C06" w:rsidRDefault="00353C06" w:rsidP="00353C06">
      <w:pPr>
        <w:pStyle w:val="answer"/>
        <w:rPr>
          <w:b/>
        </w:rPr>
      </w:pPr>
      <w:r>
        <w:rPr>
          <w:b/>
        </w:rPr>
        <w:t>Q.</w:t>
      </w:r>
      <w:r>
        <w:rPr>
          <w:b/>
        </w:rPr>
        <w:tab/>
        <w:t xml:space="preserve">What are myopic behavior and hyperbolic discounting and how do they deter customer adoption of </w:t>
      </w:r>
      <w:r w:rsidR="00302DC8">
        <w:rPr>
          <w:b/>
        </w:rPr>
        <w:t>new</w:t>
      </w:r>
      <w:r w:rsidR="008C20A1">
        <w:rPr>
          <w:b/>
        </w:rPr>
        <w:t>, efficient products</w:t>
      </w:r>
      <w:r>
        <w:rPr>
          <w:b/>
        </w:rPr>
        <w:t>?</w:t>
      </w:r>
    </w:p>
    <w:p w:rsidR="00353C06" w:rsidRDefault="00353C06" w:rsidP="00353C06">
      <w:pPr>
        <w:pStyle w:val="answer"/>
      </w:pPr>
      <w:r>
        <w:t>A.</w:t>
      </w:r>
      <w:r>
        <w:tab/>
      </w:r>
      <w:r w:rsidR="009974BC" w:rsidRPr="009974BC">
        <w:t xml:space="preserve">Myopic behavior, or short-term thinking, refers to the tendency of individuals to focus on their present </w:t>
      </w:r>
      <w:r w:rsidR="00DC133E">
        <w:t xml:space="preserve">lives </w:t>
      </w:r>
      <w:r w:rsidR="009974BC" w:rsidRPr="009974BC">
        <w:t>rat</w:t>
      </w:r>
      <w:r w:rsidR="009974BC">
        <w:t>her than their future selves.</w:t>
      </w:r>
      <w:r w:rsidR="009974BC">
        <w:rPr>
          <w:rStyle w:val="FootnoteReference"/>
          <w:rFonts w:hint="eastAsia"/>
        </w:rPr>
        <w:footnoteReference w:id="28"/>
      </w:r>
      <w:r w:rsidR="009974BC">
        <w:t xml:space="preserve"> </w:t>
      </w:r>
      <w:r w:rsidR="009974BC" w:rsidRPr="009974BC">
        <w:t>In a working paper for the World Bank, Elke U. Weber and Eric J. Johnson state that myopia “prevents people from accurately perceiving the future benefits of immediate costs or of redu</w:t>
      </w:r>
      <w:r w:rsidR="009974BC">
        <w:t>ctions in immediate benefits.”</w:t>
      </w:r>
      <w:r w:rsidR="009974BC">
        <w:rPr>
          <w:rStyle w:val="FootnoteReference"/>
          <w:rFonts w:hint="eastAsia"/>
        </w:rPr>
        <w:footnoteReference w:id="29"/>
      </w:r>
      <w:r w:rsidR="009974BC">
        <w:t xml:space="preserve"> </w:t>
      </w:r>
      <w:r w:rsidR="009974BC" w:rsidRPr="009974BC">
        <w:t>Research has shown that decision-makers tend to discount future benefits and costs compared to the weight they give more immediate events—a behavior descri</w:t>
      </w:r>
      <w:r w:rsidR="009974BC">
        <w:t>bed as hyperbolic discounting.</w:t>
      </w:r>
      <w:r w:rsidR="009974BC">
        <w:rPr>
          <w:rStyle w:val="FootnoteReference"/>
          <w:rFonts w:hint="eastAsia"/>
        </w:rPr>
        <w:footnoteReference w:id="30"/>
      </w:r>
    </w:p>
    <w:p w:rsidR="009974BC" w:rsidRDefault="009974BC" w:rsidP="00353C06">
      <w:pPr>
        <w:pStyle w:val="answer"/>
      </w:pPr>
      <w:r>
        <w:tab/>
      </w:r>
      <w:r w:rsidRPr="009974BC">
        <w:t xml:space="preserve">Colin F. Camerer and George Loewenstein state in </w:t>
      </w:r>
      <w:r w:rsidR="00151518">
        <w:t>“</w:t>
      </w:r>
      <w:r w:rsidRPr="009974BC">
        <w:t xml:space="preserve">Advances in Behavioral </w:t>
      </w:r>
      <w:r w:rsidR="00151518" w:rsidRPr="009974BC">
        <w:t>Economics</w:t>
      </w:r>
      <w:r w:rsidR="00151518">
        <w:t>”</w:t>
      </w:r>
      <w:r w:rsidRPr="009974BC">
        <w:t xml:space="preserve"> that:</w:t>
      </w:r>
    </w:p>
    <w:p w:rsidR="009974BC" w:rsidRDefault="00B240E3" w:rsidP="0062708E">
      <w:pPr>
        <w:pStyle w:val="answer"/>
        <w:spacing w:line="240" w:lineRule="auto"/>
        <w:ind w:left="1440" w:firstLine="0"/>
      </w:pPr>
      <w:r>
        <w:t>H</w:t>
      </w:r>
      <w:r w:rsidR="009974BC" w:rsidRPr="009974BC">
        <w:t>yperbolic time discounting implies that people will make relatively farsighted decisions when planning in advance—when all costs and benefits will occur in the future—but will make relatively shortsighted decisions when some costs or benefits are immediate.</w:t>
      </w:r>
      <w:r w:rsidR="009974BC">
        <w:rPr>
          <w:rStyle w:val="FootnoteReference"/>
          <w:rFonts w:hint="eastAsia"/>
        </w:rPr>
        <w:footnoteReference w:id="31"/>
      </w:r>
    </w:p>
    <w:p w:rsidR="0062708E" w:rsidRDefault="0062708E" w:rsidP="0062708E">
      <w:pPr>
        <w:pStyle w:val="answer"/>
        <w:spacing w:line="240" w:lineRule="auto"/>
        <w:ind w:left="1440" w:firstLine="0"/>
      </w:pPr>
    </w:p>
    <w:p w:rsidR="003552AD" w:rsidRDefault="003552AD" w:rsidP="003552AD">
      <w:pPr>
        <w:pStyle w:val="answer"/>
      </w:pPr>
      <w:r>
        <w:tab/>
        <w:t xml:space="preserve">This behavior inhibits </w:t>
      </w:r>
      <w:r w:rsidR="00D24D41">
        <w:t xml:space="preserve">efficient product </w:t>
      </w:r>
      <w:r w:rsidR="00F719B5">
        <w:t>investments</w:t>
      </w:r>
      <w:r>
        <w:t xml:space="preserve"> since such investments involve upfront costs rewarded by benefits that are uncertain and accrue in the future and over time. </w:t>
      </w:r>
    </w:p>
    <w:p w:rsidR="00353C06" w:rsidRDefault="00353C06" w:rsidP="00353C06">
      <w:pPr>
        <w:pStyle w:val="answer"/>
        <w:rPr>
          <w:b/>
        </w:rPr>
      </w:pPr>
      <w:r>
        <w:rPr>
          <w:b/>
        </w:rPr>
        <w:t>Q.</w:t>
      </w:r>
      <w:r>
        <w:rPr>
          <w:b/>
        </w:rPr>
        <w:tab/>
        <w:t xml:space="preserve">What are externalities and how do they hinder customer adoption of </w:t>
      </w:r>
      <w:r w:rsidR="00571838">
        <w:rPr>
          <w:b/>
        </w:rPr>
        <w:t>new</w:t>
      </w:r>
      <w:r w:rsidR="008C20A1">
        <w:rPr>
          <w:b/>
        </w:rPr>
        <w:t>, efficient products</w:t>
      </w:r>
      <w:r>
        <w:rPr>
          <w:b/>
        </w:rPr>
        <w:t>?</w:t>
      </w:r>
    </w:p>
    <w:p w:rsidR="00621D3F" w:rsidRPr="00621D3F" w:rsidRDefault="00353C06" w:rsidP="00353C06">
      <w:pPr>
        <w:pStyle w:val="answer"/>
      </w:pPr>
      <w:r>
        <w:t>A.</w:t>
      </w:r>
      <w:r>
        <w:tab/>
      </w:r>
      <w:r w:rsidR="00B3725B" w:rsidRPr="00B3725B">
        <w:t>An externality is the effect of an activity that does not direct</w:t>
      </w:r>
      <w:r w:rsidR="00B3725B">
        <w:t xml:space="preserve">ly affect </w:t>
      </w:r>
      <w:r w:rsidR="00BF117C">
        <w:t>the parties</w:t>
      </w:r>
      <w:r w:rsidR="00B240E3">
        <w:t xml:space="preserve"> involved</w:t>
      </w:r>
      <w:r w:rsidR="00B3725B">
        <w:t>.</w:t>
      </w:r>
      <w:r w:rsidR="00B3725B">
        <w:rPr>
          <w:rStyle w:val="FootnoteReference"/>
          <w:rFonts w:hint="eastAsia"/>
        </w:rPr>
        <w:footnoteReference w:id="32"/>
      </w:r>
      <w:r w:rsidR="00B3725B" w:rsidRPr="00B3725B">
        <w:t xml:space="preserve"> </w:t>
      </w:r>
      <w:r w:rsidR="00B240E3">
        <w:t>When these externalities are positive, the market underprovides</w:t>
      </w:r>
      <w:r w:rsidR="00FE4267">
        <w:t xml:space="preserve"> the underlying good</w:t>
      </w:r>
      <w:r w:rsidR="00B240E3">
        <w:t>. For example</w:t>
      </w:r>
      <w:r w:rsidR="007B713F">
        <w:t>,</w:t>
      </w:r>
      <w:r w:rsidR="00B240E3">
        <w:t xml:space="preserve"> immunization benefits not just the recipient, but also anyone else that could have</w:t>
      </w:r>
      <w:r w:rsidR="00FE4267">
        <w:t xml:space="preserve"> been infected by him</w:t>
      </w:r>
      <w:r w:rsidR="007B713F">
        <w:t xml:space="preserve"> or </w:t>
      </w:r>
      <w:r w:rsidR="00FE4267">
        <w:t>her. Since individuals will only invest up until the point where the incremental benefit of an action exceeds the incremental cost and the private benefit is less than the public benefit, individuals will underinvest in the good. Likewise, w</w:t>
      </w:r>
      <w:r w:rsidR="00B240E3">
        <w:t>hen externalities are negative</w:t>
      </w:r>
      <w:r w:rsidR="00FE4267">
        <w:t>, these costs are not factored into individual choice decisions and the market will overprovide the good. For example</w:t>
      </w:r>
      <w:r w:rsidR="007B713F">
        <w:t>,</w:t>
      </w:r>
      <w:r w:rsidR="00FE4267">
        <w:t xml:space="preserve"> noise pollution. </w:t>
      </w:r>
      <w:r w:rsidR="00275987">
        <w:t xml:space="preserve">Expressed differently, </w:t>
      </w:r>
      <w:r w:rsidR="00F072D3">
        <w:t>negative externalities arise when goods are not priced in a market and are in a sense given away for “free</w:t>
      </w:r>
      <w:r w:rsidR="005519BA">
        <w:t>.</w:t>
      </w:r>
      <w:r w:rsidR="00F072D3">
        <w:t>”</w:t>
      </w:r>
      <w:r w:rsidR="00B240E3">
        <w:t xml:space="preserve"> </w:t>
      </w:r>
      <w:r w:rsidR="007B713F">
        <w:t xml:space="preserve">Consumption of physical products </w:t>
      </w:r>
      <w:r w:rsidR="00542613">
        <w:t>can create</w:t>
      </w:r>
      <w:r w:rsidR="00542613" w:rsidRPr="00B3725B">
        <w:t xml:space="preserve"> various negative costs </w:t>
      </w:r>
      <w:r w:rsidR="00542613">
        <w:t>for</w:t>
      </w:r>
      <w:r w:rsidR="00542613" w:rsidRPr="00B3725B">
        <w:t xml:space="preserve"> society, su</w:t>
      </w:r>
      <w:r w:rsidR="00542613">
        <w:t xml:space="preserve">ch as greenhouse gas emissions and </w:t>
      </w:r>
      <w:r w:rsidR="00542613" w:rsidRPr="00B3725B">
        <w:t>air pollution</w:t>
      </w:r>
      <w:r w:rsidR="00B240E3">
        <w:t>,</w:t>
      </w:r>
      <w:r w:rsidR="00BF117C">
        <w:t xml:space="preserve"> </w:t>
      </w:r>
      <w:r w:rsidR="00B240E3">
        <w:t>which</w:t>
      </w:r>
      <w:r w:rsidR="00542613">
        <w:t xml:space="preserve"> are only partially borne by the consumer</w:t>
      </w:r>
      <w:r w:rsidR="00542613" w:rsidRPr="00B3725B">
        <w:t xml:space="preserve">. </w:t>
      </w:r>
      <w:r w:rsidR="00A707A0">
        <w:t xml:space="preserve">In many markets, such as that for electricity, </w:t>
      </w:r>
      <w:r w:rsidR="00F072D3">
        <w:t>the price of these negative externalities is essentially zero</w:t>
      </w:r>
      <w:r w:rsidR="00A707A0">
        <w:t>.</w:t>
      </w:r>
      <w:r w:rsidR="00F072D3">
        <w:t xml:space="preserve"> </w:t>
      </w:r>
      <w:r w:rsidR="00A707A0">
        <w:t>This results in a higher level of consumption</w:t>
      </w:r>
      <w:r w:rsidR="00F072D3">
        <w:t xml:space="preserve"> than is good for society. </w:t>
      </w:r>
      <w:r w:rsidR="00A707A0">
        <w:t xml:space="preserve">For example, </w:t>
      </w:r>
      <w:r w:rsidR="00F072D3">
        <w:t>B</w:t>
      </w:r>
      <w:r w:rsidR="009B5F32" w:rsidRPr="009B5F32">
        <w:t xml:space="preserve">lumstein </w:t>
      </w:r>
      <w:r w:rsidR="009B5F32">
        <w:t xml:space="preserve">et al. </w:t>
      </w:r>
      <w:r w:rsidR="00A707A0">
        <w:t>state</w:t>
      </w:r>
      <w:r w:rsidR="00A707A0" w:rsidRPr="009B5F32">
        <w:t xml:space="preserve"> </w:t>
      </w:r>
      <w:r w:rsidR="009B5F32" w:rsidRPr="009B5F32">
        <w:t>that the “market cannot be expected to produce a socially-optional</w:t>
      </w:r>
      <w:r w:rsidR="002E1D75">
        <w:t xml:space="preserve"> [energy]</w:t>
      </w:r>
      <w:r w:rsidR="009B5F32" w:rsidRPr="009B5F32">
        <w:t xml:space="preserve"> conservation </w:t>
      </w:r>
      <w:r w:rsidR="009B5F32" w:rsidRPr="00621D3F">
        <w:t>response” due to artificially low energy prices.</w:t>
      </w:r>
      <w:r w:rsidR="009B5F32" w:rsidRPr="00621D3F">
        <w:rPr>
          <w:rStyle w:val="FootnoteReference"/>
          <w:rFonts w:hint="eastAsia"/>
        </w:rPr>
        <w:footnoteReference w:id="33"/>
      </w:r>
    </w:p>
    <w:p w:rsidR="00621D3F" w:rsidRPr="00621D3F" w:rsidRDefault="00A2756D" w:rsidP="00621D3F">
      <w:pPr>
        <w:pStyle w:val="answer"/>
        <w:ind w:firstLine="0"/>
      </w:pPr>
      <w:r>
        <w:t xml:space="preserve">New </w:t>
      </w:r>
      <w:r w:rsidR="00FF3034">
        <w:t xml:space="preserve">products </w:t>
      </w:r>
      <w:r w:rsidR="00761EA6">
        <w:t>that</w:t>
      </w:r>
      <w:r>
        <w:t xml:space="preserve"> are more efficient than their predecessors will</w:t>
      </w:r>
      <w:r w:rsidR="00542613">
        <w:t xml:space="preserve"> reduce these social costs or externalities. However, s</w:t>
      </w:r>
      <w:r w:rsidR="00621D3F" w:rsidRPr="00621D3F">
        <w:t xml:space="preserve">ince a price has not been set on these external costs, </w:t>
      </w:r>
      <w:r w:rsidR="00ED33A2">
        <w:t xml:space="preserve">new, </w:t>
      </w:r>
      <w:r w:rsidR="00621D3F" w:rsidRPr="00621D3F">
        <w:t>more expensive</w:t>
      </w:r>
      <w:r w:rsidR="00ED33A2">
        <w:t xml:space="preserve"> </w:t>
      </w:r>
      <w:r w:rsidR="008B617F">
        <w:t>consumer</w:t>
      </w:r>
      <w:r w:rsidR="00621D3F" w:rsidRPr="00621D3F">
        <w:t xml:space="preserve"> technologies have difficulty competing with </w:t>
      </w:r>
      <w:r w:rsidR="00ED33A2">
        <w:t xml:space="preserve">less efficient </w:t>
      </w:r>
      <w:r w:rsidR="00621D3F" w:rsidRPr="00621D3F">
        <w:t xml:space="preserve">incumbent </w:t>
      </w:r>
      <w:r w:rsidR="00FF3034">
        <w:t>products</w:t>
      </w:r>
      <w:r w:rsidR="00621D3F" w:rsidRPr="00621D3F">
        <w:t>.</w:t>
      </w:r>
      <w:r w:rsidR="00621D3F">
        <w:rPr>
          <w:rStyle w:val="FootnoteReference"/>
          <w:rFonts w:hint="eastAsia"/>
        </w:rPr>
        <w:footnoteReference w:id="34"/>
      </w:r>
      <w:r w:rsidR="00621D3F">
        <w:t xml:space="preserve"> </w:t>
      </w:r>
      <w:r w:rsidR="0062708E">
        <w:t xml:space="preserve"> </w:t>
      </w:r>
      <w:r w:rsidR="00621D3F" w:rsidRPr="00621D3F">
        <w:t xml:space="preserve">Furthermore, since </w:t>
      </w:r>
      <w:r w:rsidR="00EA02D1">
        <w:t>customers</w:t>
      </w:r>
      <w:r w:rsidR="00EA02D1" w:rsidRPr="00621D3F">
        <w:t xml:space="preserve"> </w:t>
      </w:r>
      <w:r w:rsidR="00621D3F" w:rsidRPr="00621D3F">
        <w:t xml:space="preserve">do not directly feel </w:t>
      </w:r>
      <w:r w:rsidR="00830818">
        <w:t>the external</w:t>
      </w:r>
      <w:r w:rsidR="00621D3F" w:rsidRPr="00621D3F">
        <w:t xml:space="preserve"> benefits of their investment of efficiency upgrades, they do not usually account for them in their purchasing decisions. This increases the challenge that efficient </w:t>
      </w:r>
      <w:r w:rsidR="008B617F">
        <w:t>end-use equipment has</w:t>
      </w:r>
      <w:r w:rsidR="00621D3F" w:rsidRPr="00621D3F">
        <w:t xml:space="preserve"> in competing with inc</w:t>
      </w:r>
      <w:r w:rsidR="00F072D3">
        <w:t xml:space="preserve">umbent </w:t>
      </w:r>
      <w:r w:rsidR="00D24D41">
        <w:t xml:space="preserve">products </w:t>
      </w:r>
      <w:r w:rsidR="00F072D3">
        <w:t>on the market.</w:t>
      </w:r>
    </w:p>
    <w:p w:rsidR="00AA34A8" w:rsidRDefault="00AF32A8" w:rsidP="00CE536E">
      <w:pPr>
        <w:pStyle w:val="Heading1"/>
        <w:spacing w:line="240" w:lineRule="auto"/>
      </w:pPr>
      <w:bookmarkStart w:id="11" w:name="_Toc444180130"/>
      <w:r>
        <w:t>I</w:t>
      </w:r>
      <w:r w:rsidR="006764F1">
        <w:t>II</w:t>
      </w:r>
      <w:r w:rsidR="00931AC6">
        <w:t>.</w:t>
      </w:r>
      <w:r w:rsidR="00931AC6">
        <w:tab/>
      </w:r>
      <w:r w:rsidR="00D4197D">
        <w:t xml:space="preserve">THESE BARRIERS ARE ADDRESSED BY THE </w:t>
      </w:r>
      <w:r w:rsidR="00AA34A8">
        <w:t xml:space="preserve">PROPOSED PSE </w:t>
      </w:r>
      <w:r w:rsidR="00ED23DD">
        <w:t>LEASE SOLUTIONS</w:t>
      </w:r>
      <w:bookmarkEnd w:id="11"/>
      <w:r w:rsidR="00F81797">
        <w:t xml:space="preserve"> </w:t>
      </w:r>
    </w:p>
    <w:p w:rsidR="00CE5A28" w:rsidRDefault="00AA34A8" w:rsidP="00CE5A28">
      <w:pPr>
        <w:pStyle w:val="question"/>
        <w:keepNext/>
        <w:keepLines/>
        <w:spacing w:before="120"/>
      </w:pPr>
      <w:r>
        <w:t>Q.</w:t>
      </w:r>
      <w:r>
        <w:tab/>
      </w:r>
      <w:r w:rsidR="00CE5A28">
        <w:t xml:space="preserve">In the case of energy efficient </w:t>
      </w:r>
      <w:r w:rsidR="00FF3034">
        <w:t>products</w:t>
      </w:r>
      <w:r w:rsidR="00CE5A28">
        <w:t xml:space="preserve">, are these barriers addressed by utility </w:t>
      </w:r>
      <w:r w:rsidR="00EB38C2">
        <w:t>e</w:t>
      </w:r>
      <w:r w:rsidR="00CE5A28">
        <w:t xml:space="preserve">nergy </w:t>
      </w:r>
      <w:r w:rsidR="00D71EC2">
        <w:t>e</w:t>
      </w:r>
      <w:r w:rsidR="00CE5A28">
        <w:t xml:space="preserve">fficiency </w:t>
      </w:r>
      <w:r w:rsidR="00D71EC2">
        <w:t>p</w:t>
      </w:r>
      <w:r w:rsidR="00CE5A28">
        <w:t>rograms?</w:t>
      </w:r>
    </w:p>
    <w:p w:rsidR="00FF3034" w:rsidRDefault="00CE5A28" w:rsidP="00CE5A28">
      <w:pPr>
        <w:pStyle w:val="answer"/>
      </w:pPr>
      <w:r>
        <w:t>A.</w:t>
      </w:r>
      <w:r>
        <w:tab/>
      </w:r>
      <w:r w:rsidR="005C6DED" w:rsidRPr="00817D76">
        <w:rPr>
          <w:rFonts w:hint="eastAsia"/>
        </w:rPr>
        <w:t>Utility energy efficiency programs trace their origin</w:t>
      </w:r>
      <w:r w:rsidR="00ED3280" w:rsidRPr="00817D76">
        <w:rPr>
          <w:rFonts w:hint="eastAsia"/>
        </w:rPr>
        <w:t>s</w:t>
      </w:r>
      <w:r w:rsidR="005C6DED" w:rsidRPr="00817D76">
        <w:rPr>
          <w:rFonts w:hint="eastAsia"/>
        </w:rPr>
        <w:t xml:space="preserve"> back to the energy cris</w:t>
      </w:r>
      <w:r w:rsidR="003510C8">
        <w:t>i</w:t>
      </w:r>
      <w:r w:rsidR="005C6DED" w:rsidRPr="00817D76">
        <w:rPr>
          <w:rFonts w:hint="eastAsia"/>
        </w:rPr>
        <w:t xml:space="preserve">s in the 1970s, when a new concept of </w:t>
      </w:r>
      <w:r w:rsidR="00FF3034">
        <w:t>“</w:t>
      </w:r>
      <w:r w:rsidR="005C6DED" w:rsidRPr="00817D76">
        <w:rPr>
          <w:rFonts w:hint="eastAsia"/>
        </w:rPr>
        <w:t>energy conservation</w:t>
      </w:r>
      <w:r w:rsidR="00FF3034">
        <w:t>”</w:t>
      </w:r>
      <w:r w:rsidR="005C6DED" w:rsidRPr="00817D76">
        <w:rPr>
          <w:rFonts w:hint="eastAsia"/>
        </w:rPr>
        <w:t xml:space="preserve"> emerged to help customers cope with soaring energy prices</w:t>
      </w:r>
      <w:r w:rsidR="005C6DED">
        <w:rPr>
          <w:rFonts w:ascii="merriweatherregular" w:hAnsi="merriweatherregular"/>
          <w:color w:val="000000"/>
          <w:sz w:val="21"/>
          <w:szCs w:val="21"/>
          <w:shd w:val="clear" w:color="auto" w:fill="FFFFFF"/>
        </w:rPr>
        <w:t>.</w:t>
      </w:r>
      <w:r w:rsidR="00ED3280">
        <w:rPr>
          <w:rStyle w:val="FootnoteReference"/>
          <w:rFonts w:ascii="merriweatherregular" w:hAnsi="merriweatherregular" w:hint="eastAsia"/>
          <w:color w:val="000000"/>
          <w:szCs w:val="21"/>
          <w:shd w:val="clear" w:color="auto" w:fill="FFFFFF"/>
        </w:rPr>
        <w:footnoteReference w:id="35"/>
      </w:r>
      <w:r w:rsidR="005C6DED">
        <w:rPr>
          <w:rStyle w:val="apple-converted-space"/>
          <w:rFonts w:ascii="merriweatherregular" w:hAnsi="merriweatherregular"/>
          <w:color w:val="000000"/>
          <w:sz w:val="21"/>
          <w:szCs w:val="21"/>
          <w:shd w:val="clear" w:color="auto" w:fill="FFFFFF"/>
        </w:rPr>
        <w:t> </w:t>
      </w:r>
      <w:r w:rsidR="00D71EC2">
        <w:t xml:space="preserve">Energy efficiency programs </w:t>
      </w:r>
      <w:r w:rsidR="00EB43A7">
        <w:t>primarily</w:t>
      </w:r>
      <w:r w:rsidR="00D71EC2">
        <w:t xml:space="preserve"> </w:t>
      </w:r>
      <w:r w:rsidR="005C6DED">
        <w:t xml:space="preserve">act through rebates and discounts on </w:t>
      </w:r>
      <w:r w:rsidR="00EB43A7">
        <w:t xml:space="preserve">energy efficient equipment and customer education programs like home energy audits. </w:t>
      </w:r>
      <w:r w:rsidR="00564485">
        <w:rPr>
          <w:rFonts w:ascii="Times New Roman" w:eastAsia="Times New Roman" w:hAnsi="Times New Roman"/>
          <w:szCs w:val="24"/>
        </w:rPr>
        <w:t xml:space="preserve">A </w:t>
      </w:r>
      <w:r w:rsidR="00564485" w:rsidRPr="00CA4D47">
        <w:rPr>
          <w:rFonts w:ascii="Times New Roman" w:eastAsia="Times New Roman" w:hAnsi="Times New Roman"/>
          <w:szCs w:val="24"/>
        </w:rPr>
        <w:t xml:space="preserve">policy brief from The Edison Foundation notes that </w:t>
      </w:r>
      <w:r w:rsidR="00564485">
        <w:rPr>
          <w:rFonts w:ascii="Times New Roman" w:eastAsia="Times New Roman" w:hAnsi="Times New Roman"/>
          <w:szCs w:val="24"/>
        </w:rPr>
        <w:t>traditional energy efficiency programs</w:t>
      </w:r>
      <w:r w:rsidR="00564485" w:rsidRPr="00CA4D47">
        <w:rPr>
          <w:rFonts w:ascii="Times New Roman" w:eastAsia="Times New Roman" w:hAnsi="Times New Roman"/>
          <w:szCs w:val="24"/>
        </w:rPr>
        <w:t xml:space="preserve"> “often do not </w:t>
      </w:r>
      <w:r w:rsidR="00A246DD" w:rsidRPr="00CA4D47">
        <w:rPr>
          <w:rFonts w:ascii="Times New Roman" w:eastAsia="Times New Roman" w:hAnsi="Times New Roman"/>
          <w:szCs w:val="24"/>
        </w:rPr>
        <w:t>go far enough to offset the high cost of energy efficiency investments that yield significant and persistent savings.”</w:t>
      </w:r>
      <w:r w:rsidR="00A246DD">
        <w:rPr>
          <w:rStyle w:val="FootnoteReference"/>
          <w:rFonts w:ascii="Times New Roman" w:eastAsia="Times New Roman" w:hAnsi="Times New Roman"/>
          <w:szCs w:val="24"/>
        </w:rPr>
        <w:footnoteReference w:id="36"/>
      </w:r>
    </w:p>
    <w:p w:rsidR="00CE5A28" w:rsidRDefault="00564485" w:rsidP="00B25672">
      <w:pPr>
        <w:pStyle w:val="answer"/>
        <w:ind w:firstLine="0"/>
      </w:pPr>
      <w:r>
        <w:t xml:space="preserve">Energy efficiency </w:t>
      </w:r>
      <w:r w:rsidR="00EB43A7">
        <w:t xml:space="preserve">programs address some of the barriers to </w:t>
      </w:r>
      <w:r w:rsidR="00BC52F1">
        <w:t>new product</w:t>
      </w:r>
      <w:r w:rsidR="00EB43A7">
        <w:t xml:space="preserve"> adoption, but not all of them.</w:t>
      </w:r>
      <w:r>
        <w:t xml:space="preserve"> </w:t>
      </w:r>
      <w:r w:rsidR="00EA02D1">
        <w:t>Customer</w:t>
      </w:r>
      <w:r w:rsidR="00D70E6E">
        <w:t>-side</w:t>
      </w:r>
      <w:r w:rsidR="00EB43A7">
        <w:t xml:space="preserve"> subsidies for energy-efficient equipment can align private and public benefits, if the subsidy is set to the level of the positive externality produced by the equipment. </w:t>
      </w:r>
      <w:r w:rsidR="00D31674">
        <w:t>Similarly</w:t>
      </w:r>
      <w:r w:rsidR="002F1552">
        <w:t>,</w:t>
      </w:r>
      <w:r w:rsidR="00D31674">
        <w:t xml:space="preserve"> by lowering equipment costs, energy efficiency programs reduce the pay</w:t>
      </w:r>
      <w:r w:rsidR="00256EE9">
        <w:t>back</w:t>
      </w:r>
      <w:r w:rsidR="00D31674">
        <w:t xml:space="preserve"> period and partially address the issue of risk aversion. However</w:t>
      </w:r>
      <w:r w:rsidR="002F1552">
        <w:t>,</w:t>
      </w:r>
      <w:r w:rsidR="00D31674">
        <w:t xml:space="preserve"> this issue is not fully addressed</w:t>
      </w:r>
      <w:r w:rsidR="00D70E6E">
        <w:t>,</w:t>
      </w:r>
      <w:r w:rsidR="00D31674">
        <w:t xml:space="preserve"> since customers still have uncertainty over future </w:t>
      </w:r>
      <w:r w:rsidR="00F0219F">
        <w:t>benefits and</w:t>
      </w:r>
      <w:r w:rsidR="00D31674">
        <w:t xml:space="preserve"> expenses. Energy efficiency </w:t>
      </w:r>
      <w:r w:rsidR="00256EE9">
        <w:t xml:space="preserve">programs </w:t>
      </w:r>
      <w:r w:rsidR="00D31674">
        <w:t xml:space="preserve">also reduce search costs by conducting home energy audits that help inform customers about their energy use and </w:t>
      </w:r>
      <w:r w:rsidR="00256EE9">
        <w:t xml:space="preserve">educate them about new products that can enhance their energy efficiency. </w:t>
      </w:r>
      <w:r w:rsidR="002F1552">
        <w:t>Yet</w:t>
      </w:r>
      <w:r w:rsidR="00CF65D6">
        <w:t xml:space="preserve"> s</w:t>
      </w:r>
      <w:r w:rsidR="00D31674">
        <w:t xml:space="preserve">ignificant search costs remain since not all equipment is subsidized by traditional energy efficiency programs and customers still need to research </w:t>
      </w:r>
      <w:r w:rsidR="00256EE9">
        <w:t xml:space="preserve">efficient </w:t>
      </w:r>
      <w:r w:rsidR="00F0219F">
        <w:t>products and</w:t>
      </w:r>
      <w:r w:rsidR="00D31674">
        <w:t xml:space="preserve"> find the best vendors and installers. Credit constraints are not addressed at all by energy</w:t>
      </w:r>
      <w:r w:rsidR="002F1552">
        <w:t xml:space="preserve"> </w:t>
      </w:r>
      <w:r w:rsidR="00D31674">
        <w:t xml:space="preserve">efficiency programs. Although the cost of the equipment is lower, customers who find it difficult or costly to obtain credit will still </w:t>
      </w:r>
      <w:r w:rsidR="00CF65D6">
        <w:t>face this challenge</w:t>
      </w:r>
      <w:r w:rsidR="00D31674">
        <w:t>. Similarly</w:t>
      </w:r>
      <w:r w:rsidR="00CF65D6">
        <w:t>,</w:t>
      </w:r>
      <w:r w:rsidR="00D31674">
        <w:t xml:space="preserve"> </w:t>
      </w:r>
      <w:r w:rsidR="00FA02E0">
        <w:t xml:space="preserve">large </w:t>
      </w:r>
      <w:r w:rsidR="00D31674">
        <w:t>upfront investment costs remain</w:t>
      </w:r>
      <w:r w:rsidR="00DC55EF">
        <w:t xml:space="preserve"> </w:t>
      </w:r>
      <w:r w:rsidR="000D508E">
        <w:t xml:space="preserve">and </w:t>
      </w:r>
      <w:r w:rsidR="00FA02E0">
        <w:t xml:space="preserve">myopic behavior will preclude </w:t>
      </w:r>
      <w:r w:rsidR="005926D8">
        <w:t xml:space="preserve">some customers from investing in new </w:t>
      </w:r>
      <w:r w:rsidR="00F0219F">
        <w:t>products since</w:t>
      </w:r>
      <w:r w:rsidR="005926D8">
        <w:t xml:space="preserve"> the payoffs from these investments lie</w:t>
      </w:r>
      <w:r w:rsidR="00256EE9">
        <w:t xml:space="preserve">s in the distant future. </w:t>
      </w:r>
      <w:r w:rsidR="005926D8">
        <w:t xml:space="preserve"> </w:t>
      </w:r>
    </w:p>
    <w:p w:rsidR="00CE0FFF" w:rsidRDefault="00CE0FFF" w:rsidP="00CE0FFF">
      <w:pPr>
        <w:pStyle w:val="question"/>
        <w:keepNext/>
        <w:keepLines/>
        <w:spacing w:before="120"/>
      </w:pPr>
      <w:r>
        <w:t>Q.</w:t>
      </w:r>
      <w:r>
        <w:tab/>
        <w:t xml:space="preserve">In the case of energy efficient </w:t>
      </w:r>
      <w:r w:rsidR="008C20A1">
        <w:t>equipment</w:t>
      </w:r>
      <w:r>
        <w:t xml:space="preserve">, are these barriers addressed by </w:t>
      </w:r>
      <w:r w:rsidR="007745D7">
        <w:t xml:space="preserve">PSE’s proposed </w:t>
      </w:r>
      <w:r w:rsidR="00ED23DD">
        <w:t>Lease Solutions</w:t>
      </w:r>
      <w:r>
        <w:t>?</w:t>
      </w:r>
    </w:p>
    <w:p w:rsidR="007A4CA2" w:rsidRDefault="00CE0FFF" w:rsidP="00B25672">
      <w:pPr>
        <w:pStyle w:val="answer"/>
      </w:pPr>
      <w:r>
        <w:t>A.</w:t>
      </w:r>
      <w:r>
        <w:tab/>
      </w:r>
      <w:r w:rsidR="002A743C">
        <w:t xml:space="preserve">Yes. By removing the large upfront investment cost, </w:t>
      </w:r>
      <w:r w:rsidR="00ED23DD">
        <w:t>Lease Solutions</w:t>
      </w:r>
      <w:r w:rsidR="002A743C">
        <w:t xml:space="preserve"> reduces credit constraints for those customers who find it costly</w:t>
      </w:r>
      <w:r w:rsidR="00D70E6E">
        <w:t xml:space="preserve">, </w:t>
      </w:r>
      <w:r w:rsidR="002A743C">
        <w:t>difficult</w:t>
      </w:r>
      <w:r w:rsidR="00D70E6E">
        <w:t xml:space="preserve"> or distasteful</w:t>
      </w:r>
      <w:r w:rsidR="002A743C">
        <w:t xml:space="preserve"> to obtain credit. </w:t>
      </w:r>
      <w:r w:rsidR="005E2567">
        <w:t>Similarly</w:t>
      </w:r>
      <w:r w:rsidR="00CF65D6">
        <w:t>,</w:t>
      </w:r>
      <w:r w:rsidR="005E2567">
        <w:t xml:space="preserve"> leas</w:t>
      </w:r>
      <w:r w:rsidR="00CF65D6">
        <w:t>ing services</w:t>
      </w:r>
      <w:r w:rsidR="005E2567">
        <w:t xml:space="preserve"> align the costs and benefits of energy</w:t>
      </w:r>
      <w:r w:rsidR="005157A5">
        <w:t xml:space="preserve"> </w:t>
      </w:r>
      <w:r w:rsidR="005E2567">
        <w:t xml:space="preserve">efficient equipment </w:t>
      </w:r>
      <w:r w:rsidR="008B48A2">
        <w:t xml:space="preserve">by </w:t>
      </w:r>
      <w:r w:rsidR="005E2567">
        <w:t xml:space="preserve">removing barriers created by myopic behavior. Since the proposed </w:t>
      </w:r>
      <w:r w:rsidR="00ED23DD">
        <w:t>Lease Solutions</w:t>
      </w:r>
      <w:r w:rsidR="005E2567">
        <w:t xml:space="preserve"> includes </w:t>
      </w:r>
      <w:r w:rsidR="004C7807">
        <w:t xml:space="preserve">options to access energy efficient and connected equipment, predefined </w:t>
      </w:r>
      <w:r w:rsidR="005E2567">
        <w:t>equipment maintenance</w:t>
      </w:r>
      <w:r w:rsidR="004C7807">
        <w:t xml:space="preserve">, and equipment replacement throughout the lease terms for a </w:t>
      </w:r>
      <w:r w:rsidR="008E503F">
        <w:t>fixed</w:t>
      </w:r>
      <w:r w:rsidR="004C7807">
        <w:t xml:space="preserve"> term and</w:t>
      </w:r>
      <w:r w:rsidR="008E503F">
        <w:t xml:space="preserve"> </w:t>
      </w:r>
      <w:r w:rsidR="004C7807">
        <w:t xml:space="preserve">fixed </w:t>
      </w:r>
      <w:r w:rsidR="008E503F">
        <w:t xml:space="preserve">monthly </w:t>
      </w:r>
      <w:r w:rsidR="004C7807">
        <w:t>rate</w:t>
      </w:r>
      <w:r w:rsidR="008E503F">
        <w:t>, customers</w:t>
      </w:r>
      <w:r w:rsidR="005E2567">
        <w:t xml:space="preserve"> </w:t>
      </w:r>
      <w:r w:rsidR="008E503F">
        <w:t xml:space="preserve">have certainty over the benefits and future costs of the equipment, remediating customer risk and the barrier of risk aversion. </w:t>
      </w:r>
      <w:r w:rsidR="00ED23DD">
        <w:t>Lease Solutions</w:t>
      </w:r>
      <w:r w:rsidR="001619B9">
        <w:t xml:space="preserve"> will reduce search costs and remove the information asymmetry. </w:t>
      </w:r>
      <w:r w:rsidR="00D24D41">
        <w:t xml:space="preserve">In 2015, approximately 82,000 </w:t>
      </w:r>
      <w:r w:rsidR="001619B9">
        <w:t>customers call</w:t>
      </w:r>
      <w:r w:rsidR="00D24D41">
        <w:t>ed</w:t>
      </w:r>
      <w:r w:rsidR="001619B9">
        <w:t xml:space="preserve"> PSE</w:t>
      </w:r>
      <w:r w:rsidR="00D24D41">
        <w:t>’s Energy Advisors</w:t>
      </w:r>
      <w:r w:rsidR="001619B9">
        <w:t xml:space="preserve"> asking for advice on how to reduce their bills</w:t>
      </w:r>
      <w:r w:rsidR="00D24D41">
        <w:t xml:space="preserve"> and more effectively manage their energy use</w:t>
      </w:r>
      <w:r w:rsidR="001619B9">
        <w:t xml:space="preserve">. </w:t>
      </w:r>
      <w:r w:rsidR="001619B9">
        <w:rPr>
          <w:rFonts w:hint="eastAsia"/>
        </w:rPr>
        <w:t>A</w:t>
      </w:r>
      <w:r w:rsidR="001619B9">
        <w:t xml:space="preserve">s a trusted third-party advisor, PSE is in a unique position to advise their customers on the best energy efficient </w:t>
      </w:r>
      <w:r w:rsidR="00FF3034">
        <w:t>products</w:t>
      </w:r>
      <w:r w:rsidR="001619B9">
        <w:t xml:space="preserve">. </w:t>
      </w:r>
      <w:r w:rsidR="008A293B">
        <w:t xml:space="preserve">By conducting extensive research into the best </w:t>
      </w:r>
      <w:r w:rsidR="00FF3034">
        <w:t>products</w:t>
      </w:r>
      <w:r w:rsidR="008A293B">
        <w:t>, installers and vendors, PSE will reduce search c</w:t>
      </w:r>
      <w:r w:rsidR="00075D11">
        <w:t>o</w:t>
      </w:r>
      <w:r w:rsidR="008A293B">
        <w:t>sts for their customers. Finally, by ensuring that customers invest in energy efficient equipment</w:t>
      </w:r>
      <w:r w:rsidR="00075D11">
        <w:t>,</w:t>
      </w:r>
      <w:r w:rsidR="008A293B">
        <w:t xml:space="preserve"> positive externalities from these investments will be realized.</w:t>
      </w:r>
      <w:r w:rsidR="00D079B7">
        <w:t xml:space="preserve"> </w:t>
      </w:r>
      <w:r w:rsidR="00D079B7" w:rsidRPr="00A71E66">
        <w:fldChar w:fldCharType="begin"/>
      </w:r>
      <w:r w:rsidR="00D079B7" w:rsidRPr="00A71E66">
        <w:instrText xml:space="preserve"> REF _Ref444083603 \h </w:instrText>
      </w:r>
      <w:r w:rsidR="00A71E66">
        <w:instrText xml:space="preserve"> \* MERGEFORMAT </w:instrText>
      </w:r>
      <w:r w:rsidR="00D079B7" w:rsidRPr="00A71E66">
        <w:fldChar w:fldCharType="separate"/>
      </w:r>
      <w:r w:rsidR="00987B63">
        <w:t xml:space="preserve">Figure </w:t>
      </w:r>
      <w:r w:rsidR="00987B63">
        <w:rPr>
          <w:noProof/>
        </w:rPr>
        <w:t>1</w:t>
      </w:r>
      <w:r w:rsidR="00D079B7" w:rsidRPr="00A71E66">
        <w:fldChar w:fldCharType="end"/>
      </w:r>
      <w:r w:rsidR="008A293B">
        <w:t xml:space="preserve"> below illustrates how utility energy efficiency programs and the proposed leasing </w:t>
      </w:r>
      <w:r w:rsidR="00075D11">
        <w:t>service</w:t>
      </w:r>
      <w:r w:rsidR="008A293B">
        <w:t xml:space="preserve"> address the barriers to the adoption of efficient </w:t>
      </w:r>
      <w:r w:rsidR="00075D11">
        <w:t>products</w:t>
      </w:r>
      <w:r w:rsidR="008A293B">
        <w:t xml:space="preserve">. </w:t>
      </w:r>
    </w:p>
    <w:p w:rsidR="007C4460" w:rsidRDefault="007C4460" w:rsidP="007C4460">
      <w:pPr>
        <w:pStyle w:val="Caption"/>
        <w:keepNext/>
        <w:jc w:val="center"/>
      </w:pPr>
      <w:bookmarkStart w:id="12" w:name="_Ref444083603"/>
      <w:r>
        <w:t xml:space="preserve">Figure </w:t>
      </w:r>
      <w:fldSimple w:instr=" SEQ Figure \* ARABIC ">
        <w:r w:rsidR="00987B63">
          <w:rPr>
            <w:noProof/>
          </w:rPr>
          <w:t>1</w:t>
        </w:r>
      </w:fldSimple>
      <w:bookmarkEnd w:id="12"/>
      <w:r>
        <w:t>:</w:t>
      </w:r>
      <w:r w:rsidRPr="007C4460">
        <w:t xml:space="preserve"> </w:t>
      </w:r>
      <w:r>
        <w:t>How Energy Efficiency Programs and the Proposed Leasing Service Address the Barriers to Customer Adoption of Efficient Products</w:t>
      </w:r>
    </w:p>
    <w:p w:rsidR="00AA34A8" w:rsidRPr="002B656E" w:rsidRDefault="00EB43A7" w:rsidP="00CE5A28">
      <w:pPr>
        <w:pStyle w:val="question"/>
        <w:keepNext/>
        <w:keepLines/>
        <w:spacing w:before="120"/>
      </w:pPr>
      <w:r>
        <w:rPr>
          <w:noProof/>
          <w:lang w:eastAsia="en-US"/>
        </w:rPr>
        <w:drawing>
          <wp:inline distT="0" distB="0" distL="0" distR="0" wp14:anchorId="7E0D1025" wp14:editId="7E0D1026">
            <wp:extent cx="5143500" cy="52713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0420" cy="5268237"/>
                    </a:xfrm>
                    <a:prstGeom prst="rect">
                      <a:avLst/>
                    </a:prstGeom>
                    <a:noFill/>
                  </pic:spPr>
                </pic:pic>
              </a:graphicData>
            </a:graphic>
          </wp:inline>
        </w:drawing>
      </w:r>
      <w:r w:rsidR="00A30CC8">
        <w:t xml:space="preserve"> </w:t>
      </w:r>
    </w:p>
    <w:p w:rsidR="00AA34A8" w:rsidRDefault="006764F1" w:rsidP="00CE536E">
      <w:pPr>
        <w:pStyle w:val="Heading1"/>
        <w:spacing w:line="240" w:lineRule="auto"/>
      </w:pPr>
      <w:bookmarkStart w:id="13" w:name="_Toc444180131"/>
      <w:r>
        <w:t>I</w:t>
      </w:r>
      <w:r w:rsidR="00AA34A8">
        <w:t>V.</w:t>
      </w:r>
      <w:r w:rsidR="00AA34A8">
        <w:tab/>
        <w:t xml:space="preserve">POTENTIAL </w:t>
      </w:r>
      <w:r w:rsidR="00ED23DD">
        <w:t>LEASE SOLUTIONS</w:t>
      </w:r>
      <w:r w:rsidR="00075D11">
        <w:t xml:space="preserve"> </w:t>
      </w:r>
      <w:r w:rsidR="00AA34A8">
        <w:t>ADOPTION</w:t>
      </w:r>
      <w:bookmarkEnd w:id="13"/>
    </w:p>
    <w:p w:rsidR="00AA34A8" w:rsidRDefault="00AA34A8" w:rsidP="00AA34A8">
      <w:pPr>
        <w:pStyle w:val="question"/>
        <w:keepNext/>
        <w:keepLines/>
        <w:spacing w:before="120"/>
      </w:pPr>
      <w:r>
        <w:t>Q.</w:t>
      </w:r>
      <w:r>
        <w:tab/>
      </w:r>
      <w:r w:rsidR="009208C8">
        <w:t xml:space="preserve">How did </w:t>
      </w:r>
      <w:r w:rsidR="00A73B59">
        <w:t xml:space="preserve">you </w:t>
      </w:r>
      <w:r w:rsidR="009208C8">
        <w:t xml:space="preserve">estimate the potential market size for </w:t>
      </w:r>
      <w:r w:rsidR="00ED23DD">
        <w:t>Lease Solutions</w:t>
      </w:r>
      <w:r w:rsidR="009208C8">
        <w:t>?</w:t>
      </w:r>
    </w:p>
    <w:p w:rsidR="004D6E73" w:rsidRDefault="00AA34A8" w:rsidP="004D4437">
      <w:pPr>
        <w:pStyle w:val="answer"/>
      </w:pPr>
      <w:r>
        <w:t>A.</w:t>
      </w:r>
      <w:r>
        <w:tab/>
      </w:r>
      <w:r w:rsidR="00A73B59">
        <w:t>I relied on PSE’s estimate of the market size</w:t>
      </w:r>
      <w:r w:rsidR="005519BA">
        <w:t>,</w:t>
      </w:r>
      <w:r w:rsidR="00A73B59">
        <w:t xml:space="preserve"> which was derived from </w:t>
      </w:r>
      <w:r w:rsidR="002F0F4C">
        <w:t xml:space="preserve">both the company’s customer demographic </w:t>
      </w:r>
      <w:r w:rsidR="008B3341">
        <w:t>data</w:t>
      </w:r>
      <w:r w:rsidR="002F0F4C">
        <w:t xml:space="preserve"> as well </w:t>
      </w:r>
      <w:r w:rsidR="00A73B59">
        <w:t xml:space="preserve">a customer survey. </w:t>
      </w:r>
      <w:r w:rsidR="00435A62" w:rsidRPr="00435A62">
        <w:t xml:space="preserve">PSE </w:t>
      </w:r>
      <w:r w:rsidR="00256EE9">
        <w:t>surveyed a representative sample of</w:t>
      </w:r>
      <w:r w:rsidR="00435A62" w:rsidRPr="00435A62">
        <w:t xml:space="preserve"> </w:t>
      </w:r>
      <w:r w:rsidR="00A73B59">
        <w:t xml:space="preserve">its </w:t>
      </w:r>
      <w:r w:rsidR="00435A62" w:rsidRPr="00435A62">
        <w:t xml:space="preserve">customers and </w:t>
      </w:r>
      <w:r w:rsidR="002F0F4C">
        <w:t>confirmed</w:t>
      </w:r>
      <w:r w:rsidR="002F0F4C" w:rsidRPr="00435A62">
        <w:t xml:space="preserve"> </w:t>
      </w:r>
      <w:r w:rsidR="00435A62" w:rsidRPr="00435A62">
        <w:t xml:space="preserve">the share of customers </w:t>
      </w:r>
      <w:r w:rsidR="00942FE1">
        <w:t>that owned the equipment under consideration and their</w:t>
      </w:r>
      <w:r w:rsidR="00817D76">
        <w:t xml:space="preserve"> </w:t>
      </w:r>
      <w:r w:rsidR="00435A62" w:rsidRPr="00435A62">
        <w:t>willing</w:t>
      </w:r>
      <w:r w:rsidR="00942FE1">
        <w:t>ness</w:t>
      </w:r>
      <w:r w:rsidR="00435A62" w:rsidRPr="00435A62">
        <w:t xml:space="preserve"> to lease</w:t>
      </w:r>
      <w:r w:rsidR="00256EE9">
        <w:t xml:space="preserve"> </w:t>
      </w:r>
      <w:r w:rsidR="00942FE1">
        <w:t xml:space="preserve">higher efficiency replacement equipment </w:t>
      </w:r>
      <w:r w:rsidR="00435A62" w:rsidRPr="00435A62">
        <w:t xml:space="preserve">subject to the constraints of the </w:t>
      </w:r>
      <w:r w:rsidR="00256EE9">
        <w:t xml:space="preserve">leasing service. </w:t>
      </w:r>
      <w:r w:rsidR="00A73B59">
        <w:t xml:space="preserve">To illustrate this process, let me discuss how PSE calculated </w:t>
      </w:r>
      <w:r w:rsidR="00942FE1">
        <w:t xml:space="preserve">the realizable market size for residential </w:t>
      </w:r>
      <w:r w:rsidR="008B71E1">
        <w:t>gas furnaces</w:t>
      </w:r>
      <w:r w:rsidR="00A73B59">
        <w:t>.</w:t>
      </w:r>
      <w:r w:rsidR="008B71E1">
        <w:t xml:space="preserve"> </w:t>
      </w:r>
      <w:r w:rsidR="00256EE9">
        <w:t>T</w:t>
      </w:r>
      <w:r w:rsidR="004D6E73" w:rsidRPr="0018043F">
        <w:t>here are</w:t>
      </w:r>
      <w:r w:rsidR="00B132A0">
        <w:t xml:space="preserve"> over</w:t>
      </w:r>
      <w:r w:rsidR="004D6E73" w:rsidRPr="0018043F">
        <w:t xml:space="preserve"> 1</w:t>
      </w:r>
      <w:r w:rsidR="00B132A0">
        <w:t>.3 million</w:t>
      </w:r>
      <w:r w:rsidR="004D6E73" w:rsidRPr="0018043F">
        <w:t xml:space="preserve"> </w:t>
      </w:r>
      <w:r w:rsidR="004D6E73">
        <w:t xml:space="preserve">residential </w:t>
      </w:r>
      <w:r w:rsidR="004D6E73" w:rsidRPr="0018043F">
        <w:t xml:space="preserve">premises in </w:t>
      </w:r>
      <w:r w:rsidR="004D6E73">
        <w:t xml:space="preserve">the </w:t>
      </w:r>
      <w:r w:rsidR="004D6E73" w:rsidRPr="0018043F">
        <w:t>PSE service territory</w:t>
      </w:r>
      <w:r w:rsidR="004D6E73">
        <w:t>,</w:t>
      </w:r>
      <w:r w:rsidR="004D6E73" w:rsidRPr="0018043F">
        <w:t xml:space="preserve"> </w:t>
      </w:r>
      <w:r w:rsidR="004D6E73">
        <w:t xml:space="preserve">including gas-only customers, electric-only customers, and customers taking both </w:t>
      </w:r>
      <w:r w:rsidR="004D6E73" w:rsidRPr="004D6E73">
        <w:t>services</w:t>
      </w:r>
      <w:r w:rsidR="004D6E73" w:rsidRPr="00817D76">
        <w:rPr>
          <w:rFonts w:hint="eastAsia"/>
          <w:bCs/>
        </w:rPr>
        <w:t xml:space="preserve">. </w:t>
      </w:r>
      <w:r w:rsidR="002F0F4C">
        <w:rPr>
          <w:bCs/>
        </w:rPr>
        <w:t>PSE data</w:t>
      </w:r>
      <w:r w:rsidR="008B71E1">
        <w:rPr>
          <w:bCs/>
        </w:rPr>
        <w:t xml:space="preserve"> </w:t>
      </w:r>
      <w:r w:rsidR="004D6E73">
        <w:rPr>
          <w:bCs/>
        </w:rPr>
        <w:t xml:space="preserve">show that </w:t>
      </w:r>
      <w:r w:rsidR="00397462">
        <w:t>65</w:t>
      </w:r>
      <w:r w:rsidR="00D50197">
        <w:t xml:space="preserve"> percent</w:t>
      </w:r>
      <w:r w:rsidR="00397462">
        <w:t xml:space="preserve"> of </w:t>
      </w:r>
      <w:r w:rsidR="008B71E1">
        <w:t xml:space="preserve">PSE </w:t>
      </w:r>
      <w:r w:rsidR="00397462">
        <w:t>customers</w:t>
      </w:r>
      <w:r w:rsidR="004D6E73" w:rsidRPr="004D6E73">
        <w:t xml:space="preserve"> have natural gas furnaces; </w:t>
      </w:r>
      <w:r w:rsidR="000954ED">
        <w:t>o</w:t>
      </w:r>
      <w:r w:rsidR="008B71E1">
        <w:t xml:space="preserve">f these, </w:t>
      </w:r>
      <w:r w:rsidR="004D6E73" w:rsidRPr="00817D76">
        <w:rPr>
          <w:rFonts w:hint="eastAsia"/>
          <w:bCs/>
        </w:rPr>
        <w:t>23</w:t>
      </w:r>
      <w:r w:rsidR="00D50197">
        <w:rPr>
          <w:bCs/>
        </w:rPr>
        <w:t xml:space="preserve"> percent</w:t>
      </w:r>
      <w:r w:rsidR="004D6E73" w:rsidRPr="00817D76">
        <w:rPr>
          <w:rFonts w:hint="eastAsia"/>
          <w:bCs/>
        </w:rPr>
        <w:t xml:space="preserve"> </w:t>
      </w:r>
      <w:r w:rsidR="008B71E1">
        <w:rPr>
          <w:bCs/>
        </w:rPr>
        <w:t>have indicated</w:t>
      </w:r>
      <w:r w:rsidR="00E66846">
        <w:rPr>
          <w:bCs/>
        </w:rPr>
        <w:t xml:space="preserve"> in the survey</w:t>
      </w:r>
      <w:r w:rsidR="008B71E1">
        <w:rPr>
          <w:bCs/>
        </w:rPr>
        <w:t xml:space="preserve"> that they are </w:t>
      </w:r>
      <w:r w:rsidR="004D6E73" w:rsidRPr="00817D76">
        <w:rPr>
          <w:rFonts w:hint="eastAsia"/>
          <w:bCs/>
        </w:rPr>
        <w:t xml:space="preserve">likely to </w:t>
      </w:r>
      <w:r w:rsidR="008B71E1">
        <w:rPr>
          <w:bCs/>
        </w:rPr>
        <w:t>u</w:t>
      </w:r>
      <w:r w:rsidR="00817D76">
        <w:rPr>
          <w:bCs/>
        </w:rPr>
        <w:t>ndertake a</w:t>
      </w:r>
      <w:r w:rsidR="004D6E73" w:rsidRPr="00817D76">
        <w:rPr>
          <w:rFonts w:hint="eastAsia"/>
          <w:bCs/>
        </w:rPr>
        <w:t xml:space="preserve"> leas</w:t>
      </w:r>
      <w:r w:rsidR="008B71E1">
        <w:rPr>
          <w:bCs/>
        </w:rPr>
        <w:t xml:space="preserve">e, if offered the </w:t>
      </w:r>
      <w:r w:rsidR="004D6E73" w:rsidRPr="00817D76">
        <w:rPr>
          <w:rFonts w:hint="eastAsia"/>
          <w:bCs/>
        </w:rPr>
        <w:t>option</w:t>
      </w:r>
      <w:r w:rsidR="004D6E73">
        <w:t>;</w:t>
      </w:r>
      <w:r w:rsidR="00397462">
        <w:rPr>
          <w:rStyle w:val="FootnoteReference"/>
          <w:rFonts w:hint="eastAsia"/>
        </w:rPr>
        <w:footnoteReference w:id="37"/>
      </w:r>
      <w:r w:rsidR="004D6E73">
        <w:t xml:space="preserve"> </w:t>
      </w:r>
      <w:r w:rsidR="004D6E73" w:rsidRPr="00817D76">
        <w:rPr>
          <w:rFonts w:hint="eastAsia"/>
          <w:bCs/>
        </w:rPr>
        <w:t>65</w:t>
      </w:r>
      <w:r w:rsidR="00D50197">
        <w:rPr>
          <w:bCs/>
        </w:rPr>
        <w:t xml:space="preserve"> percent</w:t>
      </w:r>
      <w:r w:rsidR="004D6E73" w:rsidRPr="00817D76">
        <w:rPr>
          <w:rFonts w:hint="eastAsia"/>
          <w:bCs/>
        </w:rPr>
        <w:t xml:space="preserve"> </w:t>
      </w:r>
      <w:r w:rsidR="008B71E1">
        <w:rPr>
          <w:bCs/>
        </w:rPr>
        <w:t xml:space="preserve">of PSE’s </w:t>
      </w:r>
      <w:r w:rsidR="00F0219F">
        <w:rPr>
          <w:bCs/>
        </w:rPr>
        <w:t xml:space="preserve">population </w:t>
      </w:r>
      <w:r w:rsidR="00F0219F" w:rsidRPr="00817D76">
        <w:rPr>
          <w:bCs/>
        </w:rPr>
        <w:t>has</w:t>
      </w:r>
      <w:r w:rsidR="004D6E73" w:rsidRPr="00817D76">
        <w:rPr>
          <w:rFonts w:hint="eastAsia"/>
          <w:bCs/>
        </w:rPr>
        <w:t xml:space="preserve"> </w:t>
      </w:r>
      <w:r w:rsidR="008B71E1">
        <w:rPr>
          <w:bCs/>
        </w:rPr>
        <w:t xml:space="preserve">credit </w:t>
      </w:r>
      <w:r w:rsidR="00E66846">
        <w:rPr>
          <w:bCs/>
        </w:rPr>
        <w:t xml:space="preserve">worthiness </w:t>
      </w:r>
      <w:r w:rsidR="008B71E1">
        <w:rPr>
          <w:bCs/>
        </w:rPr>
        <w:t xml:space="preserve">that make them eligible for </w:t>
      </w:r>
      <w:r w:rsidR="00ED23DD">
        <w:rPr>
          <w:bCs/>
        </w:rPr>
        <w:t>Lease Solutions</w:t>
      </w:r>
      <w:r w:rsidR="00B54716">
        <w:rPr>
          <w:bCs/>
        </w:rPr>
        <w:t>;</w:t>
      </w:r>
      <w:r w:rsidR="00765607">
        <w:rPr>
          <w:rStyle w:val="FootnoteReference"/>
          <w:bCs/>
        </w:rPr>
        <w:footnoteReference w:id="38"/>
      </w:r>
      <w:r w:rsidR="004D6E73">
        <w:t xml:space="preserve"> and </w:t>
      </w:r>
      <w:r w:rsidR="004D6E73" w:rsidRPr="00817D76">
        <w:rPr>
          <w:rFonts w:hint="eastAsia"/>
          <w:bCs/>
        </w:rPr>
        <w:t>80</w:t>
      </w:r>
      <w:r w:rsidR="006C6F08">
        <w:rPr>
          <w:bCs/>
        </w:rPr>
        <w:t xml:space="preserve"> </w:t>
      </w:r>
      <w:r w:rsidR="005519BA">
        <w:rPr>
          <w:bCs/>
        </w:rPr>
        <w:t>percent</w:t>
      </w:r>
      <w:r w:rsidR="004D6E73" w:rsidRPr="00817D76">
        <w:rPr>
          <w:rFonts w:hint="eastAsia"/>
          <w:bCs/>
        </w:rPr>
        <w:t xml:space="preserve"> have viable housing stock for the equipment</w:t>
      </w:r>
      <w:r w:rsidR="004D6E73">
        <w:rPr>
          <w:bCs/>
        </w:rPr>
        <w:t>.</w:t>
      </w:r>
      <w:r w:rsidR="00397462">
        <w:rPr>
          <w:rStyle w:val="FootnoteReference"/>
          <w:rFonts w:hint="eastAsia"/>
          <w:bCs/>
        </w:rPr>
        <w:footnoteReference w:id="39"/>
      </w:r>
      <w:r w:rsidR="00397462">
        <w:t xml:space="preserve"> </w:t>
      </w:r>
      <w:r w:rsidR="008B71E1">
        <w:t>The total realizable market size is calculated by discounting PSE’s population by all of these factors, yielding a</w:t>
      </w:r>
      <w:r w:rsidR="00397462" w:rsidRPr="0018043F">
        <w:t xml:space="preserve"> total rea</w:t>
      </w:r>
      <w:r w:rsidR="00397462">
        <w:t xml:space="preserve">lizable market size </w:t>
      </w:r>
      <w:r w:rsidR="008B71E1">
        <w:t>of</w:t>
      </w:r>
      <w:r w:rsidR="00397462">
        <w:t xml:space="preserve"> </w:t>
      </w:r>
      <w:r w:rsidR="00B132A0">
        <w:t xml:space="preserve">approximately </w:t>
      </w:r>
      <w:r w:rsidR="00397462">
        <w:t>10</w:t>
      </w:r>
      <w:r w:rsidR="00B132A0">
        <w:t>2</w:t>
      </w:r>
      <w:r w:rsidR="00397462">
        <w:t>,0</w:t>
      </w:r>
      <w:r w:rsidR="00B132A0">
        <w:t>0</w:t>
      </w:r>
      <w:r w:rsidR="00397462">
        <w:t>0 residential gas furnaces.</w:t>
      </w:r>
      <w:r w:rsidR="00397462">
        <w:rPr>
          <w:rStyle w:val="FootnoteReference"/>
          <w:rFonts w:hint="eastAsia"/>
        </w:rPr>
        <w:footnoteReference w:id="40"/>
      </w:r>
      <w:r w:rsidR="00397462" w:rsidRPr="0018043F">
        <w:t xml:space="preserve"> </w:t>
      </w:r>
      <w:r w:rsidR="00397462" w:rsidRPr="004C028D">
        <w:rPr>
          <w:bCs/>
        </w:rPr>
        <w:t>PSE assume</w:t>
      </w:r>
      <w:r w:rsidR="00397462">
        <w:rPr>
          <w:bCs/>
        </w:rPr>
        <w:t>s</w:t>
      </w:r>
      <w:r w:rsidR="00397462" w:rsidRPr="004C028D">
        <w:rPr>
          <w:bCs/>
        </w:rPr>
        <w:t xml:space="preserve"> that </w:t>
      </w:r>
      <w:r w:rsidR="00397462">
        <w:rPr>
          <w:bCs/>
        </w:rPr>
        <w:t>the</w:t>
      </w:r>
      <w:r w:rsidR="00397462" w:rsidRPr="004C028D">
        <w:rPr>
          <w:bCs/>
        </w:rPr>
        <w:t xml:space="preserve"> number of </w:t>
      </w:r>
      <w:r w:rsidR="00397462">
        <w:rPr>
          <w:bCs/>
        </w:rPr>
        <w:t>these furnaces replaced</w:t>
      </w:r>
      <w:r w:rsidR="00397462" w:rsidRPr="004D6E73">
        <w:rPr>
          <w:bCs/>
        </w:rPr>
        <w:t xml:space="preserve"> each year </w:t>
      </w:r>
      <w:r w:rsidR="00397462">
        <w:rPr>
          <w:bCs/>
        </w:rPr>
        <w:t>is equal to the total realizable market size divided by the product’s useful life.</w:t>
      </w:r>
      <w:r w:rsidR="008B71E1">
        <w:rPr>
          <w:bCs/>
        </w:rPr>
        <w:t xml:space="preserve"> S</w:t>
      </w:r>
      <w:r w:rsidR="00256EE9">
        <w:rPr>
          <w:bCs/>
        </w:rPr>
        <w:t xml:space="preserve">ince </w:t>
      </w:r>
      <w:r w:rsidR="00256EE9">
        <w:t>t</w:t>
      </w:r>
      <w:r w:rsidR="00397462" w:rsidRPr="0018043F">
        <w:t xml:space="preserve">he </w:t>
      </w:r>
      <w:r w:rsidR="00397462" w:rsidRPr="00D60ECE">
        <w:t>useful life of a gas furnace is 17 years,</w:t>
      </w:r>
      <w:r w:rsidR="00D60ECE">
        <w:rPr>
          <w:rStyle w:val="FootnoteReference"/>
          <w:rFonts w:hint="eastAsia"/>
        </w:rPr>
        <w:footnoteReference w:id="41"/>
      </w:r>
      <w:r w:rsidR="00397462" w:rsidRPr="00D60ECE">
        <w:t xml:space="preserve"> </w:t>
      </w:r>
      <w:r w:rsidR="00FD5B75" w:rsidRPr="00817D76">
        <w:rPr>
          <w:rFonts w:hint="eastAsia"/>
          <w:bCs/>
        </w:rPr>
        <w:t xml:space="preserve">the annual realizable market size for leased gas residential furnaces is </w:t>
      </w:r>
      <w:r w:rsidR="00B132A0">
        <w:rPr>
          <w:bCs/>
        </w:rPr>
        <w:t xml:space="preserve">approximately </w:t>
      </w:r>
      <w:r w:rsidR="00FD5B75" w:rsidRPr="00817D76">
        <w:rPr>
          <w:rFonts w:hint="eastAsia"/>
          <w:bCs/>
        </w:rPr>
        <w:t>6,00</w:t>
      </w:r>
      <w:r w:rsidR="00B132A0">
        <w:rPr>
          <w:bCs/>
        </w:rPr>
        <w:t>0</w:t>
      </w:r>
      <w:r w:rsidR="00FD5B75" w:rsidRPr="00817D76">
        <w:rPr>
          <w:rFonts w:hint="eastAsia"/>
          <w:bCs/>
        </w:rPr>
        <w:t xml:space="preserve"> unit</w:t>
      </w:r>
      <w:r w:rsidR="00397462" w:rsidRPr="00817D76">
        <w:rPr>
          <w:rFonts w:hint="eastAsia"/>
          <w:bCs/>
        </w:rPr>
        <w:t>s.</w:t>
      </w:r>
      <w:r w:rsidR="00397462" w:rsidRPr="00817D76">
        <w:rPr>
          <w:rStyle w:val="FootnoteReference"/>
          <w:rFonts w:hint="eastAsia"/>
          <w:bCs/>
        </w:rPr>
        <w:footnoteReference w:id="42"/>
      </w:r>
    </w:p>
    <w:p w:rsidR="004D6E73" w:rsidRDefault="004D6E73" w:rsidP="004D6E73">
      <w:pPr>
        <w:pStyle w:val="question"/>
        <w:keepNext/>
        <w:keepLines/>
        <w:spacing w:before="120"/>
        <w:rPr>
          <w:rFonts w:ascii="CG Times" w:hAnsi="CG Times"/>
          <w:bCs/>
        </w:rPr>
      </w:pPr>
      <w:r>
        <w:t>Q.</w:t>
      </w:r>
      <w:r>
        <w:tab/>
      </w:r>
      <w:r>
        <w:rPr>
          <w:rFonts w:ascii="CG Times" w:hAnsi="CG Times"/>
          <w:bCs/>
        </w:rPr>
        <w:t xml:space="preserve">How </w:t>
      </w:r>
      <w:r w:rsidR="00A86A9D">
        <w:rPr>
          <w:rFonts w:ascii="CG Times" w:hAnsi="CG Times"/>
          <w:bCs/>
        </w:rPr>
        <w:t>does PSE’s annual lease market size account for the fact that</w:t>
      </w:r>
      <w:r w:rsidR="00AC41D3">
        <w:rPr>
          <w:rFonts w:ascii="CG Times" w:hAnsi="CG Times"/>
          <w:bCs/>
        </w:rPr>
        <w:t xml:space="preserve"> some customers may continue to use equipment that is past its useful life</w:t>
      </w:r>
      <w:r>
        <w:rPr>
          <w:rFonts w:ascii="CG Times" w:hAnsi="CG Times"/>
          <w:bCs/>
        </w:rPr>
        <w:t>?</w:t>
      </w:r>
    </w:p>
    <w:p w:rsidR="00D60ECE" w:rsidRPr="00922CCF" w:rsidRDefault="004D6E73" w:rsidP="00817D76">
      <w:pPr>
        <w:pStyle w:val="question"/>
      </w:pPr>
      <w:r w:rsidRPr="00817D76">
        <w:rPr>
          <w:b w:val="0"/>
        </w:rPr>
        <w:t>A.</w:t>
      </w:r>
      <w:r w:rsidRPr="00817D76">
        <w:rPr>
          <w:b w:val="0"/>
        </w:rPr>
        <w:tab/>
      </w:r>
      <w:r w:rsidR="00435A62" w:rsidRPr="00817D76">
        <w:rPr>
          <w:rFonts w:hint="eastAsia"/>
          <w:b w:val="0"/>
          <w:bCs/>
        </w:rPr>
        <w:t>E</w:t>
      </w:r>
      <w:r w:rsidR="00033055" w:rsidRPr="00817D76">
        <w:rPr>
          <w:rFonts w:hint="eastAsia"/>
          <w:b w:val="0"/>
          <w:bCs/>
        </w:rPr>
        <w:t xml:space="preserve">ach year a number of </w:t>
      </w:r>
      <w:r w:rsidR="00435A62" w:rsidRPr="00817D76">
        <w:rPr>
          <w:rFonts w:hint="eastAsia"/>
          <w:b w:val="0"/>
          <w:bCs/>
        </w:rPr>
        <w:t xml:space="preserve">heating and cooling </w:t>
      </w:r>
      <w:r w:rsidR="00033055" w:rsidRPr="00817D76">
        <w:rPr>
          <w:rFonts w:hint="eastAsia"/>
          <w:b w:val="0"/>
          <w:bCs/>
        </w:rPr>
        <w:t>units reach the end of their useful lif</w:t>
      </w:r>
      <w:r w:rsidR="00435A62" w:rsidRPr="00817D76">
        <w:rPr>
          <w:rFonts w:hint="eastAsia"/>
          <w:b w:val="0"/>
        </w:rPr>
        <w:t>e, and many</w:t>
      </w:r>
      <w:r w:rsidR="00AD6170">
        <w:rPr>
          <w:b w:val="0"/>
        </w:rPr>
        <w:t xml:space="preserve"> </w:t>
      </w:r>
      <w:r w:rsidR="00033055" w:rsidRPr="00817D76">
        <w:rPr>
          <w:rFonts w:hint="eastAsia"/>
          <w:b w:val="0"/>
        </w:rPr>
        <w:t>customers</w:t>
      </w:r>
      <w:r w:rsidR="00435A62" w:rsidRPr="00817D76">
        <w:rPr>
          <w:rFonts w:hint="eastAsia"/>
          <w:b w:val="0"/>
        </w:rPr>
        <w:t xml:space="preserve"> choose</w:t>
      </w:r>
      <w:r w:rsidR="00D60ECE" w:rsidRPr="00817D76">
        <w:rPr>
          <w:rFonts w:hint="eastAsia"/>
          <w:b w:val="0"/>
        </w:rPr>
        <w:t xml:space="preserve"> to</w:t>
      </w:r>
      <w:r w:rsidR="00033055" w:rsidRPr="00817D76">
        <w:rPr>
          <w:rFonts w:hint="eastAsia"/>
          <w:b w:val="0"/>
        </w:rPr>
        <w:t xml:space="preserve"> replace the</w:t>
      </w:r>
      <w:r w:rsidR="00435A62" w:rsidRPr="00817D76">
        <w:rPr>
          <w:rFonts w:hint="eastAsia"/>
          <w:b w:val="0"/>
        </w:rPr>
        <w:t xml:space="preserve"> equipment at this time. However, there is also a population of customers that continue to use their increasingly inefficient equipment even though it may no longer be economic to do so. </w:t>
      </w:r>
      <w:r w:rsidR="00FD5B75" w:rsidRPr="00817D76">
        <w:rPr>
          <w:rFonts w:hint="eastAsia"/>
          <w:b w:val="0"/>
        </w:rPr>
        <w:t>For example, 2</w:t>
      </w:r>
      <w:r w:rsidR="001E1DC2">
        <w:rPr>
          <w:b w:val="0"/>
        </w:rPr>
        <w:t>2</w:t>
      </w:r>
      <w:r w:rsidR="00D50197" w:rsidRPr="00817D76">
        <w:rPr>
          <w:b w:val="0"/>
        </w:rPr>
        <w:t xml:space="preserve"> percent</w:t>
      </w:r>
      <w:r w:rsidR="00FD5B75" w:rsidRPr="00817D76">
        <w:rPr>
          <w:rFonts w:hint="eastAsia"/>
          <w:b w:val="0"/>
        </w:rPr>
        <w:t xml:space="preserve"> of residential gas furnaces are older than </w:t>
      </w:r>
      <w:r w:rsidR="00D457E3" w:rsidRPr="00817D76">
        <w:rPr>
          <w:b w:val="0"/>
        </w:rPr>
        <w:t>17</w:t>
      </w:r>
      <w:r w:rsidR="00FD5B75" w:rsidRPr="00817D76">
        <w:rPr>
          <w:rFonts w:hint="eastAsia"/>
          <w:b w:val="0"/>
        </w:rPr>
        <w:t xml:space="preserve"> years, the common useful life for a gas furnace.</w:t>
      </w:r>
      <w:r w:rsidR="00FD5B75" w:rsidRPr="00817D76">
        <w:rPr>
          <w:rStyle w:val="FootnoteReference"/>
          <w:rFonts w:hint="eastAsia"/>
          <w:b w:val="0"/>
        </w:rPr>
        <w:footnoteReference w:id="43"/>
      </w:r>
      <w:r w:rsidR="00FD5B75" w:rsidRPr="00817D76">
        <w:rPr>
          <w:rFonts w:hint="eastAsia"/>
          <w:b w:val="0"/>
        </w:rPr>
        <w:t xml:space="preserve"> </w:t>
      </w:r>
    </w:p>
    <w:p w:rsidR="0018043F" w:rsidRPr="002B656E" w:rsidRDefault="00DA4644" w:rsidP="00817D76">
      <w:pPr>
        <w:pStyle w:val="question"/>
        <w:ind w:firstLine="0"/>
      </w:pPr>
      <w:r>
        <w:rPr>
          <w:b w:val="0"/>
        </w:rPr>
        <w:t xml:space="preserve">Customers replace equipment that is past </w:t>
      </w:r>
      <w:r w:rsidR="00A16B7F">
        <w:rPr>
          <w:b w:val="0"/>
        </w:rPr>
        <w:t xml:space="preserve">its </w:t>
      </w:r>
      <w:r>
        <w:rPr>
          <w:b w:val="0"/>
        </w:rPr>
        <w:t>useful life</w:t>
      </w:r>
      <w:r w:rsidR="00AC41D3">
        <w:rPr>
          <w:b w:val="0"/>
        </w:rPr>
        <w:t xml:space="preserve"> for a variety of reasons, such as the ultimate failure of the equipment</w:t>
      </w:r>
      <w:r w:rsidR="00AD6170">
        <w:rPr>
          <w:b w:val="0"/>
        </w:rPr>
        <w:t xml:space="preserve"> or </w:t>
      </w:r>
      <w:r w:rsidR="003942F8">
        <w:rPr>
          <w:b w:val="0"/>
        </w:rPr>
        <w:t>critical</w:t>
      </w:r>
      <w:r w:rsidR="00AD6170">
        <w:rPr>
          <w:b w:val="0"/>
        </w:rPr>
        <w:t xml:space="preserve"> performance degradations</w:t>
      </w:r>
      <w:r w:rsidR="00AC41D3">
        <w:rPr>
          <w:b w:val="0"/>
        </w:rPr>
        <w:t>.</w:t>
      </w:r>
      <w:r>
        <w:rPr>
          <w:b w:val="0"/>
        </w:rPr>
        <w:t xml:space="preserve"> </w:t>
      </w:r>
      <w:r w:rsidR="00ED23DD">
        <w:rPr>
          <w:b w:val="0"/>
        </w:rPr>
        <w:t>Lease Solutions</w:t>
      </w:r>
      <w:r w:rsidR="0029381A">
        <w:rPr>
          <w:b w:val="0"/>
        </w:rPr>
        <w:t xml:space="preserve"> </w:t>
      </w:r>
      <w:r w:rsidR="00AC41D3">
        <w:rPr>
          <w:b w:val="0"/>
        </w:rPr>
        <w:t xml:space="preserve">may </w:t>
      </w:r>
      <w:r w:rsidR="0021212F">
        <w:rPr>
          <w:b w:val="0"/>
        </w:rPr>
        <w:t>encourage</w:t>
      </w:r>
      <w:r w:rsidR="00AC41D3">
        <w:rPr>
          <w:b w:val="0"/>
        </w:rPr>
        <w:t xml:space="preserve"> customers that would have otherwise delayed replacement to replace earlier. </w:t>
      </w:r>
      <w:r w:rsidR="00A86A9D">
        <w:rPr>
          <w:b w:val="0"/>
        </w:rPr>
        <w:t>I</w:t>
      </w:r>
      <w:r w:rsidR="00AC41D3">
        <w:rPr>
          <w:b w:val="0"/>
        </w:rPr>
        <w:t xml:space="preserve"> refer to this effect as accelerat</w:t>
      </w:r>
      <w:r w:rsidR="00AD6170">
        <w:rPr>
          <w:b w:val="0"/>
        </w:rPr>
        <w:t>ed replacement, since customers are replacing old, less efficient equipment with new</w:t>
      </w:r>
      <w:r w:rsidR="00B54716">
        <w:rPr>
          <w:b w:val="0"/>
        </w:rPr>
        <w:t>,</w:t>
      </w:r>
      <w:r w:rsidR="00AD6170">
        <w:rPr>
          <w:b w:val="0"/>
        </w:rPr>
        <w:t xml:space="preserve"> more efficient models, earlier than they would otherwise have done in a world without </w:t>
      </w:r>
      <w:r w:rsidR="00ED23DD">
        <w:rPr>
          <w:b w:val="0"/>
        </w:rPr>
        <w:t>Lease Solutions</w:t>
      </w:r>
      <w:r w:rsidR="00AD6170">
        <w:rPr>
          <w:b w:val="0"/>
        </w:rPr>
        <w:t>.</w:t>
      </w:r>
      <w:r w:rsidR="00AD6170">
        <w:rPr>
          <w:rStyle w:val="FootnoteReference"/>
          <w:b w:val="0"/>
        </w:rPr>
        <w:footnoteReference w:id="44"/>
      </w:r>
      <w:r w:rsidR="00AC41D3">
        <w:rPr>
          <w:b w:val="0"/>
        </w:rPr>
        <w:t xml:space="preserve"> </w:t>
      </w:r>
    </w:p>
    <w:p w:rsidR="00AA34A8" w:rsidRDefault="00AA34A8" w:rsidP="00CE536E">
      <w:pPr>
        <w:pStyle w:val="Heading1"/>
        <w:spacing w:line="240" w:lineRule="auto"/>
      </w:pPr>
      <w:bookmarkStart w:id="14" w:name="_Toc444180132"/>
      <w:r>
        <w:t>V.</w:t>
      </w:r>
      <w:r>
        <w:tab/>
        <w:t>QUANTIFIABLE PROGRAM BENEFITS</w:t>
      </w:r>
      <w:bookmarkEnd w:id="14"/>
    </w:p>
    <w:p w:rsidR="0018043F" w:rsidRDefault="0018043F" w:rsidP="0018043F">
      <w:pPr>
        <w:pStyle w:val="question"/>
        <w:keepNext/>
        <w:keepLines/>
        <w:spacing w:before="120"/>
        <w:rPr>
          <w:rFonts w:ascii="CG Times" w:hAnsi="CG Times"/>
          <w:bCs/>
        </w:rPr>
      </w:pPr>
      <w:r>
        <w:t>Q.</w:t>
      </w:r>
      <w:r>
        <w:tab/>
      </w:r>
      <w:r w:rsidRPr="0018043F">
        <w:rPr>
          <w:rFonts w:ascii="CG Times" w:hAnsi="CG Times"/>
          <w:bCs/>
        </w:rPr>
        <w:t xml:space="preserve">What are the public benefits of </w:t>
      </w:r>
      <w:r w:rsidR="002974C6">
        <w:rPr>
          <w:rFonts w:ascii="CG Times" w:hAnsi="CG Times"/>
          <w:bCs/>
        </w:rPr>
        <w:t xml:space="preserve">the </w:t>
      </w:r>
      <w:r w:rsidRPr="0018043F">
        <w:rPr>
          <w:rFonts w:ascii="CG Times" w:hAnsi="CG Times"/>
          <w:bCs/>
        </w:rPr>
        <w:t xml:space="preserve">new </w:t>
      </w:r>
      <w:r w:rsidR="002974C6">
        <w:rPr>
          <w:rFonts w:ascii="CG Times" w:hAnsi="CG Times"/>
          <w:bCs/>
        </w:rPr>
        <w:t xml:space="preserve">products that would be </w:t>
      </w:r>
      <w:r w:rsidRPr="0018043F">
        <w:rPr>
          <w:rFonts w:ascii="CG Times" w:hAnsi="CG Times"/>
          <w:bCs/>
        </w:rPr>
        <w:t xml:space="preserve">adopted </w:t>
      </w:r>
      <w:r w:rsidR="002974C6">
        <w:rPr>
          <w:rFonts w:ascii="CG Times" w:hAnsi="CG Times"/>
          <w:bCs/>
        </w:rPr>
        <w:t xml:space="preserve">in response to </w:t>
      </w:r>
      <w:r w:rsidRPr="0018043F">
        <w:rPr>
          <w:rFonts w:ascii="CG Times" w:hAnsi="CG Times"/>
          <w:bCs/>
        </w:rPr>
        <w:t xml:space="preserve">the </w:t>
      </w:r>
      <w:r>
        <w:rPr>
          <w:rFonts w:ascii="CG Times" w:hAnsi="CG Times"/>
          <w:bCs/>
        </w:rPr>
        <w:t xml:space="preserve">proposed </w:t>
      </w:r>
      <w:r w:rsidR="00ED23DD">
        <w:rPr>
          <w:rFonts w:ascii="CG Times" w:hAnsi="CG Times"/>
          <w:bCs/>
        </w:rPr>
        <w:t>Lease Solutions</w:t>
      </w:r>
      <w:r w:rsidRPr="0018043F">
        <w:rPr>
          <w:rFonts w:ascii="CG Times" w:hAnsi="CG Times"/>
          <w:bCs/>
        </w:rPr>
        <w:t>?</w:t>
      </w:r>
    </w:p>
    <w:p w:rsidR="000033FB" w:rsidRDefault="0018043F" w:rsidP="001F5DA8">
      <w:pPr>
        <w:pStyle w:val="answer"/>
      </w:pPr>
      <w:r>
        <w:t>A.</w:t>
      </w:r>
      <w:r>
        <w:tab/>
      </w:r>
      <w:r w:rsidR="001F5DA8">
        <w:t xml:space="preserve">There are various benefits associated with customer </w:t>
      </w:r>
      <w:r w:rsidR="002974C6">
        <w:t xml:space="preserve">adoption of the products that would be </w:t>
      </w:r>
      <w:r w:rsidR="001F5DA8">
        <w:t xml:space="preserve">leased by PSE. </w:t>
      </w:r>
      <w:r w:rsidR="001F5DA8" w:rsidRPr="001F5DA8">
        <w:t xml:space="preserve">Benefits stem from both newer and more efficient units being offered </w:t>
      </w:r>
      <w:r w:rsidR="00C06C6C">
        <w:t xml:space="preserve">than those that would otherwise be purchased in the market in addition to </w:t>
      </w:r>
      <w:r w:rsidR="001F5DA8" w:rsidRPr="001F5DA8">
        <w:t>the accelerated replacement of older</w:t>
      </w:r>
      <w:r w:rsidR="00C06C6C">
        <w:t>, less</w:t>
      </w:r>
      <w:r w:rsidR="005C48B3">
        <w:t>-</w:t>
      </w:r>
      <w:r w:rsidR="00C06C6C">
        <w:t>efficient</w:t>
      </w:r>
      <w:r w:rsidR="001F5DA8" w:rsidRPr="001F5DA8">
        <w:t xml:space="preserve"> </w:t>
      </w:r>
      <w:r w:rsidR="00C06C6C">
        <w:t xml:space="preserve">equipment that would continue to be operated in a world without </w:t>
      </w:r>
      <w:r w:rsidR="00ED23DD">
        <w:t>Lease Solutions</w:t>
      </w:r>
      <w:r w:rsidR="001F5DA8">
        <w:t>.</w:t>
      </w:r>
    </w:p>
    <w:p w:rsidR="00394529" w:rsidRDefault="000033FB" w:rsidP="001F5DA8">
      <w:pPr>
        <w:pStyle w:val="answer"/>
      </w:pPr>
      <w:r>
        <w:tab/>
        <w:t xml:space="preserve">Utilizing more efficient equipment leads directly to conservation benefits with less gas and electricity being utilized to achieve the same levels of customer-comfort. Reducing energy consumption consequently reduces </w:t>
      </w:r>
      <w:r w:rsidR="00305C1C">
        <w:t xml:space="preserve">participating </w:t>
      </w:r>
      <w:r>
        <w:t>customer</w:t>
      </w:r>
      <w:r w:rsidR="00337741">
        <w:t>s’</w:t>
      </w:r>
      <w:r>
        <w:t xml:space="preserve"> utility bills</w:t>
      </w:r>
      <w:r w:rsidR="00124B4A">
        <w:t xml:space="preserve"> and improves environmental quality for all customers by reducing </w:t>
      </w:r>
      <w:r>
        <w:t xml:space="preserve">greenhouse gas </w:t>
      </w:r>
      <w:r w:rsidR="00124B4A">
        <w:t xml:space="preserve">emissions </w:t>
      </w:r>
      <w:r>
        <w:t xml:space="preserve">and harmful </w:t>
      </w:r>
      <w:r w:rsidR="00124B4A">
        <w:t xml:space="preserve">air pollutants. </w:t>
      </w:r>
      <w:r>
        <w:t xml:space="preserve">  </w:t>
      </w:r>
      <w:r w:rsidR="001F5DA8">
        <w:t xml:space="preserve"> </w:t>
      </w:r>
    </w:p>
    <w:p w:rsidR="00394529" w:rsidRDefault="00394529" w:rsidP="00394529">
      <w:pPr>
        <w:pStyle w:val="answer"/>
      </w:pPr>
      <w:r>
        <w:tab/>
        <w:t>T</w:t>
      </w:r>
      <w:r w:rsidR="001F5DA8">
        <w:t xml:space="preserve">here are </w:t>
      </w:r>
      <w:r>
        <w:t xml:space="preserve">also </w:t>
      </w:r>
      <w:r w:rsidR="001F5DA8">
        <w:t>savings associated with reducing</w:t>
      </w:r>
      <w:r w:rsidR="00305C1C">
        <w:t xml:space="preserve"> </w:t>
      </w:r>
      <w:r w:rsidR="001F5DA8">
        <w:t xml:space="preserve">the load on electric generation and distribution systems during peak demand hours. </w:t>
      </w:r>
      <w:r>
        <w:t>This allows for capacity investments</w:t>
      </w:r>
      <w:r w:rsidR="00305C1C">
        <w:t xml:space="preserve"> to be deferred, benefitting all customers.</w:t>
      </w:r>
    </w:p>
    <w:p w:rsidR="00394529" w:rsidRDefault="00394529" w:rsidP="00394529">
      <w:pPr>
        <w:pStyle w:val="answer"/>
      </w:pPr>
      <w:r>
        <w:tab/>
      </w:r>
      <w:r w:rsidR="00BC4728">
        <w:t>Participating c</w:t>
      </w:r>
      <w:r>
        <w:t xml:space="preserve">ustomers also </w:t>
      </w:r>
      <w:r w:rsidR="00BC4728">
        <w:t xml:space="preserve">receive </w:t>
      </w:r>
      <w:r>
        <w:t>the benefits of increased comfort and quality of life</w:t>
      </w:r>
      <w:r w:rsidR="00BC4728">
        <w:t xml:space="preserve"> due to better home temperature control</w:t>
      </w:r>
      <w:r>
        <w:t xml:space="preserve">, peace of mind due to the reduction in uncertainty over future expenses, and greater control over </w:t>
      </w:r>
      <w:r w:rsidR="00BC4728">
        <w:t xml:space="preserve">their </w:t>
      </w:r>
      <w:r>
        <w:t xml:space="preserve">energy usage with the proposed </w:t>
      </w:r>
      <w:r w:rsidR="00ED23DD">
        <w:t>Lease Solutions</w:t>
      </w:r>
      <w:r>
        <w:t>.</w:t>
      </w:r>
    </w:p>
    <w:p w:rsidR="0018043F" w:rsidRDefault="002029AC" w:rsidP="0018043F">
      <w:pPr>
        <w:pStyle w:val="question"/>
        <w:keepNext/>
        <w:keepLines/>
        <w:spacing w:before="120"/>
      </w:pPr>
      <w:r w:rsidRPr="00817D76">
        <w:t>Q.</w:t>
      </w:r>
      <w:r>
        <w:tab/>
      </w:r>
      <w:r w:rsidRPr="002029AC">
        <w:t>Can these public benefits be quantified?</w:t>
      </w:r>
      <w:r w:rsidRPr="00817D76">
        <w:t xml:space="preserve"> </w:t>
      </w:r>
    </w:p>
    <w:p w:rsidR="00394529" w:rsidRDefault="00394529" w:rsidP="00394529">
      <w:pPr>
        <w:pStyle w:val="answer"/>
        <w:rPr>
          <w:bCs/>
        </w:rPr>
      </w:pPr>
      <w:r>
        <w:t>A.</w:t>
      </w:r>
      <w:r>
        <w:tab/>
        <w:t xml:space="preserve">Yes. </w:t>
      </w:r>
      <w:r w:rsidR="002029AC">
        <w:rPr>
          <w:bCs/>
        </w:rPr>
        <w:t xml:space="preserve">Several of </w:t>
      </w:r>
      <w:r w:rsidR="00ED23DD">
        <w:rPr>
          <w:bCs/>
        </w:rPr>
        <w:t>Lease Solutions</w:t>
      </w:r>
      <w:r w:rsidR="002029AC">
        <w:rPr>
          <w:bCs/>
        </w:rPr>
        <w:t>’ public benefits are q</w:t>
      </w:r>
      <w:r w:rsidR="002029AC" w:rsidRPr="002029AC">
        <w:rPr>
          <w:bCs/>
        </w:rPr>
        <w:t>uantifiable</w:t>
      </w:r>
      <w:r>
        <w:rPr>
          <w:bCs/>
        </w:rPr>
        <w:t xml:space="preserve">, including conservation of electricity and natural gas, pollution and greenhouse gas emissions reductions, deferred </w:t>
      </w:r>
      <w:r w:rsidR="00677B07">
        <w:rPr>
          <w:bCs/>
        </w:rPr>
        <w:t xml:space="preserve">electric </w:t>
      </w:r>
      <w:r>
        <w:rPr>
          <w:bCs/>
        </w:rPr>
        <w:t>capacity investments</w:t>
      </w:r>
      <w:r w:rsidR="00CF2154">
        <w:rPr>
          <w:bCs/>
        </w:rPr>
        <w:t>, and utility bill reductions for customers.</w:t>
      </w:r>
    </w:p>
    <w:p w:rsidR="00AA34A8" w:rsidRDefault="00AA34A8" w:rsidP="00AA34A8">
      <w:pPr>
        <w:pStyle w:val="question"/>
        <w:keepNext/>
        <w:keepLines/>
        <w:spacing w:before="120"/>
      </w:pPr>
      <w:r>
        <w:t>Q.</w:t>
      </w:r>
      <w:r>
        <w:tab/>
      </w:r>
      <w:r w:rsidR="00AB0449" w:rsidRPr="00AB0449">
        <w:rPr>
          <w:rFonts w:ascii="CG Times" w:hAnsi="CG Times"/>
        </w:rPr>
        <w:t xml:space="preserve">How did you estimate the benefits of the proposed </w:t>
      </w:r>
      <w:r w:rsidR="00ED23DD">
        <w:rPr>
          <w:rFonts w:ascii="CG Times" w:hAnsi="CG Times"/>
        </w:rPr>
        <w:t>Lease Solutions</w:t>
      </w:r>
      <w:r w:rsidR="00AB0449" w:rsidRPr="00AB0449">
        <w:rPr>
          <w:rFonts w:ascii="CG Times" w:hAnsi="CG Times"/>
        </w:rPr>
        <w:t>?</w:t>
      </w:r>
    </w:p>
    <w:p w:rsidR="00E10130" w:rsidRDefault="00AA34A8" w:rsidP="00E10130">
      <w:pPr>
        <w:pStyle w:val="answer"/>
      </w:pPr>
      <w:r>
        <w:t>A.</w:t>
      </w:r>
      <w:r>
        <w:tab/>
      </w:r>
      <w:r w:rsidR="00AB0449">
        <w:t xml:space="preserve">In order to quantify the potential benefits of </w:t>
      </w:r>
      <w:r w:rsidR="00ED23DD">
        <w:t>Lease Solutions</w:t>
      </w:r>
      <w:r w:rsidR="00AB0449">
        <w:t xml:space="preserve">, I </w:t>
      </w:r>
      <w:r w:rsidR="00A73B59">
        <w:t xml:space="preserve">developed a </w:t>
      </w:r>
      <w:r w:rsidR="00F0219F">
        <w:t>simulation model</w:t>
      </w:r>
      <w:r w:rsidR="00AB0449">
        <w:t xml:space="preserve"> that </w:t>
      </w:r>
      <w:r w:rsidR="00CC6BF2">
        <w:t xml:space="preserve">uses the realizable annual market size to </w:t>
      </w:r>
      <w:r w:rsidR="00DE2AE3">
        <w:t>f</w:t>
      </w:r>
      <w:r w:rsidR="00AB0449">
        <w:t>orecast</w:t>
      </w:r>
      <w:r w:rsidR="00DE2AE3">
        <w:t xml:space="preserve"> </w:t>
      </w:r>
      <w:r w:rsidR="00E66846">
        <w:t xml:space="preserve">a full </w:t>
      </w:r>
      <w:r w:rsidR="00AB0449">
        <w:t>deployment of leased units</w:t>
      </w:r>
      <w:r w:rsidR="00CC6BF2">
        <w:t xml:space="preserve">. </w:t>
      </w:r>
      <w:r w:rsidR="00E10130">
        <w:t xml:space="preserve">The model </w:t>
      </w:r>
      <w:r w:rsidR="00C50C95">
        <w:t xml:space="preserve">replicates PSE’s market sizing analysis by </w:t>
      </w:r>
      <w:r w:rsidR="00E10130">
        <w:t>collect</w:t>
      </w:r>
      <w:r w:rsidR="00C50C95">
        <w:t>ing</w:t>
      </w:r>
      <w:r w:rsidR="00E10130">
        <w:t xml:space="preserve"> data from surveys of PSE customers, vendor feedback, and other sources </w:t>
      </w:r>
      <w:r w:rsidR="00F0219F">
        <w:t>on ownership</w:t>
      </w:r>
      <w:r w:rsidR="00E10130">
        <w:t xml:space="preserve"> of </w:t>
      </w:r>
      <w:r w:rsidR="00DE7FC6">
        <w:t xml:space="preserve">space and water </w:t>
      </w:r>
      <w:r w:rsidR="00E10130">
        <w:t xml:space="preserve">heating </w:t>
      </w:r>
      <w:r w:rsidR="00DE7FC6">
        <w:t>equipment</w:t>
      </w:r>
      <w:r w:rsidR="00E10130">
        <w:t xml:space="preserve">, the likelihood that </w:t>
      </w:r>
      <w:r w:rsidR="000D769A">
        <w:t xml:space="preserve">these equipment owners </w:t>
      </w:r>
      <w:r w:rsidR="00E10130">
        <w:t xml:space="preserve">will lease </w:t>
      </w:r>
      <w:r w:rsidR="000D769A">
        <w:t>more efficient</w:t>
      </w:r>
      <w:r w:rsidR="00E10130">
        <w:t xml:space="preserve"> products, </w:t>
      </w:r>
      <w:r w:rsidR="00A616F7">
        <w:t>customer</w:t>
      </w:r>
      <w:r w:rsidR="00E10130">
        <w:t xml:space="preserve"> debt eligibility, product useful lifetimes</w:t>
      </w:r>
      <w:r w:rsidR="000D769A">
        <w:t xml:space="preserve"> and efficiency</w:t>
      </w:r>
      <w:r w:rsidR="00E10130">
        <w:t xml:space="preserve">, </w:t>
      </w:r>
      <w:r w:rsidR="000D769A">
        <w:t xml:space="preserve">and </w:t>
      </w:r>
      <w:r w:rsidR="00E10130" w:rsidRPr="003F07DB">
        <w:t xml:space="preserve">the share of </w:t>
      </w:r>
      <w:r w:rsidR="000D769A">
        <w:t xml:space="preserve">particular </w:t>
      </w:r>
      <w:r w:rsidR="00E10130" w:rsidRPr="003F07DB">
        <w:t xml:space="preserve">leased </w:t>
      </w:r>
      <w:r w:rsidR="000D769A">
        <w:t>equipment</w:t>
      </w:r>
      <w:r w:rsidR="00E10130" w:rsidRPr="003F07DB">
        <w:t xml:space="preserve"> that </w:t>
      </w:r>
      <w:r w:rsidR="000D769A">
        <w:t>c</w:t>
      </w:r>
      <w:r w:rsidR="00E10130" w:rsidRPr="003F07DB">
        <w:t>ould</w:t>
      </w:r>
      <w:r w:rsidR="00E10130">
        <w:t xml:space="preserve"> </w:t>
      </w:r>
      <w:r w:rsidR="000D769A">
        <w:t>viably</w:t>
      </w:r>
      <w:r w:rsidR="00E10130">
        <w:t xml:space="preserve"> </w:t>
      </w:r>
      <w:r w:rsidR="00E10130" w:rsidRPr="003F07DB">
        <w:t>be installed</w:t>
      </w:r>
      <w:r w:rsidR="000D769A">
        <w:t xml:space="preserve"> where several models exist.</w:t>
      </w:r>
      <w:r w:rsidR="00E10130">
        <w:t xml:space="preserve"> Using this data, the model calculates the annual </w:t>
      </w:r>
      <w:r w:rsidR="00E10130" w:rsidRPr="00271710">
        <w:t xml:space="preserve">realizable market size for each product by applying the aforementioned shares, probabilities, and </w:t>
      </w:r>
      <w:r w:rsidR="00BC52F1">
        <w:t>product</w:t>
      </w:r>
      <w:r w:rsidR="00E10130" w:rsidRPr="00271710">
        <w:t xml:space="preserve"> replacement rates (calculated using product lifetimes) to the total number of </w:t>
      </w:r>
      <w:r w:rsidR="000D769A">
        <w:t xml:space="preserve">customer </w:t>
      </w:r>
      <w:r w:rsidR="00E10130" w:rsidRPr="00271710">
        <w:t xml:space="preserve">premises </w:t>
      </w:r>
      <w:r w:rsidR="000D769A">
        <w:t>in</w:t>
      </w:r>
      <w:r w:rsidR="00E10130" w:rsidRPr="00271710">
        <w:t xml:space="preserve"> PSE</w:t>
      </w:r>
      <w:r w:rsidR="000D769A">
        <w:t>’s service territory.</w:t>
      </w:r>
      <w:r w:rsidR="00E10130">
        <w:t xml:space="preserve"> </w:t>
      </w:r>
    </w:p>
    <w:p w:rsidR="00917D5E" w:rsidRDefault="00F17818" w:rsidP="00817D76">
      <w:pPr>
        <w:pStyle w:val="answer"/>
        <w:ind w:firstLine="0"/>
      </w:pPr>
      <w:r>
        <w:t>Summing and tracking annual installations</w:t>
      </w:r>
      <w:r w:rsidR="00965B1A">
        <w:t>,</w:t>
      </w:r>
      <w:r>
        <w:t xml:space="preserve"> I </w:t>
      </w:r>
      <w:r w:rsidR="00CC6BF2">
        <w:t>create</w:t>
      </w:r>
      <w:r w:rsidR="00CC6BF2" w:rsidRPr="00CC6BF2">
        <w:t xml:space="preserve"> </w:t>
      </w:r>
      <w:r w:rsidR="00CC6BF2">
        <w:t>a cumulative measure of installed units</w:t>
      </w:r>
      <w:r w:rsidR="00CC6BF2" w:rsidRPr="00CC6BF2">
        <w:t xml:space="preserve"> </w:t>
      </w:r>
      <w:r w:rsidR="00E10130">
        <w:t xml:space="preserve">in service </w:t>
      </w:r>
      <w:r w:rsidR="00CC6BF2" w:rsidRPr="00CC6BF2">
        <w:t>over time</w:t>
      </w:r>
      <w:r w:rsidR="00E66846">
        <w:t xml:space="preserve"> predicated on full deployment</w:t>
      </w:r>
      <w:r w:rsidR="00CC6BF2">
        <w:t xml:space="preserve">. </w:t>
      </w:r>
      <w:r w:rsidR="008B6C80">
        <w:t xml:space="preserve">Each installed unit saves energy because it is more efficient than </w:t>
      </w:r>
      <w:r w:rsidR="002974C6">
        <w:t xml:space="preserve">the unit that would have been purchased </w:t>
      </w:r>
      <w:r w:rsidR="008B6C80">
        <w:t xml:space="preserve">in the marketplace in the absence of </w:t>
      </w:r>
      <w:r w:rsidR="00ED23DD">
        <w:t>Lease Solutions</w:t>
      </w:r>
      <w:r w:rsidR="008B6C80">
        <w:t>. Additional conservation benefits are obtained by units that are replaced earl</w:t>
      </w:r>
      <w:r>
        <w:t xml:space="preserve">ier than they would otherwise have been in the absence </w:t>
      </w:r>
      <w:r w:rsidR="008B6C80">
        <w:t xml:space="preserve">of </w:t>
      </w:r>
      <w:r w:rsidR="00ED23DD">
        <w:t>Lease Solutions</w:t>
      </w:r>
      <w:r w:rsidR="008B6C80">
        <w:t>. These units replace aged equipment that is still in operation despite having exceeded it</w:t>
      </w:r>
      <w:r w:rsidR="00E10130">
        <w:t>s</w:t>
      </w:r>
      <w:r w:rsidR="008B6C80">
        <w:t xml:space="preserve"> useful life. </w:t>
      </w:r>
      <w:r w:rsidR="008A19E4">
        <w:t xml:space="preserve">In some instances equipment </w:t>
      </w:r>
      <w:r w:rsidR="0044612F">
        <w:t xml:space="preserve">is still in operation despite having </w:t>
      </w:r>
      <w:r w:rsidR="006A0FD9">
        <w:t>served</w:t>
      </w:r>
      <w:r w:rsidR="008A19E4">
        <w:t xml:space="preserve"> almost double its useful life. </w:t>
      </w:r>
      <w:r w:rsidR="006A0FD9">
        <w:t xml:space="preserve">This equipment was most likely </w:t>
      </w:r>
      <w:r w:rsidR="008A19E4">
        <w:t>built using older</w:t>
      </w:r>
      <w:r w:rsidR="00D10528">
        <w:t>,</w:t>
      </w:r>
      <w:r w:rsidR="008A19E4">
        <w:t xml:space="preserve"> less efficient </w:t>
      </w:r>
      <w:r w:rsidR="00D10528">
        <w:t xml:space="preserve">technologies and </w:t>
      </w:r>
      <w:r w:rsidR="008650B5">
        <w:t xml:space="preserve">has </w:t>
      </w:r>
      <w:r w:rsidR="00D10528">
        <w:t>undergone decades of performance degradation</w:t>
      </w:r>
      <w:r w:rsidR="00F61436">
        <w:t xml:space="preserve">, rendering it relatively inefficient compared to contemporary units in line with modern efficiency standards (even though such units may be less efficient still than those units being offered by PSE’s </w:t>
      </w:r>
      <w:r w:rsidR="00ED23DD">
        <w:t>Lease Solutions</w:t>
      </w:r>
      <w:r w:rsidR="00F61436">
        <w:t>)</w:t>
      </w:r>
      <w:r w:rsidR="00D10528">
        <w:t xml:space="preserve">. </w:t>
      </w:r>
      <w:r w:rsidR="003A0A9A">
        <w:t>Th</w:t>
      </w:r>
      <w:r w:rsidR="00917D5E">
        <w:t>is</w:t>
      </w:r>
      <w:r w:rsidR="003A0A9A">
        <w:t xml:space="preserve"> additional conservation benefit </w:t>
      </w:r>
      <w:r w:rsidR="00917D5E">
        <w:t>from</w:t>
      </w:r>
      <w:r w:rsidR="003A0A9A">
        <w:t xml:space="preserve"> accelerated replacement is obtained</w:t>
      </w:r>
      <w:r w:rsidR="00917D5E">
        <w:t xml:space="preserve"> only for those years during which the customer would have </w:t>
      </w:r>
      <w:r w:rsidR="00E10130">
        <w:t>otherwise</w:t>
      </w:r>
      <w:r w:rsidR="00917D5E">
        <w:t xml:space="preserve"> kept the original equipment. At the stage at which the equipment’s life would have ended (due to failure), the equipment would have been replaced even without </w:t>
      </w:r>
      <w:r w:rsidR="00ED23DD">
        <w:t>Lease Solutions</w:t>
      </w:r>
      <w:r w:rsidR="00917D5E">
        <w:t xml:space="preserve"> </w:t>
      </w:r>
      <w:r w:rsidR="00E10130">
        <w:t xml:space="preserve">and </w:t>
      </w:r>
      <w:r w:rsidR="00917D5E">
        <w:t xml:space="preserve">thus the benefit of acceleration ends. </w:t>
      </w:r>
    </w:p>
    <w:p w:rsidR="00060F6E" w:rsidRDefault="00917D5E" w:rsidP="00E10130">
      <w:pPr>
        <w:pStyle w:val="answer"/>
      </w:pPr>
      <w:r>
        <w:t xml:space="preserve"> </w:t>
      </w:r>
      <w:r w:rsidR="00E10130">
        <w:tab/>
      </w:r>
      <w:r w:rsidR="003A0A9A">
        <w:t xml:space="preserve">Annual conservation savings </w:t>
      </w:r>
      <w:r w:rsidR="003923BE">
        <w:t>(in kWh</w:t>
      </w:r>
      <w:r w:rsidR="002974C6">
        <w:t>s</w:t>
      </w:r>
      <w:r w:rsidR="003923BE">
        <w:t xml:space="preserve"> and therms) </w:t>
      </w:r>
      <w:r w:rsidR="003A0A9A">
        <w:t>are obtained by m</w:t>
      </w:r>
      <w:r w:rsidR="003A0A9A" w:rsidRPr="00CC6BF2">
        <w:t xml:space="preserve">ultiplying energy savings </w:t>
      </w:r>
      <w:r w:rsidR="00E10130">
        <w:t xml:space="preserve">per product </w:t>
      </w:r>
      <w:r w:rsidR="003A0A9A" w:rsidRPr="00CC6BF2">
        <w:t>by the number of cumulative installs</w:t>
      </w:r>
      <w:r>
        <w:t xml:space="preserve"> in a given year. Avoided greenhouse </w:t>
      </w:r>
      <w:r w:rsidR="00E6661E">
        <w:t xml:space="preserve">gas </w:t>
      </w:r>
      <w:r>
        <w:t>emissions</w:t>
      </w:r>
      <w:r w:rsidR="003923BE">
        <w:t xml:space="preserve"> (</w:t>
      </w:r>
      <w:r w:rsidR="00060F6E">
        <w:t xml:space="preserve">in </w:t>
      </w:r>
      <w:r w:rsidR="003923BE">
        <w:t>tons of C</w:t>
      </w:r>
      <w:r w:rsidR="00E10130">
        <w:t>O</w:t>
      </w:r>
      <w:r w:rsidR="003923BE">
        <w:rPr>
          <w:vertAlign w:val="subscript"/>
        </w:rPr>
        <w:t>2</w:t>
      </w:r>
      <w:r w:rsidR="00060F6E">
        <w:t>-equivalents)</w:t>
      </w:r>
      <w:r>
        <w:t xml:space="preserve"> and customer bill savings </w:t>
      </w:r>
      <w:r w:rsidR="003923BE">
        <w:t>(</w:t>
      </w:r>
      <w:r w:rsidR="00E10130">
        <w:t>in real dollars</w:t>
      </w:r>
      <w:r w:rsidR="003923BE">
        <w:t xml:space="preserve">) </w:t>
      </w:r>
      <w:r>
        <w:t xml:space="preserve">flow directly from this conserved energy. </w:t>
      </w:r>
    </w:p>
    <w:p w:rsidR="00FA4C35" w:rsidRDefault="00E6661E" w:rsidP="00B25672">
      <w:pPr>
        <w:pStyle w:val="answer"/>
        <w:ind w:firstLine="0"/>
      </w:pPr>
      <w:r>
        <w:t xml:space="preserve">Equipment is not run 24 hours a day and </w:t>
      </w:r>
      <w:r w:rsidR="00B10668">
        <w:t xml:space="preserve">a </w:t>
      </w:r>
      <w:r>
        <w:t>disproportionate amount of the proposed lease equipment</w:t>
      </w:r>
      <w:r w:rsidR="00905CCF">
        <w:t>’</w:t>
      </w:r>
      <w:r w:rsidR="00B10668">
        <w:t>s</w:t>
      </w:r>
      <w:r>
        <w:t xml:space="preserve"> usage falls during the peak system hours. </w:t>
      </w:r>
      <w:r w:rsidR="003923BE">
        <w:t>Usage during t</w:t>
      </w:r>
      <w:r>
        <w:t>hese hours drive</w:t>
      </w:r>
      <w:r w:rsidR="003923BE">
        <w:t>s</w:t>
      </w:r>
      <w:r>
        <w:t xml:space="preserve"> capacity investment. By reducing capacity requirements </w:t>
      </w:r>
      <w:r w:rsidR="00E10130">
        <w:t>(</w:t>
      </w:r>
      <w:r w:rsidR="00060F6E">
        <w:t xml:space="preserve">measured in </w:t>
      </w:r>
      <w:r w:rsidR="00E10130">
        <w:t>kW</w:t>
      </w:r>
      <w:r w:rsidR="00060F6E">
        <w:t xml:space="preserve"> and therms/hour</w:t>
      </w:r>
      <w:r w:rsidR="00E10130">
        <w:t xml:space="preserve">) </w:t>
      </w:r>
      <w:r>
        <w:t xml:space="preserve">during peak hours, the utility can defer future capacity investments. </w:t>
      </w:r>
    </w:p>
    <w:p w:rsidR="00E10130" w:rsidRPr="00CC6BF2" w:rsidRDefault="003923BE" w:rsidP="00B25672">
      <w:pPr>
        <w:pStyle w:val="answer"/>
        <w:ind w:firstLine="0"/>
      </w:pPr>
      <w:r>
        <w:t>Finally, using the dollar values of wholesale energy, avoided capacity and avoided greenhouse gas</w:t>
      </w:r>
      <w:r w:rsidR="00E10130">
        <w:t xml:space="preserve"> emissions</w:t>
      </w:r>
      <w:r>
        <w:t xml:space="preserve">, we can obtain the pecuniary benefits to society stemming from PSE’s </w:t>
      </w:r>
      <w:r w:rsidR="00ED23DD">
        <w:t>Lease Solutions</w:t>
      </w:r>
      <w:r>
        <w:t xml:space="preserve">. </w:t>
      </w:r>
    </w:p>
    <w:p w:rsidR="003923BE" w:rsidRDefault="003923BE" w:rsidP="00CC6BF2">
      <w:pPr>
        <w:pStyle w:val="answer"/>
        <w:rPr>
          <w:b/>
        </w:rPr>
      </w:pPr>
      <w:r>
        <w:rPr>
          <w:b/>
        </w:rPr>
        <w:t>Q.</w:t>
      </w:r>
      <w:r>
        <w:rPr>
          <w:b/>
        </w:rPr>
        <w:tab/>
        <w:t xml:space="preserve">Can you provide an illustrative example of how the model works? </w:t>
      </w:r>
    </w:p>
    <w:p w:rsidR="008D4FD5" w:rsidRDefault="00EB2729" w:rsidP="00EA4E29">
      <w:pPr>
        <w:pStyle w:val="answer"/>
      </w:pPr>
      <w:r>
        <w:t>A.</w:t>
      </w:r>
      <w:r>
        <w:tab/>
        <w:t xml:space="preserve">Yes. </w:t>
      </w:r>
      <w:r w:rsidR="00EA4E29">
        <w:t xml:space="preserve">Take </w:t>
      </w:r>
      <w:r w:rsidR="00F23EE1">
        <w:t>for example the</w:t>
      </w:r>
      <w:r w:rsidR="00EA4E29">
        <w:t xml:space="preserve"> residential gas furnace </w:t>
      </w:r>
      <w:r w:rsidR="00F23EE1">
        <w:t>product</w:t>
      </w:r>
      <w:r w:rsidR="00EA4E29">
        <w:t xml:space="preserve">. </w:t>
      </w:r>
      <w:r w:rsidR="00953A9E">
        <w:t>As described</w:t>
      </w:r>
      <w:r w:rsidR="001965E2">
        <w:t xml:space="preserve"> above</w:t>
      </w:r>
      <w:r w:rsidR="00EA4E29">
        <w:t>,</w:t>
      </w:r>
      <w:r w:rsidR="001965E2">
        <w:t xml:space="preserve"> I calculate</w:t>
      </w:r>
      <w:r w:rsidR="00EA4E29">
        <w:t xml:space="preserve"> the annual realizable market size</w:t>
      </w:r>
      <w:r w:rsidR="001965E2">
        <w:t xml:space="preserve"> for this equipment</w:t>
      </w:r>
      <w:r w:rsidR="00EA4E29">
        <w:t xml:space="preserve"> to</w:t>
      </w:r>
      <w:r w:rsidR="001965E2">
        <w:t xml:space="preserve"> be around 6,000 units. I assume that this value includes people replacing their equipment on time and those who have accelerated their replacement due to </w:t>
      </w:r>
      <w:r w:rsidR="00ED23DD">
        <w:t>Lease Solutions</w:t>
      </w:r>
      <w:r w:rsidR="001965E2">
        <w:t>.</w:t>
      </w:r>
      <w:r w:rsidR="00EA4E29">
        <w:t xml:space="preserve"> </w:t>
      </w:r>
    </w:p>
    <w:p w:rsidR="0075263A" w:rsidRDefault="008D4FD5" w:rsidP="00EA4E29">
      <w:pPr>
        <w:pStyle w:val="answer"/>
      </w:pPr>
      <w:r>
        <w:tab/>
      </w:r>
      <w:r w:rsidR="003923BE" w:rsidRPr="00817D76">
        <w:rPr>
          <w:rFonts w:hint="eastAsia"/>
        </w:rPr>
        <w:t>All customers leasing equipment receive an efficiency benefit from replacement equal to the difference in usage between PSE</w:t>
      </w:r>
      <w:r w:rsidR="00EB2729">
        <w:t>’</w:t>
      </w:r>
      <w:r w:rsidR="003923BE" w:rsidRPr="00817D76">
        <w:rPr>
          <w:rFonts w:hint="eastAsia"/>
        </w:rPr>
        <w:t xml:space="preserve">s efficient equipment and that which they would have purchased in the absence of </w:t>
      </w:r>
      <w:r w:rsidR="00ED23DD">
        <w:t>Lease Solutions</w:t>
      </w:r>
      <w:r w:rsidR="003923BE" w:rsidRPr="00817D76">
        <w:rPr>
          <w:rFonts w:hint="eastAsia"/>
        </w:rPr>
        <w:t>.</w:t>
      </w:r>
      <w:r w:rsidR="00EB2729">
        <w:t xml:space="preserve"> </w:t>
      </w:r>
      <w:r w:rsidR="003923BE" w:rsidRPr="00817D76">
        <w:rPr>
          <w:rFonts w:hint="eastAsia"/>
        </w:rPr>
        <w:t>A leased gas furnace saves 119 therms annually</w:t>
      </w:r>
      <w:r w:rsidR="003D4982">
        <w:rPr>
          <w:rStyle w:val="FootnoteReference"/>
          <w:rFonts w:hint="eastAsia"/>
        </w:rPr>
        <w:footnoteReference w:id="45"/>
      </w:r>
      <w:r w:rsidR="003923BE" w:rsidRPr="00817D76">
        <w:rPr>
          <w:rFonts w:hint="eastAsia"/>
        </w:rPr>
        <w:t xml:space="preserve"> compared to </w:t>
      </w:r>
      <w:r w:rsidR="00EB2729">
        <w:t xml:space="preserve">furnaces that have efficiency levels at </w:t>
      </w:r>
      <w:r w:rsidR="003923BE" w:rsidRPr="00817D76">
        <w:rPr>
          <w:rFonts w:hint="eastAsia"/>
        </w:rPr>
        <w:t>code.</w:t>
      </w:r>
    </w:p>
    <w:p w:rsidR="003923BE" w:rsidRPr="00817D76" w:rsidRDefault="00EB2729" w:rsidP="00817D76">
      <w:pPr>
        <w:pStyle w:val="answer"/>
        <w:ind w:firstLine="0"/>
      </w:pPr>
      <w:r>
        <w:t>Additionally, c</w:t>
      </w:r>
      <w:r w:rsidR="003923BE" w:rsidRPr="00817D76">
        <w:rPr>
          <w:rFonts w:hint="eastAsia"/>
        </w:rPr>
        <w:t>ustomers who accelerate replacement for equipment that is beyond its useful life get an incremental benefit for those years of early replacement.</w:t>
      </w:r>
      <w:r>
        <w:t xml:space="preserve"> </w:t>
      </w:r>
      <w:r w:rsidR="00200716">
        <w:t xml:space="preserve">In the absence of hard data, </w:t>
      </w:r>
      <w:r w:rsidR="0075263A">
        <w:t>I</w:t>
      </w:r>
      <w:r w:rsidR="00200716">
        <w:t xml:space="preserve"> am</w:t>
      </w:r>
      <w:r w:rsidR="0075263A">
        <w:t xml:space="preserve"> assum</w:t>
      </w:r>
      <w:r w:rsidR="00200716">
        <w:t>ing</w:t>
      </w:r>
      <w:r w:rsidR="0075263A">
        <w:t xml:space="preserve"> that an old furnace past its useful life has efficiency savings that are 20 percent greater than </w:t>
      </w:r>
      <w:r w:rsidR="00200716">
        <w:t>the units that would have been replaced a</w:t>
      </w:r>
      <w:r w:rsidR="007605AD">
        <w:t>t</w:t>
      </w:r>
      <w:r w:rsidR="00200716">
        <w:t xml:space="preserve"> the end of their useful life</w:t>
      </w:r>
      <w:r w:rsidR="0075263A">
        <w:t>.</w:t>
      </w:r>
      <w:r w:rsidR="007605AD">
        <w:rPr>
          <w:rStyle w:val="FootnoteReference"/>
        </w:rPr>
        <w:footnoteReference w:id="46"/>
      </w:r>
    </w:p>
    <w:p w:rsidR="00BF3985" w:rsidRDefault="0091080F" w:rsidP="002E3B9B">
      <w:pPr>
        <w:pStyle w:val="answer"/>
      </w:pPr>
      <w:r>
        <w:tab/>
      </w:r>
      <w:r w:rsidR="008D4FD5">
        <w:t>Survey data indicates that 2</w:t>
      </w:r>
      <w:r w:rsidR="003541CF">
        <w:t>2</w:t>
      </w:r>
      <w:r w:rsidR="008D4FD5">
        <w:t xml:space="preserve"> percent of residential customers with a natural gas furnace have kept their furnace past the useful life, and that 15</w:t>
      </w:r>
      <w:r w:rsidR="0075263A">
        <w:t xml:space="preserve"> percent</w:t>
      </w:r>
      <w:r w:rsidR="008D4FD5">
        <w:t xml:space="preserve"> of these customers would be likely to accelerate their replaceme</w:t>
      </w:r>
      <w:r w:rsidR="00817D76">
        <w:t>nt under a leasing option.</w:t>
      </w:r>
      <w:r w:rsidR="004E1F2E">
        <w:rPr>
          <w:rStyle w:val="FootnoteReference"/>
        </w:rPr>
        <w:footnoteReference w:id="47"/>
      </w:r>
      <w:r w:rsidR="00817D76">
        <w:t xml:space="preserve"> This </w:t>
      </w:r>
      <w:r w:rsidR="008D4FD5">
        <w:t xml:space="preserve">results in around </w:t>
      </w:r>
      <w:r w:rsidR="001E1DC2">
        <w:t xml:space="preserve">200 </w:t>
      </w:r>
      <w:r w:rsidR="008D4FD5">
        <w:t>furnaces replaced early each year,</w:t>
      </w:r>
      <w:r w:rsidR="008D4FD5">
        <w:rPr>
          <w:rStyle w:val="FootnoteReference"/>
          <w:rFonts w:hint="eastAsia"/>
        </w:rPr>
        <w:footnoteReference w:id="48"/>
      </w:r>
      <w:r w:rsidR="008D4FD5">
        <w:t xml:space="preserve"> out of the 6,000 units in the realizable market. </w:t>
      </w:r>
      <w:r w:rsidR="0075263A">
        <w:t>Survey data also shows that among the 2</w:t>
      </w:r>
      <w:r w:rsidR="001E1DC2">
        <w:t>2</w:t>
      </w:r>
      <w:r w:rsidR="0075263A">
        <w:t xml:space="preserve"> percent of furnaces older than the 17-year useful life, the median age is 2</w:t>
      </w:r>
      <w:r w:rsidR="001E1DC2">
        <w:t>3</w:t>
      </w:r>
      <w:r w:rsidR="0075263A">
        <w:t xml:space="preserve"> years old.</w:t>
      </w:r>
      <w:r w:rsidR="001E1DC2">
        <w:rPr>
          <w:rStyle w:val="FootnoteReference"/>
          <w:rFonts w:hint="eastAsia"/>
        </w:rPr>
        <w:footnoteReference w:id="49"/>
      </w:r>
      <w:r w:rsidR="0075263A">
        <w:t xml:space="preserve"> Therefore, I assume that these 2</w:t>
      </w:r>
      <w:r w:rsidR="001E1DC2">
        <w:t>0</w:t>
      </w:r>
      <w:r w:rsidR="0075263A">
        <w:t xml:space="preserve">0 customers replace their gas furnaces </w:t>
      </w:r>
      <w:r w:rsidR="001E1DC2">
        <w:t xml:space="preserve">six </w:t>
      </w:r>
      <w:r w:rsidR="0075263A">
        <w:t>years earlier than they would have otherwise, saving an incremental 24 therms</w:t>
      </w:r>
      <w:r w:rsidR="001E1DC2">
        <w:t xml:space="preserve"> per year</w:t>
      </w:r>
      <w:r w:rsidR="0075263A">
        <w:t>.</w:t>
      </w:r>
      <w:r w:rsidR="0075263A">
        <w:rPr>
          <w:rStyle w:val="FootnoteReference"/>
          <w:rFonts w:hint="eastAsia"/>
        </w:rPr>
        <w:footnoteReference w:id="50"/>
      </w:r>
      <w:r w:rsidR="0075263A">
        <w:t xml:space="preserve"> </w:t>
      </w:r>
      <w:r w:rsidR="002E3B9B" w:rsidRPr="00490E1E">
        <w:rPr>
          <w:rFonts w:hint="eastAsia"/>
        </w:rPr>
        <w:t xml:space="preserve">After </w:t>
      </w:r>
      <w:r w:rsidR="001E1DC2">
        <w:t>six</w:t>
      </w:r>
      <w:r w:rsidR="002E3B9B" w:rsidRPr="00490E1E">
        <w:rPr>
          <w:rFonts w:hint="eastAsia"/>
        </w:rPr>
        <w:t xml:space="preserve"> years, the furnace would have been replaced anyway, so there are no more incremental savings to t</w:t>
      </w:r>
      <w:r w:rsidR="00B132A0">
        <w:t>hose</w:t>
      </w:r>
      <w:r w:rsidR="002E3B9B" w:rsidRPr="00490E1E">
        <w:rPr>
          <w:rFonts w:hint="eastAsia"/>
        </w:rPr>
        <w:t xml:space="preserve"> which </w:t>
      </w:r>
      <w:r w:rsidR="00ED23DD">
        <w:t>Lease Solutions</w:t>
      </w:r>
      <w:r w:rsidR="002E3B9B" w:rsidRPr="00490E1E">
        <w:rPr>
          <w:rFonts w:hint="eastAsia"/>
        </w:rPr>
        <w:t xml:space="preserve"> already provides.</w:t>
      </w:r>
      <w:r w:rsidR="00BF3985">
        <w:t xml:space="preserve"> </w:t>
      </w:r>
    </w:p>
    <w:p w:rsidR="0075263A" w:rsidRDefault="00BF3985" w:rsidP="004D4437">
      <w:pPr>
        <w:pStyle w:val="answer"/>
        <w:ind w:firstLine="0"/>
      </w:pPr>
      <w:r>
        <w:t>Therefore, the 6,</w:t>
      </w:r>
      <w:r w:rsidR="005239DE">
        <w:t>0</w:t>
      </w:r>
      <w:r>
        <w:t xml:space="preserve">00 new </w:t>
      </w:r>
      <w:r w:rsidR="002E7656">
        <w:t>units</w:t>
      </w:r>
      <w:r>
        <w:t xml:space="preserve"> each year will save </w:t>
      </w:r>
      <w:r w:rsidR="002E7656">
        <w:t>approximately 7</w:t>
      </w:r>
      <w:r w:rsidR="00CB5A4F">
        <w:t>19</w:t>
      </w:r>
      <w:r w:rsidR="002E7656">
        <w:t>,000 therms</w:t>
      </w:r>
      <w:r w:rsidR="005239DE">
        <w:t xml:space="preserve"> e</w:t>
      </w:r>
      <w:r w:rsidR="002E7656">
        <w:t xml:space="preserve">ach year for the first </w:t>
      </w:r>
      <w:r w:rsidR="001E1DC2">
        <w:t xml:space="preserve">six </w:t>
      </w:r>
      <w:r w:rsidR="002E7656">
        <w:t xml:space="preserve">years and </w:t>
      </w:r>
      <w:r w:rsidR="00081F9A">
        <w:t xml:space="preserve">about </w:t>
      </w:r>
      <w:r w:rsidR="002E7656">
        <w:t>71</w:t>
      </w:r>
      <w:r w:rsidR="00406548">
        <w:t>4</w:t>
      </w:r>
      <w:r w:rsidR="002E7656">
        <w:t xml:space="preserve">,000 therms each year for the last </w:t>
      </w:r>
      <w:r w:rsidR="001E1DC2">
        <w:t xml:space="preserve">11 </w:t>
      </w:r>
      <w:r w:rsidR="002E7656">
        <w:t>years of units’ useful lives.</w:t>
      </w:r>
      <w:r w:rsidR="00BC78F6">
        <w:rPr>
          <w:rStyle w:val="FootnoteReference"/>
          <w:rFonts w:hint="eastAsia"/>
        </w:rPr>
        <w:footnoteReference w:id="51"/>
      </w:r>
      <w:r w:rsidR="002E7656">
        <w:t xml:space="preserve"> </w:t>
      </w:r>
      <w:r>
        <w:t xml:space="preserve">  </w:t>
      </w:r>
    </w:p>
    <w:p w:rsidR="0030382C" w:rsidRDefault="0030382C" w:rsidP="0030382C">
      <w:pPr>
        <w:pStyle w:val="question"/>
        <w:keepNext/>
        <w:keepLines/>
        <w:spacing w:before="120"/>
        <w:rPr>
          <w:rFonts w:ascii="CG Times" w:hAnsi="CG Times"/>
        </w:rPr>
      </w:pPr>
      <w:r>
        <w:t>Q.</w:t>
      </w:r>
      <w:r>
        <w:tab/>
      </w:r>
      <w:r w:rsidRPr="00AB0449">
        <w:rPr>
          <w:rFonts w:ascii="CG Times" w:hAnsi="CG Times"/>
        </w:rPr>
        <w:t xml:space="preserve">How </w:t>
      </w:r>
      <w:r>
        <w:rPr>
          <w:rFonts w:ascii="CG Times" w:hAnsi="CG Times"/>
        </w:rPr>
        <w:t xml:space="preserve">does the model value the benefits of </w:t>
      </w:r>
      <w:r w:rsidR="00ED23DD">
        <w:rPr>
          <w:rFonts w:ascii="CG Times" w:hAnsi="CG Times"/>
        </w:rPr>
        <w:t>Lease Solutions</w:t>
      </w:r>
      <w:r>
        <w:rPr>
          <w:rFonts w:ascii="CG Times" w:hAnsi="CG Times"/>
        </w:rPr>
        <w:t xml:space="preserve"> based on a forecast of deployments and the associated energy savings</w:t>
      </w:r>
      <w:r w:rsidRPr="00AB0449">
        <w:rPr>
          <w:rFonts w:ascii="CG Times" w:hAnsi="CG Times"/>
        </w:rPr>
        <w:t>?</w:t>
      </w:r>
    </w:p>
    <w:p w:rsidR="00CD5CF1" w:rsidRDefault="000E04D4" w:rsidP="00817D76">
      <w:pPr>
        <w:pStyle w:val="answer"/>
      </w:pPr>
      <w:r>
        <w:t>A.</w:t>
      </w:r>
      <w:r>
        <w:tab/>
      </w:r>
      <w:r w:rsidRPr="000E04D4">
        <w:t xml:space="preserve">The model values avoided energy costs by multiplying a forecast of wholesale energy prices by the energy savings in each year. For example, </w:t>
      </w:r>
      <w:r w:rsidR="00CD5CF1">
        <w:t xml:space="preserve">if </w:t>
      </w:r>
      <w:r w:rsidRPr="000E04D4">
        <w:t>6,000 residential gas furnace leases save</w:t>
      </w:r>
      <w:r>
        <w:t xml:space="preserve"> </w:t>
      </w:r>
      <w:r w:rsidR="00327481">
        <w:t>7</w:t>
      </w:r>
      <w:r w:rsidR="00CB5A4F">
        <w:t>19</w:t>
      </w:r>
      <w:r w:rsidR="00327481">
        <w:t>,000</w:t>
      </w:r>
      <w:r>
        <w:t xml:space="preserve"> therms in a year and the wholesale gas price is $0.</w:t>
      </w:r>
      <w:r w:rsidR="00E71E9B">
        <w:t>40</w:t>
      </w:r>
      <w:r>
        <w:t xml:space="preserve"> per therm</w:t>
      </w:r>
      <w:r w:rsidR="00CD5CF1">
        <w:t>, t</w:t>
      </w:r>
      <w:r>
        <w:t>he avoided energy costs are</w:t>
      </w:r>
      <w:r w:rsidR="00327481">
        <w:t xml:space="preserve"> </w:t>
      </w:r>
      <w:r w:rsidR="00406548">
        <w:t>almost</w:t>
      </w:r>
      <w:r>
        <w:t xml:space="preserve"> $</w:t>
      </w:r>
      <w:r w:rsidR="00406548">
        <w:t>3</w:t>
      </w:r>
      <w:r w:rsidR="00010240">
        <w:t>0</w:t>
      </w:r>
      <w:r w:rsidR="00CB5A4F">
        <w:t>0</w:t>
      </w:r>
      <w:r w:rsidR="00327481">
        <w:t>,000</w:t>
      </w:r>
      <w:r>
        <w:t>.</w:t>
      </w:r>
      <w:r>
        <w:rPr>
          <w:rStyle w:val="FootnoteReference"/>
          <w:rFonts w:hint="eastAsia"/>
        </w:rPr>
        <w:footnoteReference w:id="52"/>
      </w:r>
      <w:r>
        <w:t xml:space="preserve"> </w:t>
      </w:r>
      <w:r w:rsidR="00327481">
        <w:t>Similarly, the model evaluates bill savings with a forecast of retail energy prices. If the retail price is $1.</w:t>
      </w:r>
      <w:r w:rsidR="00DE3F2C">
        <w:t>35</w:t>
      </w:r>
      <w:r w:rsidR="00327481">
        <w:t xml:space="preserve"> per therm, then the bill savings are over $9</w:t>
      </w:r>
      <w:r w:rsidR="00DE3F2C">
        <w:t>70</w:t>
      </w:r>
      <w:r w:rsidR="00327481">
        <w:t>,000.</w:t>
      </w:r>
      <w:r w:rsidR="00327481">
        <w:rPr>
          <w:rStyle w:val="FootnoteReference"/>
          <w:rFonts w:hint="eastAsia"/>
        </w:rPr>
        <w:footnoteReference w:id="53"/>
      </w:r>
      <w:r w:rsidR="00327481">
        <w:t xml:space="preserve"> </w:t>
      </w:r>
    </w:p>
    <w:p w:rsidR="00081F9A" w:rsidRDefault="00327481" w:rsidP="000B16FB">
      <w:pPr>
        <w:pStyle w:val="answer"/>
        <w:ind w:firstLine="0"/>
      </w:pPr>
      <w:r>
        <w:t xml:space="preserve">Avoided </w:t>
      </w:r>
      <w:r w:rsidR="00081F9A">
        <w:t xml:space="preserve">electricity </w:t>
      </w:r>
      <w:r>
        <w:t xml:space="preserve">capacity costs are based on the coincidence of </w:t>
      </w:r>
      <w:r w:rsidR="00817D76">
        <w:t>the product’</w:t>
      </w:r>
      <w:r w:rsidR="00817D76">
        <w:rPr>
          <w:rFonts w:hint="eastAsia"/>
        </w:rPr>
        <w:t>s</w:t>
      </w:r>
      <w:r w:rsidR="00F40529">
        <w:t xml:space="preserve"> </w:t>
      </w:r>
      <w:r>
        <w:t xml:space="preserve">demand curve with the generation and distribution peaks. </w:t>
      </w:r>
      <w:r w:rsidR="00081F9A">
        <w:t xml:space="preserve">The model only considers electricity </w:t>
      </w:r>
      <w:r w:rsidR="008A24B2">
        <w:t>capacity</w:t>
      </w:r>
      <w:r w:rsidR="00081F9A">
        <w:t xml:space="preserve"> savings, so in the example of gas furnaces, there are no capacity savings</w:t>
      </w:r>
      <w:r>
        <w:t>.</w:t>
      </w:r>
      <w:r w:rsidR="00DF0833">
        <w:t xml:space="preserve"> </w:t>
      </w:r>
    </w:p>
    <w:p w:rsidR="000E04D4" w:rsidRDefault="00DF0833" w:rsidP="000B16FB">
      <w:pPr>
        <w:pStyle w:val="answer"/>
        <w:ind w:firstLine="0"/>
      </w:pPr>
      <w:r>
        <w:t xml:space="preserve">Finally, the emissions savings are based on forecasts of </w:t>
      </w:r>
      <w:r w:rsidR="00CD5CF1" w:rsidRPr="00A25E9E">
        <w:rPr>
          <w:rFonts w:hint="eastAsia"/>
          <w:bCs/>
        </w:rPr>
        <w:t>CO</w:t>
      </w:r>
      <w:r w:rsidR="00CD5CF1" w:rsidRPr="00A25E9E">
        <w:rPr>
          <w:rFonts w:hint="eastAsia"/>
          <w:bCs/>
          <w:vertAlign w:val="subscript"/>
        </w:rPr>
        <w:t>2</w:t>
      </w:r>
      <w:r w:rsidR="00CD5CF1">
        <w:t>–equivalent p</w:t>
      </w:r>
      <w:r>
        <w:t xml:space="preserve">rices where are all emissions are converted into carbon dioxide equivalents. </w:t>
      </w:r>
      <w:r w:rsidR="00BF26B6">
        <w:t xml:space="preserve"> </w:t>
      </w:r>
      <w:r>
        <w:t xml:space="preserve">Each therm of natural gas releases 0.01 ton of </w:t>
      </w:r>
      <w:r w:rsidR="00CD5CF1" w:rsidRPr="00A25E9E">
        <w:rPr>
          <w:rFonts w:hint="eastAsia"/>
          <w:bCs/>
        </w:rPr>
        <w:t>CO</w:t>
      </w:r>
      <w:r w:rsidR="00CD5CF1" w:rsidRPr="00A25E9E">
        <w:rPr>
          <w:rFonts w:hint="eastAsia"/>
          <w:bCs/>
          <w:vertAlign w:val="subscript"/>
        </w:rPr>
        <w:t>2</w:t>
      </w:r>
      <w:r w:rsidR="00CD5CF1">
        <w:t>.</w:t>
      </w:r>
      <w:r>
        <w:rPr>
          <w:rStyle w:val="FootnoteReference"/>
          <w:rFonts w:hint="eastAsia"/>
        </w:rPr>
        <w:footnoteReference w:id="54"/>
      </w:r>
      <w:r>
        <w:t xml:space="preserve"> If </w:t>
      </w:r>
      <w:r w:rsidR="00CD5CF1" w:rsidRPr="00A25E9E">
        <w:rPr>
          <w:rFonts w:hint="eastAsia"/>
          <w:bCs/>
        </w:rPr>
        <w:t>CO</w:t>
      </w:r>
      <w:r w:rsidR="00CD5CF1" w:rsidRPr="00A25E9E">
        <w:rPr>
          <w:rFonts w:hint="eastAsia"/>
          <w:bCs/>
          <w:vertAlign w:val="subscript"/>
        </w:rPr>
        <w:t>2</w:t>
      </w:r>
      <w:r>
        <w:t xml:space="preserve"> is valued at $13.31 per ton, then the 6,000 residential gas furnace leases generate over $</w:t>
      </w:r>
      <w:r w:rsidR="00CD5CF1">
        <w:t>95</w:t>
      </w:r>
      <w:r>
        <w:t>,000 in carbon savings benefits</w:t>
      </w:r>
      <w:r w:rsidR="00CD5CF1">
        <w:t xml:space="preserve"> for the first six years of their useful lives</w:t>
      </w:r>
      <w:r>
        <w:t>.</w:t>
      </w:r>
      <w:r>
        <w:rPr>
          <w:rStyle w:val="FootnoteReference"/>
          <w:rFonts w:hint="eastAsia"/>
        </w:rPr>
        <w:footnoteReference w:id="55"/>
      </w:r>
      <w:r>
        <w:t xml:space="preserve"> Savings from other emissions types, methane and nitrous oxide, would be fairly negligible. </w:t>
      </w:r>
    </w:p>
    <w:p w:rsidR="00F50541" w:rsidRDefault="00F50541" w:rsidP="00AE71ED">
      <w:pPr>
        <w:pStyle w:val="answer"/>
        <w:ind w:left="0" w:firstLine="0"/>
      </w:pPr>
      <w:r w:rsidRPr="00817D76">
        <w:rPr>
          <w:b/>
        </w:rPr>
        <w:t xml:space="preserve">Q. </w:t>
      </w:r>
      <w:r>
        <w:rPr>
          <w:b/>
        </w:rPr>
        <w:tab/>
        <w:t xml:space="preserve">What are the public benefits of the proposed leasing program? </w:t>
      </w:r>
    </w:p>
    <w:p w:rsidR="005A7D35" w:rsidRDefault="00F50541" w:rsidP="00B25672">
      <w:pPr>
        <w:pStyle w:val="answer"/>
        <w:ind w:left="630" w:hanging="630"/>
      </w:pPr>
      <w:r>
        <w:rPr>
          <w:bCs/>
        </w:rPr>
        <w:t>A.</w:t>
      </w:r>
      <w:r>
        <w:rPr>
          <w:bCs/>
        </w:rPr>
        <w:tab/>
      </w:r>
      <w:r w:rsidRPr="00817D76">
        <w:rPr>
          <w:rFonts w:hint="eastAsia"/>
          <w:bCs/>
        </w:rPr>
        <w:t xml:space="preserve">In the first 20 years, </w:t>
      </w:r>
      <w:r w:rsidR="00ED23DD">
        <w:rPr>
          <w:bCs/>
        </w:rPr>
        <w:t>Lease Solutions</w:t>
      </w:r>
      <w:r w:rsidRPr="00817D76">
        <w:rPr>
          <w:rFonts w:hint="eastAsia"/>
          <w:bCs/>
        </w:rPr>
        <w:t xml:space="preserve"> is estimated to result in</w:t>
      </w:r>
      <w:r w:rsidR="00081F9A">
        <w:rPr>
          <w:bCs/>
        </w:rPr>
        <w:t xml:space="preserve"> over</w:t>
      </w:r>
      <w:r w:rsidR="00CD5CF1">
        <w:rPr>
          <w:bCs/>
        </w:rPr>
        <w:t xml:space="preserve"> </w:t>
      </w:r>
      <w:r w:rsidR="00CD5CF1" w:rsidRPr="00817D76">
        <w:rPr>
          <w:rFonts w:hint="eastAsia"/>
          <w:bCs/>
        </w:rPr>
        <w:t>321</w:t>
      </w:r>
      <w:r w:rsidR="00CD5CF1">
        <w:rPr>
          <w:bCs/>
        </w:rPr>
        <w:t>,000</w:t>
      </w:r>
      <w:r w:rsidR="00CD5CF1" w:rsidRPr="00817D76">
        <w:rPr>
          <w:rFonts w:hint="eastAsia"/>
          <w:bCs/>
        </w:rPr>
        <w:t xml:space="preserve"> </w:t>
      </w:r>
      <w:r w:rsidR="00CD5CF1">
        <w:rPr>
          <w:bCs/>
        </w:rPr>
        <w:t>M</w:t>
      </w:r>
      <w:r w:rsidR="00CD5CF1" w:rsidRPr="00817D76">
        <w:rPr>
          <w:rFonts w:hint="eastAsia"/>
          <w:bCs/>
        </w:rPr>
        <w:t>Wh of electric energy conservation</w:t>
      </w:r>
      <w:r w:rsidR="00CD5CF1">
        <w:rPr>
          <w:bCs/>
        </w:rPr>
        <w:t>, which is equivalent to powering</w:t>
      </w:r>
      <w:r w:rsidR="00C57DBE">
        <w:rPr>
          <w:bCs/>
        </w:rPr>
        <w:t xml:space="preserve"> over</w:t>
      </w:r>
      <w:r w:rsidR="00CD5CF1">
        <w:rPr>
          <w:bCs/>
        </w:rPr>
        <w:t xml:space="preserve"> 1,</w:t>
      </w:r>
      <w:r w:rsidR="0036404D">
        <w:rPr>
          <w:bCs/>
        </w:rPr>
        <w:t>3</w:t>
      </w:r>
      <w:r w:rsidR="00CD5CF1">
        <w:rPr>
          <w:bCs/>
        </w:rPr>
        <w:t xml:space="preserve">00 homes </w:t>
      </w:r>
      <w:r w:rsidR="00CD5CF1" w:rsidRPr="00B25672">
        <w:rPr>
          <w:rFonts w:hint="eastAsia"/>
          <w:bCs/>
          <w:u w:val="single"/>
        </w:rPr>
        <w:t>each</w:t>
      </w:r>
      <w:r w:rsidR="000B16FB">
        <w:rPr>
          <w:bCs/>
        </w:rPr>
        <w:t xml:space="preserve"> year for 20 years.</w:t>
      </w:r>
      <w:r w:rsidR="00C57DBE">
        <w:rPr>
          <w:rStyle w:val="FootnoteReference"/>
          <w:bCs/>
        </w:rPr>
        <w:footnoteReference w:id="56"/>
      </w:r>
      <w:r w:rsidR="00CD5CF1">
        <w:rPr>
          <w:bCs/>
        </w:rPr>
        <w:t xml:space="preserve"> </w:t>
      </w:r>
      <w:r w:rsidR="007C4460">
        <w:rPr>
          <w:rFonts w:hint="eastAsia"/>
          <w:bCs/>
        </w:rPr>
        <w:fldChar w:fldCharType="begin"/>
      </w:r>
      <w:r w:rsidR="007C4460">
        <w:rPr>
          <w:rFonts w:hint="eastAsia"/>
          <w:bCs/>
        </w:rPr>
        <w:instrText xml:space="preserve"> </w:instrText>
      </w:r>
      <w:r w:rsidR="007C4460">
        <w:rPr>
          <w:bCs/>
        </w:rPr>
        <w:instrText>REF _Ref444009855 \h</w:instrText>
      </w:r>
      <w:r w:rsidR="007C4460">
        <w:rPr>
          <w:rFonts w:hint="eastAsia"/>
          <w:bCs/>
        </w:rPr>
        <w:instrText xml:space="preserve"> </w:instrText>
      </w:r>
      <w:r w:rsidR="007C4460">
        <w:rPr>
          <w:rFonts w:hint="eastAsia"/>
          <w:bCs/>
        </w:rPr>
      </w:r>
      <w:r w:rsidR="007C4460">
        <w:rPr>
          <w:rFonts w:hint="eastAsia"/>
          <w:bCs/>
        </w:rPr>
        <w:fldChar w:fldCharType="separate"/>
      </w:r>
      <w:r w:rsidR="00987B63">
        <w:t xml:space="preserve">Figure </w:t>
      </w:r>
      <w:r w:rsidR="00987B63">
        <w:rPr>
          <w:noProof/>
        </w:rPr>
        <w:t>2</w:t>
      </w:r>
      <w:r w:rsidR="007C4460">
        <w:rPr>
          <w:rFonts w:hint="eastAsia"/>
          <w:bCs/>
        </w:rPr>
        <w:fldChar w:fldCharType="end"/>
      </w:r>
      <w:r w:rsidR="000B16FB">
        <w:rPr>
          <w:bCs/>
        </w:rPr>
        <w:t xml:space="preserve"> shows </w:t>
      </w:r>
      <w:r w:rsidR="00AE71ED">
        <w:rPr>
          <w:bCs/>
        </w:rPr>
        <w:t xml:space="preserve">the estimated electric energy conservation over the first 20 years of </w:t>
      </w:r>
      <w:r w:rsidR="00ED23DD">
        <w:rPr>
          <w:bCs/>
        </w:rPr>
        <w:t>Lease Solutions</w:t>
      </w:r>
      <w:r w:rsidR="00AE71ED">
        <w:rPr>
          <w:bCs/>
        </w:rPr>
        <w:t>.</w:t>
      </w:r>
    </w:p>
    <w:p w:rsidR="007C4460" w:rsidRDefault="007C4460" w:rsidP="007C4460">
      <w:pPr>
        <w:pStyle w:val="Caption"/>
        <w:keepNext/>
        <w:jc w:val="center"/>
      </w:pPr>
      <w:bookmarkStart w:id="15" w:name="_Ref444009855"/>
      <w:r>
        <w:t xml:space="preserve">Figure </w:t>
      </w:r>
      <w:fldSimple w:instr=" SEQ Figure \* ARABIC ">
        <w:r w:rsidR="00987B63">
          <w:rPr>
            <w:noProof/>
          </w:rPr>
          <w:t>2</w:t>
        </w:r>
      </w:fldSimple>
      <w:bookmarkEnd w:id="15"/>
      <w:r>
        <w:t>: Avoided Energy Savings (kWh)</w:t>
      </w:r>
    </w:p>
    <w:p w:rsidR="00AE71ED" w:rsidRDefault="00361862" w:rsidP="00B25672">
      <w:pPr>
        <w:pStyle w:val="answer"/>
        <w:ind w:left="630" w:hanging="630"/>
        <w:jc w:val="center"/>
        <w:rPr>
          <w:bCs/>
        </w:rPr>
      </w:pPr>
      <w:r w:rsidRPr="00EE34B5">
        <w:rPr>
          <w:bCs/>
          <w:noProof/>
          <w:lang w:eastAsia="en-US"/>
        </w:rPr>
        <w:drawing>
          <wp:inline distT="0" distB="0" distL="0" distR="0" wp14:anchorId="585BCF27" wp14:editId="5D668DEB">
            <wp:extent cx="4417957" cy="3211033"/>
            <wp:effectExtent l="0" t="0" r="190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5841" cy="3209495"/>
                    </a:xfrm>
                    <a:prstGeom prst="rect">
                      <a:avLst/>
                    </a:prstGeom>
                    <a:noFill/>
                  </pic:spPr>
                </pic:pic>
              </a:graphicData>
            </a:graphic>
          </wp:inline>
        </w:drawing>
      </w:r>
    </w:p>
    <w:p w:rsidR="008E53E0" w:rsidRDefault="00AE71ED" w:rsidP="00B25672">
      <w:pPr>
        <w:pStyle w:val="answer"/>
        <w:ind w:left="630" w:hanging="630"/>
        <w:rPr>
          <w:bCs/>
        </w:rPr>
      </w:pPr>
      <w:r>
        <w:rPr>
          <w:bCs/>
        </w:rPr>
        <w:tab/>
      </w:r>
      <w:r w:rsidR="008E53E0">
        <w:rPr>
          <w:bCs/>
        </w:rPr>
        <w:t>After the first 17 to 18 years, the ramp-up of public benefits associated with the program reaches a steady-state as the total realizable market is reached and customers continue to renew lease terms at the end of the useful life of their product.</w:t>
      </w:r>
    </w:p>
    <w:p w:rsidR="00AE71ED" w:rsidRDefault="00ED23DD" w:rsidP="00B25672">
      <w:pPr>
        <w:pStyle w:val="answer"/>
        <w:ind w:left="630" w:firstLine="0"/>
        <w:rPr>
          <w:bCs/>
        </w:rPr>
      </w:pPr>
      <w:r>
        <w:rPr>
          <w:bCs/>
        </w:rPr>
        <w:t>Lease Solutions</w:t>
      </w:r>
      <w:r w:rsidR="00AE71ED">
        <w:rPr>
          <w:bCs/>
        </w:rPr>
        <w:t xml:space="preserve"> is also estimated to result in </w:t>
      </w:r>
      <w:r w:rsidR="00081F9A">
        <w:rPr>
          <w:bCs/>
        </w:rPr>
        <w:t xml:space="preserve">over </w:t>
      </w:r>
      <w:r w:rsidR="00AE71ED" w:rsidRPr="00817D76">
        <w:rPr>
          <w:rFonts w:hint="eastAsia"/>
          <w:bCs/>
        </w:rPr>
        <w:t>19</w:t>
      </w:r>
      <w:r w:rsidR="00081F9A">
        <w:rPr>
          <w:bCs/>
        </w:rPr>
        <w:t>0</w:t>
      </w:r>
      <w:r w:rsidR="00AE71ED" w:rsidRPr="00817D76">
        <w:rPr>
          <w:rFonts w:hint="eastAsia"/>
          <w:bCs/>
        </w:rPr>
        <w:t xml:space="preserve"> million therms of gas energy conservation</w:t>
      </w:r>
      <w:r w:rsidR="00AE71ED">
        <w:rPr>
          <w:bCs/>
        </w:rPr>
        <w:t xml:space="preserve"> in the first 20 years, which is equivalent to fueling</w:t>
      </w:r>
      <w:r w:rsidR="0047502F">
        <w:rPr>
          <w:bCs/>
        </w:rPr>
        <w:t xml:space="preserve"> over </w:t>
      </w:r>
      <w:r w:rsidR="0036404D">
        <w:rPr>
          <w:bCs/>
        </w:rPr>
        <w:t>11</w:t>
      </w:r>
      <w:r w:rsidR="0047502F">
        <w:rPr>
          <w:bCs/>
        </w:rPr>
        <w:t>,</w:t>
      </w:r>
      <w:r w:rsidR="0036404D">
        <w:rPr>
          <w:bCs/>
        </w:rPr>
        <w:t>5</w:t>
      </w:r>
      <w:r w:rsidR="0047502F">
        <w:rPr>
          <w:bCs/>
        </w:rPr>
        <w:t>00</w:t>
      </w:r>
      <w:r w:rsidR="00AE71ED">
        <w:rPr>
          <w:bCs/>
        </w:rPr>
        <w:t xml:space="preserve"> homes </w:t>
      </w:r>
      <w:r w:rsidR="00AE71ED" w:rsidRPr="00AE71ED">
        <w:rPr>
          <w:bCs/>
          <w:u w:val="single"/>
        </w:rPr>
        <w:t>each</w:t>
      </w:r>
      <w:r w:rsidR="00AE71ED">
        <w:rPr>
          <w:bCs/>
        </w:rPr>
        <w:t xml:space="preserve"> year for 20 years.</w:t>
      </w:r>
      <w:r w:rsidR="0047502F">
        <w:rPr>
          <w:rStyle w:val="FootnoteReference"/>
          <w:bCs/>
        </w:rPr>
        <w:footnoteReference w:id="57"/>
      </w:r>
      <w:r w:rsidR="007C4460">
        <w:rPr>
          <w:bCs/>
        </w:rPr>
        <w:t xml:space="preserve"> </w:t>
      </w:r>
      <w:r w:rsidR="007C4460">
        <w:rPr>
          <w:rFonts w:hint="eastAsia"/>
          <w:bCs/>
        </w:rPr>
        <w:fldChar w:fldCharType="begin"/>
      </w:r>
      <w:r w:rsidR="007C4460">
        <w:rPr>
          <w:rFonts w:hint="eastAsia"/>
          <w:bCs/>
        </w:rPr>
        <w:instrText xml:space="preserve"> </w:instrText>
      </w:r>
      <w:r w:rsidR="007C4460">
        <w:rPr>
          <w:bCs/>
        </w:rPr>
        <w:instrText>REF _Ref444010015 \h</w:instrText>
      </w:r>
      <w:r w:rsidR="007C4460">
        <w:rPr>
          <w:rFonts w:hint="eastAsia"/>
          <w:bCs/>
        </w:rPr>
        <w:instrText xml:space="preserve"> </w:instrText>
      </w:r>
      <w:r w:rsidR="007C4460">
        <w:rPr>
          <w:rFonts w:hint="eastAsia"/>
          <w:bCs/>
        </w:rPr>
      </w:r>
      <w:r w:rsidR="007C4460">
        <w:rPr>
          <w:rFonts w:hint="eastAsia"/>
          <w:bCs/>
        </w:rPr>
        <w:fldChar w:fldCharType="separate"/>
      </w:r>
      <w:r w:rsidR="00987B63">
        <w:t xml:space="preserve">Figure </w:t>
      </w:r>
      <w:r w:rsidR="00987B63">
        <w:rPr>
          <w:noProof/>
        </w:rPr>
        <w:t>3</w:t>
      </w:r>
      <w:r w:rsidR="007C4460">
        <w:rPr>
          <w:rFonts w:hint="eastAsia"/>
          <w:bCs/>
        </w:rPr>
        <w:fldChar w:fldCharType="end"/>
      </w:r>
      <w:r w:rsidR="007C4460">
        <w:rPr>
          <w:bCs/>
        </w:rPr>
        <w:t xml:space="preserve"> s</w:t>
      </w:r>
      <w:r w:rsidR="00AE71ED">
        <w:rPr>
          <w:bCs/>
        </w:rPr>
        <w:t xml:space="preserve">hows the estimated gas energy conservation over the first 20 years of </w:t>
      </w:r>
      <w:r>
        <w:rPr>
          <w:bCs/>
        </w:rPr>
        <w:t>Lease Solutions</w:t>
      </w:r>
      <w:r w:rsidR="00AE71ED">
        <w:rPr>
          <w:bCs/>
        </w:rPr>
        <w:t>.</w:t>
      </w:r>
    </w:p>
    <w:p w:rsidR="007C4460" w:rsidRDefault="007C4460" w:rsidP="003F15A0">
      <w:pPr>
        <w:pStyle w:val="Caption"/>
        <w:keepNext/>
        <w:jc w:val="center"/>
      </w:pPr>
      <w:bookmarkStart w:id="16" w:name="_Ref444010015"/>
      <w:r>
        <w:t xml:space="preserve">Figure </w:t>
      </w:r>
      <w:fldSimple w:instr=" SEQ Figure \* ARABIC ">
        <w:r w:rsidR="00987B63">
          <w:rPr>
            <w:noProof/>
          </w:rPr>
          <w:t>3</w:t>
        </w:r>
      </w:fldSimple>
      <w:bookmarkEnd w:id="16"/>
      <w:r>
        <w:t xml:space="preserve">: </w:t>
      </w:r>
      <w:r w:rsidRPr="007C4460">
        <w:t>Avoided Energy Savings (Therms)</w:t>
      </w:r>
    </w:p>
    <w:p w:rsidR="00AE71ED" w:rsidRDefault="00361862" w:rsidP="00B25672">
      <w:pPr>
        <w:pStyle w:val="answer"/>
        <w:ind w:left="630" w:hanging="630"/>
        <w:jc w:val="center"/>
        <w:rPr>
          <w:bCs/>
        </w:rPr>
      </w:pPr>
      <w:r w:rsidRPr="00EE34B5">
        <w:rPr>
          <w:bCs/>
          <w:noProof/>
          <w:lang w:eastAsia="en-US"/>
        </w:rPr>
        <w:drawing>
          <wp:inline distT="0" distB="0" distL="0" distR="0" wp14:anchorId="2038F08E" wp14:editId="6CBC85F9">
            <wp:extent cx="4257039" cy="3094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4549" cy="3092266"/>
                    </a:xfrm>
                    <a:prstGeom prst="rect">
                      <a:avLst/>
                    </a:prstGeom>
                    <a:noFill/>
                  </pic:spPr>
                </pic:pic>
              </a:graphicData>
            </a:graphic>
          </wp:inline>
        </w:drawing>
      </w:r>
    </w:p>
    <w:p w:rsidR="00F50541" w:rsidRPr="00817D76" w:rsidRDefault="00B82BA6" w:rsidP="00B25672">
      <w:pPr>
        <w:pStyle w:val="answer"/>
        <w:ind w:left="630" w:hanging="630"/>
      </w:pPr>
      <w:r>
        <w:rPr>
          <w:bCs/>
        </w:rPr>
        <w:tab/>
      </w:r>
      <w:r w:rsidR="00F0219F">
        <w:rPr>
          <w:bCs/>
        </w:rPr>
        <w:t>These energy</w:t>
      </w:r>
      <w:r>
        <w:rPr>
          <w:bCs/>
        </w:rPr>
        <w:t xml:space="preserve"> savings results in 1.3 million tons of </w:t>
      </w:r>
      <w:r w:rsidRPr="00817D76">
        <w:rPr>
          <w:rFonts w:hint="eastAsia"/>
          <w:bCs/>
        </w:rPr>
        <w:t>CO</w:t>
      </w:r>
      <w:r w:rsidRPr="00817D76">
        <w:rPr>
          <w:rFonts w:hint="eastAsia"/>
          <w:bCs/>
          <w:vertAlign w:val="subscript"/>
        </w:rPr>
        <w:t>2</w:t>
      </w:r>
      <w:r>
        <w:rPr>
          <w:bCs/>
        </w:rPr>
        <w:t xml:space="preserve">-equivalent </w:t>
      </w:r>
      <w:r w:rsidRPr="00817D76">
        <w:rPr>
          <w:rFonts w:hint="eastAsia"/>
          <w:bCs/>
        </w:rPr>
        <w:t>emissions avoided</w:t>
      </w:r>
      <w:r>
        <w:rPr>
          <w:bCs/>
        </w:rPr>
        <w:t>, which is equivalent to taking</w:t>
      </w:r>
      <w:r w:rsidR="004B4773">
        <w:rPr>
          <w:bCs/>
        </w:rPr>
        <w:t xml:space="preserve"> over</w:t>
      </w:r>
      <w:r>
        <w:rPr>
          <w:bCs/>
        </w:rPr>
        <w:t xml:space="preserve"> 1</w:t>
      </w:r>
      <w:r w:rsidR="004B4773">
        <w:rPr>
          <w:bCs/>
        </w:rPr>
        <w:t>2</w:t>
      </w:r>
      <w:r>
        <w:rPr>
          <w:bCs/>
        </w:rPr>
        <w:t>,</w:t>
      </w:r>
      <w:r w:rsidR="004B4773">
        <w:rPr>
          <w:bCs/>
        </w:rPr>
        <w:t>5</w:t>
      </w:r>
      <w:r>
        <w:rPr>
          <w:bCs/>
        </w:rPr>
        <w:t>00 cars off the road.</w:t>
      </w:r>
      <w:r w:rsidR="004B4773">
        <w:rPr>
          <w:rStyle w:val="FootnoteReference"/>
          <w:bCs/>
        </w:rPr>
        <w:footnoteReference w:id="58"/>
      </w:r>
      <w:r>
        <w:rPr>
          <w:bCs/>
        </w:rPr>
        <w:t xml:space="preserve"> </w:t>
      </w:r>
      <w:r w:rsidR="003F15A0">
        <w:rPr>
          <w:rFonts w:hint="eastAsia"/>
          <w:bCs/>
        </w:rPr>
        <w:fldChar w:fldCharType="begin"/>
      </w:r>
      <w:r w:rsidR="003F15A0">
        <w:rPr>
          <w:rFonts w:hint="eastAsia"/>
          <w:bCs/>
        </w:rPr>
        <w:instrText xml:space="preserve"> </w:instrText>
      </w:r>
      <w:r w:rsidR="003F15A0">
        <w:rPr>
          <w:bCs/>
        </w:rPr>
        <w:instrText>REF _Ref444010143 \h</w:instrText>
      </w:r>
      <w:r w:rsidR="003F15A0">
        <w:rPr>
          <w:rFonts w:hint="eastAsia"/>
          <w:bCs/>
        </w:rPr>
        <w:instrText xml:space="preserve"> </w:instrText>
      </w:r>
      <w:r w:rsidR="003F15A0">
        <w:rPr>
          <w:rFonts w:hint="eastAsia"/>
          <w:bCs/>
        </w:rPr>
      </w:r>
      <w:r w:rsidR="003F15A0">
        <w:rPr>
          <w:rFonts w:hint="eastAsia"/>
          <w:bCs/>
        </w:rPr>
        <w:fldChar w:fldCharType="separate"/>
      </w:r>
      <w:r w:rsidR="00987B63">
        <w:t xml:space="preserve">Figure </w:t>
      </w:r>
      <w:r w:rsidR="00987B63">
        <w:rPr>
          <w:noProof/>
        </w:rPr>
        <w:t>4</w:t>
      </w:r>
      <w:r w:rsidR="003F15A0">
        <w:rPr>
          <w:rFonts w:hint="eastAsia"/>
          <w:bCs/>
        </w:rPr>
        <w:fldChar w:fldCharType="end"/>
      </w:r>
      <w:r w:rsidR="003F15A0">
        <w:rPr>
          <w:bCs/>
        </w:rPr>
        <w:t xml:space="preserve"> </w:t>
      </w:r>
      <w:r>
        <w:rPr>
          <w:bCs/>
        </w:rPr>
        <w:t xml:space="preserve">shows the avoided </w:t>
      </w:r>
      <w:r w:rsidRPr="00817D76">
        <w:rPr>
          <w:rFonts w:hint="eastAsia"/>
          <w:bCs/>
        </w:rPr>
        <w:t>CO</w:t>
      </w:r>
      <w:r w:rsidRPr="00817D76">
        <w:rPr>
          <w:rFonts w:hint="eastAsia"/>
          <w:bCs/>
          <w:vertAlign w:val="subscript"/>
        </w:rPr>
        <w:t>2</w:t>
      </w:r>
      <w:r>
        <w:rPr>
          <w:bCs/>
        </w:rPr>
        <w:t xml:space="preserve">-equivalent </w:t>
      </w:r>
      <w:r w:rsidRPr="00817D76">
        <w:rPr>
          <w:rFonts w:hint="eastAsia"/>
          <w:bCs/>
        </w:rPr>
        <w:t>emissions</w:t>
      </w:r>
      <w:r w:rsidR="003E7662">
        <w:rPr>
          <w:bCs/>
        </w:rPr>
        <w:t xml:space="preserve"> over the first 20 years of </w:t>
      </w:r>
      <w:r w:rsidR="00ED23DD">
        <w:rPr>
          <w:bCs/>
        </w:rPr>
        <w:t>Lease Solutions</w:t>
      </w:r>
      <w:r w:rsidR="003E7662">
        <w:rPr>
          <w:bCs/>
        </w:rPr>
        <w:t>.</w:t>
      </w:r>
    </w:p>
    <w:p w:rsidR="007C4460" w:rsidRDefault="007C4460" w:rsidP="00B25672">
      <w:pPr>
        <w:pStyle w:val="Caption"/>
        <w:keepNext/>
        <w:jc w:val="center"/>
      </w:pPr>
      <w:bookmarkStart w:id="17" w:name="_Ref444010143"/>
      <w:r>
        <w:t xml:space="preserve">Figure </w:t>
      </w:r>
      <w:fldSimple w:instr=" SEQ Figure \* ARABIC ">
        <w:r w:rsidR="00987B63">
          <w:rPr>
            <w:noProof/>
          </w:rPr>
          <w:t>4</w:t>
        </w:r>
      </w:fldSimple>
      <w:bookmarkEnd w:id="17"/>
      <w:r>
        <w:t xml:space="preserve">: </w:t>
      </w:r>
      <w:r w:rsidRPr="007C4460">
        <w:t>Avoided Emissions Savings (Tons of Carbon Equivalents)</w:t>
      </w:r>
    </w:p>
    <w:p w:rsidR="008E53E0" w:rsidRDefault="00361862" w:rsidP="00B25672">
      <w:pPr>
        <w:pStyle w:val="answer"/>
        <w:jc w:val="center"/>
        <w:rPr>
          <w:bCs/>
        </w:rPr>
      </w:pPr>
      <w:r w:rsidRPr="00EE34B5">
        <w:rPr>
          <w:bCs/>
          <w:noProof/>
          <w:lang w:eastAsia="en-US"/>
        </w:rPr>
        <w:drawing>
          <wp:inline distT="0" distB="0" distL="0" distR="0" wp14:anchorId="063C2B25" wp14:editId="4CFC48F5">
            <wp:extent cx="4093535" cy="2975238"/>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1141" cy="2973498"/>
                    </a:xfrm>
                    <a:prstGeom prst="rect">
                      <a:avLst/>
                    </a:prstGeom>
                    <a:noFill/>
                  </pic:spPr>
                </pic:pic>
              </a:graphicData>
            </a:graphic>
          </wp:inline>
        </w:drawing>
      </w:r>
    </w:p>
    <w:p w:rsidR="008E53E0" w:rsidRDefault="008E53E0" w:rsidP="00B25672">
      <w:pPr>
        <w:pStyle w:val="answer"/>
        <w:rPr>
          <w:bCs/>
        </w:rPr>
      </w:pPr>
      <w:r>
        <w:rPr>
          <w:bCs/>
        </w:rPr>
        <w:tab/>
        <w:t xml:space="preserve">The leasing program is also estimated to result in $5.5 million in avoided </w:t>
      </w:r>
      <w:r w:rsidR="004E1F2E">
        <w:rPr>
          <w:bCs/>
        </w:rPr>
        <w:t xml:space="preserve">generation and distribution </w:t>
      </w:r>
      <w:r>
        <w:rPr>
          <w:bCs/>
        </w:rPr>
        <w:t>capacity costs and $</w:t>
      </w:r>
      <w:r w:rsidR="003D4982">
        <w:rPr>
          <w:bCs/>
        </w:rPr>
        <w:t>1</w:t>
      </w:r>
      <w:r w:rsidR="00DE3F2C">
        <w:rPr>
          <w:bCs/>
        </w:rPr>
        <w:t>44</w:t>
      </w:r>
      <w:r w:rsidR="003D4982">
        <w:rPr>
          <w:bCs/>
        </w:rPr>
        <w:t xml:space="preserve"> </w:t>
      </w:r>
      <w:r>
        <w:rPr>
          <w:bCs/>
        </w:rPr>
        <w:t>million in utility bill savings for participating customers</w:t>
      </w:r>
      <w:r w:rsidR="00081F9A">
        <w:rPr>
          <w:bCs/>
        </w:rPr>
        <w:t xml:space="preserve"> over the first 20 years</w:t>
      </w:r>
      <w:r>
        <w:rPr>
          <w:bCs/>
        </w:rPr>
        <w:t>.</w:t>
      </w:r>
    </w:p>
    <w:p w:rsidR="003F15A0" w:rsidRDefault="008E53E0" w:rsidP="00B25672">
      <w:pPr>
        <w:pStyle w:val="answer"/>
        <w:rPr>
          <w:bCs/>
        </w:rPr>
      </w:pPr>
      <w:r>
        <w:rPr>
          <w:bCs/>
        </w:rPr>
        <w:tab/>
      </w:r>
      <w:r w:rsidR="003F15A0">
        <w:rPr>
          <w:rFonts w:hint="eastAsia"/>
          <w:bCs/>
        </w:rPr>
        <w:fldChar w:fldCharType="begin"/>
      </w:r>
      <w:r w:rsidR="003F15A0">
        <w:rPr>
          <w:rFonts w:hint="eastAsia"/>
          <w:bCs/>
        </w:rPr>
        <w:instrText xml:space="preserve"> REF _Ref444010402 \h </w:instrText>
      </w:r>
      <w:r w:rsidR="003F15A0">
        <w:rPr>
          <w:rFonts w:hint="eastAsia"/>
          <w:bCs/>
        </w:rPr>
      </w:r>
      <w:r w:rsidR="003F15A0">
        <w:rPr>
          <w:rFonts w:hint="eastAsia"/>
          <w:bCs/>
        </w:rPr>
        <w:fldChar w:fldCharType="separate"/>
      </w:r>
      <w:r w:rsidR="00987B63">
        <w:t xml:space="preserve">Figure </w:t>
      </w:r>
      <w:r w:rsidR="00987B63">
        <w:rPr>
          <w:noProof/>
        </w:rPr>
        <w:t>5</w:t>
      </w:r>
      <w:r w:rsidR="003F15A0">
        <w:rPr>
          <w:rFonts w:hint="eastAsia"/>
          <w:bCs/>
        </w:rPr>
        <w:fldChar w:fldCharType="end"/>
      </w:r>
      <w:r w:rsidR="003F15A0">
        <w:rPr>
          <w:bCs/>
        </w:rPr>
        <w:t xml:space="preserve"> </w:t>
      </w:r>
      <w:r>
        <w:rPr>
          <w:bCs/>
        </w:rPr>
        <w:t>depicts the present value of estimated savings in the first 20 years of the service by the source of the savings, and</w:t>
      </w:r>
      <w:r w:rsidR="003F15A0">
        <w:rPr>
          <w:bCs/>
        </w:rPr>
        <w:t xml:space="preserve"> </w:t>
      </w:r>
      <w:r w:rsidR="003F15A0">
        <w:rPr>
          <w:rFonts w:hint="eastAsia"/>
          <w:bCs/>
        </w:rPr>
        <w:fldChar w:fldCharType="begin"/>
      </w:r>
      <w:r w:rsidR="003F15A0">
        <w:rPr>
          <w:rFonts w:hint="eastAsia"/>
          <w:bCs/>
        </w:rPr>
        <w:instrText xml:space="preserve"> REF _Ref444010396 \h </w:instrText>
      </w:r>
      <w:r w:rsidR="003F15A0">
        <w:rPr>
          <w:rFonts w:hint="eastAsia"/>
          <w:bCs/>
        </w:rPr>
      </w:r>
      <w:r w:rsidR="003F15A0">
        <w:rPr>
          <w:rFonts w:hint="eastAsia"/>
          <w:bCs/>
        </w:rPr>
        <w:fldChar w:fldCharType="separate"/>
      </w:r>
      <w:r w:rsidR="00987B63">
        <w:t xml:space="preserve">Figure </w:t>
      </w:r>
      <w:r w:rsidR="00987B63">
        <w:rPr>
          <w:noProof/>
        </w:rPr>
        <w:t>6</w:t>
      </w:r>
      <w:r w:rsidR="003F15A0">
        <w:rPr>
          <w:rFonts w:hint="eastAsia"/>
          <w:bCs/>
        </w:rPr>
        <w:fldChar w:fldCharType="end"/>
      </w:r>
      <w:r w:rsidR="003F15A0">
        <w:rPr>
          <w:bCs/>
        </w:rPr>
        <w:t xml:space="preserve"> p</w:t>
      </w:r>
      <w:r>
        <w:rPr>
          <w:bCs/>
        </w:rPr>
        <w:t xml:space="preserve">resents annual savings in 2016 dollars over the first 20 years of the service. These charts illustrate that the bulk of </w:t>
      </w:r>
      <w:r w:rsidR="00ED23DD">
        <w:rPr>
          <w:bCs/>
        </w:rPr>
        <w:t>Lease Solutions</w:t>
      </w:r>
      <w:r>
        <w:rPr>
          <w:bCs/>
        </w:rPr>
        <w:t>’ public benefits come in the form of avoided energy costs, followed by avoided greenhouse gas emissions.</w:t>
      </w:r>
    </w:p>
    <w:p w:rsidR="003F15A0" w:rsidRDefault="003F15A0" w:rsidP="003F15A0">
      <w:pPr>
        <w:pStyle w:val="Caption"/>
        <w:keepNext/>
        <w:jc w:val="center"/>
      </w:pPr>
      <w:bookmarkStart w:id="18" w:name="_Ref444010402"/>
      <w:r>
        <w:t xml:space="preserve">Figure </w:t>
      </w:r>
      <w:fldSimple w:instr=" SEQ Figure \* ARABIC ">
        <w:r w:rsidR="00987B63">
          <w:rPr>
            <w:noProof/>
          </w:rPr>
          <w:t>5</w:t>
        </w:r>
      </w:fldSimple>
      <w:bookmarkEnd w:id="18"/>
      <w:r>
        <w:t xml:space="preserve">: </w:t>
      </w:r>
      <w:r w:rsidRPr="003F15A0">
        <w:t>Net Present Value for First 20 Years of the Program</w:t>
      </w:r>
    </w:p>
    <w:p w:rsidR="00F50541" w:rsidRPr="00817D76" w:rsidRDefault="00C26637" w:rsidP="00B25672">
      <w:pPr>
        <w:pStyle w:val="answer"/>
        <w:jc w:val="center"/>
      </w:pPr>
      <w:r>
        <w:rPr>
          <w:noProof/>
          <w:lang w:eastAsia="en-US"/>
        </w:rPr>
        <w:drawing>
          <wp:inline distT="0" distB="0" distL="0" distR="0" wp14:anchorId="16046C30" wp14:editId="0175F7AD">
            <wp:extent cx="4681279" cy="3402419"/>
            <wp:effectExtent l="0" t="0" r="508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8541" cy="3400429"/>
                    </a:xfrm>
                    <a:prstGeom prst="rect">
                      <a:avLst/>
                    </a:prstGeom>
                    <a:noFill/>
                  </pic:spPr>
                </pic:pic>
              </a:graphicData>
            </a:graphic>
          </wp:inline>
        </w:drawing>
      </w:r>
    </w:p>
    <w:p w:rsidR="003F15A0" w:rsidRDefault="003F15A0" w:rsidP="00B25672">
      <w:pPr>
        <w:pStyle w:val="Caption"/>
        <w:keepNext/>
        <w:jc w:val="center"/>
      </w:pPr>
      <w:bookmarkStart w:id="19" w:name="_Ref444010396"/>
      <w:r>
        <w:t xml:space="preserve">Figure </w:t>
      </w:r>
      <w:fldSimple w:instr=" SEQ Figure \* ARABIC ">
        <w:r w:rsidR="00987B63">
          <w:rPr>
            <w:noProof/>
          </w:rPr>
          <w:t>6</w:t>
        </w:r>
      </w:fldSimple>
      <w:bookmarkEnd w:id="19"/>
      <w:r>
        <w:t xml:space="preserve">: </w:t>
      </w:r>
      <w:r w:rsidRPr="003F15A0">
        <w:t>Annual Savings By Avoided Cost Category (2016 $)</w:t>
      </w:r>
    </w:p>
    <w:p w:rsidR="008E53E0" w:rsidRDefault="00C26637" w:rsidP="00B25672">
      <w:pPr>
        <w:pStyle w:val="answer"/>
        <w:jc w:val="center"/>
        <w:rPr>
          <w:bCs/>
        </w:rPr>
      </w:pPr>
      <w:r w:rsidRPr="00EE34B5">
        <w:rPr>
          <w:bCs/>
          <w:noProof/>
          <w:lang w:eastAsia="en-US"/>
        </w:rPr>
        <w:drawing>
          <wp:inline distT="0" distB="0" distL="0" distR="0" wp14:anchorId="4945F3DF" wp14:editId="2CB2229D">
            <wp:extent cx="4769054" cy="3466214"/>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7589" cy="3465149"/>
                    </a:xfrm>
                    <a:prstGeom prst="rect">
                      <a:avLst/>
                    </a:prstGeom>
                    <a:noFill/>
                  </pic:spPr>
                </pic:pic>
              </a:graphicData>
            </a:graphic>
          </wp:inline>
        </w:drawing>
      </w:r>
    </w:p>
    <w:p w:rsidR="008E53E0" w:rsidRDefault="008E53E0" w:rsidP="00817D76">
      <w:pPr>
        <w:pStyle w:val="answer"/>
        <w:rPr>
          <w:bCs/>
        </w:rPr>
      </w:pPr>
      <w:r>
        <w:rPr>
          <w:bCs/>
        </w:rPr>
        <w:tab/>
      </w:r>
      <w:r w:rsidR="009126E5">
        <w:rPr>
          <w:rFonts w:hint="eastAsia"/>
          <w:bCs/>
        </w:rPr>
        <w:fldChar w:fldCharType="begin"/>
      </w:r>
      <w:r w:rsidR="009126E5">
        <w:rPr>
          <w:rFonts w:hint="eastAsia"/>
          <w:bCs/>
        </w:rPr>
        <w:instrText xml:space="preserve"> </w:instrText>
      </w:r>
      <w:r w:rsidR="009126E5">
        <w:rPr>
          <w:bCs/>
        </w:rPr>
        <w:instrText>REF _Ref444010633 \h</w:instrText>
      </w:r>
      <w:r w:rsidR="009126E5">
        <w:rPr>
          <w:rFonts w:hint="eastAsia"/>
          <w:bCs/>
        </w:rPr>
        <w:instrText xml:space="preserve"> </w:instrText>
      </w:r>
      <w:r w:rsidR="009126E5">
        <w:rPr>
          <w:rFonts w:hint="eastAsia"/>
          <w:bCs/>
        </w:rPr>
      </w:r>
      <w:r w:rsidR="009126E5">
        <w:rPr>
          <w:rFonts w:hint="eastAsia"/>
          <w:bCs/>
        </w:rPr>
        <w:fldChar w:fldCharType="separate"/>
      </w:r>
      <w:r w:rsidR="00987B63">
        <w:t xml:space="preserve">Figure </w:t>
      </w:r>
      <w:r w:rsidR="00987B63">
        <w:rPr>
          <w:noProof/>
        </w:rPr>
        <w:t>7</w:t>
      </w:r>
      <w:r w:rsidR="009126E5">
        <w:rPr>
          <w:rFonts w:hint="eastAsia"/>
          <w:bCs/>
        </w:rPr>
        <w:fldChar w:fldCharType="end"/>
      </w:r>
      <w:r>
        <w:rPr>
          <w:bCs/>
        </w:rPr>
        <w:t xml:space="preserve"> shows annual savings in 2016 dollars, broken out by the end-use equipment being leased. Residential gas furnaces make up the largest source of savings</w:t>
      </w:r>
      <w:r w:rsidR="004019F3">
        <w:rPr>
          <w:bCs/>
        </w:rPr>
        <w:t>.</w:t>
      </w:r>
    </w:p>
    <w:p w:rsidR="004019F3" w:rsidRDefault="004019F3" w:rsidP="00B25672">
      <w:pPr>
        <w:pStyle w:val="Caption"/>
        <w:keepNext/>
        <w:jc w:val="center"/>
      </w:pPr>
      <w:bookmarkStart w:id="20" w:name="_Ref444010633"/>
      <w:r>
        <w:t xml:space="preserve">Figure </w:t>
      </w:r>
      <w:fldSimple w:instr=" SEQ Figure \* ARABIC ">
        <w:r w:rsidR="00987B63">
          <w:rPr>
            <w:noProof/>
          </w:rPr>
          <w:t>7</w:t>
        </w:r>
      </w:fldSimple>
      <w:bookmarkEnd w:id="20"/>
      <w:r>
        <w:t xml:space="preserve">: </w:t>
      </w:r>
      <w:r w:rsidRPr="004019F3">
        <w:t>Annual Savings by Program (2016 $)</w:t>
      </w:r>
    </w:p>
    <w:p w:rsidR="00F50541" w:rsidRPr="000E04D4" w:rsidRDefault="00C26637" w:rsidP="00B25672">
      <w:pPr>
        <w:pStyle w:val="answer"/>
        <w:jc w:val="center"/>
      </w:pPr>
      <w:r>
        <w:rPr>
          <w:noProof/>
          <w:lang w:eastAsia="en-US"/>
        </w:rPr>
        <w:drawing>
          <wp:inline distT="0" distB="0" distL="0" distR="0" wp14:anchorId="697C5A3C" wp14:editId="2BF26A79">
            <wp:extent cx="4622763" cy="3359888"/>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8568" cy="3356839"/>
                    </a:xfrm>
                    <a:prstGeom prst="rect">
                      <a:avLst/>
                    </a:prstGeom>
                    <a:noFill/>
                  </pic:spPr>
                </pic:pic>
              </a:graphicData>
            </a:graphic>
          </wp:inline>
        </w:drawing>
      </w:r>
    </w:p>
    <w:p w:rsidR="00931AC6" w:rsidRPr="004F3C6A" w:rsidRDefault="006764F1" w:rsidP="00CE536E">
      <w:pPr>
        <w:pStyle w:val="Heading1"/>
        <w:spacing w:line="240" w:lineRule="auto"/>
        <w:rPr>
          <w:rFonts w:eastAsia="SimSun"/>
        </w:rPr>
      </w:pPr>
      <w:bookmarkStart w:id="21" w:name="_Toc444180133"/>
      <w:r>
        <w:t>VI</w:t>
      </w:r>
      <w:r w:rsidR="00AA34A8">
        <w:t>.</w:t>
      </w:r>
      <w:r w:rsidR="00AA34A8">
        <w:tab/>
      </w:r>
      <w:r w:rsidR="00931AC6">
        <w:t>CONCLUSION</w:t>
      </w:r>
      <w:bookmarkEnd w:id="21"/>
    </w:p>
    <w:p w:rsidR="00931AC6" w:rsidRDefault="00931AC6" w:rsidP="005632C9">
      <w:pPr>
        <w:pStyle w:val="question"/>
        <w:keepNext/>
        <w:keepLines/>
        <w:spacing w:before="120"/>
      </w:pPr>
      <w:r>
        <w:t>Q.</w:t>
      </w:r>
      <w:r>
        <w:tab/>
      </w:r>
      <w:r w:rsidR="005E7123">
        <w:t xml:space="preserve">What </w:t>
      </w:r>
      <w:r w:rsidR="00F0219F">
        <w:t>is your</w:t>
      </w:r>
      <w:r w:rsidR="005E7123">
        <w:t xml:space="preserve"> conclusion?</w:t>
      </w:r>
    </w:p>
    <w:p w:rsidR="00931AC6" w:rsidRDefault="00931AC6" w:rsidP="002B656E">
      <w:pPr>
        <w:pStyle w:val="answer"/>
      </w:pPr>
      <w:r>
        <w:t>A.</w:t>
      </w:r>
      <w:r>
        <w:tab/>
      </w:r>
      <w:r w:rsidR="00271710" w:rsidRPr="00271710">
        <w:t xml:space="preserve">The </w:t>
      </w:r>
      <w:r w:rsidR="00FF62A5">
        <w:t>proposed</w:t>
      </w:r>
      <w:r w:rsidR="00271710" w:rsidRPr="00271710">
        <w:t xml:space="preserve"> PSE </w:t>
      </w:r>
      <w:r w:rsidR="00ED23DD">
        <w:t>Lease Solutions</w:t>
      </w:r>
      <w:r w:rsidR="00271710" w:rsidRPr="00271710">
        <w:t xml:space="preserve"> addresses key barriers to customer adoption of new, efficient products by making the purchasing and maintenance process easier and more attainable</w:t>
      </w:r>
      <w:r w:rsidR="00D23591">
        <w:t>, and is a compliment to the Company’s existing</w:t>
      </w:r>
      <w:r w:rsidR="00AD07D7">
        <w:t xml:space="preserve"> energy efficiency programs</w:t>
      </w:r>
      <w:r w:rsidR="00271710" w:rsidRPr="00271710">
        <w:t xml:space="preserve">. </w:t>
      </w:r>
      <w:r w:rsidR="00271710">
        <w:t>I expect that the</w:t>
      </w:r>
      <w:r w:rsidR="005E7123">
        <w:t xml:space="preserve"> </w:t>
      </w:r>
      <w:r w:rsidR="00271710">
        <w:t xml:space="preserve">PSE </w:t>
      </w:r>
      <w:r w:rsidR="00ED23DD">
        <w:t>Lease Solutions</w:t>
      </w:r>
      <w:r w:rsidR="00271710">
        <w:t xml:space="preserve"> will </w:t>
      </w:r>
      <w:r w:rsidR="00AD07D7">
        <w:t xml:space="preserve">sign </w:t>
      </w:r>
      <w:r w:rsidR="00F0219F">
        <w:t>up thousands</w:t>
      </w:r>
      <w:r w:rsidR="00271710">
        <w:t xml:space="preserve"> of customers and </w:t>
      </w:r>
      <w:r w:rsidR="00AD07D7">
        <w:t>result in the installation of energy efficient equipment</w:t>
      </w:r>
      <w:r w:rsidR="00D23591">
        <w:t>, at a more accelerated pace in some instances,</w:t>
      </w:r>
      <w:r w:rsidR="00AD07D7">
        <w:t xml:space="preserve"> that otherwise would not have been installed. This will </w:t>
      </w:r>
      <w:r w:rsidR="00271710">
        <w:t xml:space="preserve">generate </w:t>
      </w:r>
      <w:r w:rsidR="00FF62A5">
        <w:t>significant</w:t>
      </w:r>
      <w:r w:rsidR="00271710">
        <w:t xml:space="preserve"> benefits in terms of bill savings, </w:t>
      </w:r>
      <w:r w:rsidR="000F2EE0">
        <w:t xml:space="preserve">enhanced comfort and quality of life, </w:t>
      </w:r>
      <w:r w:rsidR="00271710">
        <w:t>avoided energy costs, avoided capacity costs, and avoided emissions.</w:t>
      </w:r>
    </w:p>
    <w:p w:rsidR="00AD07D7" w:rsidRPr="00EE5672" w:rsidRDefault="00AD07D7" w:rsidP="002B656E">
      <w:pPr>
        <w:pStyle w:val="answer"/>
        <w:rPr>
          <w:b/>
        </w:rPr>
      </w:pPr>
      <w:r w:rsidRPr="00EE5672">
        <w:rPr>
          <w:b/>
        </w:rPr>
        <w:t>Q.</w:t>
      </w:r>
      <w:r w:rsidRPr="00EE5672">
        <w:rPr>
          <w:b/>
        </w:rPr>
        <w:tab/>
        <w:t>Does that conclude your testimony?</w:t>
      </w:r>
    </w:p>
    <w:p w:rsidR="00AD07D7" w:rsidRPr="002B656E" w:rsidRDefault="00AD07D7" w:rsidP="002B656E">
      <w:pPr>
        <w:pStyle w:val="answer"/>
      </w:pPr>
      <w:r>
        <w:t>A.</w:t>
      </w:r>
      <w:r>
        <w:tab/>
        <w:t>Yes, it does.</w:t>
      </w:r>
    </w:p>
    <w:sectPr w:rsidR="00AD07D7" w:rsidRPr="002B656E" w:rsidSect="008E7864">
      <w:footerReference w:type="default" r:id="rId23"/>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F04" w:rsidRDefault="00C97F04">
      <w:r>
        <w:separator/>
      </w:r>
    </w:p>
  </w:endnote>
  <w:endnote w:type="continuationSeparator" w:id="0">
    <w:p w:rsidR="00C97F04" w:rsidRDefault="00C97F04">
      <w:r>
        <w:continuationSeparator/>
      </w:r>
    </w:p>
  </w:endnote>
  <w:endnote w:type="continuationNotice" w:id="1">
    <w:p w:rsidR="00C97F04" w:rsidRDefault="00C97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panose1 w:val="00000000000000000000"/>
    <w:charset w:val="00"/>
    <w:family w:val="swiss"/>
    <w:notTrueType/>
    <w:pitch w:val="variable"/>
    <w:sig w:usb0="00000003" w:usb1="00000000" w:usb2="00000000" w:usb3="00000000" w:csb0="00000001" w:csb1="00000000"/>
  </w:font>
  <w:font w:name="merriweather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2F" w:rsidRDefault="0047502F"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47502F" w:rsidRDefault="0047502F" w:rsidP="00480476">
    <w:pPr>
      <w:pStyle w:val="Footer"/>
      <w:tabs>
        <w:tab w:val="clear" w:pos="4507"/>
        <w:tab w:val="clear" w:pos="9000"/>
        <w:tab w:val="right" w:pos="8640"/>
      </w:tabs>
    </w:pPr>
    <w:r>
      <w:t>Prefiled Direct Testimony</w:t>
    </w:r>
    <w:r>
      <w:tab/>
      <w:t>Exhibit No. ___(</w:t>
    </w:r>
    <w:r w:rsidR="003E1AD7">
      <w:t>AF</w:t>
    </w:r>
    <w:r>
      <w:t>-IT)</w:t>
    </w:r>
  </w:p>
  <w:p w:rsidR="0047502F" w:rsidRDefault="0047502F" w:rsidP="00480476">
    <w:pPr>
      <w:pStyle w:val="Footer"/>
      <w:tabs>
        <w:tab w:val="clear" w:pos="4507"/>
        <w:tab w:val="clear" w:pos="9000"/>
        <w:tab w:val="right" w:pos="8640"/>
      </w:tabs>
      <w:rPr>
        <w:rStyle w:val="PageNumber"/>
      </w:rPr>
    </w:pPr>
    <w:r>
      <w:t>of Ahmad Faruqui</w:t>
    </w:r>
    <w:r w:rsidRPr="00371FB6">
      <w:t>, Ph.D.</w:t>
    </w:r>
    <w:r>
      <w:tab/>
      <w:t>Page </w:t>
    </w:r>
    <w:r>
      <w:rPr>
        <w:rStyle w:val="PageNumber"/>
      </w:rPr>
      <w:fldChar w:fldCharType="begin"/>
    </w:r>
    <w:r>
      <w:rPr>
        <w:rStyle w:val="PageNumber"/>
      </w:rPr>
      <w:instrText xml:space="preserve"> PAGE </w:instrText>
    </w:r>
    <w:r>
      <w:rPr>
        <w:rStyle w:val="PageNumber"/>
      </w:rPr>
      <w:fldChar w:fldCharType="separate"/>
    </w:r>
    <w:r w:rsidR="00987B63">
      <w:rPr>
        <w:rStyle w:val="PageNumber"/>
        <w:noProof/>
      </w:rPr>
      <w:t>i</w:t>
    </w:r>
    <w:r>
      <w:rPr>
        <w:rStyle w:val="PageNumber"/>
      </w:rPr>
      <w:fldChar w:fldCharType="end"/>
    </w:r>
    <w:r>
      <w:rPr>
        <w:rStyle w:val="PageNumber"/>
      </w:rPr>
      <w:t xml:space="preserve"> of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2F" w:rsidRDefault="0047502F"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47502F" w:rsidRDefault="0047502F" w:rsidP="00480476">
    <w:pPr>
      <w:pStyle w:val="Footer"/>
      <w:tabs>
        <w:tab w:val="clear" w:pos="4507"/>
        <w:tab w:val="clear" w:pos="9000"/>
        <w:tab w:val="right" w:pos="8640"/>
      </w:tabs>
    </w:pPr>
    <w:r>
      <w:t>Prefiled Direct Testimony</w:t>
    </w:r>
    <w:r>
      <w:tab/>
      <w:t>Exhibit No. ___(</w:t>
    </w:r>
    <w:r w:rsidR="003E1AD7">
      <w:t>AF</w:t>
    </w:r>
    <w:r>
      <w:t>-IT)</w:t>
    </w:r>
  </w:p>
  <w:p w:rsidR="0047502F" w:rsidRDefault="0047502F" w:rsidP="00480476">
    <w:pPr>
      <w:pStyle w:val="Footer"/>
      <w:tabs>
        <w:tab w:val="clear" w:pos="4507"/>
        <w:tab w:val="clear" w:pos="9000"/>
        <w:tab w:val="right" w:pos="8640"/>
      </w:tabs>
      <w:rPr>
        <w:rStyle w:val="PageNumber"/>
      </w:rPr>
    </w:pPr>
    <w:r>
      <w:t>of Ahmad Faruqui</w:t>
    </w:r>
    <w:r w:rsidRPr="00371FB6">
      <w:t>, Ph.D.</w:t>
    </w:r>
    <w:r>
      <w:tab/>
      <w:t>Page </w:t>
    </w:r>
    <w:r>
      <w:rPr>
        <w:rStyle w:val="PageNumber"/>
      </w:rPr>
      <w:fldChar w:fldCharType="begin"/>
    </w:r>
    <w:r>
      <w:rPr>
        <w:rStyle w:val="PageNumber"/>
      </w:rPr>
      <w:instrText xml:space="preserve"> PAGE </w:instrText>
    </w:r>
    <w:r>
      <w:rPr>
        <w:rStyle w:val="PageNumber"/>
      </w:rPr>
      <w:fldChar w:fldCharType="separate"/>
    </w:r>
    <w:r w:rsidR="00987B63">
      <w:rPr>
        <w:rStyle w:val="PageNumber"/>
        <w:noProof/>
      </w:rPr>
      <w:t>17</w:t>
    </w:r>
    <w:r>
      <w:rPr>
        <w:rStyle w:val="PageNumber"/>
      </w:rPr>
      <w:fldChar w:fldCharType="end"/>
    </w:r>
    <w:r>
      <w:rPr>
        <w:rStyle w:val="PageNumber"/>
      </w:rPr>
      <w:t xml:space="preserve"> of </w:t>
    </w:r>
    <w:r w:rsidR="00FA51B7">
      <w:rPr>
        <w:rStyle w:val="PageNumber"/>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F04" w:rsidRDefault="00C97F04">
      <w:r>
        <w:separator/>
      </w:r>
    </w:p>
  </w:footnote>
  <w:footnote w:type="continuationSeparator" w:id="0">
    <w:p w:rsidR="00C97F04" w:rsidRDefault="00C97F04">
      <w:r>
        <w:continuationSeparator/>
      </w:r>
    </w:p>
  </w:footnote>
  <w:footnote w:type="continuationNotice" w:id="1">
    <w:p w:rsidR="00C97F04" w:rsidRDefault="00C97F04"/>
  </w:footnote>
  <w:footnote w:id="2">
    <w:p w:rsidR="0047502F" w:rsidRPr="006C6F08" w:rsidRDefault="0047502F" w:rsidP="006C6F08">
      <w:pPr>
        <w:pStyle w:val="FootnoteText"/>
        <w:spacing w:before="0" w:line="240" w:lineRule="auto"/>
        <w:rPr>
          <w:sz w:val="21"/>
        </w:rPr>
      </w:pPr>
      <w:r w:rsidRPr="006C6F08">
        <w:rPr>
          <w:rStyle w:val="FootnoteReference"/>
          <w:sz w:val="21"/>
        </w:rPr>
        <w:footnoteRef/>
      </w:r>
      <w:r w:rsidRPr="006C6F08">
        <w:rPr>
          <w:sz w:val="21"/>
          <w:szCs w:val="21"/>
        </w:rPr>
        <w:t xml:space="preserve"> </w:t>
      </w:r>
      <w:r w:rsidRPr="006C6F08">
        <w:rPr>
          <w:sz w:val="21"/>
        </w:rPr>
        <w:t xml:space="preserve">Marilyn A. Brown, “Market failures and barriers as a basis for clean energy policies,” </w:t>
      </w:r>
      <w:r w:rsidRPr="006C6F08">
        <w:rPr>
          <w:i/>
          <w:sz w:val="21"/>
        </w:rPr>
        <w:t>Energy Policy</w:t>
      </w:r>
      <w:r w:rsidRPr="006C6F08">
        <w:rPr>
          <w:sz w:val="21"/>
        </w:rPr>
        <w:t xml:space="preserve"> 29 (2001): 1198.</w:t>
      </w:r>
    </w:p>
  </w:footnote>
  <w:footnote w:id="3">
    <w:p w:rsidR="0047502F" w:rsidRDefault="0047502F" w:rsidP="006C6F08">
      <w:pPr>
        <w:pStyle w:val="FootnoteText"/>
        <w:spacing w:before="120" w:line="240" w:lineRule="auto"/>
      </w:pPr>
      <w:r w:rsidRPr="006C6F08">
        <w:rPr>
          <w:rStyle w:val="FootnoteReference"/>
          <w:sz w:val="21"/>
        </w:rPr>
        <w:footnoteRef/>
      </w:r>
      <w:r w:rsidRPr="00D345E5">
        <w:rPr>
          <w:sz w:val="21"/>
          <w:szCs w:val="21"/>
        </w:rPr>
        <w:t xml:space="preserve"> </w:t>
      </w:r>
      <w:r w:rsidRPr="006C6F08">
        <w:rPr>
          <w:sz w:val="21"/>
        </w:rPr>
        <w:t>Kenneth Gillingham, Richard G. Newell, and Karen Palmer</w:t>
      </w:r>
      <w:r w:rsidRPr="006C6F08">
        <w:rPr>
          <w:sz w:val="21"/>
          <w:szCs w:val="21"/>
        </w:rPr>
        <w:t>,</w:t>
      </w:r>
      <w:r w:rsidRPr="006C6F08">
        <w:rPr>
          <w:sz w:val="21"/>
        </w:rPr>
        <w:t xml:space="preserve"> “Energy Efficiency Economics and Policy</w:t>
      </w:r>
      <w:r w:rsidRPr="006C6F08">
        <w:rPr>
          <w:sz w:val="21"/>
          <w:szCs w:val="21"/>
        </w:rPr>
        <w:t>,</w:t>
      </w:r>
      <w:r w:rsidRPr="006C6F08">
        <w:rPr>
          <w:sz w:val="21"/>
        </w:rPr>
        <w:t xml:space="preserve">” </w:t>
      </w:r>
      <w:r w:rsidRPr="006C6F08">
        <w:rPr>
          <w:i/>
          <w:sz w:val="21"/>
        </w:rPr>
        <w:t>Resources for the Future</w:t>
      </w:r>
      <w:r w:rsidRPr="006C6F08">
        <w:rPr>
          <w:sz w:val="21"/>
        </w:rPr>
        <w:t xml:space="preserve"> (2009): 7, accessed February 5, 2016, </w:t>
      </w:r>
      <w:hyperlink r:id="rId1" w:history="1">
        <w:r w:rsidRPr="006C6F08">
          <w:rPr>
            <w:rStyle w:val="Hyperlink"/>
            <w:sz w:val="21"/>
          </w:rPr>
          <w:t>http://www.rff.org/files/sharepoint/WorkImages/Download/RFF-DP-09-13.pdf</w:t>
        </w:r>
      </w:hyperlink>
      <w:r w:rsidRPr="006C6F08">
        <w:rPr>
          <w:sz w:val="21"/>
        </w:rPr>
        <w:t>.</w:t>
      </w:r>
    </w:p>
  </w:footnote>
  <w:footnote w:id="4">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William H. Golove and Joseph H. Eto, “Market Barriers to Energy Efficiency: A Critical Reappraisal of the Rationale for Public Policies to Promote Energy Efficiency,”</w:t>
      </w:r>
      <w:r w:rsidRPr="00C76540">
        <w:t xml:space="preserve"> </w:t>
      </w:r>
      <w:r w:rsidRPr="00C76540">
        <w:rPr>
          <w:i/>
        </w:rPr>
        <w:t xml:space="preserve">Lawrence Berkeley </w:t>
      </w:r>
      <w:r w:rsidRPr="006C6F08">
        <w:rPr>
          <w:i/>
          <w:sz w:val="21"/>
        </w:rPr>
        <w:t>National Laboratory</w:t>
      </w:r>
      <w:r w:rsidRPr="006C6F08">
        <w:rPr>
          <w:sz w:val="21"/>
        </w:rPr>
        <w:t xml:space="preserve"> (March 1996): 7, accessed February 3, 2016, </w:t>
      </w:r>
      <w:hyperlink r:id="rId2" w:history="1">
        <w:r w:rsidRPr="006C6F08">
          <w:rPr>
            <w:rStyle w:val="Hyperlink"/>
            <w:sz w:val="21"/>
          </w:rPr>
          <w:t>http://eetd.lbl.gov/sites/all/files/lbnl-38059.pdf</w:t>
        </w:r>
      </w:hyperlink>
      <w:r w:rsidRPr="006C6F08">
        <w:rPr>
          <w:sz w:val="21"/>
        </w:rPr>
        <w:t>.</w:t>
      </w:r>
    </w:p>
  </w:footnote>
  <w:footnote w:id="5">
    <w:p w:rsidR="0047502F" w:rsidRDefault="0047502F" w:rsidP="006C6F08">
      <w:pPr>
        <w:pStyle w:val="FootnoteText"/>
        <w:spacing w:before="120" w:line="240" w:lineRule="auto"/>
      </w:pPr>
      <w:r w:rsidRPr="006C6F08">
        <w:rPr>
          <w:rStyle w:val="FootnoteReference"/>
          <w:sz w:val="21"/>
        </w:rPr>
        <w:footnoteRef/>
      </w:r>
      <w:r w:rsidRPr="006C6F08">
        <w:rPr>
          <w:sz w:val="21"/>
        </w:rPr>
        <w:t xml:space="preserve"> Hannah Choi Granade et al., “Unlocking Energy Efficiency in the U.S. Economy,” </w:t>
      </w:r>
      <w:r w:rsidRPr="006C6F08">
        <w:rPr>
          <w:i/>
          <w:sz w:val="21"/>
        </w:rPr>
        <w:t>McKinsey Global Energy and Materials</w:t>
      </w:r>
      <w:r w:rsidRPr="006C6F08">
        <w:rPr>
          <w:sz w:val="21"/>
        </w:rPr>
        <w:t xml:space="preserve"> (July 2009): viii, accessed February 2, 2016, </w:t>
      </w:r>
      <w:hyperlink r:id="rId3" w:history="1">
        <w:r w:rsidRPr="009F7D96">
          <w:rPr>
            <w:rStyle w:val="Hyperlink"/>
          </w:rPr>
          <w:t>http://www.mckinsey.com/client_service/electric_power_and_natural_gas/latest_thinking/unlocking_energy_efficiency_in_the_us_economy</w:t>
        </w:r>
      </w:hyperlink>
      <w:r w:rsidRPr="00353C06">
        <w:t>.</w:t>
      </w:r>
    </w:p>
  </w:footnote>
  <w:footnote w:id="6">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Steve Sorrell, Alexandra Mallett, and Sheridan Nye, “Barriers to industrial energy efficiency: A literature review,” working paper for the United Nations Industrial Development Organization Industrial Development Report (2011): viii, accessed February 1, 2016, </w:t>
      </w:r>
      <w:hyperlink r:id="rId4" w:history="1">
        <w:r w:rsidRPr="006C6F08">
          <w:rPr>
            <w:rStyle w:val="Hyperlink"/>
            <w:sz w:val="21"/>
          </w:rPr>
          <w:t>https://www.unido.org/fileadmin/user_media/Services/Research_and_Statistics/WP102011_Ebook.pdf</w:t>
        </w:r>
      </w:hyperlink>
      <w:r w:rsidRPr="006C6F08">
        <w:rPr>
          <w:sz w:val="21"/>
        </w:rPr>
        <w:t>.</w:t>
      </w:r>
    </w:p>
  </w:footnote>
  <w:footnote w:id="7">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Carl Blumstein et al., “Overcoming Social and Institutional Barriers to Energy Conservation,” </w:t>
      </w:r>
      <w:r w:rsidRPr="006C6F08">
        <w:rPr>
          <w:i/>
          <w:sz w:val="21"/>
        </w:rPr>
        <w:t>Energy</w:t>
      </w:r>
      <w:r w:rsidRPr="006C6F08">
        <w:rPr>
          <w:sz w:val="21"/>
        </w:rPr>
        <w:t xml:space="preserve"> 5 (1980): 356-357.</w:t>
      </w:r>
    </w:p>
  </w:footnote>
  <w:footnote w:id="8">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Golove and Eto, 10.</w:t>
      </w:r>
    </w:p>
  </w:footnote>
  <w:footnote w:id="9">
    <w:p w:rsidR="0047502F" w:rsidRPr="00C76540" w:rsidRDefault="0047502F" w:rsidP="006C6F08">
      <w:pPr>
        <w:pStyle w:val="FootnoteText"/>
        <w:spacing w:before="120" w:line="240" w:lineRule="auto"/>
      </w:pPr>
      <w:r w:rsidRPr="006C6F08">
        <w:rPr>
          <w:rStyle w:val="FootnoteReference"/>
          <w:sz w:val="21"/>
        </w:rPr>
        <w:footnoteRef/>
      </w:r>
      <w:r w:rsidRPr="006C6F08">
        <w:rPr>
          <w:sz w:val="21"/>
          <w:vertAlign w:val="superscript"/>
        </w:rPr>
        <w:t xml:space="preserve"> </w:t>
      </w:r>
      <w:r w:rsidRPr="006C6F08">
        <w:rPr>
          <w:sz w:val="21"/>
        </w:rPr>
        <w:t xml:space="preserve">Marilyn A. Brown et al., “Carbon Lock-In: Barriers To Deploying Climate Change Mitigation Technologies,” </w:t>
      </w:r>
      <w:r w:rsidRPr="006C6F08">
        <w:rPr>
          <w:i/>
          <w:sz w:val="21"/>
        </w:rPr>
        <w:t>Oak Ridge National Laboratory</w:t>
      </w:r>
      <w:r w:rsidRPr="006C6F08">
        <w:rPr>
          <w:sz w:val="21"/>
        </w:rPr>
        <w:t xml:space="preserve"> (November 2007): 37-38.</w:t>
      </w:r>
    </w:p>
  </w:footnote>
  <w:footnote w:id="10">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Brown (2001), 1202.</w:t>
      </w:r>
    </w:p>
  </w:footnote>
  <w:footnote w:id="11">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Sorrell, Mallett, and Nye, viii.</w:t>
      </w:r>
    </w:p>
  </w:footnote>
  <w:footnote w:id="12">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Paul C. Stern and Elliot Aronson, </w:t>
      </w:r>
      <w:r w:rsidRPr="006C6F08">
        <w:rPr>
          <w:i/>
          <w:sz w:val="21"/>
        </w:rPr>
        <w:t>Energy Use: The Human Dimension</w:t>
      </w:r>
      <w:r w:rsidRPr="006C6F08">
        <w:rPr>
          <w:sz w:val="21"/>
        </w:rPr>
        <w:t xml:space="preserve"> (New York: W.H. Freeman and Company, 1984), 40, accessed February 3, 2016, </w:t>
      </w:r>
      <w:hyperlink r:id="rId5" w:history="1">
        <w:r w:rsidRPr="006C6F08">
          <w:rPr>
            <w:rStyle w:val="Hyperlink"/>
            <w:sz w:val="21"/>
          </w:rPr>
          <w:t>http://www.nap.edu/catalog/9259.html</w:t>
        </w:r>
      </w:hyperlink>
      <w:r w:rsidRPr="006C6F08">
        <w:rPr>
          <w:sz w:val="21"/>
        </w:rPr>
        <w:t>.</w:t>
      </w:r>
    </w:p>
  </w:footnote>
  <w:footnote w:id="13">
    <w:p w:rsidR="0047502F" w:rsidRDefault="0047502F" w:rsidP="006C6F08">
      <w:pPr>
        <w:pStyle w:val="FootnoteText"/>
        <w:spacing w:before="120" w:line="240" w:lineRule="auto"/>
      </w:pPr>
      <w:r w:rsidRPr="006C6F08">
        <w:rPr>
          <w:rStyle w:val="FootnoteReference"/>
          <w:sz w:val="21"/>
        </w:rPr>
        <w:footnoteRef/>
      </w:r>
      <w:r w:rsidRPr="006C6F08">
        <w:rPr>
          <w:sz w:val="21"/>
        </w:rPr>
        <w:t xml:space="preserve"> Patrik Thollander, Jenny Palm, and Patrik Rohdin, “Categorizing Barriers to Energy Efficiency: An Interdisciplinary Perspective,” in </w:t>
      </w:r>
      <w:r w:rsidRPr="006C6F08">
        <w:rPr>
          <w:i/>
          <w:sz w:val="21"/>
        </w:rPr>
        <w:t>Energy Efficiency</w:t>
      </w:r>
      <w:r w:rsidRPr="006C6F08">
        <w:rPr>
          <w:sz w:val="21"/>
        </w:rPr>
        <w:t xml:space="preserve">, ed. Jenny Palm, 53-54, (InTech, 2010), accessed February 1, 2016, </w:t>
      </w:r>
      <w:hyperlink r:id="rId6" w:history="1">
        <w:r w:rsidRPr="006C6F08">
          <w:rPr>
            <w:rStyle w:val="Hyperlink"/>
            <w:sz w:val="21"/>
          </w:rPr>
          <w:t>http://cdn.intechopen.com/pdfs/11463/InTech-Categorizing_barriers_to_energy_efficiency_an_interdisciplinary_perspective.pdf</w:t>
        </w:r>
      </w:hyperlink>
      <w:r w:rsidR="00373111">
        <w:rPr>
          <w:rStyle w:val="Hyperlink"/>
          <w:sz w:val="21"/>
        </w:rPr>
        <w:t>.</w:t>
      </w:r>
    </w:p>
  </w:footnote>
  <w:footnote w:id="14">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Amulya K.N. Reddy, “Barriers to improvements in energy efficiency,” </w:t>
      </w:r>
      <w:r w:rsidRPr="006C6F08">
        <w:rPr>
          <w:i/>
          <w:sz w:val="21"/>
        </w:rPr>
        <w:t>Energy Policy</w:t>
      </w:r>
      <w:r w:rsidRPr="006C6F08">
        <w:rPr>
          <w:sz w:val="21"/>
        </w:rPr>
        <w:t xml:space="preserve"> (1991): 954, accessed February 5, 2016, </w:t>
      </w:r>
      <w:hyperlink r:id="rId7" w:history="1">
        <w:r w:rsidRPr="006C6F08">
          <w:rPr>
            <w:rStyle w:val="Hyperlink"/>
            <w:sz w:val="21"/>
          </w:rPr>
          <w:t>http://josiah.berkeley.edu/2008Spring/ER291/Readings/2.27-3.04/AKN_Reddy-Barriers-1991.pdf</w:t>
        </w:r>
      </w:hyperlink>
      <w:r w:rsidRPr="006C6F08">
        <w:rPr>
          <w:sz w:val="21"/>
        </w:rPr>
        <w:t>.</w:t>
      </w:r>
    </w:p>
  </w:footnote>
  <w:footnote w:id="15">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Daniel Kahneman and Amos Tversky, “Prospect Theory: An Analysis of Decision under Risk,” </w:t>
      </w:r>
      <w:r w:rsidRPr="006C6F08">
        <w:rPr>
          <w:i/>
          <w:sz w:val="21"/>
        </w:rPr>
        <w:t>Econometrica</w:t>
      </w:r>
      <w:r w:rsidRPr="006C6F08">
        <w:rPr>
          <w:sz w:val="21"/>
        </w:rPr>
        <w:t xml:space="preserve"> 47 (1979): 263, accessed February 3, 2016, </w:t>
      </w:r>
      <w:hyperlink r:id="rId8" w:history="1">
        <w:r w:rsidRPr="006C6F08">
          <w:rPr>
            <w:rStyle w:val="Hyperlink"/>
            <w:sz w:val="21"/>
          </w:rPr>
          <w:t>http://people.hss.caltech.edu/~camerer/Ec101/ProspectTheory.pdf</w:t>
        </w:r>
      </w:hyperlink>
      <w:r w:rsidRPr="006C6F08">
        <w:rPr>
          <w:sz w:val="21"/>
        </w:rPr>
        <w:t>.</w:t>
      </w:r>
    </w:p>
  </w:footnote>
  <w:footnote w:id="16">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Elke U. Weber and Eric J. Johnson, “Psychology and Behavioral Economics: Lessons for the Design of a Green Growth Strategy,” </w:t>
      </w:r>
      <w:r w:rsidRPr="006C6F08">
        <w:rPr>
          <w:i/>
          <w:sz w:val="21"/>
        </w:rPr>
        <w:t>The World Bank</w:t>
      </w:r>
      <w:r w:rsidRPr="006C6F08">
        <w:rPr>
          <w:sz w:val="21"/>
        </w:rPr>
        <w:t xml:space="preserve"> (October 2012): 19, accessed February 1, 2016, </w:t>
      </w:r>
      <w:hyperlink r:id="rId9" w:history="1">
        <w:r w:rsidRPr="006C6F08">
          <w:rPr>
            <w:rStyle w:val="Hyperlink"/>
            <w:sz w:val="21"/>
          </w:rPr>
          <w:t>http://www-wds.worldbank.org/external/default/WDSContentServer/WDSP/IB/2012/10/17/000158349_20121017141002/Rendered/PDF/wps6240.pdf</w:t>
        </w:r>
      </w:hyperlink>
      <w:r w:rsidRPr="006C6F08">
        <w:rPr>
          <w:sz w:val="21"/>
        </w:rPr>
        <w:t>.</w:t>
      </w:r>
    </w:p>
  </w:footnote>
  <w:footnote w:id="17">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Sorrell, Mallett, and Nye, viii and 17; Alan H. Sanstad and Richard B. Howarth, “‘Normal’ markets, market imperfections and energy efficiency,” </w:t>
      </w:r>
      <w:r w:rsidRPr="006C6F08">
        <w:rPr>
          <w:i/>
          <w:sz w:val="21"/>
        </w:rPr>
        <w:t>Energy Policy</w:t>
      </w:r>
      <w:r w:rsidRPr="006C6F08">
        <w:rPr>
          <w:sz w:val="21"/>
        </w:rPr>
        <w:t xml:space="preserve"> 22 (1994): 814, accessed February 3, 2016, </w:t>
      </w:r>
      <w:hyperlink r:id="rId10" w:history="1">
        <w:r w:rsidRPr="006C6F08">
          <w:rPr>
            <w:rStyle w:val="Hyperlink"/>
            <w:sz w:val="21"/>
          </w:rPr>
          <w:t>http://www.sciencedirect.com/science/article/pii/0301421594901392</w:t>
        </w:r>
      </w:hyperlink>
      <w:r w:rsidRPr="006C6F08">
        <w:rPr>
          <w:sz w:val="21"/>
        </w:rPr>
        <w:t>.</w:t>
      </w:r>
    </w:p>
  </w:footnote>
  <w:footnote w:id="18">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Blumstein et al., 356.</w:t>
      </w:r>
    </w:p>
  </w:footnote>
  <w:footnote w:id="19">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Thollander Palm, and Rohdin, 52; Sorrell Mallett, and Nye, 17.</w:t>
      </w:r>
    </w:p>
  </w:footnote>
  <w:footnote w:id="20">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Lowell Ungar et al., “Guiding the Invisible Hand: Policies to Address Market Barriers to Energy Efficiency,” </w:t>
      </w:r>
      <w:r w:rsidRPr="006C6F08">
        <w:rPr>
          <w:i/>
          <w:sz w:val="21"/>
        </w:rPr>
        <w:t>American Council for an Energy-Efficient Economy Summer Study on Energy Efficiency in Buildings</w:t>
      </w:r>
      <w:r w:rsidRPr="006C6F08">
        <w:rPr>
          <w:sz w:val="21"/>
        </w:rPr>
        <w:t xml:space="preserve"> (2012): 6-323, accessed February 1, 2016, </w:t>
      </w:r>
      <w:hyperlink r:id="rId11" w:history="1">
        <w:r w:rsidRPr="006C6F08">
          <w:rPr>
            <w:rStyle w:val="Hyperlink"/>
            <w:sz w:val="21"/>
          </w:rPr>
          <w:t>http://aceee.org/files/proceedings/2012/data/papers/0193-000214.pdf</w:t>
        </w:r>
      </w:hyperlink>
      <w:r w:rsidRPr="006C6F08">
        <w:rPr>
          <w:sz w:val="21"/>
        </w:rPr>
        <w:t>.</w:t>
      </w:r>
    </w:p>
  </w:footnote>
  <w:footnote w:id="21">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Stern and Aronson, 40.</w:t>
      </w:r>
    </w:p>
  </w:footnote>
  <w:footnote w:id="22">
    <w:p w:rsidR="0047502F" w:rsidRDefault="0047502F" w:rsidP="006C6F08">
      <w:pPr>
        <w:pStyle w:val="FootnoteText"/>
        <w:spacing w:before="120" w:line="240" w:lineRule="auto"/>
      </w:pPr>
      <w:r w:rsidRPr="006C6F08">
        <w:rPr>
          <w:rStyle w:val="FootnoteReference"/>
          <w:sz w:val="21"/>
        </w:rPr>
        <w:footnoteRef/>
      </w:r>
      <w:r w:rsidRPr="006C6F08">
        <w:rPr>
          <w:sz w:val="21"/>
        </w:rPr>
        <w:t xml:space="preserve"> Granade et al., viii.</w:t>
      </w:r>
    </w:p>
  </w:footnote>
  <w:footnote w:id="23">
    <w:p w:rsidR="0047502F" w:rsidRDefault="0047502F" w:rsidP="006C6F08">
      <w:pPr>
        <w:pStyle w:val="FootnoteText"/>
        <w:spacing w:before="120" w:line="240" w:lineRule="auto"/>
      </w:pPr>
      <w:r w:rsidRPr="006C6F08">
        <w:rPr>
          <w:rStyle w:val="FootnoteReference"/>
          <w:sz w:val="21"/>
        </w:rPr>
        <w:footnoteRef/>
      </w:r>
      <w:r>
        <w:t xml:space="preserve"> </w:t>
      </w:r>
      <w:r w:rsidRPr="009872F0">
        <w:t>Stern and Aronson, 40.</w:t>
      </w:r>
    </w:p>
  </w:footnote>
  <w:footnote w:id="24">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Sanstad and Howarth, 814.</w:t>
      </w:r>
    </w:p>
  </w:footnote>
  <w:footnote w:id="25">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Ibid.</w:t>
      </w:r>
    </w:p>
  </w:footnote>
  <w:footnote w:id="26">
    <w:p w:rsidR="0047502F" w:rsidRDefault="0047502F" w:rsidP="006C6F08">
      <w:pPr>
        <w:pStyle w:val="FootnoteText"/>
        <w:spacing w:before="120" w:line="240" w:lineRule="auto"/>
      </w:pPr>
      <w:r w:rsidRPr="006C6F08">
        <w:rPr>
          <w:rStyle w:val="FootnoteReference"/>
          <w:sz w:val="21"/>
        </w:rPr>
        <w:footnoteRef/>
      </w:r>
      <w:r w:rsidRPr="006C6F08">
        <w:rPr>
          <w:sz w:val="21"/>
        </w:rPr>
        <w:t xml:space="preserve"> Stern and Aronson, 45.</w:t>
      </w:r>
    </w:p>
  </w:footnote>
  <w:footnote w:id="27">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Sorrell Mallett, and Nye, 17.</w:t>
      </w:r>
    </w:p>
  </w:footnote>
  <w:footnote w:id="28">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David Laibson, “Golden Eggs and Hyperbolic Discounting,” </w:t>
      </w:r>
      <w:r w:rsidRPr="006C6F08">
        <w:rPr>
          <w:i/>
          <w:sz w:val="21"/>
        </w:rPr>
        <w:t>Quarterly Journal of Economics</w:t>
      </w:r>
      <w:r w:rsidRPr="006C6F08">
        <w:rPr>
          <w:sz w:val="21"/>
        </w:rPr>
        <w:t xml:space="preserve"> (1997): 449, accessed February 3, 2016, </w:t>
      </w:r>
      <w:hyperlink r:id="rId12" w:history="1">
        <w:r w:rsidRPr="006C6F08">
          <w:rPr>
            <w:rStyle w:val="Hyperlink"/>
            <w:sz w:val="21"/>
          </w:rPr>
          <w:t>http://harbaugh.uoregon.edu/Readings/Time/Laibson%201997%20QJE,%20Golden%20eggs%20and%20hyperbolic%20discounting.pdf</w:t>
        </w:r>
      </w:hyperlink>
      <w:r w:rsidRPr="006C6F08">
        <w:rPr>
          <w:sz w:val="21"/>
        </w:rPr>
        <w:t>.</w:t>
      </w:r>
    </w:p>
  </w:footnote>
  <w:footnote w:id="29">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Weber and Johnson, 16.</w:t>
      </w:r>
    </w:p>
  </w:footnote>
  <w:footnote w:id="30">
    <w:p w:rsidR="0047502F" w:rsidRDefault="0047502F" w:rsidP="006C6F08">
      <w:pPr>
        <w:pStyle w:val="FootnoteText"/>
        <w:spacing w:before="120" w:line="240" w:lineRule="auto"/>
      </w:pPr>
      <w:r w:rsidRPr="006C6F08">
        <w:rPr>
          <w:rStyle w:val="FootnoteReference"/>
          <w:sz w:val="21"/>
        </w:rPr>
        <w:footnoteRef/>
      </w:r>
      <w:r w:rsidRPr="006C6F08">
        <w:rPr>
          <w:sz w:val="21"/>
        </w:rPr>
        <w:t xml:space="preserve"> Colin F. Camerer and George Loewenstein, “Behavioral Economics: Past, Present, Future,” in </w:t>
      </w:r>
      <w:r w:rsidRPr="006C6F08">
        <w:rPr>
          <w:i/>
          <w:sz w:val="21"/>
        </w:rPr>
        <w:t>Advances in Behavioral Economics</w:t>
      </w:r>
      <w:r w:rsidRPr="006C6F08">
        <w:rPr>
          <w:sz w:val="21"/>
        </w:rPr>
        <w:t xml:space="preserve">, ed. Colin F. Camerer, George Loewenstein, and Matthew Rabin, 22 (Princeton: Princeton University Press, 2004), accessed February 3, 2016, </w:t>
      </w:r>
      <w:hyperlink r:id="rId13" w:history="1">
        <w:r w:rsidRPr="006C6F08">
          <w:rPr>
            <w:rStyle w:val="Hyperlink"/>
            <w:sz w:val="21"/>
          </w:rPr>
          <w:t>http://www.cmu.edu/dietrich/sds/docs/loewenstein/BehEconPastPresentFuture.pdf</w:t>
        </w:r>
      </w:hyperlink>
      <w:r w:rsidRPr="006C6F08">
        <w:rPr>
          <w:sz w:val="21"/>
        </w:rPr>
        <w:t>.</w:t>
      </w:r>
    </w:p>
  </w:footnote>
  <w:footnote w:id="31">
    <w:p w:rsidR="0047502F" w:rsidRDefault="0047502F" w:rsidP="006C6F08">
      <w:pPr>
        <w:pStyle w:val="FootnoteText"/>
        <w:spacing w:before="120" w:line="240" w:lineRule="auto"/>
      </w:pPr>
      <w:r>
        <w:rPr>
          <w:rStyle w:val="FootnoteReference"/>
        </w:rPr>
        <w:footnoteRef/>
      </w:r>
      <w:r>
        <w:t xml:space="preserve"> Ibid, 23.</w:t>
      </w:r>
    </w:p>
  </w:footnote>
  <w:footnote w:id="32">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Brown (2007), 30.</w:t>
      </w:r>
    </w:p>
  </w:footnote>
  <w:footnote w:id="33">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Blumstein et al., 355.</w:t>
      </w:r>
    </w:p>
  </w:footnote>
  <w:footnote w:id="34">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Brown (2007), 30.</w:t>
      </w:r>
    </w:p>
  </w:footnote>
  <w:footnote w:id="35">
    <w:p w:rsidR="0047502F" w:rsidRDefault="0047502F" w:rsidP="006C6F08">
      <w:pPr>
        <w:pStyle w:val="FootnoteText"/>
        <w:spacing w:before="120" w:line="240" w:lineRule="auto"/>
      </w:pPr>
      <w:r w:rsidRPr="006C6F08">
        <w:rPr>
          <w:rStyle w:val="FootnoteReference"/>
          <w:sz w:val="21"/>
        </w:rPr>
        <w:footnoteRef/>
      </w:r>
      <w:r w:rsidRPr="006C6F08">
        <w:rPr>
          <w:sz w:val="21"/>
        </w:rPr>
        <w:t xml:space="preserve"> American Council </w:t>
      </w:r>
      <w:r w:rsidRPr="00D345E5">
        <w:rPr>
          <w:sz w:val="21"/>
          <w:szCs w:val="21"/>
        </w:rPr>
        <w:t>for</w:t>
      </w:r>
      <w:r w:rsidRPr="006C6F08">
        <w:rPr>
          <w:sz w:val="21"/>
        </w:rPr>
        <w:t xml:space="preserve"> an Energy-Efficient Economy (ACEEE) website: </w:t>
      </w:r>
      <w:hyperlink r:id="rId14" w:history="1">
        <w:r w:rsidRPr="006C6F08">
          <w:rPr>
            <w:rStyle w:val="Hyperlink"/>
            <w:sz w:val="21"/>
          </w:rPr>
          <w:t>http://aceee.org/portal/programs</w:t>
        </w:r>
      </w:hyperlink>
      <w:r w:rsidRPr="006C6F08">
        <w:rPr>
          <w:sz w:val="21"/>
        </w:rPr>
        <w:t>, accessed February 20, 2016.</w:t>
      </w:r>
    </w:p>
  </w:footnote>
  <w:footnote w:id="36">
    <w:p w:rsidR="00A246DD" w:rsidRPr="006C6F08" w:rsidRDefault="00A246DD" w:rsidP="00A246DD">
      <w:pPr>
        <w:pStyle w:val="FootnoteText"/>
        <w:spacing w:before="120" w:line="240" w:lineRule="auto"/>
        <w:rPr>
          <w:sz w:val="21"/>
        </w:rPr>
      </w:pPr>
      <w:r w:rsidRPr="006C6F08">
        <w:rPr>
          <w:rStyle w:val="FootnoteReference"/>
          <w:sz w:val="21"/>
        </w:rPr>
        <w:footnoteRef/>
      </w:r>
      <w:r w:rsidRPr="006C6F08">
        <w:rPr>
          <w:sz w:val="21"/>
        </w:rPr>
        <w:t xml:space="preserve"> Matthew McCaffree, “Alternative Financing Mechanisms for Energy Efficiency,” </w:t>
      </w:r>
      <w:r w:rsidRPr="006C6F08">
        <w:rPr>
          <w:i/>
          <w:sz w:val="21"/>
        </w:rPr>
        <w:t>Institute for Electric Efficiency, The Edison Foundation</w:t>
      </w:r>
      <w:r w:rsidRPr="006C6F08">
        <w:rPr>
          <w:sz w:val="21"/>
        </w:rPr>
        <w:t xml:space="preserve"> (February 2010): 1, accessed February 1, 2016, </w:t>
      </w:r>
      <w:hyperlink r:id="rId15" w:history="1">
        <w:r w:rsidRPr="006C6F08">
          <w:rPr>
            <w:rStyle w:val="Hyperlink"/>
            <w:sz w:val="21"/>
          </w:rPr>
          <w:t>http://www.edisonfoundation.net/iei/Documents/IEE_AltFinancingMech_McCaffree.pdf</w:t>
        </w:r>
      </w:hyperlink>
      <w:r w:rsidRPr="006C6F08">
        <w:rPr>
          <w:sz w:val="21"/>
        </w:rPr>
        <w:t>.</w:t>
      </w:r>
    </w:p>
  </w:footnote>
  <w:footnote w:id="37">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w:t>
      </w:r>
      <w:r w:rsidR="00670D18">
        <w:rPr>
          <w:sz w:val="21"/>
        </w:rPr>
        <w:t>Third Exhibit to the Prefiled Testimony of Malcolm B. McCulloch, Exhibit. No. ___(MBM-4</w:t>
      </w:r>
      <w:r w:rsidR="003B4EBD">
        <w:rPr>
          <w:sz w:val="21"/>
        </w:rPr>
        <w:t>)</w:t>
      </w:r>
      <w:r w:rsidR="00670D18">
        <w:rPr>
          <w:sz w:val="21"/>
        </w:rPr>
        <w:t>.</w:t>
      </w:r>
    </w:p>
  </w:footnote>
  <w:footnote w:id="38">
    <w:p w:rsidR="00765607" w:rsidRDefault="00765607">
      <w:pPr>
        <w:pStyle w:val="FootnoteText"/>
      </w:pPr>
      <w:r>
        <w:rPr>
          <w:rStyle w:val="FootnoteReference"/>
        </w:rPr>
        <w:footnoteRef/>
      </w:r>
      <w:r>
        <w:t xml:space="preserve"> PSE Analysis.</w:t>
      </w:r>
    </w:p>
  </w:footnote>
  <w:footnote w:id="39">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PSE Vendor Feedback.</w:t>
      </w:r>
    </w:p>
  </w:footnote>
  <w:footnote w:id="40">
    <w:p w:rsidR="0047502F" w:rsidRDefault="0047502F" w:rsidP="006C6F08">
      <w:pPr>
        <w:pStyle w:val="FootnoteText"/>
        <w:spacing w:before="120" w:line="240" w:lineRule="auto"/>
      </w:pPr>
      <w:r w:rsidRPr="006C6F08">
        <w:rPr>
          <w:rStyle w:val="FootnoteReference"/>
          <w:sz w:val="21"/>
        </w:rPr>
        <w:footnoteRef/>
      </w:r>
      <w:r w:rsidRPr="006C6F08">
        <w:rPr>
          <w:sz w:val="21"/>
        </w:rPr>
        <w:t xml:space="preserve"> (1,312,189 premises) * (65% of customers have a gas furnace) * (23% of customers are likely to accept a lease) * (65% of customers have eligible credit) * (80% of customers have viable housing stock) = 102,010 residential gas furnaces.</w:t>
      </w:r>
    </w:p>
  </w:footnote>
  <w:footnote w:id="41">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PSE </w:t>
      </w:r>
      <w:r w:rsidR="006B46FB">
        <w:rPr>
          <w:sz w:val="21"/>
        </w:rPr>
        <w:t>Lease Solutions, gas furnace lease term.</w:t>
      </w:r>
    </w:p>
  </w:footnote>
  <w:footnote w:id="42">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(102,010 residential gas furnaces likely and eligible to lease) / (17 years) = 6,001 residential gas furnaces.</w:t>
      </w:r>
    </w:p>
  </w:footnote>
  <w:footnote w:id="43">
    <w:p w:rsidR="0047502F" w:rsidRDefault="0047502F" w:rsidP="006C6F08">
      <w:pPr>
        <w:pStyle w:val="FootnoteText"/>
        <w:spacing w:before="120" w:line="240" w:lineRule="auto"/>
      </w:pPr>
      <w:r w:rsidRPr="006C6F08">
        <w:rPr>
          <w:rStyle w:val="FootnoteReference"/>
          <w:sz w:val="21"/>
        </w:rPr>
        <w:footnoteRef/>
      </w:r>
      <w:r w:rsidRPr="006C6F08">
        <w:rPr>
          <w:sz w:val="21"/>
        </w:rPr>
        <w:t xml:space="preserve">  </w:t>
      </w:r>
      <w:r w:rsidR="009E28CC">
        <w:rPr>
          <w:sz w:val="21"/>
        </w:rPr>
        <w:t xml:space="preserve">The estimate of 22 percent is calculated using the age distribution of equipment obtained from the survey.  I prorated the number of units in the 16-20 year group in order to only include those units which were over the useful life of 17 years.  </w:t>
      </w:r>
      <w:r w:rsidR="009E28CC" w:rsidRPr="003B532A">
        <w:rPr>
          <w:i/>
          <w:sz w:val="21"/>
        </w:rPr>
        <w:t>See</w:t>
      </w:r>
      <w:r w:rsidR="009E28CC">
        <w:rPr>
          <w:sz w:val="21"/>
        </w:rPr>
        <w:t xml:space="preserve"> Exhibit No. ___(AF-3), </w:t>
      </w:r>
      <w:r w:rsidRPr="006C6F08">
        <w:rPr>
          <w:sz w:val="21"/>
        </w:rPr>
        <w:t xml:space="preserve">Puget Sound Energy Equipment Leasing </w:t>
      </w:r>
      <w:r w:rsidR="003B532A">
        <w:rPr>
          <w:sz w:val="21"/>
        </w:rPr>
        <w:t xml:space="preserve">Survey, Table Q12 Page 12 (Attachment A </w:t>
      </w:r>
      <w:r w:rsidRPr="006C6F08">
        <w:rPr>
          <w:sz w:val="21"/>
        </w:rPr>
        <w:t>3.Equipme</w:t>
      </w:r>
      <w:r w:rsidR="003B532A">
        <w:rPr>
          <w:sz w:val="21"/>
        </w:rPr>
        <w:t>nt Leasing Crosstab Banner).</w:t>
      </w:r>
    </w:p>
  </w:footnote>
  <w:footnote w:id="44">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To keep the model parsimonious, we assume that the number of customers replacing equipment remains constant across years. Mechanically this implies that the pool of customers who continue to operate equipment beyond it useful life remains constant and consequently that the number of customers exiting this pool in a given year is matched by those entering.</w:t>
      </w:r>
    </w:p>
  </w:footnote>
  <w:footnote w:id="45">
    <w:p w:rsidR="0047502F" w:rsidRDefault="0047502F">
      <w:pPr>
        <w:pStyle w:val="FootnoteText"/>
      </w:pPr>
      <w:r>
        <w:rPr>
          <w:rStyle w:val="FootnoteReference"/>
        </w:rPr>
        <w:footnoteRef/>
      </w:r>
      <w:r>
        <w:t xml:space="preserve"> PSE’s 2016-2017 approved conservation plan</w:t>
      </w:r>
    </w:p>
  </w:footnote>
  <w:footnote w:id="46">
    <w:p w:rsidR="007605AD" w:rsidRDefault="007605AD">
      <w:pPr>
        <w:pStyle w:val="FootnoteText"/>
      </w:pPr>
      <w:r>
        <w:rPr>
          <w:rStyle w:val="FootnoteReference"/>
        </w:rPr>
        <w:footnoteRef/>
      </w:r>
      <w:r>
        <w:t xml:space="preserve"> I assume that additional savings of 20 percent applies to all accelerated units, not just to furnaces.</w:t>
      </w:r>
    </w:p>
  </w:footnote>
  <w:footnote w:id="47">
    <w:p w:rsidR="004E1F2E" w:rsidRDefault="004E1F2E" w:rsidP="004E1F2E">
      <w:pPr>
        <w:pStyle w:val="FootnoteText"/>
      </w:pPr>
      <w:r>
        <w:rPr>
          <w:rStyle w:val="FootnoteReference"/>
        </w:rPr>
        <w:footnoteRef/>
      </w:r>
      <w:r>
        <w:t xml:space="preserve"> </w:t>
      </w:r>
      <w:r>
        <w:rPr>
          <w:sz w:val="21"/>
        </w:rPr>
        <w:t xml:space="preserve">The estimate of 15 percent is calculated by looking at the probability of acceleration in the survey of customers </w:t>
      </w:r>
      <w:r w:rsidRPr="00420C8F">
        <w:rPr>
          <w:sz w:val="21"/>
        </w:rPr>
        <w:t>conditional on their equipment age</w:t>
      </w:r>
      <w:r>
        <w:rPr>
          <w:sz w:val="21"/>
        </w:rPr>
        <w:t xml:space="preserve">. I prorated the number of units in the 16-20 year group in order to only include those units which were over the useful life of 17 years. </w:t>
      </w:r>
      <w:r w:rsidR="00FA51B7">
        <w:rPr>
          <w:i/>
          <w:sz w:val="21"/>
        </w:rPr>
        <w:t xml:space="preserve">See </w:t>
      </w:r>
      <w:r w:rsidR="00FA51B7">
        <w:rPr>
          <w:sz w:val="21"/>
        </w:rPr>
        <w:t xml:space="preserve"> Exhibit No. ___(AF-3) </w:t>
      </w:r>
      <w:r w:rsidRPr="006C6F08">
        <w:rPr>
          <w:sz w:val="21"/>
        </w:rPr>
        <w:t>Puget Sound Energy Equipment Leasing Survey, Table Q12 Page 12</w:t>
      </w:r>
      <w:r w:rsidR="003B532A">
        <w:rPr>
          <w:sz w:val="21"/>
        </w:rPr>
        <w:t xml:space="preserve"> (Attachment B 4</w:t>
      </w:r>
      <w:r w:rsidRPr="006C6F08">
        <w:rPr>
          <w:sz w:val="21"/>
        </w:rPr>
        <w:t>.Equ</w:t>
      </w:r>
      <w:r w:rsidR="003B532A">
        <w:rPr>
          <w:sz w:val="21"/>
        </w:rPr>
        <w:t>ipment Leasing Crosstab Banner).</w:t>
      </w:r>
    </w:p>
  </w:footnote>
  <w:footnote w:id="48">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(6,001 units) * (22%) </w:t>
      </w:r>
      <w:r>
        <w:rPr>
          <w:sz w:val="21"/>
        </w:rPr>
        <w:t>*</w:t>
      </w:r>
      <w:r w:rsidRPr="006C6F08">
        <w:rPr>
          <w:sz w:val="21"/>
        </w:rPr>
        <w:t xml:space="preserve"> (15%) = 198 units.</w:t>
      </w:r>
    </w:p>
  </w:footnote>
  <w:footnote w:id="49">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Puget Sound Energy, Figure: Northwest Energy Efficiency Alliance’s 2012 residential Building Stock Assessment, Letter to Washington Utilities Transportation Commission, “Docket No. UE-151871 (Advice 2015-23) Substitute Tariff Filing,” November 6, 2015, p. 2.</w:t>
      </w:r>
    </w:p>
  </w:footnote>
  <w:footnote w:id="50">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(119 therms) * (20% additional efficiency savings for replacement of aged equipment) = 23.8 therms.</w:t>
      </w:r>
    </w:p>
  </w:footnote>
  <w:footnote w:id="51">
    <w:p w:rsidR="0047502F" w:rsidRDefault="0047502F" w:rsidP="006C6F08">
      <w:pPr>
        <w:pStyle w:val="FootnoteText"/>
        <w:spacing w:before="120" w:line="240" w:lineRule="auto"/>
      </w:pPr>
      <w:r w:rsidRPr="006C6F08">
        <w:rPr>
          <w:rStyle w:val="FootnoteReference"/>
          <w:sz w:val="21"/>
        </w:rPr>
        <w:footnoteRef/>
      </w:r>
      <w:r w:rsidRPr="006C6F08">
        <w:rPr>
          <w:sz w:val="21"/>
        </w:rPr>
        <w:t xml:space="preserve"> (6,001 units) </w:t>
      </w:r>
      <w:r>
        <w:rPr>
          <w:sz w:val="21"/>
        </w:rPr>
        <w:t>*</w:t>
      </w:r>
      <w:r w:rsidRPr="006C6F08">
        <w:rPr>
          <w:sz w:val="21"/>
        </w:rPr>
        <w:t xml:space="preserve"> (119 therms) = 714,119 therms for 17 years, the full useful life of residential gas furnaces. (198 units) </w:t>
      </w:r>
      <w:r>
        <w:rPr>
          <w:sz w:val="21"/>
        </w:rPr>
        <w:t>*</w:t>
      </w:r>
      <w:r w:rsidRPr="006C6F08">
        <w:rPr>
          <w:sz w:val="21"/>
        </w:rPr>
        <w:t xml:space="preserve"> (23.8 therms) = 4,712 therms for six years, the additional years of benefits due to accelerated replacement. 714,119 + 4,712 = 718,831 therms for the first 11 years.</w:t>
      </w:r>
    </w:p>
  </w:footnote>
  <w:footnote w:id="52">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($0.</w:t>
      </w:r>
      <w:r>
        <w:rPr>
          <w:sz w:val="21"/>
        </w:rPr>
        <w:t>40</w:t>
      </w:r>
      <w:r w:rsidRPr="006C6F08">
        <w:rPr>
          <w:sz w:val="21"/>
        </w:rPr>
        <w:t>/therm) * (718,831 therms) = $28</w:t>
      </w:r>
      <w:r>
        <w:rPr>
          <w:sz w:val="21"/>
        </w:rPr>
        <w:t>7</w:t>
      </w:r>
      <w:r w:rsidRPr="006C6F08">
        <w:rPr>
          <w:sz w:val="21"/>
        </w:rPr>
        <w:t>,</w:t>
      </w:r>
      <w:r>
        <w:rPr>
          <w:sz w:val="21"/>
        </w:rPr>
        <w:t>532</w:t>
      </w:r>
      <w:r w:rsidRPr="006C6F08">
        <w:rPr>
          <w:sz w:val="21"/>
        </w:rPr>
        <w:t>.</w:t>
      </w:r>
    </w:p>
  </w:footnote>
  <w:footnote w:id="53">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($1.</w:t>
      </w:r>
      <w:r>
        <w:rPr>
          <w:sz w:val="21"/>
        </w:rPr>
        <w:t>35</w:t>
      </w:r>
      <w:r w:rsidRPr="006C6F08">
        <w:rPr>
          <w:sz w:val="21"/>
        </w:rPr>
        <w:t>/therm) * (718,831 therms) = $9</w:t>
      </w:r>
      <w:r>
        <w:rPr>
          <w:sz w:val="21"/>
        </w:rPr>
        <w:t>7</w:t>
      </w:r>
      <w:r w:rsidRPr="006C6F08">
        <w:rPr>
          <w:sz w:val="21"/>
        </w:rPr>
        <w:t>0,</w:t>
      </w:r>
      <w:r>
        <w:rPr>
          <w:sz w:val="21"/>
        </w:rPr>
        <w:t>422</w:t>
      </w:r>
      <w:r w:rsidRPr="006C6F08">
        <w:rPr>
          <w:sz w:val="21"/>
        </w:rPr>
        <w:t>.</w:t>
      </w:r>
    </w:p>
  </w:footnote>
  <w:footnote w:id="54">
    <w:p w:rsidR="0047502F" w:rsidRPr="006C6F08" w:rsidRDefault="0047502F" w:rsidP="006C6F08">
      <w:pPr>
        <w:pStyle w:val="FootnoteText"/>
        <w:spacing w:before="120" w:line="240" w:lineRule="auto"/>
        <w:rPr>
          <w:sz w:val="21"/>
        </w:rPr>
      </w:pPr>
      <w:r w:rsidRPr="006C6F08">
        <w:rPr>
          <w:rStyle w:val="FootnoteReference"/>
          <w:sz w:val="21"/>
        </w:rPr>
        <w:footnoteRef/>
      </w:r>
      <w:r w:rsidRPr="006C6F08">
        <w:rPr>
          <w:sz w:val="21"/>
        </w:rPr>
        <w:t xml:space="preserve"> Factor developed by the Environmental Protection Agency for the Mandatory Reporting Rule (40 CFR Part 98).</w:t>
      </w:r>
    </w:p>
  </w:footnote>
  <w:footnote w:id="55">
    <w:p w:rsidR="0047502F" w:rsidRDefault="0047502F" w:rsidP="006C6F08">
      <w:pPr>
        <w:pStyle w:val="FootnoteText"/>
        <w:spacing w:before="120" w:line="240" w:lineRule="auto"/>
      </w:pPr>
      <w:r w:rsidRPr="006C6F08">
        <w:rPr>
          <w:rStyle w:val="FootnoteReference"/>
          <w:sz w:val="21"/>
        </w:rPr>
        <w:footnoteRef/>
      </w:r>
      <w:r w:rsidRPr="006C6F08">
        <w:rPr>
          <w:sz w:val="21"/>
        </w:rPr>
        <w:t xml:space="preserve"> (718,831 therms) * (0.01 tons CO</w:t>
      </w:r>
      <w:r w:rsidRPr="006C6F08">
        <w:rPr>
          <w:sz w:val="21"/>
          <w:vertAlign w:val="subscript"/>
        </w:rPr>
        <w:t>2</w:t>
      </w:r>
      <w:r w:rsidRPr="006C6F08">
        <w:rPr>
          <w:sz w:val="21"/>
        </w:rPr>
        <w:t xml:space="preserve"> per therm) * ($13.31 per ton of CO</w:t>
      </w:r>
      <w:r w:rsidRPr="006C6F08">
        <w:rPr>
          <w:sz w:val="21"/>
          <w:vertAlign w:val="subscript"/>
        </w:rPr>
        <w:t>2</w:t>
      </w:r>
      <w:r w:rsidRPr="006C6F08">
        <w:rPr>
          <w:sz w:val="21"/>
        </w:rPr>
        <w:t>) = $95,676.</w:t>
      </w:r>
    </w:p>
  </w:footnote>
  <w:footnote w:id="56">
    <w:p w:rsidR="0047502F" w:rsidRDefault="0047502F">
      <w:pPr>
        <w:pStyle w:val="FootnoteText"/>
      </w:pPr>
      <w:r w:rsidRPr="00EE5672">
        <w:rPr>
          <w:rStyle w:val="FootnoteReference"/>
          <w:sz w:val="21"/>
          <w:szCs w:val="21"/>
        </w:rPr>
        <w:footnoteRef/>
      </w:r>
      <w:r w:rsidRPr="00EE5672">
        <w:rPr>
          <w:sz w:val="21"/>
          <w:szCs w:val="21"/>
        </w:rPr>
        <w:t xml:space="preserve"> </w:t>
      </w:r>
      <w:r w:rsidR="0036404D" w:rsidRPr="00EE5672">
        <w:rPr>
          <w:sz w:val="21"/>
          <w:szCs w:val="21"/>
        </w:rPr>
        <w:t xml:space="preserve">PSE assumes average residential use of 1,000 kWh per month. See: </w:t>
      </w:r>
      <w:hyperlink r:id="rId16" w:history="1">
        <w:r w:rsidR="0036404D" w:rsidRPr="00EE5672">
          <w:rPr>
            <w:rStyle w:val="Hyperlink"/>
            <w:sz w:val="21"/>
            <w:szCs w:val="21"/>
          </w:rPr>
          <w:t>https://pse.com/savingsandenergycenter/tips-tools-ideas/Pages/Energy-Cost-Guide.aspx</w:t>
        </w:r>
      </w:hyperlink>
      <w:r w:rsidR="000D1CBF" w:rsidRPr="00EE5672">
        <w:rPr>
          <w:sz w:val="21"/>
          <w:szCs w:val="21"/>
        </w:rPr>
        <w:t>, a</w:t>
      </w:r>
      <w:r w:rsidR="0036404D" w:rsidRPr="00EE5672">
        <w:rPr>
          <w:sz w:val="21"/>
          <w:szCs w:val="21"/>
        </w:rPr>
        <w:t>ccessed</w:t>
      </w:r>
      <w:r w:rsidR="000D1CBF" w:rsidRPr="00EE5672">
        <w:rPr>
          <w:sz w:val="21"/>
          <w:szCs w:val="21"/>
        </w:rPr>
        <w:t xml:space="preserve"> </w:t>
      </w:r>
      <w:r w:rsidR="00EE5672" w:rsidRPr="00EE5672">
        <w:rPr>
          <w:sz w:val="21"/>
          <w:szCs w:val="21"/>
        </w:rPr>
        <w:t>February 25</w:t>
      </w:r>
      <w:r w:rsidR="000D1CBF" w:rsidRPr="00EE5672">
        <w:rPr>
          <w:sz w:val="21"/>
          <w:szCs w:val="21"/>
        </w:rPr>
        <w:t xml:space="preserve">, </w:t>
      </w:r>
      <w:r w:rsidR="0036404D" w:rsidRPr="00EE5672">
        <w:rPr>
          <w:sz w:val="21"/>
          <w:szCs w:val="21"/>
        </w:rPr>
        <w:t>2016.</w:t>
      </w:r>
    </w:p>
  </w:footnote>
  <w:footnote w:id="57">
    <w:p w:rsidR="004B4773" w:rsidRPr="00EE5672" w:rsidRDefault="0047502F" w:rsidP="0036404D">
      <w:pPr>
        <w:pStyle w:val="FootnoteText"/>
        <w:rPr>
          <w:sz w:val="21"/>
          <w:szCs w:val="21"/>
        </w:rPr>
      </w:pPr>
      <w:r w:rsidRPr="00EE5672">
        <w:rPr>
          <w:rStyle w:val="FootnoteReference"/>
          <w:sz w:val="21"/>
          <w:szCs w:val="21"/>
        </w:rPr>
        <w:footnoteRef/>
      </w:r>
      <w:r w:rsidRPr="00EE5672">
        <w:rPr>
          <w:sz w:val="21"/>
          <w:szCs w:val="21"/>
        </w:rPr>
        <w:t xml:space="preserve"> </w:t>
      </w:r>
      <w:r w:rsidR="0036404D" w:rsidRPr="00EE5672">
        <w:rPr>
          <w:sz w:val="21"/>
          <w:szCs w:val="21"/>
        </w:rPr>
        <w:t>PSE assumes</w:t>
      </w:r>
      <w:r w:rsidR="009307AA" w:rsidRPr="00EE5672">
        <w:rPr>
          <w:sz w:val="21"/>
          <w:szCs w:val="21"/>
        </w:rPr>
        <w:t xml:space="preserve"> </w:t>
      </w:r>
      <w:r w:rsidR="0036404D" w:rsidRPr="00EE5672">
        <w:rPr>
          <w:sz w:val="21"/>
          <w:szCs w:val="21"/>
        </w:rPr>
        <w:t xml:space="preserve">average residential use of 68 therms per month. See: </w:t>
      </w:r>
      <w:hyperlink r:id="rId17" w:history="1">
        <w:r w:rsidR="0036404D" w:rsidRPr="00EE5672">
          <w:rPr>
            <w:rStyle w:val="Hyperlink"/>
            <w:sz w:val="21"/>
            <w:szCs w:val="21"/>
          </w:rPr>
          <w:t>https://pse.com/savingsandenergycenter/tips-tools-ideas/Pages/Energy-Cost-Guide.aspx</w:t>
        </w:r>
      </w:hyperlink>
      <w:r w:rsidR="000D1CBF" w:rsidRPr="00EE5672">
        <w:rPr>
          <w:sz w:val="21"/>
          <w:szCs w:val="21"/>
        </w:rPr>
        <w:t>, a</w:t>
      </w:r>
      <w:r w:rsidR="0036404D" w:rsidRPr="00EE5672">
        <w:rPr>
          <w:sz w:val="21"/>
          <w:szCs w:val="21"/>
        </w:rPr>
        <w:t>ccessed</w:t>
      </w:r>
      <w:r w:rsidR="000D1CBF" w:rsidRPr="00EE5672">
        <w:rPr>
          <w:sz w:val="21"/>
          <w:szCs w:val="21"/>
        </w:rPr>
        <w:t xml:space="preserve"> February </w:t>
      </w:r>
      <w:r w:rsidR="0036404D" w:rsidRPr="00EE5672">
        <w:rPr>
          <w:sz w:val="21"/>
          <w:szCs w:val="21"/>
        </w:rPr>
        <w:t>25</w:t>
      </w:r>
      <w:r w:rsidR="000D1CBF" w:rsidRPr="00EE5672">
        <w:rPr>
          <w:sz w:val="21"/>
          <w:szCs w:val="21"/>
        </w:rPr>
        <w:t xml:space="preserve">, </w:t>
      </w:r>
      <w:r w:rsidR="0036404D" w:rsidRPr="00EE5672">
        <w:rPr>
          <w:sz w:val="21"/>
          <w:szCs w:val="21"/>
        </w:rPr>
        <w:t>2016.</w:t>
      </w:r>
    </w:p>
  </w:footnote>
  <w:footnote w:id="58">
    <w:p w:rsidR="004B4773" w:rsidRDefault="004B4773">
      <w:pPr>
        <w:pStyle w:val="FootnoteText"/>
      </w:pPr>
      <w:r>
        <w:rPr>
          <w:rStyle w:val="FootnoteReference"/>
        </w:rPr>
        <w:footnoteRef/>
      </w:r>
      <w:r>
        <w:t xml:space="preserve"> EPA estimates that the average passenger vehicle emits 4.7 metric tons of carbon dioxide per year.</w:t>
      </w:r>
      <w:r w:rsidR="00311348">
        <w:t xml:space="preserve"> </w:t>
      </w:r>
      <w:r w:rsidR="000D1CBF">
        <w:t xml:space="preserve">See: </w:t>
      </w:r>
      <w:hyperlink r:id="rId18" w:history="1">
        <w:r w:rsidR="00311348">
          <w:rPr>
            <w:rStyle w:val="Hyperlink"/>
          </w:rPr>
          <w:t>https://www3.epa.gov/otaq/climate/documents/420f14040a.pdf</w:t>
        </w:r>
      </w:hyperlink>
      <w:r w:rsidR="000D1CBF">
        <w:rPr>
          <w:rStyle w:val="Hyperlink"/>
        </w:rPr>
        <w:t>, accessed February 25, 2016</w:t>
      </w:r>
      <w:r w:rsidR="0031134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2F" w:rsidRPr="00877005" w:rsidRDefault="0047502F" w:rsidP="007D7EA0">
    <w:pPr>
      <w:pStyle w:val="Header"/>
      <w:jc w:val="right"/>
      <w:rPr>
        <w:sz w:val="21"/>
      </w:rPr>
    </w:pPr>
  </w:p>
  <w:p w:rsidR="0047502F" w:rsidRPr="00087CDF" w:rsidRDefault="0047502F">
    <w:pPr>
      <w:pStyle w:val="Header"/>
      <w:rPr>
        <w:sz w:val="36"/>
        <w:szCs w:val="3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2F" w:rsidRPr="00877005" w:rsidRDefault="0047502F" w:rsidP="007D7EA0">
    <w:pPr>
      <w:pStyle w:val="Header"/>
      <w:jc w:val="right"/>
      <w:rPr>
        <w:sz w:val="21"/>
      </w:rPr>
    </w:pPr>
  </w:p>
  <w:p w:rsidR="0047502F" w:rsidRDefault="0047502F">
    <w:pPr>
      <w:pStyle w:val="Header"/>
    </w:pPr>
    <w:r>
      <w:rPr>
        <w:noProof/>
        <w:lang w:eastAsia="en-US"/>
      </w:rPr>
      <mc:AlternateContent>
        <mc:Choice Requires="wps">
          <w:drawing>
            <wp:anchor distT="0" distB="0" distL="114299" distR="114299" simplePos="0" relativeHeight="251658241" behindDoc="0" locked="0" layoutInCell="0" allowOverlap="1" wp14:anchorId="7E0D1049" wp14:editId="7E0D104A">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0EF1F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668529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5FE54D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1FC511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BC66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B5063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B8AE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DE5A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778F6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7C30A4"/>
    <w:lvl w:ilvl="0">
      <w:start w:val="1"/>
      <w:numFmt w:val="bullet"/>
      <w:lvlText w:val=""/>
      <w:lvlJc w:val="left"/>
      <w:pPr>
        <w:tabs>
          <w:tab w:val="num" w:pos="360"/>
        </w:tabs>
        <w:ind w:left="360" w:hanging="360"/>
      </w:pPr>
      <w:rPr>
        <w:rFonts w:ascii="Symbol" w:hAnsi="Symbol" w:hint="default"/>
      </w:rPr>
    </w:lvl>
  </w:abstractNum>
  <w:abstractNum w:abstractNumId="10">
    <w:nsid w:val="059009A7"/>
    <w:multiLevelType w:val="hybridMultilevel"/>
    <w:tmpl w:val="0178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3646BF"/>
    <w:multiLevelType w:val="hybridMultilevel"/>
    <w:tmpl w:val="9CF4D6E6"/>
    <w:lvl w:ilvl="0" w:tplc="E7BA5BB8">
      <w:start w:val="1"/>
      <w:numFmt w:val="bullet"/>
      <w:lvlText w:val=" "/>
      <w:lvlJc w:val="left"/>
      <w:pPr>
        <w:tabs>
          <w:tab w:val="num" w:pos="720"/>
        </w:tabs>
        <w:ind w:left="720" w:hanging="360"/>
      </w:pPr>
      <w:rPr>
        <w:rFonts w:ascii="Calibri" w:hAnsi="Calibri" w:hint="default"/>
      </w:rPr>
    </w:lvl>
    <w:lvl w:ilvl="1" w:tplc="140A342E">
      <w:start w:val="1556"/>
      <w:numFmt w:val="bullet"/>
      <w:lvlText w:val="▀"/>
      <w:lvlJc w:val="left"/>
      <w:pPr>
        <w:tabs>
          <w:tab w:val="num" w:pos="1440"/>
        </w:tabs>
        <w:ind w:left="1440" w:hanging="360"/>
      </w:pPr>
      <w:rPr>
        <w:rFonts w:ascii="Arial" w:hAnsi="Arial" w:hint="default"/>
      </w:rPr>
    </w:lvl>
    <w:lvl w:ilvl="2" w:tplc="33E8B122">
      <w:start w:val="1556"/>
      <w:numFmt w:val="bullet"/>
      <w:lvlText w:val="−"/>
      <w:lvlJc w:val="left"/>
      <w:pPr>
        <w:tabs>
          <w:tab w:val="num" w:pos="2160"/>
        </w:tabs>
        <w:ind w:left="2160" w:hanging="360"/>
      </w:pPr>
      <w:rPr>
        <w:rFonts w:ascii="Calibri" w:hAnsi="Calibri" w:hint="default"/>
      </w:rPr>
    </w:lvl>
    <w:lvl w:ilvl="3" w:tplc="F58C9F7C" w:tentative="1">
      <w:start w:val="1"/>
      <w:numFmt w:val="bullet"/>
      <w:lvlText w:val=" "/>
      <w:lvlJc w:val="left"/>
      <w:pPr>
        <w:tabs>
          <w:tab w:val="num" w:pos="2880"/>
        </w:tabs>
        <w:ind w:left="2880" w:hanging="360"/>
      </w:pPr>
      <w:rPr>
        <w:rFonts w:ascii="Calibri" w:hAnsi="Calibri" w:hint="default"/>
      </w:rPr>
    </w:lvl>
    <w:lvl w:ilvl="4" w:tplc="EBD03F6E" w:tentative="1">
      <w:start w:val="1"/>
      <w:numFmt w:val="bullet"/>
      <w:lvlText w:val=" "/>
      <w:lvlJc w:val="left"/>
      <w:pPr>
        <w:tabs>
          <w:tab w:val="num" w:pos="3600"/>
        </w:tabs>
        <w:ind w:left="3600" w:hanging="360"/>
      </w:pPr>
      <w:rPr>
        <w:rFonts w:ascii="Calibri" w:hAnsi="Calibri" w:hint="default"/>
      </w:rPr>
    </w:lvl>
    <w:lvl w:ilvl="5" w:tplc="D2B0215E" w:tentative="1">
      <w:start w:val="1"/>
      <w:numFmt w:val="bullet"/>
      <w:lvlText w:val=" "/>
      <w:lvlJc w:val="left"/>
      <w:pPr>
        <w:tabs>
          <w:tab w:val="num" w:pos="4320"/>
        </w:tabs>
        <w:ind w:left="4320" w:hanging="360"/>
      </w:pPr>
      <w:rPr>
        <w:rFonts w:ascii="Calibri" w:hAnsi="Calibri" w:hint="default"/>
      </w:rPr>
    </w:lvl>
    <w:lvl w:ilvl="6" w:tplc="5BD44744" w:tentative="1">
      <w:start w:val="1"/>
      <w:numFmt w:val="bullet"/>
      <w:lvlText w:val=" "/>
      <w:lvlJc w:val="left"/>
      <w:pPr>
        <w:tabs>
          <w:tab w:val="num" w:pos="5040"/>
        </w:tabs>
        <w:ind w:left="5040" w:hanging="360"/>
      </w:pPr>
      <w:rPr>
        <w:rFonts w:ascii="Calibri" w:hAnsi="Calibri" w:hint="default"/>
      </w:rPr>
    </w:lvl>
    <w:lvl w:ilvl="7" w:tplc="4A620694" w:tentative="1">
      <w:start w:val="1"/>
      <w:numFmt w:val="bullet"/>
      <w:lvlText w:val=" "/>
      <w:lvlJc w:val="left"/>
      <w:pPr>
        <w:tabs>
          <w:tab w:val="num" w:pos="5760"/>
        </w:tabs>
        <w:ind w:left="5760" w:hanging="360"/>
      </w:pPr>
      <w:rPr>
        <w:rFonts w:ascii="Calibri" w:hAnsi="Calibri" w:hint="default"/>
      </w:rPr>
    </w:lvl>
    <w:lvl w:ilvl="8" w:tplc="B5B43356" w:tentative="1">
      <w:start w:val="1"/>
      <w:numFmt w:val="bullet"/>
      <w:lvlText w:val=" "/>
      <w:lvlJc w:val="left"/>
      <w:pPr>
        <w:tabs>
          <w:tab w:val="num" w:pos="6480"/>
        </w:tabs>
        <w:ind w:left="6480" w:hanging="360"/>
      </w:pPr>
      <w:rPr>
        <w:rFonts w:ascii="Calibri" w:hAnsi="Calibri" w:hint="default"/>
      </w:rPr>
    </w:lvl>
  </w:abstractNum>
  <w:abstractNum w:abstractNumId="12">
    <w:nsid w:val="10EF6078"/>
    <w:multiLevelType w:val="hybridMultilevel"/>
    <w:tmpl w:val="3C0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902A27"/>
    <w:multiLevelType w:val="hybridMultilevel"/>
    <w:tmpl w:val="BC106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8B22D31"/>
    <w:multiLevelType w:val="hybridMultilevel"/>
    <w:tmpl w:val="B940846E"/>
    <w:lvl w:ilvl="0" w:tplc="06F06D70">
      <w:start w:val="1"/>
      <w:numFmt w:val="bullet"/>
      <w:lvlText w:val=" "/>
      <w:lvlJc w:val="left"/>
      <w:pPr>
        <w:tabs>
          <w:tab w:val="num" w:pos="720"/>
        </w:tabs>
        <w:ind w:left="720" w:hanging="360"/>
      </w:pPr>
      <w:rPr>
        <w:rFonts w:ascii="Calibri" w:hAnsi="Calibri" w:hint="default"/>
      </w:rPr>
    </w:lvl>
    <w:lvl w:ilvl="1" w:tplc="C6C88B80" w:tentative="1">
      <w:start w:val="1"/>
      <w:numFmt w:val="bullet"/>
      <w:lvlText w:val=" "/>
      <w:lvlJc w:val="left"/>
      <w:pPr>
        <w:tabs>
          <w:tab w:val="num" w:pos="1440"/>
        </w:tabs>
        <w:ind w:left="1440" w:hanging="360"/>
      </w:pPr>
      <w:rPr>
        <w:rFonts w:ascii="Calibri" w:hAnsi="Calibri" w:hint="default"/>
      </w:rPr>
    </w:lvl>
    <w:lvl w:ilvl="2" w:tplc="1DE40BEA" w:tentative="1">
      <w:start w:val="1"/>
      <w:numFmt w:val="bullet"/>
      <w:lvlText w:val=" "/>
      <w:lvlJc w:val="left"/>
      <w:pPr>
        <w:tabs>
          <w:tab w:val="num" w:pos="2160"/>
        </w:tabs>
        <w:ind w:left="2160" w:hanging="360"/>
      </w:pPr>
      <w:rPr>
        <w:rFonts w:ascii="Calibri" w:hAnsi="Calibri" w:hint="default"/>
      </w:rPr>
    </w:lvl>
    <w:lvl w:ilvl="3" w:tplc="686C5E26" w:tentative="1">
      <w:start w:val="1"/>
      <w:numFmt w:val="bullet"/>
      <w:lvlText w:val=" "/>
      <w:lvlJc w:val="left"/>
      <w:pPr>
        <w:tabs>
          <w:tab w:val="num" w:pos="2880"/>
        </w:tabs>
        <w:ind w:left="2880" w:hanging="360"/>
      </w:pPr>
      <w:rPr>
        <w:rFonts w:ascii="Calibri" w:hAnsi="Calibri" w:hint="default"/>
      </w:rPr>
    </w:lvl>
    <w:lvl w:ilvl="4" w:tplc="56461EE2" w:tentative="1">
      <w:start w:val="1"/>
      <w:numFmt w:val="bullet"/>
      <w:lvlText w:val=" "/>
      <w:lvlJc w:val="left"/>
      <w:pPr>
        <w:tabs>
          <w:tab w:val="num" w:pos="3600"/>
        </w:tabs>
        <w:ind w:left="3600" w:hanging="360"/>
      </w:pPr>
      <w:rPr>
        <w:rFonts w:ascii="Calibri" w:hAnsi="Calibri" w:hint="default"/>
      </w:rPr>
    </w:lvl>
    <w:lvl w:ilvl="5" w:tplc="1C92816C" w:tentative="1">
      <w:start w:val="1"/>
      <w:numFmt w:val="bullet"/>
      <w:lvlText w:val=" "/>
      <w:lvlJc w:val="left"/>
      <w:pPr>
        <w:tabs>
          <w:tab w:val="num" w:pos="4320"/>
        </w:tabs>
        <w:ind w:left="4320" w:hanging="360"/>
      </w:pPr>
      <w:rPr>
        <w:rFonts w:ascii="Calibri" w:hAnsi="Calibri" w:hint="default"/>
      </w:rPr>
    </w:lvl>
    <w:lvl w:ilvl="6" w:tplc="938613BC" w:tentative="1">
      <w:start w:val="1"/>
      <w:numFmt w:val="bullet"/>
      <w:lvlText w:val=" "/>
      <w:lvlJc w:val="left"/>
      <w:pPr>
        <w:tabs>
          <w:tab w:val="num" w:pos="5040"/>
        </w:tabs>
        <w:ind w:left="5040" w:hanging="360"/>
      </w:pPr>
      <w:rPr>
        <w:rFonts w:ascii="Calibri" w:hAnsi="Calibri" w:hint="default"/>
      </w:rPr>
    </w:lvl>
    <w:lvl w:ilvl="7" w:tplc="524C9DE2" w:tentative="1">
      <w:start w:val="1"/>
      <w:numFmt w:val="bullet"/>
      <w:lvlText w:val=" "/>
      <w:lvlJc w:val="left"/>
      <w:pPr>
        <w:tabs>
          <w:tab w:val="num" w:pos="5760"/>
        </w:tabs>
        <w:ind w:left="5760" w:hanging="360"/>
      </w:pPr>
      <w:rPr>
        <w:rFonts w:ascii="Calibri" w:hAnsi="Calibri" w:hint="default"/>
      </w:rPr>
    </w:lvl>
    <w:lvl w:ilvl="8" w:tplc="8842D40A" w:tentative="1">
      <w:start w:val="1"/>
      <w:numFmt w:val="bullet"/>
      <w:lvlText w:val=" "/>
      <w:lvlJc w:val="left"/>
      <w:pPr>
        <w:tabs>
          <w:tab w:val="num" w:pos="6480"/>
        </w:tabs>
        <w:ind w:left="6480" w:hanging="360"/>
      </w:pPr>
      <w:rPr>
        <w:rFonts w:ascii="Calibri" w:hAnsi="Calibri" w:hint="default"/>
      </w:rPr>
    </w:lvl>
  </w:abstractNum>
  <w:abstractNum w:abstractNumId="15">
    <w:nsid w:val="1ACB0736"/>
    <w:multiLevelType w:val="hybridMultilevel"/>
    <w:tmpl w:val="C17E8094"/>
    <w:lvl w:ilvl="0" w:tplc="54C8F05E">
      <w:start w:val="1"/>
      <w:numFmt w:val="bullet"/>
      <w:lvlText w:val=" "/>
      <w:lvlJc w:val="left"/>
      <w:pPr>
        <w:tabs>
          <w:tab w:val="num" w:pos="720"/>
        </w:tabs>
        <w:ind w:left="720" w:hanging="360"/>
      </w:pPr>
      <w:rPr>
        <w:rFonts w:ascii="Calibri" w:hAnsi="Calibri" w:hint="default"/>
      </w:rPr>
    </w:lvl>
    <w:lvl w:ilvl="1" w:tplc="D5BC4BA0">
      <w:start w:val="1299"/>
      <w:numFmt w:val="bullet"/>
      <w:lvlText w:val="▀"/>
      <w:lvlJc w:val="left"/>
      <w:pPr>
        <w:tabs>
          <w:tab w:val="num" w:pos="1440"/>
        </w:tabs>
        <w:ind w:left="1440" w:hanging="360"/>
      </w:pPr>
      <w:rPr>
        <w:rFonts w:ascii="Arial" w:hAnsi="Arial" w:hint="default"/>
      </w:rPr>
    </w:lvl>
    <w:lvl w:ilvl="2" w:tplc="9572E52E">
      <w:start w:val="1"/>
      <w:numFmt w:val="decimal"/>
      <w:lvlText w:val="%3."/>
      <w:lvlJc w:val="left"/>
      <w:pPr>
        <w:tabs>
          <w:tab w:val="num" w:pos="2160"/>
        </w:tabs>
        <w:ind w:left="2160" w:hanging="360"/>
      </w:pPr>
    </w:lvl>
    <w:lvl w:ilvl="3" w:tplc="D8248CA6" w:tentative="1">
      <w:start w:val="1"/>
      <w:numFmt w:val="bullet"/>
      <w:lvlText w:val=" "/>
      <w:lvlJc w:val="left"/>
      <w:pPr>
        <w:tabs>
          <w:tab w:val="num" w:pos="2880"/>
        </w:tabs>
        <w:ind w:left="2880" w:hanging="360"/>
      </w:pPr>
      <w:rPr>
        <w:rFonts w:ascii="Calibri" w:hAnsi="Calibri" w:hint="default"/>
      </w:rPr>
    </w:lvl>
    <w:lvl w:ilvl="4" w:tplc="2FFE68EA" w:tentative="1">
      <w:start w:val="1"/>
      <w:numFmt w:val="bullet"/>
      <w:lvlText w:val=" "/>
      <w:lvlJc w:val="left"/>
      <w:pPr>
        <w:tabs>
          <w:tab w:val="num" w:pos="3600"/>
        </w:tabs>
        <w:ind w:left="3600" w:hanging="360"/>
      </w:pPr>
      <w:rPr>
        <w:rFonts w:ascii="Calibri" w:hAnsi="Calibri" w:hint="default"/>
      </w:rPr>
    </w:lvl>
    <w:lvl w:ilvl="5" w:tplc="34DE8F5E" w:tentative="1">
      <w:start w:val="1"/>
      <w:numFmt w:val="bullet"/>
      <w:lvlText w:val=" "/>
      <w:lvlJc w:val="left"/>
      <w:pPr>
        <w:tabs>
          <w:tab w:val="num" w:pos="4320"/>
        </w:tabs>
        <w:ind w:left="4320" w:hanging="360"/>
      </w:pPr>
      <w:rPr>
        <w:rFonts w:ascii="Calibri" w:hAnsi="Calibri" w:hint="default"/>
      </w:rPr>
    </w:lvl>
    <w:lvl w:ilvl="6" w:tplc="7B6095F2" w:tentative="1">
      <w:start w:val="1"/>
      <w:numFmt w:val="bullet"/>
      <w:lvlText w:val=" "/>
      <w:lvlJc w:val="left"/>
      <w:pPr>
        <w:tabs>
          <w:tab w:val="num" w:pos="5040"/>
        </w:tabs>
        <w:ind w:left="5040" w:hanging="360"/>
      </w:pPr>
      <w:rPr>
        <w:rFonts w:ascii="Calibri" w:hAnsi="Calibri" w:hint="default"/>
      </w:rPr>
    </w:lvl>
    <w:lvl w:ilvl="7" w:tplc="02802FFE" w:tentative="1">
      <w:start w:val="1"/>
      <w:numFmt w:val="bullet"/>
      <w:lvlText w:val=" "/>
      <w:lvlJc w:val="left"/>
      <w:pPr>
        <w:tabs>
          <w:tab w:val="num" w:pos="5760"/>
        </w:tabs>
        <w:ind w:left="5760" w:hanging="360"/>
      </w:pPr>
      <w:rPr>
        <w:rFonts w:ascii="Calibri" w:hAnsi="Calibri" w:hint="default"/>
      </w:rPr>
    </w:lvl>
    <w:lvl w:ilvl="8" w:tplc="67C467C0" w:tentative="1">
      <w:start w:val="1"/>
      <w:numFmt w:val="bullet"/>
      <w:lvlText w:val=" "/>
      <w:lvlJc w:val="left"/>
      <w:pPr>
        <w:tabs>
          <w:tab w:val="num" w:pos="6480"/>
        </w:tabs>
        <w:ind w:left="6480" w:hanging="360"/>
      </w:pPr>
      <w:rPr>
        <w:rFonts w:ascii="Calibri" w:hAnsi="Calibri" w:hint="default"/>
      </w:rPr>
    </w:lvl>
  </w:abstractNum>
  <w:abstractNum w:abstractNumId="16">
    <w:nsid w:val="20726E26"/>
    <w:multiLevelType w:val="hybridMultilevel"/>
    <w:tmpl w:val="F4CA6E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3FA68CB"/>
    <w:multiLevelType w:val="hybridMultilevel"/>
    <w:tmpl w:val="EF64564E"/>
    <w:lvl w:ilvl="0" w:tplc="5C56EA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C37832"/>
    <w:multiLevelType w:val="hybridMultilevel"/>
    <w:tmpl w:val="D1BA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33D9D"/>
    <w:multiLevelType w:val="hybridMultilevel"/>
    <w:tmpl w:val="E13C72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25C227F"/>
    <w:multiLevelType w:val="hybridMultilevel"/>
    <w:tmpl w:val="026EB628"/>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FB5355B"/>
    <w:multiLevelType w:val="hybridMultilevel"/>
    <w:tmpl w:val="49C80B00"/>
    <w:lvl w:ilvl="0" w:tplc="6AB07574">
      <w:start w:val="1"/>
      <w:numFmt w:val="bullet"/>
      <w:lvlText w:val="•"/>
      <w:lvlJc w:val="left"/>
      <w:pPr>
        <w:tabs>
          <w:tab w:val="num" w:pos="720"/>
        </w:tabs>
        <w:ind w:left="720" w:hanging="360"/>
      </w:pPr>
      <w:rPr>
        <w:rFonts w:ascii="Arial" w:hAnsi="Arial" w:hint="default"/>
      </w:rPr>
    </w:lvl>
    <w:lvl w:ilvl="1" w:tplc="4240FE26" w:tentative="1">
      <w:start w:val="1"/>
      <w:numFmt w:val="bullet"/>
      <w:lvlText w:val="•"/>
      <w:lvlJc w:val="left"/>
      <w:pPr>
        <w:tabs>
          <w:tab w:val="num" w:pos="1440"/>
        </w:tabs>
        <w:ind w:left="1440" w:hanging="360"/>
      </w:pPr>
      <w:rPr>
        <w:rFonts w:ascii="Arial" w:hAnsi="Arial" w:hint="default"/>
      </w:rPr>
    </w:lvl>
    <w:lvl w:ilvl="2" w:tplc="7B0E5DCA" w:tentative="1">
      <w:start w:val="1"/>
      <w:numFmt w:val="bullet"/>
      <w:lvlText w:val="•"/>
      <w:lvlJc w:val="left"/>
      <w:pPr>
        <w:tabs>
          <w:tab w:val="num" w:pos="2160"/>
        </w:tabs>
        <w:ind w:left="2160" w:hanging="360"/>
      </w:pPr>
      <w:rPr>
        <w:rFonts w:ascii="Arial" w:hAnsi="Arial" w:hint="default"/>
      </w:rPr>
    </w:lvl>
    <w:lvl w:ilvl="3" w:tplc="61E64670" w:tentative="1">
      <w:start w:val="1"/>
      <w:numFmt w:val="bullet"/>
      <w:lvlText w:val="•"/>
      <w:lvlJc w:val="left"/>
      <w:pPr>
        <w:tabs>
          <w:tab w:val="num" w:pos="2880"/>
        </w:tabs>
        <w:ind w:left="2880" w:hanging="360"/>
      </w:pPr>
      <w:rPr>
        <w:rFonts w:ascii="Arial" w:hAnsi="Arial" w:hint="default"/>
      </w:rPr>
    </w:lvl>
    <w:lvl w:ilvl="4" w:tplc="BD666606" w:tentative="1">
      <w:start w:val="1"/>
      <w:numFmt w:val="bullet"/>
      <w:lvlText w:val="•"/>
      <w:lvlJc w:val="left"/>
      <w:pPr>
        <w:tabs>
          <w:tab w:val="num" w:pos="3600"/>
        </w:tabs>
        <w:ind w:left="3600" w:hanging="360"/>
      </w:pPr>
      <w:rPr>
        <w:rFonts w:ascii="Arial" w:hAnsi="Arial" w:hint="default"/>
      </w:rPr>
    </w:lvl>
    <w:lvl w:ilvl="5" w:tplc="7904329E" w:tentative="1">
      <w:start w:val="1"/>
      <w:numFmt w:val="bullet"/>
      <w:lvlText w:val="•"/>
      <w:lvlJc w:val="left"/>
      <w:pPr>
        <w:tabs>
          <w:tab w:val="num" w:pos="4320"/>
        </w:tabs>
        <w:ind w:left="4320" w:hanging="360"/>
      </w:pPr>
      <w:rPr>
        <w:rFonts w:ascii="Arial" w:hAnsi="Arial" w:hint="default"/>
      </w:rPr>
    </w:lvl>
    <w:lvl w:ilvl="6" w:tplc="54EE9908" w:tentative="1">
      <w:start w:val="1"/>
      <w:numFmt w:val="bullet"/>
      <w:lvlText w:val="•"/>
      <w:lvlJc w:val="left"/>
      <w:pPr>
        <w:tabs>
          <w:tab w:val="num" w:pos="5040"/>
        </w:tabs>
        <w:ind w:left="5040" w:hanging="360"/>
      </w:pPr>
      <w:rPr>
        <w:rFonts w:ascii="Arial" w:hAnsi="Arial" w:hint="default"/>
      </w:rPr>
    </w:lvl>
    <w:lvl w:ilvl="7" w:tplc="3A066624" w:tentative="1">
      <w:start w:val="1"/>
      <w:numFmt w:val="bullet"/>
      <w:lvlText w:val="•"/>
      <w:lvlJc w:val="left"/>
      <w:pPr>
        <w:tabs>
          <w:tab w:val="num" w:pos="5760"/>
        </w:tabs>
        <w:ind w:left="5760" w:hanging="360"/>
      </w:pPr>
      <w:rPr>
        <w:rFonts w:ascii="Arial" w:hAnsi="Arial" w:hint="default"/>
      </w:rPr>
    </w:lvl>
    <w:lvl w:ilvl="8" w:tplc="0044A332" w:tentative="1">
      <w:start w:val="1"/>
      <w:numFmt w:val="bullet"/>
      <w:lvlText w:val="•"/>
      <w:lvlJc w:val="left"/>
      <w:pPr>
        <w:tabs>
          <w:tab w:val="num" w:pos="6480"/>
        </w:tabs>
        <w:ind w:left="6480" w:hanging="360"/>
      </w:pPr>
      <w:rPr>
        <w:rFonts w:ascii="Arial" w:hAnsi="Arial" w:hint="default"/>
      </w:rPr>
    </w:lvl>
  </w:abstractNum>
  <w:abstractNum w:abstractNumId="23">
    <w:nsid w:val="401A6A99"/>
    <w:multiLevelType w:val="hybridMultilevel"/>
    <w:tmpl w:val="973C695E"/>
    <w:lvl w:ilvl="0" w:tplc="80EC678A">
      <w:start w:val="1"/>
      <w:numFmt w:val="upperLetter"/>
      <w:lvlText w:val="%1."/>
      <w:lvlJc w:val="left"/>
      <w:pPr>
        <w:ind w:left="720" w:hanging="360"/>
      </w:pPr>
      <w:rPr>
        <w:rFonts w:ascii="CG Times (WN)" w:eastAsia="SimSun" w:hAnsi="CG Times (W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8F4EC1"/>
    <w:multiLevelType w:val="hybridMultilevel"/>
    <w:tmpl w:val="FFA62DF8"/>
    <w:lvl w:ilvl="0" w:tplc="FB1CE64C">
      <w:start w:val="1"/>
      <w:numFmt w:val="bullet"/>
      <w:lvlText w:val="•"/>
      <w:lvlJc w:val="left"/>
      <w:pPr>
        <w:tabs>
          <w:tab w:val="num" w:pos="720"/>
        </w:tabs>
        <w:ind w:left="720" w:hanging="360"/>
      </w:pPr>
      <w:rPr>
        <w:rFonts w:ascii="Arial" w:hAnsi="Arial" w:hint="default"/>
      </w:rPr>
    </w:lvl>
    <w:lvl w:ilvl="1" w:tplc="B69AA7C8" w:tentative="1">
      <w:start w:val="1"/>
      <w:numFmt w:val="bullet"/>
      <w:lvlText w:val="•"/>
      <w:lvlJc w:val="left"/>
      <w:pPr>
        <w:tabs>
          <w:tab w:val="num" w:pos="1440"/>
        </w:tabs>
        <w:ind w:left="1440" w:hanging="360"/>
      </w:pPr>
      <w:rPr>
        <w:rFonts w:ascii="Arial" w:hAnsi="Arial" w:hint="default"/>
      </w:rPr>
    </w:lvl>
    <w:lvl w:ilvl="2" w:tplc="1162216A">
      <w:start w:val="4314"/>
      <w:numFmt w:val="bullet"/>
      <w:lvlText w:val="•"/>
      <w:lvlJc w:val="left"/>
      <w:pPr>
        <w:tabs>
          <w:tab w:val="num" w:pos="2160"/>
        </w:tabs>
        <w:ind w:left="2160" w:hanging="360"/>
      </w:pPr>
      <w:rPr>
        <w:rFonts w:ascii="Arial" w:hAnsi="Arial" w:hint="default"/>
      </w:rPr>
    </w:lvl>
    <w:lvl w:ilvl="3" w:tplc="2E2EE4D2" w:tentative="1">
      <w:start w:val="1"/>
      <w:numFmt w:val="bullet"/>
      <w:lvlText w:val="•"/>
      <w:lvlJc w:val="left"/>
      <w:pPr>
        <w:tabs>
          <w:tab w:val="num" w:pos="2880"/>
        </w:tabs>
        <w:ind w:left="2880" w:hanging="360"/>
      </w:pPr>
      <w:rPr>
        <w:rFonts w:ascii="Arial" w:hAnsi="Arial" w:hint="default"/>
      </w:rPr>
    </w:lvl>
    <w:lvl w:ilvl="4" w:tplc="0B22619C" w:tentative="1">
      <w:start w:val="1"/>
      <w:numFmt w:val="bullet"/>
      <w:lvlText w:val="•"/>
      <w:lvlJc w:val="left"/>
      <w:pPr>
        <w:tabs>
          <w:tab w:val="num" w:pos="3600"/>
        </w:tabs>
        <w:ind w:left="3600" w:hanging="360"/>
      </w:pPr>
      <w:rPr>
        <w:rFonts w:ascii="Arial" w:hAnsi="Arial" w:hint="default"/>
      </w:rPr>
    </w:lvl>
    <w:lvl w:ilvl="5" w:tplc="0896A0CA" w:tentative="1">
      <w:start w:val="1"/>
      <w:numFmt w:val="bullet"/>
      <w:lvlText w:val="•"/>
      <w:lvlJc w:val="left"/>
      <w:pPr>
        <w:tabs>
          <w:tab w:val="num" w:pos="4320"/>
        </w:tabs>
        <w:ind w:left="4320" w:hanging="360"/>
      </w:pPr>
      <w:rPr>
        <w:rFonts w:ascii="Arial" w:hAnsi="Arial" w:hint="default"/>
      </w:rPr>
    </w:lvl>
    <w:lvl w:ilvl="6" w:tplc="EDF46146" w:tentative="1">
      <w:start w:val="1"/>
      <w:numFmt w:val="bullet"/>
      <w:lvlText w:val="•"/>
      <w:lvlJc w:val="left"/>
      <w:pPr>
        <w:tabs>
          <w:tab w:val="num" w:pos="5040"/>
        </w:tabs>
        <w:ind w:left="5040" w:hanging="360"/>
      </w:pPr>
      <w:rPr>
        <w:rFonts w:ascii="Arial" w:hAnsi="Arial" w:hint="default"/>
      </w:rPr>
    </w:lvl>
    <w:lvl w:ilvl="7" w:tplc="4DECC720" w:tentative="1">
      <w:start w:val="1"/>
      <w:numFmt w:val="bullet"/>
      <w:lvlText w:val="•"/>
      <w:lvlJc w:val="left"/>
      <w:pPr>
        <w:tabs>
          <w:tab w:val="num" w:pos="5760"/>
        </w:tabs>
        <w:ind w:left="5760" w:hanging="360"/>
      </w:pPr>
      <w:rPr>
        <w:rFonts w:ascii="Arial" w:hAnsi="Arial" w:hint="default"/>
      </w:rPr>
    </w:lvl>
    <w:lvl w:ilvl="8" w:tplc="C010E190" w:tentative="1">
      <w:start w:val="1"/>
      <w:numFmt w:val="bullet"/>
      <w:lvlText w:val="•"/>
      <w:lvlJc w:val="left"/>
      <w:pPr>
        <w:tabs>
          <w:tab w:val="num" w:pos="6480"/>
        </w:tabs>
        <w:ind w:left="6480" w:hanging="360"/>
      </w:pPr>
      <w:rPr>
        <w:rFonts w:ascii="Arial" w:hAnsi="Arial" w:hint="default"/>
      </w:rPr>
    </w:lvl>
  </w:abstractNum>
  <w:abstractNum w:abstractNumId="25">
    <w:nsid w:val="6AC551D2"/>
    <w:multiLevelType w:val="hybridMultilevel"/>
    <w:tmpl w:val="765ABA1E"/>
    <w:lvl w:ilvl="0" w:tplc="7FE87704">
      <w:start w:val="1"/>
      <w:numFmt w:val="bullet"/>
      <w:lvlText w:val=" "/>
      <w:lvlJc w:val="left"/>
      <w:pPr>
        <w:tabs>
          <w:tab w:val="num" w:pos="720"/>
        </w:tabs>
        <w:ind w:left="720" w:hanging="360"/>
      </w:pPr>
      <w:rPr>
        <w:rFonts w:ascii="Calibri" w:hAnsi="Calibri" w:hint="default"/>
      </w:rPr>
    </w:lvl>
    <w:lvl w:ilvl="1" w:tplc="665AED2C">
      <w:start w:val="1328"/>
      <w:numFmt w:val="bullet"/>
      <w:lvlText w:val="▀"/>
      <w:lvlJc w:val="left"/>
      <w:pPr>
        <w:tabs>
          <w:tab w:val="num" w:pos="1440"/>
        </w:tabs>
        <w:ind w:left="1440" w:hanging="360"/>
      </w:pPr>
      <w:rPr>
        <w:rFonts w:ascii="Arial" w:hAnsi="Arial" w:hint="default"/>
      </w:rPr>
    </w:lvl>
    <w:lvl w:ilvl="2" w:tplc="672A48AA">
      <w:start w:val="1328"/>
      <w:numFmt w:val="bullet"/>
      <w:lvlText w:val="−"/>
      <w:lvlJc w:val="left"/>
      <w:pPr>
        <w:tabs>
          <w:tab w:val="num" w:pos="2160"/>
        </w:tabs>
        <w:ind w:left="2160" w:hanging="360"/>
      </w:pPr>
      <w:rPr>
        <w:rFonts w:ascii="Calibri" w:hAnsi="Calibri" w:hint="default"/>
      </w:rPr>
    </w:lvl>
    <w:lvl w:ilvl="3" w:tplc="16BA2BC2" w:tentative="1">
      <w:start w:val="1"/>
      <w:numFmt w:val="bullet"/>
      <w:lvlText w:val=" "/>
      <w:lvlJc w:val="left"/>
      <w:pPr>
        <w:tabs>
          <w:tab w:val="num" w:pos="2880"/>
        </w:tabs>
        <w:ind w:left="2880" w:hanging="360"/>
      </w:pPr>
      <w:rPr>
        <w:rFonts w:ascii="Calibri" w:hAnsi="Calibri" w:hint="default"/>
      </w:rPr>
    </w:lvl>
    <w:lvl w:ilvl="4" w:tplc="0354F668" w:tentative="1">
      <w:start w:val="1"/>
      <w:numFmt w:val="bullet"/>
      <w:lvlText w:val=" "/>
      <w:lvlJc w:val="left"/>
      <w:pPr>
        <w:tabs>
          <w:tab w:val="num" w:pos="3600"/>
        </w:tabs>
        <w:ind w:left="3600" w:hanging="360"/>
      </w:pPr>
      <w:rPr>
        <w:rFonts w:ascii="Calibri" w:hAnsi="Calibri" w:hint="default"/>
      </w:rPr>
    </w:lvl>
    <w:lvl w:ilvl="5" w:tplc="A3127566" w:tentative="1">
      <w:start w:val="1"/>
      <w:numFmt w:val="bullet"/>
      <w:lvlText w:val=" "/>
      <w:lvlJc w:val="left"/>
      <w:pPr>
        <w:tabs>
          <w:tab w:val="num" w:pos="4320"/>
        </w:tabs>
        <w:ind w:left="4320" w:hanging="360"/>
      </w:pPr>
      <w:rPr>
        <w:rFonts w:ascii="Calibri" w:hAnsi="Calibri" w:hint="default"/>
      </w:rPr>
    </w:lvl>
    <w:lvl w:ilvl="6" w:tplc="4A249F8A" w:tentative="1">
      <w:start w:val="1"/>
      <w:numFmt w:val="bullet"/>
      <w:lvlText w:val=" "/>
      <w:lvlJc w:val="left"/>
      <w:pPr>
        <w:tabs>
          <w:tab w:val="num" w:pos="5040"/>
        </w:tabs>
        <w:ind w:left="5040" w:hanging="360"/>
      </w:pPr>
      <w:rPr>
        <w:rFonts w:ascii="Calibri" w:hAnsi="Calibri" w:hint="default"/>
      </w:rPr>
    </w:lvl>
    <w:lvl w:ilvl="7" w:tplc="F6F48F88" w:tentative="1">
      <w:start w:val="1"/>
      <w:numFmt w:val="bullet"/>
      <w:lvlText w:val=" "/>
      <w:lvlJc w:val="left"/>
      <w:pPr>
        <w:tabs>
          <w:tab w:val="num" w:pos="5760"/>
        </w:tabs>
        <w:ind w:left="5760" w:hanging="360"/>
      </w:pPr>
      <w:rPr>
        <w:rFonts w:ascii="Calibri" w:hAnsi="Calibri" w:hint="default"/>
      </w:rPr>
    </w:lvl>
    <w:lvl w:ilvl="8" w:tplc="ECA62112" w:tentative="1">
      <w:start w:val="1"/>
      <w:numFmt w:val="bullet"/>
      <w:lvlText w:val=" "/>
      <w:lvlJc w:val="left"/>
      <w:pPr>
        <w:tabs>
          <w:tab w:val="num" w:pos="6480"/>
        </w:tabs>
        <w:ind w:left="6480" w:hanging="360"/>
      </w:pPr>
      <w:rPr>
        <w:rFonts w:ascii="Calibri" w:hAnsi="Calibri" w:hint="default"/>
      </w:rPr>
    </w:lvl>
  </w:abstractNum>
  <w:abstractNum w:abstractNumId="26">
    <w:nsid w:val="74F64B8B"/>
    <w:multiLevelType w:val="hybridMultilevel"/>
    <w:tmpl w:val="BD1C87D8"/>
    <w:lvl w:ilvl="0" w:tplc="0FD0EA4A">
      <w:start w:val="1"/>
      <w:numFmt w:val="bullet"/>
      <w:lvlText w:val="▀"/>
      <w:lvlJc w:val="left"/>
      <w:pPr>
        <w:tabs>
          <w:tab w:val="num" w:pos="720"/>
        </w:tabs>
        <w:ind w:left="720" w:hanging="360"/>
      </w:pPr>
      <w:rPr>
        <w:rFonts w:ascii="Arial" w:hAnsi="Arial" w:hint="default"/>
      </w:rPr>
    </w:lvl>
    <w:lvl w:ilvl="1" w:tplc="C22ED55C">
      <w:start w:val="1"/>
      <w:numFmt w:val="bullet"/>
      <w:lvlText w:val="▀"/>
      <w:lvlJc w:val="left"/>
      <w:pPr>
        <w:tabs>
          <w:tab w:val="num" w:pos="1440"/>
        </w:tabs>
        <w:ind w:left="1440" w:hanging="360"/>
      </w:pPr>
      <w:rPr>
        <w:rFonts w:ascii="Arial" w:hAnsi="Arial" w:hint="default"/>
      </w:rPr>
    </w:lvl>
    <w:lvl w:ilvl="2" w:tplc="A282D49A" w:tentative="1">
      <w:start w:val="1"/>
      <w:numFmt w:val="bullet"/>
      <w:lvlText w:val="▀"/>
      <w:lvlJc w:val="left"/>
      <w:pPr>
        <w:tabs>
          <w:tab w:val="num" w:pos="2160"/>
        </w:tabs>
        <w:ind w:left="2160" w:hanging="360"/>
      </w:pPr>
      <w:rPr>
        <w:rFonts w:ascii="Arial" w:hAnsi="Arial" w:hint="default"/>
      </w:rPr>
    </w:lvl>
    <w:lvl w:ilvl="3" w:tplc="8DF43E46" w:tentative="1">
      <w:start w:val="1"/>
      <w:numFmt w:val="bullet"/>
      <w:lvlText w:val="▀"/>
      <w:lvlJc w:val="left"/>
      <w:pPr>
        <w:tabs>
          <w:tab w:val="num" w:pos="2880"/>
        </w:tabs>
        <w:ind w:left="2880" w:hanging="360"/>
      </w:pPr>
      <w:rPr>
        <w:rFonts w:ascii="Arial" w:hAnsi="Arial" w:hint="default"/>
      </w:rPr>
    </w:lvl>
    <w:lvl w:ilvl="4" w:tplc="819A5700" w:tentative="1">
      <w:start w:val="1"/>
      <w:numFmt w:val="bullet"/>
      <w:lvlText w:val="▀"/>
      <w:lvlJc w:val="left"/>
      <w:pPr>
        <w:tabs>
          <w:tab w:val="num" w:pos="3600"/>
        </w:tabs>
        <w:ind w:left="3600" w:hanging="360"/>
      </w:pPr>
      <w:rPr>
        <w:rFonts w:ascii="Arial" w:hAnsi="Arial" w:hint="default"/>
      </w:rPr>
    </w:lvl>
    <w:lvl w:ilvl="5" w:tplc="EC2011C8" w:tentative="1">
      <w:start w:val="1"/>
      <w:numFmt w:val="bullet"/>
      <w:lvlText w:val="▀"/>
      <w:lvlJc w:val="left"/>
      <w:pPr>
        <w:tabs>
          <w:tab w:val="num" w:pos="4320"/>
        </w:tabs>
        <w:ind w:left="4320" w:hanging="360"/>
      </w:pPr>
      <w:rPr>
        <w:rFonts w:ascii="Arial" w:hAnsi="Arial" w:hint="default"/>
      </w:rPr>
    </w:lvl>
    <w:lvl w:ilvl="6" w:tplc="78D87762" w:tentative="1">
      <w:start w:val="1"/>
      <w:numFmt w:val="bullet"/>
      <w:lvlText w:val="▀"/>
      <w:lvlJc w:val="left"/>
      <w:pPr>
        <w:tabs>
          <w:tab w:val="num" w:pos="5040"/>
        </w:tabs>
        <w:ind w:left="5040" w:hanging="360"/>
      </w:pPr>
      <w:rPr>
        <w:rFonts w:ascii="Arial" w:hAnsi="Arial" w:hint="default"/>
      </w:rPr>
    </w:lvl>
    <w:lvl w:ilvl="7" w:tplc="4AD8A91A" w:tentative="1">
      <w:start w:val="1"/>
      <w:numFmt w:val="bullet"/>
      <w:lvlText w:val="▀"/>
      <w:lvlJc w:val="left"/>
      <w:pPr>
        <w:tabs>
          <w:tab w:val="num" w:pos="5760"/>
        </w:tabs>
        <w:ind w:left="5760" w:hanging="360"/>
      </w:pPr>
      <w:rPr>
        <w:rFonts w:ascii="Arial" w:hAnsi="Arial" w:hint="default"/>
      </w:rPr>
    </w:lvl>
    <w:lvl w:ilvl="8" w:tplc="B6CEA846" w:tentative="1">
      <w:start w:val="1"/>
      <w:numFmt w:val="bullet"/>
      <w:lvlText w:val="▀"/>
      <w:lvlJc w:val="left"/>
      <w:pPr>
        <w:tabs>
          <w:tab w:val="num" w:pos="6480"/>
        </w:tabs>
        <w:ind w:left="6480" w:hanging="360"/>
      </w:pPr>
      <w:rPr>
        <w:rFonts w:ascii="Arial" w:hAnsi="Arial" w:hint="default"/>
      </w:rPr>
    </w:lvl>
  </w:abstractNum>
  <w:abstractNum w:abstractNumId="27">
    <w:nsid w:val="7E5C6B09"/>
    <w:multiLevelType w:val="hybridMultilevel"/>
    <w:tmpl w:val="11564D12"/>
    <w:lvl w:ilvl="0" w:tplc="0B5C059C">
      <w:start w:val="1"/>
      <w:numFmt w:val="bullet"/>
      <w:lvlText w:val="▀"/>
      <w:lvlJc w:val="left"/>
      <w:pPr>
        <w:tabs>
          <w:tab w:val="num" w:pos="720"/>
        </w:tabs>
        <w:ind w:left="720" w:hanging="360"/>
      </w:pPr>
      <w:rPr>
        <w:rFonts w:ascii="Arial" w:hAnsi="Arial" w:hint="default"/>
      </w:rPr>
    </w:lvl>
    <w:lvl w:ilvl="1" w:tplc="A2564540">
      <w:start w:val="1"/>
      <w:numFmt w:val="bullet"/>
      <w:lvlText w:val="▀"/>
      <w:lvlJc w:val="left"/>
      <w:pPr>
        <w:tabs>
          <w:tab w:val="num" w:pos="1440"/>
        </w:tabs>
        <w:ind w:left="1440" w:hanging="360"/>
      </w:pPr>
      <w:rPr>
        <w:rFonts w:ascii="Arial" w:hAnsi="Arial" w:hint="default"/>
      </w:rPr>
    </w:lvl>
    <w:lvl w:ilvl="2" w:tplc="0B308218">
      <w:start w:val="1511"/>
      <w:numFmt w:val="bullet"/>
      <w:lvlText w:val="−"/>
      <w:lvlJc w:val="left"/>
      <w:pPr>
        <w:tabs>
          <w:tab w:val="num" w:pos="2160"/>
        </w:tabs>
        <w:ind w:left="2160" w:hanging="360"/>
      </w:pPr>
      <w:rPr>
        <w:rFonts w:ascii="Calibri" w:hAnsi="Calibri" w:hint="default"/>
      </w:rPr>
    </w:lvl>
    <w:lvl w:ilvl="3" w:tplc="42CE3CD0" w:tentative="1">
      <w:start w:val="1"/>
      <w:numFmt w:val="bullet"/>
      <w:lvlText w:val="▀"/>
      <w:lvlJc w:val="left"/>
      <w:pPr>
        <w:tabs>
          <w:tab w:val="num" w:pos="2880"/>
        </w:tabs>
        <w:ind w:left="2880" w:hanging="360"/>
      </w:pPr>
      <w:rPr>
        <w:rFonts w:ascii="Arial" w:hAnsi="Arial" w:hint="default"/>
      </w:rPr>
    </w:lvl>
    <w:lvl w:ilvl="4" w:tplc="405A2E18" w:tentative="1">
      <w:start w:val="1"/>
      <w:numFmt w:val="bullet"/>
      <w:lvlText w:val="▀"/>
      <w:lvlJc w:val="left"/>
      <w:pPr>
        <w:tabs>
          <w:tab w:val="num" w:pos="3600"/>
        </w:tabs>
        <w:ind w:left="3600" w:hanging="360"/>
      </w:pPr>
      <w:rPr>
        <w:rFonts w:ascii="Arial" w:hAnsi="Arial" w:hint="default"/>
      </w:rPr>
    </w:lvl>
    <w:lvl w:ilvl="5" w:tplc="A732A514" w:tentative="1">
      <w:start w:val="1"/>
      <w:numFmt w:val="bullet"/>
      <w:lvlText w:val="▀"/>
      <w:lvlJc w:val="left"/>
      <w:pPr>
        <w:tabs>
          <w:tab w:val="num" w:pos="4320"/>
        </w:tabs>
        <w:ind w:left="4320" w:hanging="360"/>
      </w:pPr>
      <w:rPr>
        <w:rFonts w:ascii="Arial" w:hAnsi="Arial" w:hint="default"/>
      </w:rPr>
    </w:lvl>
    <w:lvl w:ilvl="6" w:tplc="7F94E5BE" w:tentative="1">
      <w:start w:val="1"/>
      <w:numFmt w:val="bullet"/>
      <w:lvlText w:val="▀"/>
      <w:lvlJc w:val="left"/>
      <w:pPr>
        <w:tabs>
          <w:tab w:val="num" w:pos="5040"/>
        </w:tabs>
        <w:ind w:left="5040" w:hanging="360"/>
      </w:pPr>
      <w:rPr>
        <w:rFonts w:ascii="Arial" w:hAnsi="Arial" w:hint="default"/>
      </w:rPr>
    </w:lvl>
    <w:lvl w:ilvl="7" w:tplc="59F22FB2" w:tentative="1">
      <w:start w:val="1"/>
      <w:numFmt w:val="bullet"/>
      <w:lvlText w:val="▀"/>
      <w:lvlJc w:val="left"/>
      <w:pPr>
        <w:tabs>
          <w:tab w:val="num" w:pos="5760"/>
        </w:tabs>
        <w:ind w:left="5760" w:hanging="360"/>
      </w:pPr>
      <w:rPr>
        <w:rFonts w:ascii="Arial" w:hAnsi="Arial" w:hint="default"/>
      </w:rPr>
    </w:lvl>
    <w:lvl w:ilvl="8" w:tplc="41F60D0A" w:tentative="1">
      <w:start w:val="1"/>
      <w:numFmt w:val="bullet"/>
      <w:lvlText w:val="▀"/>
      <w:lvlJc w:val="left"/>
      <w:pPr>
        <w:tabs>
          <w:tab w:val="num" w:pos="6480"/>
        </w:tabs>
        <w:ind w:left="6480" w:hanging="360"/>
      </w:pPr>
      <w:rPr>
        <w:rFonts w:ascii="Arial" w:hAnsi="Arial" w:hint="default"/>
      </w:rPr>
    </w:lvl>
  </w:abstractNum>
  <w:abstractNum w:abstractNumId="28">
    <w:nsid w:val="7E8F0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19"/>
  </w:num>
  <w:num w:numId="33">
    <w:abstractNumId w:val="28"/>
  </w:num>
  <w:num w:numId="34">
    <w:abstractNumId w:val="13"/>
  </w:num>
  <w:num w:numId="35">
    <w:abstractNumId w:val="16"/>
  </w:num>
  <w:num w:numId="36">
    <w:abstractNumId w:val="22"/>
  </w:num>
  <w:num w:numId="37">
    <w:abstractNumId w:val="24"/>
  </w:num>
  <w:num w:numId="38">
    <w:abstractNumId w:val="23"/>
  </w:num>
  <w:num w:numId="39">
    <w:abstractNumId w:val="15"/>
  </w:num>
  <w:num w:numId="40">
    <w:abstractNumId w:val="25"/>
  </w:num>
  <w:num w:numId="41">
    <w:abstractNumId w:val="18"/>
  </w:num>
  <w:num w:numId="42">
    <w:abstractNumId w:val="14"/>
  </w:num>
  <w:num w:numId="43">
    <w:abstractNumId w:val="17"/>
  </w:num>
  <w:num w:numId="44">
    <w:abstractNumId w:val="20"/>
  </w:num>
  <w:num w:numId="45">
    <w:abstractNumId w:val="10"/>
  </w:num>
  <w:num w:numId="46">
    <w:abstractNumId w:val="11"/>
  </w:num>
  <w:num w:numId="47">
    <w:abstractNumId w:val="26"/>
  </w:num>
  <w:num w:numId="48">
    <w:abstractNumId w:val="27"/>
  </w:num>
  <w:num w:numId="4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DocStamp_1_OptionalControlValues" w:val="ClientMatter|&amp;Client/Matter Number|1|%cm"/>
    <w:docVar w:name="MPDocID" w:val="07771-0056/LEGAL130022719.1"/>
    <w:docVar w:name="MPDocIDTemplate" w:val="%c-|%m/|%l|%n|.%v"/>
    <w:docVar w:name="MPDocIDTemplateDefault" w:val="%c-|%m/|%n|.%v"/>
    <w:docVar w:name="NewDocStampType" w:val="7"/>
  </w:docVars>
  <w:rsids>
    <w:rsidRoot w:val="0078036F"/>
    <w:rsid w:val="00000251"/>
    <w:rsid w:val="00000F27"/>
    <w:rsid w:val="00001458"/>
    <w:rsid w:val="000018C9"/>
    <w:rsid w:val="00001A4E"/>
    <w:rsid w:val="0000267D"/>
    <w:rsid w:val="000033FB"/>
    <w:rsid w:val="000038D1"/>
    <w:rsid w:val="00003993"/>
    <w:rsid w:val="00003FC5"/>
    <w:rsid w:val="00004E7F"/>
    <w:rsid w:val="0000502A"/>
    <w:rsid w:val="000057A7"/>
    <w:rsid w:val="00006EBA"/>
    <w:rsid w:val="00010240"/>
    <w:rsid w:val="000105BC"/>
    <w:rsid w:val="00011A48"/>
    <w:rsid w:val="00012276"/>
    <w:rsid w:val="000126F8"/>
    <w:rsid w:val="00014348"/>
    <w:rsid w:val="00015D35"/>
    <w:rsid w:val="000168EC"/>
    <w:rsid w:val="00016DD6"/>
    <w:rsid w:val="0002006D"/>
    <w:rsid w:val="0002022A"/>
    <w:rsid w:val="00020560"/>
    <w:rsid w:val="000207D4"/>
    <w:rsid w:val="0002090C"/>
    <w:rsid w:val="000213EE"/>
    <w:rsid w:val="00021598"/>
    <w:rsid w:val="00023B25"/>
    <w:rsid w:val="00024B82"/>
    <w:rsid w:val="000266AC"/>
    <w:rsid w:val="00026A20"/>
    <w:rsid w:val="00027551"/>
    <w:rsid w:val="0003062A"/>
    <w:rsid w:val="0003065A"/>
    <w:rsid w:val="000310FF"/>
    <w:rsid w:val="00031862"/>
    <w:rsid w:val="00031A10"/>
    <w:rsid w:val="00031CC6"/>
    <w:rsid w:val="00032CCC"/>
    <w:rsid w:val="00033037"/>
    <w:rsid w:val="00033055"/>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15DB"/>
    <w:rsid w:val="00051ECD"/>
    <w:rsid w:val="000531FF"/>
    <w:rsid w:val="00055585"/>
    <w:rsid w:val="000561B0"/>
    <w:rsid w:val="0005731E"/>
    <w:rsid w:val="000573B4"/>
    <w:rsid w:val="0006005F"/>
    <w:rsid w:val="000602A5"/>
    <w:rsid w:val="00060DE1"/>
    <w:rsid w:val="00060F6E"/>
    <w:rsid w:val="00061223"/>
    <w:rsid w:val="000626A8"/>
    <w:rsid w:val="000626F6"/>
    <w:rsid w:val="00062A35"/>
    <w:rsid w:val="000630DF"/>
    <w:rsid w:val="00063762"/>
    <w:rsid w:val="00064D13"/>
    <w:rsid w:val="000665CF"/>
    <w:rsid w:val="0006775A"/>
    <w:rsid w:val="00067AC2"/>
    <w:rsid w:val="0007020C"/>
    <w:rsid w:val="00071233"/>
    <w:rsid w:val="00072A17"/>
    <w:rsid w:val="00073004"/>
    <w:rsid w:val="00073522"/>
    <w:rsid w:val="00073DDA"/>
    <w:rsid w:val="00074504"/>
    <w:rsid w:val="000748F1"/>
    <w:rsid w:val="00074EF8"/>
    <w:rsid w:val="00074F3A"/>
    <w:rsid w:val="00075119"/>
    <w:rsid w:val="00075409"/>
    <w:rsid w:val="00075D11"/>
    <w:rsid w:val="0007701B"/>
    <w:rsid w:val="00080B87"/>
    <w:rsid w:val="00080ECE"/>
    <w:rsid w:val="000810A0"/>
    <w:rsid w:val="00081400"/>
    <w:rsid w:val="00081C91"/>
    <w:rsid w:val="00081EB3"/>
    <w:rsid w:val="00081F9A"/>
    <w:rsid w:val="00081FE4"/>
    <w:rsid w:val="00082304"/>
    <w:rsid w:val="00082817"/>
    <w:rsid w:val="00082A97"/>
    <w:rsid w:val="00082DF4"/>
    <w:rsid w:val="0008472E"/>
    <w:rsid w:val="00085FC5"/>
    <w:rsid w:val="00086D2B"/>
    <w:rsid w:val="0008729E"/>
    <w:rsid w:val="00087323"/>
    <w:rsid w:val="000879F2"/>
    <w:rsid w:val="00087A30"/>
    <w:rsid w:val="00087C23"/>
    <w:rsid w:val="00087CDF"/>
    <w:rsid w:val="0009011C"/>
    <w:rsid w:val="000906AB"/>
    <w:rsid w:val="000921C9"/>
    <w:rsid w:val="00092314"/>
    <w:rsid w:val="00092433"/>
    <w:rsid w:val="00094B82"/>
    <w:rsid w:val="000953B2"/>
    <w:rsid w:val="000954ED"/>
    <w:rsid w:val="00096042"/>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0EED"/>
    <w:rsid w:val="000B10F1"/>
    <w:rsid w:val="000B16FB"/>
    <w:rsid w:val="000B213E"/>
    <w:rsid w:val="000B2697"/>
    <w:rsid w:val="000B275A"/>
    <w:rsid w:val="000B458E"/>
    <w:rsid w:val="000B4D8C"/>
    <w:rsid w:val="000B4F0E"/>
    <w:rsid w:val="000B4F31"/>
    <w:rsid w:val="000B6DF0"/>
    <w:rsid w:val="000B7CA0"/>
    <w:rsid w:val="000B7E28"/>
    <w:rsid w:val="000C0E43"/>
    <w:rsid w:val="000C106D"/>
    <w:rsid w:val="000C11B0"/>
    <w:rsid w:val="000C1EDC"/>
    <w:rsid w:val="000C3A74"/>
    <w:rsid w:val="000C3C4E"/>
    <w:rsid w:val="000C62FB"/>
    <w:rsid w:val="000C71E4"/>
    <w:rsid w:val="000D16FA"/>
    <w:rsid w:val="000D1737"/>
    <w:rsid w:val="000D1CBF"/>
    <w:rsid w:val="000D27F1"/>
    <w:rsid w:val="000D2AB3"/>
    <w:rsid w:val="000D3B78"/>
    <w:rsid w:val="000D3FD5"/>
    <w:rsid w:val="000D40B0"/>
    <w:rsid w:val="000D4239"/>
    <w:rsid w:val="000D4D19"/>
    <w:rsid w:val="000D508E"/>
    <w:rsid w:val="000D720F"/>
    <w:rsid w:val="000D769A"/>
    <w:rsid w:val="000D79AE"/>
    <w:rsid w:val="000E0276"/>
    <w:rsid w:val="000E04D4"/>
    <w:rsid w:val="000E09D6"/>
    <w:rsid w:val="000E101B"/>
    <w:rsid w:val="000E1079"/>
    <w:rsid w:val="000E17C5"/>
    <w:rsid w:val="000E1F19"/>
    <w:rsid w:val="000E2C75"/>
    <w:rsid w:val="000E39D3"/>
    <w:rsid w:val="000E5795"/>
    <w:rsid w:val="000E58B7"/>
    <w:rsid w:val="000E5FE8"/>
    <w:rsid w:val="000E60C7"/>
    <w:rsid w:val="000E6441"/>
    <w:rsid w:val="000F0F85"/>
    <w:rsid w:val="000F19BC"/>
    <w:rsid w:val="000F1D16"/>
    <w:rsid w:val="000F1F31"/>
    <w:rsid w:val="000F206E"/>
    <w:rsid w:val="000F21D6"/>
    <w:rsid w:val="000F2EE0"/>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21AE"/>
    <w:rsid w:val="0011290D"/>
    <w:rsid w:val="00113575"/>
    <w:rsid w:val="00114B05"/>
    <w:rsid w:val="00116C39"/>
    <w:rsid w:val="001213F2"/>
    <w:rsid w:val="00121D41"/>
    <w:rsid w:val="00123215"/>
    <w:rsid w:val="00124B4A"/>
    <w:rsid w:val="0012536F"/>
    <w:rsid w:val="00125514"/>
    <w:rsid w:val="0012613C"/>
    <w:rsid w:val="00126C10"/>
    <w:rsid w:val="00126F73"/>
    <w:rsid w:val="0012738A"/>
    <w:rsid w:val="001301D2"/>
    <w:rsid w:val="00130643"/>
    <w:rsid w:val="001314E2"/>
    <w:rsid w:val="00132080"/>
    <w:rsid w:val="0013222D"/>
    <w:rsid w:val="0013251A"/>
    <w:rsid w:val="001334C6"/>
    <w:rsid w:val="00134A5D"/>
    <w:rsid w:val="0013699C"/>
    <w:rsid w:val="001370EE"/>
    <w:rsid w:val="0013799B"/>
    <w:rsid w:val="00137DED"/>
    <w:rsid w:val="001402CC"/>
    <w:rsid w:val="00140FA8"/>
    <w:rsid w:val="001413F5"/>
    <w:rsid w:val="001419A2"/>
    <w:rsid w:val="00141AE0"/>
    <w:rsid w:val="00143177"/>
    <w:rsid w:val="001442A0"/>
    <w:rsid w:val="0014432A"/>
    <w:rsid w:val="00144AFC"/>
    <w:rsid w:val="00145325"/>
    <w:rsid w:val="00145AA3"/>
    <w:rsid w:val="0014678E"/>
    <w:rsid w:val="00146839"/>
    <w:rsid w:val="00147354"/>
    <w:rsid w:val="001476C6"/>
    <w:rsid w:val="00147FFB"/>
    <w:rsid w:val="0015066A"/>
    <w:rsid w:val="00150D5C"/>
    <w:rsid w:val="00151518"/>
    <w:rsid w:val="00151D6B"/>
    <w:rsid w:val="0015254A"/>
    <w:rsid w:val="00153B56"/>
    <w:rsid w:val="00155AC8"/>
    <w:rsid w:val="0015721C"/>
    <w:rsid w:val="00161776"/>
    <w:rsid w:val="001619B9"/>
    <w:rsid w:val="00161D4B"/>
    <w:rsid w:val="001621D2"/>
    <w:rsid w:val="001622C7"/>
    <w:rsid w:val="001639D5"/>
    <w:rsid w:val="001665DC"/>
    <w:rsid w:val="0016730A"/>
    <w:rsid w:val="00167586"/>
    <w:rsid w:val="0017017D"/>
    <w:rsid w:val="00170348"/>
    <w:rsid w:val="00170495"/>
    <w:rsid w:val="00171EB2"/>
    <w:rsid w:val="001726A4"/>
    <w:rsid w:val="00172EF7"/>
    <w:rsid w:val="00175034"/>
    <w:rsid w:val="00175565"/>
    <w:rsid w:val="001763D1"/>
    <w:rsid w:val="00176AFD"/>
    <w:rsid w:val="001772B0"/>
    <w:rsid w:val="001777D9"/>
    <w:rsid w:val="00177D92"/>
    <w:rsid w:val="00177F2E"/>
    <w:rsid w:val="0018002E"/>
    <w:rsid w:val="001801D7"/>
    <w:rsid w:val="0018043F"/>
    <w:rsid w:val="001805B5"/>
    <w:rsid w:val="0018128F"/>
    <w:rsid w:val="00182146"/>
    <w:rsid w:val="00182816"/>
    <w:rsid w:val="00182AF5"/>
    <w:rsid w:val="00182B04"/>
    <w:rsid w:val="001834DD"/>
    <w:rsid w:val="00183670"/>
    <w:rsid w:val="00184331"/>
    <w:rsid w:val="00184FDC"/>
    <w:rsid w:val="001851DC"/>
    <w:rsid w:val="00186746"/>
    <w:rsid w:val="00186965"/>
    <w:rsid w:val="00186CC3"/>
    <w:rsid w:val="0018750B"/>
    <w:rsid w:val="001901CB"/>
    <w:rsid w:val="0019020A"/>
    <w:rsid w:val="00190BD8"/>
    <w:rsid w:val="00190BDC"/>
    <w:rsid w:val="00191531"/>
    <w:rsid w:val="00192F6C"/>
    <w:rsid w:val="00192FB7"/>
    <w:rsid w:val="00193A40"/>
    <w:rsid w:val="0019429F"/>
    <w:rsid w:val="00194441"/>
    <w:rsid w:val="00195350"/>
    <w:rsid w:val="001965E2"/>
    <w:rsid w:val="00196C67"/>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155"/>
    <w:rsid w:val="001B4260"/>
    <w:rsid w:val="001B4D74"/>
    <w:rsid w:val="001B5AE3"/>
    <w:rsid w:val="001B5B28"/>
    <w:rsid w:val="001B64FB"/>
    <w:rsid w:val="001B682D"/>
    <w:rsid w:val="001C0455"/>
    <w:rsid w:val="001C1116"/>
    <w:rsid w:val="001C13E3"/>
    <w:rsid w:val="001C1B24"/>
    <w:rsid w:val="001C37F0"/>
    <w:rsid w:val="001C417F"/>
    <w:rsid w:val="001C4874"/>
    <w:rsid w:val="001C4DDB"/>
    <w:rsid w:val="001C5BD4"/>
    <w:rsid w:val="001C6DAE"/>
    <w:rsid w:val="001D03F2"/>
    <w:rsid w:val="001D1E62"/>
    <w:rsid w:val="001D1F06"/>
    <w:rsid w:val="001D24FC"/>
    <w:rsid w:val="001D36D6"/>
    <w:rsid w:val="001D3AC7"/>
    <w:rsid w:val="001D52B3"/>
    <w:rsid w:val="001D53C8"/>
    <w:rsid w:val="001D5D57"/>
    <w:rsid w:val="001D60BB"/>
    <w:rsid w:val="001D6D5E"/>
    <w:rsid w:val="001D74FB"/>
    <w:rsid w:val="001D7DB8"/>
    <w:rsid w:val="001E080D"/>
    <w:rsid w:val="001E0D14"/>
    <w:rsid w:val="001E14AE"/>
    <w:rsid w:val="001E1865"/>
    <w:rsid w:val="001E186D"/>
    <w:rsid w:val="001E1DC2"/>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5713"/>
    <w:rsid w:val="001F5DA8"/>
    <w:rsid w:val="001F7186"/>
    <w:rsid w:val="001F7391"/>
    <w:rsid w:val="001F7854"/>
    <w:rsid w:val="00200716"/>
    <w:rsid w:val="00200D80"/>
    <w:rsid w:val="002017B6"/>
    <w:rsid w:val="002018F6"/>
    <w:rsid w:val="00202246"/>
    <w:rsid w:val="002029AC"/>
    <w:rsid w:val="00203ECF"/>
    <w:rsid w:val="002041E1"/>
    <w:rsid w:val="00204528"/>
    <w:rsid w:val="002047AA"/>
    <w:rsid w:val="0020527F"/>
    <w:rsid w:val="00205492"/>
    <w:rsid w:val="00205848"/>
    <w:rsid w:val="00205DE3"/>
    <w:rsid w:val="0020686F"/>
    <w:rsid w:val="00206D43"/>
    <w:rsid w:val="00207E4D"/>
    <w:rsid w:val="002110A4"/>
    <w:rsid w:val="00211721"/>
    <w:rsid w:val="00211B4C"/>
    <w:rsid w:val="00211F43"/>
    <w:rsid w:val="0021212F"/>
    <w:rsid w:val="00212C52"/>
    <w:rsid w:val="0021483F"/>
    <w:rsid w:val="00214B14"/>
    <w:rsid w:val="00214D0A"/>
    <w:rsid w:val="00216D12"/>
    <w:rsid w:val="00216D9D"/>
    <w:rsid w:val="00216FB8"/>
    <w:rsid w:val="00217121"/>
    <w:rsid w:val="002174DC"/>
    <w:rsid w:val="0021752B"/>
    <w:rsid w:val="002205A0"/>
    <w:rsid w:val="0022090B"/>
    <w:rsid w:val="00220964"/>
    <w:rsid w:val="00221F3A"/>
    <w:rsid w:val="00222277"/>
    <w:rsid w:val="002225DC"/>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759A"/>
    <w:rsid w:val="0024093B"/>
    <w:rsid w:val="00240A80"/>
    <w:rsid w:val="00241AC8"/>
    <w:rsid w:val="00241B0F"/>
    <w:rsid w:val="00241CA3"/>
    <w:rsid w:val="00242141"/>
    <w:rsid w:val="002422E4"/>
    <w:rsid w:val="002431F5"/>
    <w:rsid w:val="00245019"/>
    <w:rsid w:val="00245849"/>
    <w:rsid w:val="002463F4"/>
    <w:rsid w:val="00247D31"/>
    <w:rsid w:val="00253225"/>
    <w:rsid w:val="002533EE"/>
    <w:rsid w:val="0025364E"/>
    <w:rsid w:val="0025379D"/>
    <w:rsid w:val="00255921"/>
    <w:rsid w:val="00256369"/>
    <w:rsid w:val="00256EE9"/>
    <w:rsid w:val="00260299"/>
    <w:rsid w:val="0026052D"/>
    <w:rsid w:val="00261459"/>
    <w:rsid w:val="002624B9"/>
    <w:rsid w:val="00262D80"/>
    <w:rsid w:val="002633A0"/>
    <w:rsid w:val="00263BEA"/>
    <w:rsid w:val="002643FE"/>
    <w:rsid w:val="0026464D"/>
    <w:rsid w:val="00264D4D"/>
    <w:rsid w:val="00265232"/>
    <w:rsid w:val="0026606F"/>
    <w:rsid w:val="00266A39"/>
    <w:rsid w:val="00270675"/>
    <w:rsid w:val="002711C7"/>
    <w:rsid w:val="00271710"/>
    <w:rsid w:val="00272A46"/>
    <w:rsid w:val="00272EC9"/>
    <w:rsid w:val="00273345"/>
    <w:rsid w:val="002737FA"/>
    <w:rsid w:val="00273D05"/>
    <w:rsid w:val="00273F6C"/>
    <w:rsid w:val="0027553A"/>
    <w:rsid w:val="00275987"/>
    <w:rsid w:val="00275B9E"/>
    <w:rsid w:val="00276129"/>
    <w:rsid w:val="00277F59"/>
    <w:rsid w:val="002802F0"/>
    <w:rsid w:val="00280750"/>
    <w:rsid w:val="002813F1"/>
    <w:rsid w:val="0028218B"/>
    <w:rsid w:val="0028232E"/>
    <w:rsid w:val="002833CF"/>
    <w:rsid w:val="00284220"/>
    <w:rsid w:val="00286143"/>
    <w:rsid w:val="00286B60"/>
    <w:rsid w:val="00287C42"/>
    <w:rsid w:val="00291C8F"/>
    <w:rsid w:val="00292057"/>
    <w:rsid w:val="0029218D"/>
    <w:rsid w:val="00293674"/>
    <w:rsid w:val="00293702"/>
    <w:rsid w:val="0029381A"/>
    <w:rsid w:val="00293934"/>
    <w:rsid w:val="00293A68"/>
    <w:rsid w:val="00293BA8"/>
    <w:rsid w:val="00293C18"/>
    <w:rsid w:val="0029484B"/>
    <w:rsid w:val="002949DE"/>
    <w:rsid w:val="00295DBA"/>
    <w:rsid w:val="002968C2"/>
    <w:rsid w:val="00296BDF"/>
    <w:rsid w:val="00297202"/>
    <w:rsid w:val="002974C6"/>
    <w:rsid w:val="00297E88"/>
    <w:rsid w:val="002A09C6"/>
    <w:rsid w:val="002A0E40"/>
    <w:rsid w:val="002A15C3"/>
    <w:rsid w:val="002A2BAC"/>
    <w:rsid w:val="002A4485"/>
    <w:rsid w:val="002A4786"/>
    <w:rsid w:val="002A5398"/>
    <w:rsid w:val="002A62A2"/>
    <w:rsid w:val="002A6E1C"/>
    <w:rsid w:val="002A743C"/>
    <w:rsid w:val="002A758B"/>
    <w:rsid w:val="002B040E"/>
    <w:rsid w:val="002B0CEB"/>
    <w:rsid w:val="002B103B"/>
    <w:rsid w:val="002B17C0"/>
    <w:rsid w:val="002B1928"/>
    <w:rsid w:val="002B1A97"/>
    <w:rsid w:val="002B2BEC"/>
    <w:rsid w:val="002B4D27"/>
    <w:rsid w:val="002B5686"/>
    <w:rsid w:val="002B656E"/>
    <w:rsid w:val="002B791B"/>
    <w:rsid w:val="002C01D3"/>
    <w:rsid w:val="002C037F"/>
    <w:rsid w:val="002C0490"/>
    <w:rsid w:val="002C04E4"/>
    <w:rsid w:val="002C05F5"/>
    <w:rsid w:val="002C07C5"/>
    <w:rsid w:val="002C1932"/>
    <w:rsid w:val="002C1A0F"/>
    <w:rsid w:val="002C295F"/>
    <w:rsid w:val="002C4A5A"/>
    <w:rsid w:val="002C53AB"/>
    <w:rsid w:val="002C578A"/>
    <w:rsid w:val="002C6AA5"/>
    <w:rsid w:val="002D036E"/>
    <w:rsid w:val="002D044F"/>
    <w:rsid w:val="002D104D"/>
    <w:rsid w:val="002D3053"/>
    <w:rsid w:val="002D4BC7"/>
    <w:rsid w:val="002D4EE0"/>
    <w:rsid w:val="002D519A"/>
    <w:rsid w:val="002D6CCD"/>
    <w:rsid w:val="002D6F91"/>
    <w:rsid w:val="002E05BD"/>
    <w:rsid w:val="002E14D9"/>
    <w:rsid w:val="002E170B"/>
    <w:rsid w:val="002E1D75"/>
    <w:rsid w:val="002E2758"/>
    <w:rsid w:val="002E365A"/>
    <w:rsid w:val="002E3B9B"/>
    <w:rsid w:val="002E3CCE"/>
    <w:rsid w:val="002E4864"/>
    <w:rsid w:val="002E4ABB"/>
    <w:rsid w:val="002E5751"/>
    <w:rsid w:val="002E5E34"/>
    <w:rsid w:val="002E622D"/>
    <w:rsid w:val="002E7656"/>
    <w:rsid w:val="002E7AB9"/>
    <w:rsid w:val="002F0DCB"/>
    <w:rsid w:val="002F0F4C"/>
    <w:rsid w:val="002F0F54"/>
    <w:rsid w:val="002F108C"/>
    <w:rsid w:val="002F1552"/>
    <w:rsid w:val="002F1B87"/>
    <w:rsid w:val="002F1D57"/>
    <w:rsid w:val="002F2D5C"/>
    <w:rsid w:val="002F4022"/>
    <w:rsid w:val="002F44D8"/>
    <w:rsid w:val="002F4E1A"/>
    <w:rsid w:val="002F5D43"/>
    <w:rsid w:val="002F648D"/>
    <w:rsid w:val="002F69A9"/>
    <w:rsid w:val="002F72F4"/>
    <w:rsid w:val="002F7F48"/>
    <w:rsid w:val="002F7F99"/>
    <w:rsid w:val="003006DF"/>
    <w:rsid w:val="003008BC"/>
    <w:rsid w:val="003008E1"/>
    <w:rsid w:val="00300B64"/>
    <w:rsid w:val="0030108A"/>
    <w:rsid w:val="00301A58"/>
    <w:rsid w:val="00302DC8"/>
    <w:rsid w:val="0030382C"/>
    <w:rsid w:val="00303A00"/>
    <w:rsid w:val="0030402A"/>
    <w:rsid w:val="00304AD1"/>
    <w:rsid w:val="0030599D"/>
    <w:rsid w:val="00305B0F"/>
    <w:rsid w:val="00305C1C"/>
    <w:rsid w:val="00305F27"/>
    <w:rsid w:val="00306E12"/>
    <w:rsid w:val="00310A14"/>
    <w:rsid w:val="00311348"/>
    <w:rsid w:val="0031226B"/>
    <w:rsid w:val="00312D99"/>
    <w:rsid w:val="0031315B"/>
    <w:rsid w:val="0031385F"/>
    <w:rsid w:val="003160AD"/>
    <w:rsid w:val="003165EA"/>
    <w:rsid w:val="003173F8"/>
    <w:rsid w:val="003241C9"/>
    <w:rsid w:val="003253CA"/>
    <w:rsid w:val="00326117"/>
    <w:rsid w:val="00326C76"/>
    <w:rsid w:val="00326D49"/>
    <w:rsid w:val="00326D84"/>
    <w:rsid w:val="00327481"/>
    <w:rsid w:val="00330055"/>
    <w:rsid w:val="00330181"/>
    <w:rsid w:val="00330241"/>
    <w:rsid w:val="00330B4F"/>
    <w:rsid w:val="003314CE"/>
    <w:rsid w:val="00331FB7"/>
    <w:rsid w:val="00332781"/>
    <w:rsid w:val="00333039"/>
    <w:rsid w:val="003330A4"/>
    <w:rsid w:val="003348B8"/>
    <w:rsid w:val="0033531F"/>
    <w:rsid w:val="00335E31"/>
    <w:rsid w:val="00335E4D"/>
    <w:rsid w:val="003362AF"/>
    <w:rsid w:val="003366D5"/>
    <w:rsid w:val="00337741"/>
    <w:rsid w:val="003378C4"/>
    <w:rsid w:val="00340995"/>
    <w:rsid w:val="003420DA"/>
    <w:rsid w:val="003421C2"/>
    <w:rsid w:val="0034224C"/>
    <w:rsid w:val="00342CB1"/>
    <w:rsid w:val="00343981"/>
    <w:rsid w:val="00346179"/>
    <w:rsid w:val="00350C50"/>
    <w:rsid w:val="00350CB5"/>
    <w:rsid w:val="003510C8"/>
    <w:rsid w:val="00351317"/>
    <w:rsid w:val="00351918"/>
    <w:rsid w:val="00351D81"/>
    <w:rsid w:val="00352255"/>
    <w:rsid w:val="003522B5"/>
    <w:rsid w:val="00352AA1"/>
    <w:rsid w:val="003536F7"/>
    <w:rsid w:val="00353913"/>
    <w:rsid w:val="00353C06"/>
    <w:rsid w:val="003541CF"/>
    <w:rsid w:val="00354DBB"/>
    <w:rsid w:val="003552AD"/>
    <w:rsid w:val="003564F6"/>
    <w:rsid w:val="0035658E"/>
    <w:rsid w:val="00356746"/>
    <w:rsid w:val="00356CA5"/>
    <w:rsid w:val="00356F1C"/>
    <w:rsid w:val="00360559"/>
    <w:rsid w:val="00360F19"/>
    <w:rsid w:val="003615C3"/>
    <w:rsid w:val="00361862"/>
    <w:rsid w:val="00361918"/>
    <w:rsid w:val="00361AA7"/>
    <w:rsid w:val="003626B1"/>
    <w:rsid w:val="00363AD7"/>
    <w:rsid w:val="00363CD6"/>
    <w:rsid w:val="0036404D"/>
    <w:rsid w:val="00364628"/>
    <w:rsid w:val="00364E2A"/>
    <w:rsid w:val="00365DAC"/>
    <w:rsid w:val="00366E20"/>
    <w:rsid w:val="00367830"/>
    <w:rsid w:val="00367AAD"/>
    <w:rsid w:val="00370504"/>
    <w:rsid w:val="00371907"/>
    <w:rsid w:val="00371F03"/>
    <w:rsid w:val="00371FB6"/>
    <w:rsid w:val="00373111"/>
    <w:rsid w:val="00373D8A"/>
    <w:rsid w:val="00374D76"/>
    <w:rsid w:val="00375D71"/>
    <w:rsid w:val="0037609D"/>
    <w:rsid w:val="0037668D"/>
    <w:rsid w:val="00376A53"/>
    <w:rsid w:val="00377241"/>
    <w:rsid w:val="00377351"/>
    <w:rsid w:val="00380483"/>
    <w:rsid w:val="00381640"/>
    <w:rsid w:val="00382E96"/>
    <w:rsid w:val="003830F2"/>
    <w:rsid w:val="00385723"/>
    <w:rsid w:val="0038586F"/>
    <w:rsid w:val="003861D3"/>
    <w:rsid w:val="00386AAB"/>
    <w:rsid w:val="00387949"/>
    <w:rsid w:val="00387AC6"/>
    <w:rsid w:val="0039172A"/>
    <w:rsid w:val="0039225E"/>
    <w:rsid w:val="003923BE"/>
    <w:rsid w:val="00392447"/>
    <w:rsid w:val="00392830"/>
    <w:rsid w:val="003932BB"/>
    <w:rsid w:val="00393318"/>
    <w:rsid w:val="00393A0D"/>
    <w:rsid w:val="003942F8"/>
    <w:rsid w:val="00394429"/>
    <w:rsid w:val="00394529"/>
    <w:rsid w:val="003945E2"/>
    <w:rsid w:val="00394826"/>
    <w:rsid w:val="00394CDA"/>
    <w:rsid w:val="00394F53"/>
    <w:rsid w:val="0039576C"/>
    <w:rsid w:val="00397462"/>
    <w:rsid w:val="00397A82"/>
    <w:rsid w:val="00397EA2"/>
    <w:rsid w:val="003A0A9A"/>
    <w:rsid w:val="003A215A"/>
    <w:rsid w:val="003A2690"/>
    <w:rsid w:val="003A3406"/>
    <w:rsid w:val="003A4381"/>
    <w:rsid w:val="003A4EA7"/>
    <w:rsid w:val="003A5149"/>
    <w:rsid w:val="003A5D17"/>
    <w:rsid w:val="003A6D5A"/>
    <w:rsid w:val="003A765B"/>
    <w:rsid w:val="003A7F17"/>
    <w:rsid w:val="003B00EE"/>
    <w:rsid w:val="003B038C"/>
    <w:rsid w:val="003B1157"/>
    <w:rsid w:val="003B159E"/>
    <w:rsid w:val="003B1D04"/>
    <w:rsid w:val="003B1D72"/>
    <w:rsid w:val="003B2827"/>
    <w:rsid w:val="003B2BDB"/>
    <w:rsid w:val="003B2C52"/>
    <w:rsid w:val="003B4EBD"/>
    <w:rsid w:val="003B532A"/>
    <w:rsid w:val="003B5653"/>
    <w:rsid w:val="003B783F"/>
    <w:rsid w:val="003B7FDC"/>
    <w:rsid w:val="003C1871"/>
    <w:rsid w:val="003C1DDC"/>
    <w:rsid w:val="003C2226"/>
    <w:rsid w:val="003C2CF0"/>
    <w:rsid w:val="003C2D21"/>
    <w:rsid w:val="003C433F"/>
    <w:rsid w:val="003C499B"/>
    <w:rsid w:val="003C64C6"/>
    <w:rsid w:val="003C64CD"/>
    <w:rsid w:val="003C7040"/>
    <w:rsid w:val="003C79A5"/>
    <w:rsid w:val="003D0EA0"/>
    <w:rsid w:val="003D16B9"/>
    <w:rsid w:val="003D198C"/>
    <w:rsid w:val="003D3FCF"/>
    <w:rsid w:val="003D456D"/>
    <w:rsid w:val="003D4982"/>
    <w:rsid w:val="003D4BB8"/>
    <w:rsid w:val="003D6AC9"/>
    <w:rsid w:val="003D77EB"/>
    <w:rsid w:val="003E0F92"/>
    <w:rsid w:val="003E12CD"/>
    <w:rsid w:val="003E15A5"/>
    <w:rsid w:val="003E1AD7"/>
    <w:rsid w:val="003E1FFA"/>
    <w:rsid w:val="003E2A26"/>
    <w:rsid w:val="003E31A3"/>
    <w:rsid w:val="003E367A"/>
    <w:rsid w:val="003E3995"/>
    <w:rsid w:val="003E4FC4"/>
    <w:rsid w:val="003E690E"/>
    <w:rsid w:val="003E6C70"/>
    <w:rsid w:val="003E6DCA"/>
    <w:rsid w:val="003E706C"/>
    <w:rsid w:val="003E7662"/>
    <w:rsid w:val="003E7E21"/>
    <w:rsid w:val="003F07DB"/>
    <w:rsid w:val="003F0B20"/>
    <w:rsid w:val="003F1467"/>
    <w:rsid w:val="003F15A0"/>
    <w:rsid w:val="003F18A4"/>
    <w:rsid w:val="003F1CF4"/>
    <w:rsid w:val="003F24BA"/>
    <w:rsid w:val="003F2638"/>
    <w:rsid w:val="003F2E79"/>
    <w:rsid w:val="003F3075"/>
    <w:rsid w:val="003F3E13"/>
    <w:rsid w:val="003F4573"/>
    <w:rsid w:val="003F4B39"/>
    <w:rsid w:val="003F5F2A"/>
    <w:rsid w:val="003F60CE"/>
    <w:rsid w:val="003F6487"/>
    <w:rsid w:val="003F7016"/>
    <w:rsid w:val="003F7A47"/>
    <w:rsid w:val="004002BC"/>
    <w:rsid w:val="00400E4D"/>
    <w:rsid w:val="004011A8"/>
    <w:rsid w:val="004019F3"/>
    <w:rsid w:val="00401ACB"/>
    <w:rsid w:val="00402AC6"/>
    <w:rsid w:val="00403288"/>
    <w:rsid w:val="0040369B"/>
    <w:rsid w:val="004041F8"/>
    <w:rsid w:val="00404FDA"/>
    <w:rsid w:val="00405054"/>
    <w:rsid w:val="004064C2"/>
    <w:rsid w:val="00406548"/>
    <w:rsid w:val="00407298"/>
    <w:rsid w:val="00407D13"/>
    <w:rsid w:val="00410109"/>
    <w:rsid w:val="00410132"/>
    <w:rsid w:val="004122E8"/>
    <w:rsid w:val="0041378F"/>
    <w:rsid w:val="00413A94"/>
    <w:rsid w:val="00414C2C"/>
    <w:rsid w:val="0041561A"/>
    <w:rsid w:val="004157EA"/>
    <w:rsid w:val="00416D32"/>
    <w:rsid w:val="0041721A"/>
    <w:rsid w:val="00417C81"/>
    <w:rsid w:val="004203AC"/>
    <w:rsid w:val="004207CE"/>
    <w:rsid w:val="004210FB"/>
    <w:rsid w:val="004213C2"/>
    <w:rsid w:val="00422B46"/>
    <w:rsid w:val="00423A60"/>
    <w:rsid w:val="004251A1"/>
    <w:rsid w:val="00427665"/>
    <w:rsid w:val="00427CE2"/>
    <w:rsid w:val="00430261"/>
    <w:rsid w:val="00430991"/>
    <w:rsid w:val="00430B8E"/>
    <w:rsid w:val="00431663"/>
    <w:rsid w:val="004322C5"/>
    <w:rsid w:val="00432A23"/>
    <w:rsid w:val="0043323B"/>
    <w:rsid w:val="004333FA"/>
    <w:rsid w:val="00434484"/>
    <w:rsid w:val="00435715"/>
    <w:rsid w:val="00435896"/>
    <w:rsid w:val="00435A62"/>
    <w:rsid w:val="004362F5"/>
    <w:rsid w:val="00436A82"/>
    <w:rsid w:val="0043715C"/>
    <w:rsid w:val="00437A09"/>
    <w:rsid w:val="00437C59"/>
    <w:rsid w:val="00437E04"/>
    <w:rsid w:val="0044020B"/>
    <w:rsid w:val="00441A6F"/>
    <w:rsid w:val="00441C83"/>
    <w:rsid w:val="00443B6A"/>
    <w:rsid w:val="00443F3B"/>
    <w:rsid w:val="00444224"/>
    <w:rsid w:val="0044448D"/>
    <w:rsid w:val="0044478C"/>
    <w:rsid w:val="0044519B"/>
    <w:rsid w:val="004455C0"/>
    <w:rsid w:val="0044612F"/>
    <w:rsid w:val="00446B81"/>
    <w:rsid w:val="00446C00"/>
    <w:rsid w:val="00446ED3"/>
    <w:rsid w:val="00447225"/>
    <w:rsid w:val="0045014F"/>
    <w:rsid w:val="00451133"/>
    <w:rsid w:val="0045216D"/>
    <w:rsid w:val="004526D5"/>
    <w:rsid w:val="004530FC"/>
    <w:rsid w:val="004535C5"/>
    <w:rsid w:val="0045517B"/>
    <w:rsid w:val="004552BF"/>
    <w:rsid w:val="004554B6"/>
    <w:rsid w:val="0045721C"/>
    <w:rsid w:val="00457E87"/>
    <w:rsid w:val="00462A39"/>
    <w:rsid w:val="00462A99"/>
    <w:rsid w:val="00463B14"/>
    <w:rsid w:val="004643C3"/>
    <w:rsid w:val="004647B9"/>
    <w:rsid w:val="00465D09"/>
    <w:rsid w:val="004660CF"/>
    <w:rsid w:val="00467759"/>
    <w:rsid w:val="0047040F"/>
    <w:rsid w:val="004706AC"/>
    <w:rsid w:val="004709CB"/>
    <w:rsid w:val="00470F96"/>
    <w:rsid w:val="00471CE1"/>
    <w:rsid w:val="00471F54"/>
    <w:rsid w:val="0047201F"/>
    <w:rsid w:val="00473182"/>
    <w:rsid w:val="004731EB"/>
    <w:rsid w:val="0047502F"/>
    <w:rsid w:val="00480476"/>
    <w:rsid w:val="00481211"/>
    <w:rsid w:val="0048197D"/>
    <w:rsid w:val="004823C5"/>
    <w:rsid w:val="0048244B"/>
    <w:rsid w:val="004843EB"/>
    <w:rsid w:val="0048477F"/>
    <w:rsid w:val="00484CFB"/>
    <w:rsid w:val="0048529D"/>
    <w:rsid w:val="00493DB1"/>
    <w:rsid w:val="00493E57"/>
    <w:rsid w:val="00493F2E"/>
    <w:rsid w:val="00495A75"/>
    <w:rsid w:val="00495CDE"/>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773"/>
    <w:rsid w:val="004B4FA9"/>
    <w:rsid w:val="004B52C3"/>
    <w:rsid w:val="004B5A44"/>
    <w:rsid w:val="004B6AE9"/>
    <w:rsid w:val="004B6B8B"/>
    <w:rsid w:val="004B6C41"/>
    <w:rsid w:val="004B7188"/>
    <w:rsid w:val="004B736B"/>
    <w:rsid w:val="004B77E0"/>
    <w:rsid w:val="004C0174"/>
    <w:rsid w:val="004C133C"/>
    <w:rsid w:val="004C1679"/>
    <w:rsid w:val="004C2AB7"/>
    <w:rsid w:val="004C2FB3"/>
    <w:rsid w:val="004C54FE"/>
    <w:rsid w:val="004C5985"/>
    <w:rsid w:val="004C6971"/>
    <w:rsid w:val="004C7807"/>
    <w:rsid w:val="004C7D91"/>
    <w:rsid w:val="004D0C75"/>
    <w:rsid w:val="004D27A7"/>
    <w:rsid w:val="004D2AFB"/>
    <w:rsid w:val="004D2CB5"/>
    <w:rsid w:val="004D3483"/>
    <w:rsid w:val="004D4437"/>
    <w:rsid w:val="004D4BB3"/>
    <w:rsid w:val="004D52E4"/>
    <w:rsid w:val="004D5B3A"/>
    <w:rsid w:val="004D6E73"/>
    <w:rsid w:val="004D76F3"/>
    <w:rsid w:val="004D7940"/>
    <w:rsid w:val="004E003C"/>
    <w:rsid w:val="004E011F"/>
    <w:rsid w:val="004E0526"/>
    <w:rsid w:val="004E0E6E"/>
    <w:rsid w:val="004E1A0E"/>
    <w:rsid w:val="004E1F2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2C6"/>
    <w:rsid w:val="004F4D77"/>
    <w:rsid w:val="004F4F7B"/>
    <w:rsid w:val="004F4FCD"/>
    <w:rsid w:val="004F6011"/>
    <w:rsid w:val="004F79C8"/>
    <w:rsid w:val="00501A99"/>
    <w:rsid w:val="00503313"/>
    <w:rsid w:val="00503E11"/>
    <w:rsid w:val="005043E5"/>
    <w:rsid w:val="005049AD"/>
    <w:rsid w:val="00505BBB"/>
    <w:rsid w:val="00506BC4"/>
    <w:rsid w:val="00506FE6"/>
    <w:rsid w:val="00507616"/>
    <w:rsid w:val="0050783F"/>
    <w:rsid w:val="00507C27"/>
    <w:rsid w:val="005105B4"/>
    <w:rsid w:val="00511424"/>
    <w:rsid w:val="00512503"/>
    <w:rsid w:val="0051286E"/>
    <w:rsid w:val="00512C65"/>
    <w:rsid w:val="00512CF1"/>
    <w:rsid w:val="005134F8"/>
    <w:rsid w:val="00513BDC"/>
    <w:rsid w:val="0051418F"/>
    <w:rsid w:val="005149A0"/>
    <w:rsid w:val="00515389"/>
    <w:rsid w:val="005157A5"/>
    <w:rsid w:val="00515B5F"/>
    <w:rsid w:val="0051628F"/>
    <w:rsid w:val="005167CD"/>
    <w:rsid w:val="00516C35"/>
    <w:rsid w:val="00517897"/>
    <w:rsid w:val="00520483"/>
    <w:rsid w:val="00520988"/>
    <w:rsid w:val="00520A5F"/>
    <w:rsid w:val="00520B84"/>
    <w:rsid w:val="00521C4B"/>
    <w:rsid w:val="005231EB"/>
    <w:rsid w:val="00523641"/>
    <w:rsid w:val="005239DE"/>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13"/>
    <w:rsid w:val="005426D6"/>
    <w:rsid w:val="00542AB9"/>
    <w:rsid w:val="00542DD3"/>
    <w:rsid w:val="005435AC"/>
    <w:rsid w:val="005457D1"/>
    <w:rsid w:val="005460F2"/>
    <w:rsid w:val="00547765"/>
    <w:rsid w:val="005504CD"/>
    <w:rsid w:val="0055158E"/>
    <w:rsid w:val="005519BA"/>
    <w:rsid w:val="00552C0A"/>
    <w:rsid w:val="005538DF"/>
    <w:rsid w:val="00555784"/>
    <w:rsid w:val="00555E2C"/>
    <w:rsid w:val="005569F0"/>
    <w:rsid w:val="005612E2"/>
    <w:rsid w:val="0056268F"/>
    <w:rsid w:val="00562C0C"/>
    <w:rsid w:val="00562C8B"/>
    <w:rsid w:val="0056310E"/>
    <w:rsid w:val="005632C9"/>
    <w:rsid w:val="00564485"/>
    <w:rsid w:val="00565713"/>
    <w:rsid w:val="005658FB"/>
    <w:rsid w:val="00566386"/>
    <w:rsid w:val="00566A33"/>
    <w:rsid w:val="00566D46"/>
    <w:rsid w:val="00566DC2"/>
    <w:rsid w:val="005675E4"/>
    <w:rsid w:val="00570062"/>
    <w:rsid w:val="0057035E"/>
    <w:rsid w:val="00570FBA"/>
    <w:rsid w:val="00571838"/>
    <w:rsid w:val="0057267A"/>
    <w:rsid w:val="00572683"/>
    <w:rsid w:val="00573155"/>
    <w:rsid w:val="00574472"/>
    <w:rsid w:val="00574ED0"/>
    <w:rsid w:val="00581405"/>
    <w:rsid w:val="005819D4"/>
    <w:rsid w:val="00581AEF"/>
    <w:rsid w:val="00581CB4"/>
    <w:rsid w:val="00582496"/>
    <w:rsid w:val="005831F2"/>
    <w:rsid w:val="005833D6"/>
    <w:rsid w:val="005836E5"/>
    <w:rsid w:val="00584A5A"/>
    <w:rsid w:val="00584B5A"/>
    <w:rsid w:val="00585A28"/>
    <w:rsid w:val="00585AC2"/>
    <w:rsid w:val="00585D52"/>
    <w:rsid w:val="00586DEE"/>
    <w:rsid w:val="00586EE1"/>
    <w:rsid w:val="00587034"/>
    <w:rsid w:val="00587EAC"/>
    <w:rsid w:val="00590110"/>
    <w:rsid w:val="00590950"/>
    <w:rsid w:val="005926D8"/>
    <w:rsid w:val="00593430"/>
    <w:rsid w:val="00596115"/>
    <w:rsid w:val="00596A00"/>
    <w:rsid w:val="00596A3E"/>
    <w:rsid w:val="00596A99"/>
    <w:rsid w:val="00596C28"/>
    <w:rsid w:val="005A029D"/>
    <w:rsid w:val="005A118A"/>
    <w:rsid w:val="005A1205"/>
    <w:rsid w:val="005A20E2"/>
    <w:rsid w:val="005A31F8"/>
    <w:rsid w:val="005A3428"/>
    <w:rsid w:val="005A39C3"/>
    <w:rsid w:val="005A5A09"/>
    <w:rsid w:val="005A5C15"/>
    <w:rsid w:val="005A5C8C"/>
    <w:rsid w:val="005A618A"/>
    <w:rsid w:val="005A6957"/>
    <w:rsid w:val="005A6F71"/>
    <w:rsid w:val="005A704F"/>
    <w:rsid w:val="005A762E"/>
    <w:rsid w:val="005A7ABE"/>
    <w:rsid w:val="005A7D35"/>
    <w:rsid w:val="005B0CCB"/>
    <w:rsid w:val="005B161E"/>
    <w:rsid w:val="005B1D85"/>
    <w:rsid w:val="005B1DB7"/>
    <w:rsid w:val="005B20C8"/>
    <w:rsid w:val="005B21C9"/>
    <w:rsid w:val="005B24DE"/>
    <w:rsid w:val="005B28BE"/>
    <w:rsid w:val="005B33B0"/>
    <w:rsid w:val="005B4228"/>
    <w:rsid w:val="005B5060"/>
    <w:rsid w:val="005B6D30"/>
    <w:rsid w:val="005B7B02"/>
    <w:rsid w:val="005C009D"/>
    <w:rsid w:val="005C2350"/>
    <w:rsid w:val="005C354E"/>
    <w:rsid w:val="005C3827"/>
    <w:rsid w:val="005C3FB5"/>
    <w:rsid w:val="005C4415"/>
    <w:rsid w:val="005C48B3"/>
    <w:rsid w:val="005C5025"/>
    <w:rsid w:val="005C6DED"/>
    <w:rsid w:val="005C703E"/>
    <w:rsid w:val="005D0B05"/>
    <w:rsid w:val="005D0C5F"/>
    <w:rsid w:val="005D0FAF"/>
    <w:rsid w:val="005D14A3"/>
    <w:rsid w:val="005D332E"/>
    <w:rsid w:val="005D387F"/>
    <w:rsid w:val="005D3D47"/>
    <w:rsid w:val="005D4C26"/>
    <w:rsid w:val="005D51F2"/>
    <w:rsid w:val="005D5503"/>
    <w:rsid w:val="005D5BDF"/>
    <w:rsid w:val="005D723C"/>
    <w:rsid w:val="005E0771"/>
    <w:rsid w:val="005E10D9"/>
    <w:rsid w:val="005E11C3"/>
    <w:rsid w:val="005E1D99"/>
    <w:rsid w:val="005E2343"/>
    <w:rsid w:val="005E2567"/>
    <w:rsid w:val="005E485D"/>
    <w:rsid w:val="005E4F1A"/>
    <w:rsid w:val="005E57CE"/>
    <w:rsid w:val="005E6D08"/>
    <w:rsid w:val="005E7123"/>
    <w:rsid w:val="005F014F"/>
    <w:rsid w:val="005F0E06"/>
    <w:rsid w:val="005F1455"/>
    <w:rsid w:val="005F1D2B"/>
    <w:rsid w:val="005F2088"/>
    <w:rsid w:val="005F2723"/>
    <w:rsid w:val="005F3CCB"/>
    <w:rsid w:val="005F3D4F"/>
    <w:rsid w:val="005F523B"/>
    <w:rsid w:val="005F5ACD"/>
    <w:rsid w:val="005F69F3"/>
    <w:rsid w:val="005F6E7C"/>
    <w:rsid w:val="005F7616"/>
    <w:rsid w:val="005F7927"/>
    <w:rsid w:val="005F7BA7"/>
    <w:rsid w:val="00601BA9"/>
    <w:rsid w:val="0060264C"/>
    <w:rsid w:val="0060346C"/>
    <w:rsid w:val="00603D56"/>
    <w:rsid w:val="00604EB8"/>
    <w:rsid w:val="00604F4E"/>
    <w:rsid w:val="0060553D"/>
    <w:rsid w:val="0060688A"/>
    <w:rsid w:val="00610606"/>
    <w:rsid w:val="00611238"/>
    <w:rsid w:val="00611718"/>
    <w:rsid w:val="00611A2F"/>
    <w:rsid w:val="00611E66"/>
    <w:rsid w:val="00612285"/>
    <w:rsid w:val="00612D99"/>
    <w:rsid w:val="0061361E"/>
    <w:rsid w:val="0061448F"/>
    <w:rsid w:val="00614579"/>
    <w:rsid w:val="00614A1D"/>
    <w:rsid w:val="00615722"/>
    <w:rsid w:val="006163F6"/>
    <w:rsid w:val="00616B03"/>
    <w:rsid w:val="00617361"/>
    <w:rsid w:val="00617F2F"/>
    <w:rsid w:val="006213D9"/>
    <w:rsid w:val="006214E3"/>
    <w:rsid w:val="006218D8"/>
    <w:rsid w:val="00621D28"/>
    <w:rsid w:val="00621D3F"/>
    <w:rsid w:val="00622761"/>
    <w:rsid w:val="006236FF"/>
    <w:rsid w:val="00623B81"/>
    <w:rsid w:val="006242BA"/>
    <w:rsid w:val="006242D0"/>
    <w:rsid w:val="0062574F"/>
    <w:rsid w:val="00625865"/>
    <w:rsid w:val="00626014"/>
    <w:rsid w:val="0062708E"/>
    <w:rsid w:val="006276D8"/>
    <w:rsid w:val="00627755"/>
    <w:rsid w:val="00627B1A"/>
    <w:rsid w:val="006310C8"/>
    <w:rsid w:val="00631586"/>
    <w:rsid w:val="00631A23"/>
    <w:rsid w:val="00632F7E"/>
    <w:rsid w:val="0063308E"/>
    <w:rsid w:val="00635256"/>
    <w:rsid w:val="0063567D"/>
    <w:rsid w:val="00635D2A"/>
    <w:rsid w:val="006365CA"/>
    <w:rsid w:val="0063664F"/>
    <w:rsid w:val="006369AF"/>
    <w:rsid w:val="0063795E"/>
    <w:rsid w:val="0064110E"/>
    <w:rsid w:val="0064112E"/>
    <w:rsid w:val="0064156C"/>
    <w:rsid w:val="00641F5B"/>
    <w:rsid w:val="00642363"/>
    <w:rsid w:val="00643260"/>
    <w:rsid w:val="006444E9"/>
    <w:rsid w:val="00644E91"/>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38B4"/>
    <w:rsid w:val="00663AE6"/>
    <w:rsid w:val="006655A6"/>
    <w:rsid w:val="0066565D"/>
    <w:rsid w:val="00665F52"/>
    <w:rsid w:val="00667822"/>
    <w:rsid w:val="00667A8E"/>
    <w:rsid w:val="00670C3C"/>
    <w:rsid w:val="00670D18"/>
    <w:rsid w:val="00670EE1"/>
    <w:rsid w:val="00671913"/>
    <w:rsid w:val="006719BE"/>
    <w:rsid w:val="00671AFC"/>
    <w:rsid w:val="006737B3"/>
    <w:rsid w:val="00674187"/>
    <w:rsid w:val="00675A62"/>
    <w:rsid w:val="00675C9C"/>
    <w:rsid w:val="006764F1"/>
    <w:rsid w:val="00676ED7"/>
    <w:rsid w:val="006772B3"/>
    <w:rsid w:val="006774FD"/>
    <w:rsid w:val="00677B07"/>
    <w:rsid w:val="00677FD1"/>
    <w:rsid w:val="00680D60"/>
    <w:rsid w:val="00681324"/>
    <w:rsid w:val="006816BD"/>
    <w:rsid w:val="0068256F"/>
    <w:rsid w:val="00682ABA"/>
    <w:rsid w:val="0068303E"/>
    <w:rsid w:val="006844D2"/>
    <w:rsid w:val="00684BDD"/>
    <w:rsid w:val="006854DE"/>
    <w:rsid w:val="00686DC9"/>
    <w:rsid w:val="00687114"/>
    <w:rsid w:val="0069039B"/>
    <w:rsid w:val="00690510"/>
    <w:rsid w:val="00691189"/>
    <w:rsid w:val="00691742"/>
    <w:rsid w:val="00691767"/>
    <w:rsid w:val="0069216B"/>
    <w:rsid w:val="006922B1"/>
    <w:rsid w:val="00692569"/>
    <w:rsid w:val="006926B8"/>
    <w:rsid w:val="00692BCE"/>
    <w:rsid w:val="00692D67"/>
    <w:rsid w:val="006935EA"/>
    <w:rsid w:val="00694464"/>
    <w:rsid w:val="00694710"/>
    <w:rsid w:val="00694931"/>
    <w:rsid w:val="00694D9A"/>
    <w:rsid w:val="00694FE8"/>
    <w:rsid w:val="00695C44"/>
    <w:rsid w:val="00695F24"/>
    <w:rsid w:val="00696F85"/>
    <w:rsid w:val="006A0FD9"/>
    <w:rsid w:val="006A1109"/>
    <w:rsid w:val="006A1B13"/>
    <w:rsid w:val="006A1EA8"/>
    <w:rsid w:val="006A2687"/>
    <w:rsid w:val="006A271D"/>
    <w:rsid w:val="006A4980"/>
    <w:rsid w:val="006A4EC4"/>
    <w:rsid w:val="006A50D1"/>
    <w:rsid w:val="006A54DB"/>
    <w:rsid w:val="006A55E9"/>
    <w:rsid w:val="006A56F7"/>
    <w:rsid w:val="006A5BE3"/>
    <w:rsid w:val="006A5FBE"/>
    <w:rsid w:val="006A6037"/>
    <w:rsid w:val="006A615F"/>
    <w:rsid w:val="006A64A4"/>
    <w:rsid w:val="006B0D37"/>
    <w:rsid w:val="006B0E49"/>
    <w:rsid w:val="006B1D56"/>
    <w:rsid w:val="006B2BB1"/>
    <w:rsid w:val="006B3840"/>
    <w:rsid w:val="006B3AEA"/>
    <w:rsid w:val="006B46FB"/>
    <w:rsid w:val="006B4A32"/>
    <w:rsid w:val="006B5B4D"/>
    <w:rsid w:val="006B6541"/>
    <w:rsid w:val="006B7F8C"/>
    <w:rsid w:val="006C08D4"/>
    <w:rsid w:val="006C18F4"/>
    <w:rsid w:val="006C274D"/>
    <w:rsid w:val="006C309A"/>
    <w:rsid w:val="006C328A"/>
    <w:rsid w:val="006C40EE"/>
    <w:rsid w:val="006C4D56"/>
    <w:rsid w:val="006C653E"/>
    <w:rsid w:val="006C6A7F"/>
    <w:rsid w:val="006C6F08"/>
    <w:rsid w:val="006C710B"/>
    <w:rsid w:val="006D079F"/>
    <w:rsid w:val="006D0C67"/>
    <w:rsid w:val="006D0D7E"/>
    <w:rsid w:val="006D1365"/>
    <w:rsid w:val="006D16EC"/>
    <w:rsid w:val="006D183C"/>
    <w:rsid w:val="006D1FDD"/>
    <w:rsid w:val="006D24BB"/>
    <w:rsid w:val="006D2D70"/>
    <w:rsid w:val="006D365B"/>
    <w:rsid w:val="006D4897"/>
    <w:rsid w:val="006D6427"/>
    <w:rsid w:val="006D6B2C"/>
    <w:rsid w:val="006D738B"/>
    <w:rsid w:val="006D7C71"/>
    <w:rsid w:val="006E0720"/>
    <w:rsid w:val="006E072C"/>
    <w:rsid w:val="006E07F0"/>
    <w:rsid w:val="006E0DA0"/>
    <w:rsid w:val="006E1405"/>
    <w:rsid w:val="006E15AC"/>
    <w:rsid w:val="006E31A7"/>
    <w:rsid w:val="006E54A6"/>
    <w:rsid w:val="006E59AB"/>
    <w:rsid w:val="006E5EF2"/>
    <w:rsid w:val="006E625F"/>
    <w:rsid w:val="006E6FB9"/>
    <w:rsid w:val="006E74E4"/>
    <w:rsid w:val="006E7898"/>
    <w:rsid w:val="006F06A5"/>
    <w:rsid w:val="006F076F"/>
    <w:rsid w:val="006F07BE"/>
    <w:rsid w:val="006F1079"/>
    <w:rsid w:val="006F19D9"/>
    <w:rsid w:val="006F1FF0"/>
    <w:rsid w:val="006F3AD8"/>
    <w:rsid w:val="006F427E"/>
    <w:rsid w:val="0070012D"/>
    <w:rsid w:val="00700634"/>
    <w:rsid w:val="00700987"/>
    <w:rsid w:val="00701BD5"/>
    <w:rsid w:val="00701E2A"/>
    <w:rsid w:val="00701F3C"/>
    <w:rsid w:val="00704283"/>
    <w:rsid w:val="007046BE"/>
    <w:rsid w:val="0070560F"/>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56"/>
    <w:rsid w:val="00717DD2"/>
    <w:rsid w:val="007214CA"/>
    <w:rsid w:val="00721C95"/>
    <w:rsid w:val="0072237A"/>
    <w:rsid w:val="0072299C"/>
    <w:rsid w:val="00722C4D"/>
    <w:rsid w:val="00722D06"/>
    <w:rsid w:val="0072363B"/>
    <w:rsid w:val="00723BA5"/>
    <w:rsid w:val="007263D1"/>
    <w:rsid w:val="00730092"/>
    <w:rsid w:val="00732529"/>
    <w:rsid w:val="00732F6C"/>
    <w:rsid w:val="00733624"/>
    <w:rsid w:val="00733AA8"/>
    <w:rsid w:val="00734969"/>
    <w:rsid w:val="0073627E"/>
    <w:rsid w:val="00736655"/>
    <w:rsid w:val="00740063"/>
    <w:rsid w:val="00740D42"/>
    <w:rsid w:val="007414DB"/>
    <w:rsid w:val="007419D3"/>
    <w:rsid w:val="007449DD"/>
    <w:rsid w:val="00744A26"/>
    <w:rsid w:val="00744A32"/>
    <w:rsid w:val="00744E4E"/>
    <w:rsid w:val="007452C5"/>
    <w:rsid w:val="007466C5"/>
    <w:rsid w:val="007514C6"/>
    <w:rsid w:val="007515D2"/>
    <w:rsid w:val="00751D53"/>
    <w:rsid w:val="0075249A"/>
    <w:rsid w:val="0075263A"/>
    <w:rsid w:val="00752F21"/>
    <w:rsid w:val="00753D3A"/>
    <w:rsid w:val="00756A00"/>
    <w:rsid w:val="007575A3"/>
    <w:rsid w:val="00757719"/>
    <w:rsid w:val="007605AD"/>
    <w:rsid w:val="00761558"/>
    <w:rsid w:val="00761EA6"/>
    <w:rsid w:val="00763158"/>
    <w:rsid w:val="00763F8B"/>
    <w:rsid w:val="0076529C"/>
    <w:rsid w:val="00765607"/>
    <w:rsid w:val="00765CC5"/>
    <w:rsid w:val="0076609C"/>
    <w:rsid w:val="00766922"/>
    <w:rsid w:val="00771162"/>
    <w:rsid w:val="00771592"/>
    <w:rsid w:val="00771A30"/>
    <w:rsid w:val="00771CA5"/>
    <w:rsid w:val="007720E8"/>
    <w:rsid w:val="00774016"/>
    <w:rsid w:val="007745D7"/>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4C92"/>
    <w:rsid w:val="00785380"/>
    <w:rsid w:val="0078607B"/>
    <w:rsid w:val="0078664D"/>
    <w:rsid w:val="00786A94"/>
    <w:rsid w:val="007870D4"/>
    <w:rsid w:val="00787D45"/>
    <w:rsid w:val="00791D12"/>
    <w:rsid w:val="00794662"/>
    <w:rsid w:val="00795074"/>
    <w:rsid w:val="007957E4"/>
    <w:rsid w:val="00796D42"/>
    <w:rsid w:val="00796EB5"/>
    <w:rsid w:val="0079766D"/>
    <w:rsid w:val="007A0239"/>
    <w:rsid w:val="007A0B38"/>
    <w:rsid w:val="007A0BBC"/>
    <w:rsid w:val="007A3276"/>
    <w:rsid w:val="007A3E2A"/>
    <w:rsid w:val="007A4CA2"/>
    <w:rsid w:val="007A4EC9"/>
    <w:rsid w:val="007A5100"/>
    <w:rsid w:val="007A5177"/>
    <w:rsid w:val="007A60AB"/>
    <w:rsid w:val="007A6501"/>
    <w:rsid w:val="007A6862"/>
    <w:rsid w:val="007A7045"/>
    <w:rsid w:val="007B2543"/>
    <w:rsid w:val="007B28A2"/>
    <w:rsid w:val="007B2E4F"/>
    <w:rsid w:val="007B41CC"/>
    <w:rsid w:val="007B4542"/>
    <w:rsid w:val="007B6288"/>
    <w:rsid w:val="007B64E7"/>
    <w:rsid w:val="007B656A"/>
    <w:rsid w:val="007B713F"/>
    <w:rsid w:val="007C075B"/>
    <w:rsid w:val="007C07C5"/>
    <w:rsid w:val="007C0998"/>
    <w:rsid w:val="007C154C"/>
    <w:rsid w:val="007C26C3"/>
    <w:rsid w:val="007C2D87"/>
    <w:rsid w:val="007C3392"/>
    <w:rsid w:val="007C3B19"/>
    <w:rsid w:val="007C4460"/>
    <w:rsid w:val="007C4F70"/>
    <w:rsid w:val="007C6B7C"/>
    <w:rsid w:val="007D0EA3"/>
    <w:rsid w:val="007D2050"/>
    <w:rsid w:val="007D254F"/>
    <w:rsid w:val="007D25F3"/>
    <w:rsid w:val="007D27AF"/>
    <w:rsid w:val="007D328A"/>
    <w:rsid w:val="007D3379"/>
    <w:rsid w:val="007D33E7"/>
    <w:rsid w:val="007D3E65"/>
    <w:rsid w:val="007D5C62"/>
    <w:rsid w:val="007D5F31"/>
    <w:rsid w:val="007D7AFC"/>
    <w:rsid w:val="007D7EA0"/>
    <w:rsid w:val="007E0263"/>
    <w:rsid w:val="007E072D"/>
    <w:rsid w:val="007E0C2A"/>
    <w:rsid w:val="007E0D4C"/>
    <w:rsid w:val="007E22C8"/>
    <w:rsid w:val="007E32F2"/>
    <w:rsid w:val="007E4086"/>
    <w:rsid w:val="007E5EC6"/>
    <w:rsid w:val="007E63F7"/>
    <w:rsid w:val="007E7A2D"/>
    <w:rsid w:val="007F2521"/>
    <w:rsid w:val="007F2615"/>
    <w:rsid w:val="007F2F93"/>
    <w:rsid w:val="007F35DA"/>
    <w:rsid w:val="007F46E9"/>
    <w:rsid w:val="007F4B5E"/>
    <w:rsid w:val="007F6534"/>
    <w:rsid w:val="007F6927"/>
    <w:rsid w:val="00801AC3"/>
    <w:rsid w:val="00801CEE"/>
    <w:rsid w:val="00802A8F"/>
    <w:rsid w:val="00802D16"/>
    <w:rsid w:val="008076A1"/>
    <w:rsid w:val="00807733"/>
    <w:rsid w:val="00810E09"/>
    <w:rsid w:val="00810F5B"/>
    <w:rsid w:val="00812036"/>
    <w:rsid w:val="008124A8"/>
    <w:rsid w:val="00812EE5"/>
    <w:rsid w:val="008133E2"/>
    <w:rsid w:val="00815421"/>
    <w:rsid w:val="00817D76"/>
    <w:rsid w:val="00822483"/>
    <w:rsid w:val="008224E3"/>
    <w:rsid w:val="00822BE8"/>
    <w:rsid w:val="00822E40"/>
    <w:rsid w:val="00822F88"/>
    <w:rsid w:val="00822F90"/>
    <w:rsid w:val="0082327E"/>
    <w:rsid w:val="0082532D"/>
    <w:rsid w:val="00825B69"/>
    <w:rsid w:val="0082650F"/>
    <w:rsid w:val="00826914"/>
    <w:rsid w:val="00827FB3"/>
    <w:rsid w:val="0083008F"/>
    <w:rsid w:val="00830818"/>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3925"/>
    <w:rsid w:val="00843DFC"/>
    <w:rsid w:val="00844B84"/>
    <w:rsid w:val="0084503C"/>
    <w:rsid w:val="00845925"/>
    <w:rsid w:val="008469D5"/>
    <w:rsid w:val="00846D4E"/>
    <w:rsid w:val="00846FAC"/>
    <w:rsid w:val="0085000F"/>
    <w:rsid w:val="00851608"/>
    <w:rsid w:val="00851C20"/>
    <w:rsid w:val="00852AAA"/>
    <w:rsid w:val="00852DA8"/>
    <w:rsid w:val="00853342"/>
    <w:rsid w:val="00854481"/>
    <w:rsid w:val="008544DA"/>
    <w:rsid w:val="0085503B"/>
    <w:rsid w:val="00855E7B"/>
    <w:rsid w:val="00855EF0"/>
    <w:rsid w:val="00856A63"/>
    <w:rsid w:val="00856AD9"/>
    <w:rsid w:val="00857F17"/>
    <w:rsid w:val="008607D9"/>
    <w:rsid w:val="00862AA6"/>
    <w:rsid w:val="00863BAA"/>
    <w:rsid w:val="0086482D"/>
    <w:rsid w:val="008650B5"/>
    <w:rsid w:val="00865F60"/>
    <w:rsid w:val="00867170"/>
    <w:rsid w:val="00867CE6"/>
    <w:rsid w:val="00867E79"/>
    <w:rsid w:val="00870B20"/>
    <w:rsid w:val="00871A5D"/>
    <w:rsid w:val="008727EC"/>
    <w:rsid w:val="00872890"/>
    <w:rsid w:val="0087293F"/>
    <w:rsid w:val="008734E4"/>
    <w:rsid w:val="0087436C"/>
    <w:rsid w:val="0087573D"/>
    <w:rsid w:val="00876B9D"/>
    <w:rsid w:val="00877005"/>
    <w:rsid w:val="00877945"/>
    <w:rsid w:val="008805AD"/>
    <w:rsid w:val="008805B1"/>
    <w:rsid w:val="008814D2"/>
    <w:rsid w:val="008815C6"/>
    <w:rsid w:val="008823B3"/>
    <w:rsid w:val="00883413"/>
    <w:rsid w:val="0088465B"/>
    <w:rsid w:val="008858C6"/>
    <w:rsid w:val="008861AC"/>
    <w:rsid w:val="00886B25"/>
    <w:rsid w:val="00887F89"/>
    <w:rsid w:val="0089533B"/>
    <w:rsid w:val="00896D34"/>
    <w:rsid w:val="008970D8"/>
    <w:rsid w:val="0089721C"/>
    <w:rsid w:val="00897625"/>
    <w:rsid w:val="008978DA"/>
    <w:rsid w:val="00897E39"/>
    <w:rsid w:val="008A13C7"/>
    <w:rsid w:val="008A19E4"/>
    <w:rsid w:val="008A1C8D"/>
    <w:rsid w:val="008A24B2"/>
    <w:rsid w:val="008A293B"/>
    <w:rsid w:val="008A361E"/>
    <w:rsid w:val="008A3D6D"/>
    <w:rsid w:val="008A4102"/>
    <w:rsid w:val="008A60B8"/>
    <w:rsid w:val="008A64B2"/>
    <w:rsid w:val="008A7177"/>
    <w:rsid w:val="008A75E9"/>
    <w:rsid w:val="008B3341"/>
    <w:rsid w:val="008B3926"/>
    <w:rsid w:val="008B3D97"/>
    <w:rsid w:val="008B48A2"/>
    <w:rsid w:val="008B4B02"/>
    <w:rsid w:val="008B59FE"/>
    <w:rsid w:val="008B5C56"/>
    <w:rsid w:val="008B617F"/>
    <w:rsid w:val="008B6C80"/>
    <w:rsid w:val="008B71E1"/>
    <w:rsid w:val="008C0095"/>
    <w:rsid w:val="008C0D2C"/>
    <w:rsid w:val="008C20A1"/>
    <w:rsid w:val="008C2D68"/>
    <w:rsid w:val="008C2D9E"/>
    <w:rsid w:val="008C47EE"/>
    <w:rsid w:val="008C4A78"/>
    <w:rsid w:val="008C5021"/>
    <w:rsid w:val="008C5722"/>
    <w:rsid w:val="008C5896"/>
    <w:rsid w:val="008C614F"/>
    <w:rsid w:val="008D3A31"/>
    <w:rsid w:val="008D3E6B"/>
    <w:rsid w:val="008D4172"/>
    <w:rsid w:val="008D4239"/>
    <w:rsid w:val="008D467C"/>
    <w:rsid w:val="008D4911"/>
    <w:rsid w:val="008D4FD5"/>
    <w:rsid w:val="008D5812"/>
    <w:rsid w:val="008D64AA"/>
    <w:rsid w:val="008D73D0"/>
    <w:rsid w:val="008E1804"/>
    <w:rsid w:val="008E191A"/>
    <w:rsid w:val="008E2470"/>
    <w:rsid w:val="008E45EE"/>
    <w:rsid w:val="008E4BF3"/>
    <w:rsid w:val="008E503F"/>
    <w:rsid w:val="008E53E0"/>
    <w:rsid w:val="008E5FC6"/>
    <w:rsid w:val="008E641B"/>
    <w:rsid w:val="008E7864"/>
    <w:rsid w:val="008E7A67"/>
    <w:rsid w:val="008E7C50"/>
    <w:rsid w:val="008F0833"/>
    <w:rsid w:val="008F116F"/>
    <w:rsid w:val="008F125E"/>
    <w:rsid w:val="008F1E7C"/>
    <w:rsid w:val="008F1F7C"/>
    <w:rsid w:val="008F2705"/>
    <w:rsid w:val="008F43AC"/>
    <w:rsid w:val="008F4EB2"/>
    <w:rsid w:val="008F4FD6"/>
    <w:rsid w:val="008F5422"/>
    <w:rsid w:val="008F5C63"/>
    <w:rsid w:val="008F620F"/>
    <w:rsid w:val="008F64B6"/>
    <w:rsid w:val="008F6511"/>
    <w:rsid w:val="008F67F5"/>
    <w:rsid w:val="008F713C"/>
    <w:rsid w:val="008F7866"/>
    <w:rsid w:val="0090011F"/>
    <w:rsid w:val="009016C3"/>
    <w:rsid w:val="00902935"/>
    <w:rsid w:val="00902D7C"/>
    <w:rsid w:val="00902E4A"/>
    <w:rsid w:val="00902E94"/>
    <w:rsid w:val="00904A0F"/>
    <w:rsid w:val="00905CCF"/>
    <w:rsid w:val="00905D1C"/>
    <w:rsid w:val="009066BF"/>
    <w:rsid w:val="0090704C"/>
    <w:rsid w:val="009105F9"/>
    <w:rsid w:val="0091080F"/>
    <w:rsid w:val="00910E78"/>
    <w:rsid w:val="00911553"/>
    <w:rsid w:val="00911897"/>
    <w:rsid w:val="00911B22"/>
    <w:rsid w:val="009126E5"/>
    <w:rsid w:val="009131CD"/>
    <w:rsid w:val="0091329F"/>
    <w:rsid w:val="00915A29"/>
    <w:rsid w:val="00915F37"/>
    <w:rsid w:val="009165D6"/>
    <w:rsid w:val="00916A92"/>
    <w:rsid w:val="00916C8A"/>
    <w:rsid w:val="00917B05"/>
    <w:rsid w:val="00917D0B"/>
    <w:rsid w:val="00917D5E"/>
    <w:rsid w:val="009208C8"/>
    <w:rsid w:val="00920C8E"/>
    <w:rsid w:val="0092176F"/>
    <w:rsid w:val="00922C60"/>
    <w:rsid w:val="00922CCF"/>
    <w:rsid w:val="00923703"/>
    <w:rsid w:val="00923841"/>
    <w:rsid w:val="00923D6E"/>
    <w:rsid w:val="00924802"/>
    <w:rsid w:val="009249B7"/>
    <w:rsid w:val="00924A4E"/>
    <w:rsid w:val="00926D65"/>
    <w:rsid w:val="00930477"/>
    <w:rsid w:val="009304CE"/>
    <w:rsid w:val="00930648"/>
    <w:rsid w:val="009307AA"/>
    <w:rsid w:val="00930D20"/>
    <w:rsid w:val="00930E1F"/>
    <w:rsid w:val="00931AC6"/>
    <w:rsid w:val="00933B2C"/>
    <w:rsid w:val="00933BFD"/>
    <w:rsid w:val="00934883"/>
    <w:rsid w:val="00935118"/>
    <w:rsid w:val="00936036"/>
    <w:rsid w:val="00936635"/>
    <w:rsid w:val="00936EE9"/>
    <w:rsid w:val="00937A03"/>
    <w:rsid w:val="00937B6E"/>
    <w:rsid w:val="00937C36"/>
    <w:rsid w:val="0094065F"/>
    <w:rsid w:val="00942FE1"/>
    <w:rsid w:val="0094366E"/>
    <w:rsid w:val="00945635"/>
    <w:rsid w:val="00947F11"/>
    <w:rsid w:val="00950038"/>
    <w:rsid w:val="0095077D"/>
    <w:rsid w:val="00950A3D"/>
    <w:rsid w:val="00951192"/>
    <w:rsid w:val="0095127C"/>
    <w:rsid w:val="00952551"/>
    <w:rsid w:val="00952BE2"/>
    <w:rsid w:val="00953914"/>
    <w:rsid w:val="00953A9E"/>
    <w:rsid w:val="00953B2D"/>
    <w:rsid w:val="00953BB4"/>
    <w:rsid w:val="00953F94"/>
    <w:rsid w:val="009540BA"/>
    <w:rsid w:val="00954155"/>
    <w:rsid w:val="00954E25"/>
    <w:rsid w:val="009555E1"/>
    <w:rsid w:val="009559F1"/>
    <w:rsid w:val="009567E6"/>
    <w:rsid w:val="00956A04"/>
    <w:rsid w:val="0095757C"/>
    <w:rsid w:val="00961674"/>
    <w:rsid w:val="00961CEA"/>
    <w:rsid w:val="009624A7"/>
    <w:rsid w:val="00962538"/>
    <w:rsid w:val="00962541"/>
    <w:rsid w:val="0096285A"/>
    <w:rsid w:val="00964021"/>
    <w:rsid w:val="009640C0"/>
    <w:rsid w:val="00964EFA"/>
    <w:rsid w:val="009655A8"/>
    <w:rsid w:val="00965756"/>
    <w:rsid w:val="00965B1A"/>
    <w:rsid w:val="00965BCA"/>
    <w:rsid w:val="00965D70"/>
    <w:rsid w:val="00966877"/>
    <w:rsid w:val="009670DE"/>
    <w:rsid w:val="009674AD"/>
    <w:rsid w:val="00967861"/>
    <w:rsid w:val="00970350"/>
    <w:rsid w:val="0097099E"/>
    <w:rsid w:val="009715A7"/>
    <w:rsid w:val="0097164D"/>
    <w:rsid w:val="00971BE5"/>
    <w:rsid w:val="00972EAE"/>
    <w:rsid w:val="009733F8"/>
    <w:rsid w:val="00974343"/>
    <w:rsid w:val="00974E08"/>
    <w:rsid w:val="009758A3"/>
    <w:rsid w:val="00975E89"/>
    <w:rsid w:val="00976251"/>
    <w:rsid w:val="0097784A"/>
    <w:rsid w:val="009814C2"/>
    <w:rsid w:val="009819BB"/>
    <w:rsid w:val="0098222D"/>
    <w:rsid w:val="00982D37"/>
    <w:rsid w:val="00983428"/>
    <w:rsid w:val="00983536"/>
    <w:rsid w:val="009842E4"/>
    <w:rsid w:val="00984AE2"/>
    <w:rsid w:val="00985C43"/>
    <w:rsid w:val="00986E0D"/>
    <w:rsid w:val="00986F87"/>
    <w:rsid w:val="009872F0"/>
    <w:rsid w:val="00987B63"/>
    <w:rsid w:val="009904EC"/>
    <w:rsid w:val="00990F00"/>
    <w:rsid w:val="00991594"/>
    <w:rsid w:val="00991C65"/>
    <w:rsid w:val="00991CCA"/>
    <w:rsid w:val="009921BA"/>
    <w:rsid w:val="00993077"/>
    <w:rsid w:val="009932FC"/>
    <w:rsid w:val="00994367"/>
    <w:rsid w:val="0099490A"/>
    <w:rsid w:val="00995C1F"/>
    <w:rsid w:val="009974BC"/>
    <w:rsid w:val="009A107F"/>
    <w:rsid w:val="009A1CB1"/>
    <w:rsid w:val="009A1CD6"/>
    <w:rsid w:val="009A31B0"/>
    <w:rsid w:val="009A3C0B"/>
    <w:rsid w:val="009A3F4F"/>
    <w:rsid w:val="009A4DFE"/>
    <w:rsid w:val="009A4FCB"/>
    <w:rsid w:val="009A5541"/>
    <w:rsid w:val="009A596B"/>
    <w:rsid w:val="009A5E93"/>
    <w:rsid w:val="009A6A6C"/>
    <w:rsid w:val="009A7826"/>
    <w:rsid w:val="009A7EDE"/>
    <w:rsid w:val="009B0467"/>
    <w:rsid w:val="009B0663"/>
    <w:rsid w:val="009B1227"/>
    <w:rsid w:val="009B25E6"/>
    <w:rsid w:val="009B3598"/>
    <w:rsid w:val="009B4CE8"/>
    <w:rsid w:val="009B524F"/>
    <w:rsid w:val="009B5F32"/>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109"/>
    <w:rsid w:val="009D7975"/>
    <w:rsid w:val="009E1994"/>
    <w:rsid w:val="009E19D8"/>
    <w:rsid w:val="009E2545"/>
    <w:rsid w:val="009E28CC"/>
    <w:rsid w:val="009E348B"/>
    <w:rsid w:val="009E3DB0"/>
    <w:rsid w:val="009E4D26"/>
    <w:rsid w:val="009E6071"/>
    <w:rsid w:val="009E70FD"/>
    <w:rsid w:val="009E7690"/>
    <w:rsid w:val="009F006C"/>
    <w:rsid w:val="009F1347"/>
    <w:rsid w:val="009F140D"/>
    <w:rsid w:val="009F33AD"/>
    <w:rsid w:val="009F3553"/>
    <w:rsid w:val="009F4044"/>
    <w:rsid w:val="009F451F"/>
    <w:rsid w:val="009F4929"/>
    <w:rsid w:val="009F5054"/>
    <w:rsid w:val="009F59A8"/>
    <w:rsid w:val="009F5AC5"/>
    <w:rsid w:val="009F5B49"/>
    <w:rsid w:val="009F60D9"/>
    <w:rsid w:val="009F7397"/>
    <w:rsid w:val="00A00C33"/>
    <w:rsid w:val="00A011D6"/>
    <w:rsid w:val="00A01872"/>
    <w:rsid w:val="00A02B60"/>
    <w:rsid w:val="00A02E5F"/>
    <w:rsid w:val="00A02EFA"/>
    <w:rsid w:val="00A03038"/>
    <w:rsid w:val="00A03305"/>
    <w:rsid w:val="00A03350"/>
    <w:rsid w:val="00A03FE3"/>
    <w:rsid w:val="00A043C2"/>
    <w:rsid w:val="00A0462D"/>
    <w:rsid w:val="00A04D0A"/>
    <w:rsid w:val="00A0550B"/>
    <w:rsid w:val="00A05B96"/>
    <w:rsid w:val="00A05DD1"/>
    <w:rsid w:val="00A05EBF"/>
    <w:rsid w:val="00A05FFC"/>
    <w:rsid w:val="00A06EE8"/>
    <w:rsid w:val="00A07CF0"/>
    <w:rsid w:val="00A07D20"/>
    <w:rsid w:val="00A10C3F"/>
    <w:rsid w:val="00A10E21"/>
    <w:rsid w:val="00A1107D"/>
    <w:rsid w:val="00A11238"/>
    <w:rsid w:val="00A11A21"/>
    <w:rsid w:val="00A1265C"/>
    <w:rsid w:val="00A132E3"/>
    <w:rsid w:val="00A13DFE"/>
    <w:rsid w:val="00A142A0"/>
    <w:rsid w:val="00A1463E"/>
    <w:rsid w:val="00A14C93"/>
    <w:rsid w:val="00A15FD1"/>
    <w:rsid w:val="00A16668"/>
    <w:rsid w:val="00A16B7F"/>
    <w:rsid w:val="00A179B1"/>
    <w:rsid w:val="00A17AF9"/>
    <w:rsid w:val="00A204DD"/>
    <w:rsid w:val="00A21D12"/>
    <w:rsid w:val="00A24156"/>
    <w:rsid w:val="00A246DD"/>
    <w:rsid w:val="00A24EB4"/>
    <w:rsid w:val="00A25037"/>
    <w:rsid w:val="00A25889"/>
    <w:rsid w:val="00A25E9E"/>
    <w:rsid w:val="00A2756D"/>
    <w:rsid w:val="00A27EFE"/>
    <w:rsid w:val="00A3083B"/>
    <w:rsid w:val="00A30CC8"/>
    <w:rsid w:val="00A311B2"/>
    <w:rsid w:val="00A3130F"/>
    <w:rsid w:val="00A31CE2"/>
    <w:rsid w:val="00A32D04"/>
    <w:rsid w:val="00A3416C"/>
    <w:rsid w:val="00A342E7"/>
    <w:rsid w:val="00A34A6F"/>
    <w:rsid w:val="00A35AAC"/>
    <w:rsid w:val="00A37735"/>
    <w:rsid w:val="00A37BBA"/>
    <w:rsid w:val="00A42030"/>
    <w:rsid w:val="00A425D6"/>
    <w:rsid w:val="00A43013"/>
    <w:rsid w:val="00A4304F"/>
    <w:rsid w:val="00A439CB"/>
    <w:rsid w:val="00A439EF"/>
    <w:rsid w:val="00A4453E"/>
    <w:rsid w:val="00A451A9"/>
    <w:rsid w:val="00A45602"/>
    <w:rsid w:val="00A45CA8"/>
    <w:rsid w:val="00A4656D"/>
    <w:rsid w:val="00A468B0"/>
    <w:rsid w:val="00A468C3"/>
    <w:rsid w:val="00A47A17"/>
    <w:rsid w:val="00A5037F"/>
    <w:rsid w:val="00A51125"/>
    <w:rsid w:val="00A5127D"/>
    <w:rsid w:val="00A51564"/>
    <w:rsid w:val="00A52499"/>
    <w:rsid w:val="00A53247"/>
    <w:rsid w:val="00A53268"/>
    <w:rsid w:val="00A5326A"/>
    <w:rsid w:val="00A53D86"/>
    <w:rsid w:val="00A54487"/>
    <w:rsid w:val="00A54933"/>
    <w:rsid w:val="00A551B7"/>
    <w:rsid w:val="00A5606D"/>
    <w:rsid w:val="00A56703"/>
    <w:rsid w:val="00A56CCE"/>
    <w:rsid w:val="00A56F7E"/>
    <w:rsid w:val="00A57D2B"/>
    <w:rsid w:val="00A60074"/>
    <w:rsid w:val="00A60202"/>
    <w:rsid w:val="00A602CC"/>
    <w:rsid w:val="00A613BE"/>
    <w:rsid w:val="00A616F7"/>
    <w:rsid w:val="00A619CF"/>
    <w:rsid w:val="00A61A25"/>
    <w:rsid w:val="00A61A6C"/>
    <w:rsid w:val="00A61ACE"/>
    <w:rsid w:val="00A61C43"/>
    <w:rsid w:val="00A62427"/>
    <w:rsid w:val="00A63B07"/>
    <w:rsid w:val="00A63BBB"/>
    <w:rsid w:val="00A63DA2"/>
    <w:rsid w:val="00A647B6"/>
    <w:rsid w:val="00A64AEC"/>
    <w:rsid w:val="00A65356"/>
    <w:rsid w:val="00A65C02"/>
    <w:rsid w:val="00A65D7D"/>
    <w:rsid w:val="00A662C3"/>
    <w:rsid w:val="00A67F14"/>
    <w:rsid w:val="00A707A0"/>
    <w:rsid w:val="00A70F9A"/>
    <w:rsid w:val="00A713B4"/>
    <w:rsid w:val="00A71E66"/>
    <w:rsid w:val="00A73231"/>
    <w:rsid w:val="00A73792"/>
    <w:rsid w:val="00A7382B"/>
    <w:rsid w:val="00A73B59"/>
    <w:rsid w:val="00A7489B"/>
    <w:rsid w:val="00A74E2A"/>
    <w:rsid w:val="00A756B3"/>
    <w:rsid w:val="00A7593A"/>
    <w:rsid w:val="00A76147"/>
    <w:rsid w:val="00A767F3"/>
    <w:rsid w:val="00A76B90"/>
    <w:rsid w:val="00A77AD6"/>
    <w:rsid w:val="00A77BEA"/>
    <w:rsid w:val="00A800CF"/>
    <w:rsid w:val="00A807F8"/>
    <w:rsid w:val="00A80D66"/>
    <w:rsid w:val="00A811D5"/>
    <w:rsid w:val="00A81397"/>
    <w:rsid w:val="00A817E6"/>
    <w:rsid w:val="00A84031"/>
    <w:rsid w:val="00A844E1"/>
    <w:rsid w:val="00A84768"/>
    <w:rsid w:val="00A84F2D"/>
    <w:rsid w:val="00A8519E"/>
    <w:rsid w:val="00A865A1"/>
    <w:rsid w:val="00A86A9D"/>
    <w:rsid w:val="00A86C54"/>
    <w:rsid w:val="00A86F63"/>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18B3"/>
    <w:rsid w:val="00AA3389"/>
    <w:rsid w:val="00AA34A8"/>
    <w:rsid w:val="00AA35E6"/>
    <w:rsid w:val="00AA4F16"/>
    <w:rsid w:val="00AA52D6"/>
    <w:rsid w:val="00AA55BD"/>
    <w:rsid w:val="00AA5CAF"/>
    <w:rsid w:val="00AA600A"/>
    <w:rsid w:val="00AA6B90"/>
    <w:rsid w:val="00AB02BD"/>
    <w:rsid w:val="00AB0449"/>
    <w:rsid w:val="00AB102B"/>
    <w:rsid w:val="00AB18A3"/>
    <w:rsid w:val="00AB1AA5"/>
    <w:rsid w:val="00AB1C39"/>
    <w:rsid w:val="00AB1E5B"/>
    <w:rsid w:val="00AB5715"/>
    <w:rsid w:val="00AB7694"/>
    <w:rsid w:val="00AB7AA5"/>
    <w:rsid w:val="00AC08A7"/>
    <w:rsid w:val="00AC18B9"/>
    <w:rsid w:val="00AC1EAD"/>
    <w:rsid w:val="00AC37B9"/>
    <w:rsid w:val="00AC41D3"/>
    <w:rsid w:val="00AC44B8"/>
    <w:rsid w:val="00AC4C30"/>
    <w:rsid w:val="00AC6857"/>
    <w:rsid w:val="00AC6F9F"/>
    <w:rsid w:val="00AC70B9"/>
    <w:rsid w:val="00AD0288"/>
    <w:rsid w:val="00AD07D5"/>
    <w:rsid w:val="00AD07D7"/>
    <w:rsid w:val="00AD1372"/>
    <w:rsid w:val="00AD138C"/>
    <w:rsid w:val="00AD14C8"/>
    <w:rsid w:val="00AD1E26"/>
    <w:rsid w:val="00AD2C63"/>
    <w:rsid w:val="00AD2E8D"/>
    <w:rsid w:val="00AD36E2"/>
    <w:rsid w:val="00AD38F4"/>
    <w:rsid w:val="00AD3CBE"/>
    <w:rsid w:val="00AD3DBA"/>
    <w:rsid w:val="00AD3F7C"/>
    <w:rsid w:val="00AD3FB0"/>
    <w:rsid w:val="00AD4143"/>
    <w:rsid w:val="00AD5B01"/>
    <w:rsid w:val="00AD6170"/>
    <w:rsid w:val="00AD66EC"/>
    <w:rsid w:val="00AD6EFF"/>
    <w:rsid w:val="00AE0A7B"/>
    <w:rsid w:val="00AE4C13"/>
    <w:rsid w:val="00AE5CFE"/>
    <w:rsid w:val="00AE5EBD"/>
    <w:rsid w:val="00AE6CD8"/>
    <w:rsid w:val="00AE71ED"/>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68"/>
    <w:rsid w:val="00B10690"/>
    <w:rsid w:val="00B111B0"/>
    <w:rsid w:val="00B11780"/>
    <w:rsid w:val="00B117F3"/>
    <w:rsid w:val="00B128A7"/>
    <w:rsid w:val="00B132A0"/>
    <w:rsid w:val="00B1354B"/>
    <w:rsid w:val="00B13AA0"/>
    <w:rsid w:val="00B153A7"/>
    <w:rsid w:val="00B158ED"/>
    <w:rsid w:val="00B17B7D"/>
    <w:rsid w:val="00B17BDA"/>
    <w:rsid w:val="00B22AE0"/>
    <w:rsid w:val="00B22C68"/>
    <w:rsid w:val="00B23ED1"/>
    <w:rsid w:val="00B240E3"/>
    <w:rsid w:val="00B2455B"/>
    <w:rsid w:val="00B25672"/>
    <w:rsid w:val="00B26174"/>
    <w:rsid w:val="00B26E94"/>
    <w:rsid w:val="00B2726C"/>
    <w:rsid w:val="00B27459"/>
    <w:rsid w:val="00B27DCC"/>
    <w:rsid w:val="00B30356"/>
    <w:rsid w:val="00B309D0"/>
    <w:rsid w:val="00B30DE1"/>
    <w:rsid w:val="00B3170E"/>
    <w:rsid w:val="00B330A4"/>
    <w:rsid w:val="00B3317D"/>
    <w:rsid w:val="00B33FCF"/>
    <w:rsid w:val="00B34215"/>
    <w:rsid w:val="00B36BAF"/>
    <w:rsid w:val="00B3725B"/>
    <w:rsid w:val="00B373D0"/>
    <w:rsid w:val="00B37873"/>
    <w:rsid w:val="00B37ED8"/>
    <w:rsid w:val="00B40976"/>
    <w:rsid w:val="00B41C03"/>
    <w:rsid w:val="00B42577"/>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4716"/>
    <w:rsid w:val="00B56108"/>
    <w:rsid w:val="00B564DE"/>
    <w:rsid w:val="00B567F6"/>
    <w:rsid w:val="00B56BBE"/>
    <w:rsid w:val="00B57AAC"/>
    <w:rsid w:val="00B57B7A"/>
    <w:rsid w:val="00B57DDB"/>
    <w:rsid w:val="00B600DE"/>
    <w:rsid w:val="00B6115C"/>
    <w:rsid w:val="00B624A4"/>
    <w:rsid w:val="00B64E62"/>
    <w:rsid w:val="00B655D3"/>
    <w:rsid w:val="00B65699"/>
    <w:rsid w:val="00B66656"/>
    <w:rsid w:val="00B66837"/>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2BA6"/>
    <w:rsid w:val="00B8411C"/>
    <w:rsid w:val="00B84436"/>
    <w:rsid w:val="00B84CC8"/>
    <w:rsid w:val="00B852B6"/>
    <w:rsid w:val="00B85FF6"/>
    <w:rsid w:val="00B86F59"/>
    <w:rsid w:val="00B87199"/>
    <w:rsid w:val="00B87863"/>
    <w:rsid w:val="00B907AB"/>
    <w:rsid w:val="00B927F7"/>
    <w:rsid w:val="00B94618"/>
    <w:rsid w:val="00B9470D"/>
    <w:rsid w:val="00B94CE9"/>
    <w:rsid w:val="00B9537D"/>
    <w:rsid w:val="00BA0936"/>
    <w:rsid w:val="00BA0EAA"/>
    <w:rsid w:val="00BA1752"/>
    <w:rsid w:val="00BA276C"/>
    <w:rsid w:val="00BA386F"/>
    <w:rsid w:val="00BA4131"/>
    <w:rsid w:val="00BA5DDA"/>
    <w:rsid w:val="00BA7A55"/>
    <w:rsid w:val="00BB277B"/>
    <w:rsid w:val="00BB2A96"/>
    <w:rsid w:val="00BB2CA4"/>
    <w:rsid w:val="00BB2DC9"/>
    <w:rsid w:val="00BB2F6D"/>
    <w:rsid w:val="00BB3485"/>
    <w:rsid w:val="00BB3674"/>
    <w:rsid w:val="00BB5AF2"/>
    <w:rsid w:val="00BB5DDE"/>
    <w:rsid w:val="00BB7700"/>
    <w:rsid w:val="00BB7D6D"/>
    <w:rsid w:val="00BC1B08"/>
    <w:rsid w:val="00BC1B13"/>
    <w:rsid w:val="00BC1CF0"/>
    <w:rsid w:val="00BC1E56"/>
    <w:rsid w:val="00BC360C"/>
    <w:rsid w:val="00BC40B2"/>
    <w:rsid w:val="00BC44F5"/>
    <w:rsid w:val="00BC4728"/>
    <w:rsid w:val="00BC48F0"/>
    <w:rsid w:val="00BC52F1"/>
    <w:rsid w:val="00BC6039"/>
    <w:rsid w:val="00BC6D16"/>
    <w:rsid w:val="00BC75BC"/>
    <w:rsid w:val="00BC78F6"/>
    <w:rsid w:val="00BC7A09"/>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2F00"/>
    <w:rsid w:val="00BE3338"/>
    <w:rsid w:val="00BE3D41"/>
    <w:rsid w:val="00BE40FB"/>
    <w:rsid w:val="00BE47FF"/>
    <w:rsid w:val="00BE4E1F"/>
    <w:rsid w:val="00BE5D9C"/>
    <w:rsid w:val="00BE60D6"/>
    <w:rsid w:val="00BF0233"/>
    <w:rsid w:val="00BF08B8"/>
    <w:rsid w:val="00BF09DE"/>
    <w:rsid w:val="00BF117C"/>
    <w:rsid w:val="00BF1F96"/>
    <w:rsid w:val="00BF26B6"/>
    <w:rsid w:val="00BF2731"/>
    <w:rsid w:val="00BF3392"/>
    <w:rsid w:val="00BF33C1"/>
    <w:rsid w:val="00BF3985"/>
    <w:rsid w:val="00BF4010"/>
    <w:rsid w:val="00BF43CE"/>
    <w:rsid w:val="00BF50EF"/>
    <w:rsid w:val="00BF5AD5"/>
    <w:rsid w:val="00BF5FC0"/>
    <w:rsid w:val="00BF7106"/>
    <w:rsid w:val="00C00867"/>
    <w:rsid w:val="00C00D05"/>
    <w:rsid w:val="00C02BE4"/>
    <w:rsid w:val="00C02E45"/>
    <w:rsid w:val="00C02E65"/>
    <w:rsid w:val="00C036E1"/>
    <w:rsid w:val="00C03901"/>
    <w:rsid w:val="00C039EF"/>
    <w:rsid w:val="00C03C38"/>
    <w:rsid w:val="00C05348"/>
    <w:rsid w:val="00C06C6C"/>
    <w:rsid w:val="00C07917"/>
    <w:rsid w:val="00C07B03"/>
    <w:rsid w:val="00C102F3"/>
    <w:rsid w:val="00C1106A"/>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2040E"/>
    <w:rsid w:val="00C20F04"/>
    <w:rsid w:val="00C24157"/>
    <w:rsid w:val="00C24970"/>
    <w:rsid w:val="00C24B2A"/>
    <w:rsid w:val="00C24E47"/>
    <w:rsid w:val="00C26417"/>
    <w:rsid w:val="00C26637"/>
    <w:rsid w:val="00C26AEE"/>
    <w:rsid w:val="00C274AD"/>
    <w:rsid w:val="00C275C2"/>
    <w:rsid w:val="00C27DD0"/>
    <w:rsid w:val="00C3035F"/>
    <w:rsid w:val="00C30FC3"/>
    <w:rsid w:val="00C3104E"/>
    <w:rsid w:val="00C321DA"/>
    <w:rsid w:val="00C36A7A"/>
    <w:rsid w:val="00C374C5"/>
    <w:rsid w:val="00C37E01"/>
    <w:rsid w:val="00C400F2"/>
    <w:rsid w:val="00C4187C"/>
    <w:rsid w:val="00C42387"/>
    <w:rsid w:val="00C42A41"/>
    <w:rsid w:val="00C42E00"/>
    <w:rsid w:val="00C43C4D"/>
    <w:rsid w:val="00C4453B"/>
    <w:rsid w:val="00C445E0"/>
    <w:rsid w:val="00C447C7"/>
    <w:rsid w:val="00C45E37"/>
    <w:rsid w:val="00C472FB"/>
    <w:rsid w:val="00C4777B"/>
    <w:rsid w:val="00C502AB"/>
    <w:rsid w:val="00C5033A"/>
    <w:rsid w:val="00C50C95"/>
    <w:rsid w:val="00C511CA"/>
    <w:rsid w:val="00C516BC"/>
    <w:rsid w:val="00C5277A"/>
    <w:rsid w:val="00C53476"/>
    <w:rsid w:val="00C5493A"/>
    <w:rsid w:val="00C5511C"/>
    <w:rsid w:val="00C558AA"/>
    <w:rsid w:val="00C55CAE"/>
    <w:rsid w:val="00C5635A"/>
    <w:rsid w:val="00C563FA"/>
    <w:rsid w:val="00C56C78"/>
    <w:rsid w:val="00C575F1"/>
    <w:rsid w:val="00C576B4"/>
    <w:rsid w:val="00C578D7"/>
    <w:rsid w:val="00C57D74"/>
    <w:rsid w:val="00C57DBE"/>
    <w:rsid w:val="00C60355"/>
    <w:rsid w:val="00C620A0"/>
    <w:rsid w:val="00C63197"/>
    <w:rsid w:val="00C63330"/>
    <w:rsid w:val="00C6508F"/>
    <w:rsid w:val="00C66677"/>
    <w:rsid w:val="00C66BFA"/>
    <w:rsid w:val="00C67450"/>
    <w:rsid w:val="00C67666"/>
    <w:rsid w:val="00C67D46"/>
    <w:rsid w:val="00C67D6B"/>
    <w:rsid w:val="00C71457"/>
    <w:rsid w:val="00C71DE5"/>
    <w:rsid w:val="00C72395"/>
    <w:rsid w:val="00C72608"/>
    <w:rsid w:val="00C73136"/>
    <w:rsid w:val="00C744F5"/>
    <w:rsid w:val="00C7464B"/>
    <w:rsid w:val="00C74732"/>
    <w:rsid w:val="00C764A9"/>
    <w:rsid w:val="00C76528"/>
    <w:rsid w:val="00C76540"/>
    <w:rsid w:val="00C7665D"/>
    <w:rsid w:val="00C76854"/>
    <w:rsid w:val="00C800D0"/>
    <w:rsid w:val="00C804B4"/>
    <w:rsid w:val="00C806BF"/>
    <w:rsid w:val="00C80E3D"/>
    <w:rsid w:val="00C83CE2"/>
    <w:rsid w:val="00C8424B"/>
    <w:rsid w:val="00C851AC"/>
    <w:rsid w:val="00C8573C"/>
    <w:rsid w:val="00C858F2"/>
    <w:rsid w:val="00C85D59"/>
    <w:rsid w:val="00C85E5A"/>
    <w:rsid w:val="00C85EB8"/>
    <w:rsid w:val="00C85FBD"/>
    <w:rsid w:val="00C874DE"/>
    <w:rsid w:val="00C87F9F"/>
    <w:rsid w:val="00C91BB5"/>
    <w:rsid w:val="00C922B5"/>
    <w:rsid w:val="00C92A77"/>
    <w:rsid w:val="00C933E2"/>
    <w:rsid w:val="00C93734"/>
    <w:rsid w:val="00C93DE1"/>
    <w:rsid w:val="00C950DB"/>
    <w:rsid w:val="00C95C9D"/>
    <w:rsid w:val="00C960DB"/>
    <w:rsid w:val="00C96455"/>
    <w:rsid w:val="00C967BA"/>
    <w:rsid w:val="00C97F04"/>
    <w:rsid w:val="00CA030A"/>
    <w:rsid w:val="00CA03BD"/>
    <w:rsid w:val="00CA0FF6"/>
    <w:rsid w:val="00CA18E7"/>
    <w:rsid w:val="00CA1D98"/>
    <w:rsid w:val="00CA3046"/>
    <w:rsid w:val="00CA46CE"/>
    <w:rsid w:val="00CA4D47"/>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5A4F"/>
    <w:rsid w:val="00CB6864"/>
    <w:rsid w:val="00CB7DB9"/>
    <w:rsid w:val="00CC0DFF"/>
    <w:rsid w:val="00CC212E"/>
    <w:rsid w:val="00CC27A0"/>
    <w:rsid w:val="00CC5122"/>
    <w:rsid w:val="00CC5EDF"/>
    <w:rsid w:val="00CC6BF2"/>
    <w:rsid w:val="00CC6F71"/>
    <w:rsid w:val="00CD0AB6"/>
    <w:rsid w:val="00CD1E1A"/>
    <w:rsid w:val="00CD1EC2"/>
    <w:rsid w:val="00CD2346"/>
    <w:rsid w:val="00CD292F"/>
    <w:rsid w:val="00CD3446"/>
    <w:rsid w:val="00CD5353"/>
    <w:rsid w:val="00CD5CF1"/>
    <w:rsid w:val="00CD6A05"/>
    <w:rsid w:val="00CD79A1"/>
    <w:rsid w:val="00CE07DD"/>
    <w:rsid w:val="00CE0BA0"/>
    <w:rsid w:val="00CE0FFF"/>
    <w:rsid w:val="00CE1014"/>
    <w:rsid w:val="00CE1945"/>
    <w:rsid w:val="00CE294D"/>
    <w:rsid w:val="00CE2C86"/>
    <w:rsid w:val="00CE3C38"/>
    <w:rsid w:val="00CE536E"/>
    <w:rsid w:val="00CE57E2"/>
    <w:rsid w:val="00CE5A28"/>
    <w:rsid w:val="00CE5D62"/>
    <w:rsid w:val="00CE78D4"/>
    <w:rsid w:val="00CE7E18"/>
    <w:rsid w:val="00CF0DF2"/>
    <w:rsid w:val="00CF1D8B"/>
    <w:rsid w:val="00CF2154"/>
    <w:rsid w:val="00CF23C2"/>
    <w:rsid w:val="00CF3F7A"/>
    <w:rsid w:val="00CF4BFE"/>
    <w:rsid w:val="00CF4EC3"/>
    <w:rsid w:val="00CF53F6"/>
    <w:rsid w:val="00CF5985"/>
    <w:rsid w:val="00CF65D6"/>
    <w:rsid w:val="00CF70E1"/>
    <w:rsid w:val="00CF712F"/>
    <w:rsid w:val="00CF7990"/>
    <w:rsid w:val="00CF7BA9"/>
    <w:rsid w:val="00CF7ECC"/>
    <w:rsid w:val="00D00C0E"/>
    <w:rsid w:val="00D01504"/>
    <w:rsid w:val="00D0155A"/>
    <w:rsid w:val="00D01BB0"/>
    <w:rsid w:val="00D0233D"/>
    <w:rsid w:val="00D02ACA"/>
    <w:rsid w:val="00D02CF3"/>
    <w:rsid w:val="00D02D65"/>
    <w:rsid w:val="00D048E0"/>
    <w:rsid w:val="00D0496E"/>
    <w:rsid w:val="00D04EBF"/>
    <w:rsid w:val="00D05972"/>
    <w:rsid w:val="00D05C9A"/>
    <w:rsid w:val="00D065D5"/>
    <w:rsid w:val="00D079B7"/>
    <w:rsid w:val="00D07C49"/>
    <w:rsid w:val="00D07D37"/>
    <w:rsid w:val="00D10143"/>
    <w:rsid w:val="00D10470"/>
    <w:rsid w:val="00D10528"/>
    <w:rsid w:val="00D119B6"/>
    <w:rsid w:val="00D12785"/>
    <w:rsid w:val="00D13A95"/>
    <w:rsid w:val="00D13BFF"/>
    <w:rsid w:val="00D14045"/>
    <w:rsid w:val="00D14470"/>
    <w:rsid w:val="00D14736"/>
    <w:rsid w:val="00D1543B"/>
    <w:rsid w:val="00D1588C"/>
    <w:rsid w:val="00D15B5D"/>
    <w:rsid w:val="00D16668"/>
    <w:rsid w:val="00D176BC"/>
    <w:rsid w:val="00D200B3"/>
    <w:rsid w:val="00D20109"/>
    <w:rsid w:val="00D20245"/>
    <w:rsid w:val="00D20CBC"/>
    <w:rsid w:val="00D20DFB"/>
    <w:rsid w:val="00D215E6"/>
    <w:rsid w:val="00D23591"/>
    <w:rsid w:val="00D24CF6"/>
    <w:rsid w:val="00D24D41"/>
    <w:rsid w:val="00D24E0A"/>
    <w:rsid w:val="00D24E13"/>
    <w:rsid w:val="00D25260"/>
    <w:rsid w:val="00D262C8"/>
    <w:rsid w:val="00D26307"/>
    <w:rsid w:val="00D26C5B"/>
    <w:rsid w:val="00D272BE"/>
    <w:rsid w:val="00D305BF"/>
    <w:rsid w:val="00D3112A"/>
    <w:rsid w:val="00D31674"/>
    <w:rsid w:val="00D323B6"/>
    <w:rsid w:val="00D33333"/>
    <w:rsid w:val="00D33B21"/>
    <w:rsid w:val="00D33C63"/>
    <w:rsid w:val="00D345E5"/>
    <w:rsid w:val="00D34865"/>
    <w:rsid w:val="00D35B30"/>
    <w:rsid w:val="00D36103"/>
    <w:rsid w:val="00D3651F"/>
    <w:rsid w:val="00D37533"/>
    <w:rsid w:val="00D37A55"/>
    <w:rsid w:val="00D40088"/>
    <w:rsid w:val="00D4117D"/>
    <w:rsid w:val="00D41400"/>
    <w:rsid w:val="00D4197D"/>
    <w:rsid w:val="00D44E3F"/>
    <w:rsid w:val="00D457E3"/>
    <w:rsid w:val="00D457F6"/>
    <w:rsid w:val="00D467E8"/>
    <w:rsid w:val="00D47336"/>
    <w:rsid w:val="00D50194"/>
    <w:rsid w:val="00D50197"/>
    <w:rsid w:val="00D50719"/>
    <w:rsid w:val="00D50A9D"/>
    <w:rsid w:val="00D50FF5"/>
    <w:rsid w:val="00D51CF8"/>
    <w:rsid w:val="00D52DDF"/>
    <w:rsid w:val="00D532F8"/>
    <w:rsid w:val="00D53D7C"/>
    <w:rsid w:val="00D57CED"/>
    <w:rsid w:val="00D60ECE"/>
    <w:rsid w:val="00D61996"/>
    <w:rsid w:val="00D6453A"/>
    <w:rsid w:val="00D66910"/>
    <w:rsid w:val="00D66C14"/>
    <w:rsid w:val="00D66D38"/>
    <w:rsid w:val="00D67241"/>
    <w:rsid w:val="00D708F3"/>
    <w:rsid w:val="00D70933"/>
    <w:rsid w:val="00D7098B"/>
    <w:rsid w:val="00D70E6E"/>
    <w:rsid w:val="00D71387"/>
    <w:rsid w:val="00D71EC2"/>
    <w:rsid w:val="00D72EFC"/>
    <w:rsid w:val="00D73C4E"/>
    <w:rsid w:val="00D755BF"/>
    <w:rsid w:val="00D75F04"/>
    <w:rsid w:val="00D76105"/>
    <w:rsid w:val="00D761FA"/>
    <w:rsid w:val="00D76F13"/>
    <w:rsid w:val="00D80CBB"/>
    <w:rsid w:val="00D81ADC"/>
    <w:rsid w:val="00D81ADE"/>
    <w:rsid w:val="00D82D26"/>
    <w:rsid w:val="00D83771"/>
    <w:rsid w:val="00D8432F"/>
    <w:rsid w:val="00D85D4F"/>
    <w:rsid w:val="00D8710B"/>
    <w:rsid w:val="00D90331"/>
    <w:rsid w:val="00D91596"/>
    <w:rsid w:val="00D91A89"/>
    <w:rsid w:val="00D91CD4"/>
    <w:rsid w:val="00D91DF4"/>
    <w:rsid w:val="00D926DA"/>
    <w:rsid w:val="00D928E0"/>
    <w:rsid w:val="00D92A8A"/>
    <w:rsid w:val="00D92ED7"/>
    <w:rsid w:val="00D94100"/>
    <w:rsid w:val="00D95D67"/>
    <w:rsid w:val="00D96B9F"/>
    <w:rsid w:val="00D96F01"/>
    <w:rsid w:val="00D97E69"/>
    <w:rsid w:val="00DA0054"/>
    <w:rsid w:val="00DA0876"/>
    <w:rsid w:val="00DA0AFE"/>
    <w:rsid w:val="00DA1EAB"/>
    <w:rsid w:val="00DA23F7"/>
    <w:rsid w:val="00DA2AC1"/>
    <w:rsid w:val="00DA2F85"/>
    <w:rsid w:val="00DA3459"/>
    <w:rsid w:val="00DA4644"/>
    <w:rsid w:val="00DA4A5D"/>
    <w:rsid w:val="00DA5D01"/>
    <w:rsid w:val="00DA755D"/>
    <w:rsid w:val="00DA7E32"/>
    <w:rsid w:val="00DB101A"/>
    <w:rsid w:val="00DB1956"/>
    <w:rsid w:val="00DB3619"/>
    <w:rsid w:val="00DB378A"/>
    <w:rsid w:val="00DB37FD"/>
    <w:rsid w:val="00DB3AFE"/>
    <w:rsid w:val="00DB425A"/>
    <w:rsid w:val="00DB4845"/>
    <w:rsid w:val="00DB4CE1"/>
    <w:rsid w:val="00DB5005"/>
    <w:rsid w:val="00DB6234"/>
    <w:rsid w:val="00DB62B7"/>
    <w:rsid w:val="00DB6372"/>
    <w:rsid w:val="00DB6373"/>
    <w:rsid w:val="00DB6BD1"/>
    <w:rsid w:val="00DC119D"/>
    <w:rsid w:val="00DC133E"/>
    <w:rsid w:val="00DC26AC"/>
    <w:rsid w:val="00DC2BCB"/>
    <w:rsid w:val="00DC4521"/>
    <w:rsid w:val="00DC55EF"/>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C8D"/>
    <w:rsid w:val="00DD7D0C"/>
    <w:rsid w:val="00DE1FC2"/>
    <w:rsid w:val="00DE2AE3"/>
    <w:rsid w:val="00DE2E92"/>
    <w:rsid w:val="00DE2F32"/>
    <w:rsid w:val="00DE31A4"/>
    <w:rsid w:val="00DE3522"/>
    <w:rsid w:val="00DE35DA"/>
    <w:rsid w:val="00DE3673"/>
    <w:rsid w:val="00DE3F2C"/>
    <w:rsid w:val="00DE4553"/>
    <w:rsid w:val="00DE5EFD"/>
    <w:rsid w:val="00DE67AE"/>
    <w:rsid w:val="00DE6806"/>
    <w:rsid w:val="00DE737F"/>
    <w:rsid w:val="00DE7943"/>
    <w:rsid w:val="00DE7A56"/>
    <w:rsid w:val="00DE7C25"/>
    <w:rsid w:val="00DE7CE0"/>
    <w:rsid w:val="00DE7FC6"/>
    <w:rsid w:val="00DF0683"/>
    <w:rsid w:val="00DF0833"/>
    <w:rsid w:val="00DF084E"/>
    <w:rsid w:val="00DF116E"/>
    <w:rsid w:val="00DF128A"/>
    <w:rsid w:val="00DF1696"/>
    <w:rsid w:val="00DF1CD7"/>
    <w:rsid w:val="00DF2B6E"/>
    <w:rsid w:val="00DF341B"/>
    <w:rsid w:val="00DF401B"/>
    <w:rsid w:val="00DF5993"/>
    <w:rsid w:val="00DF6B14"/>
    <w:rsid w:val="00DF7987"/>
    <w:rsid w:val="00E004D9"/>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130"/>
    <w:rsid w:val="00E102EC"/>
    <w:rsid w:val="00E117E4"/>
    <w:rsid w:val="00E11F6B"/>
    <w:rsid w:val="00E138BA"/>
    <w:rsid w:val="00E14F0C"/>
    <w:rsid w:val="00E15644"/>
    <w:rsid w:val="00E169C4"/>
    <w:rsid w:val="00E178D4"/>
    <w:rsid w:val="00E20304"/>
    <w:rsid w:val="00E20FF3"/>
    <w:rsid w:val="00E222E7"/>
    <w:rsid w:val="00E22678"/>
    <w:rsid w:val="00E22898"/>
    <w:rsid w:val="00E23A09"/>
    <w:rsid w:val="00E24EF9"/>
    <w:rsid w:val="00E2620C"/>
    <w:rsid w:val="00E2755F"/>
    <w:rsid w:val="00E33F3C"/>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4F78"/>
    <w:rsid w:val="00E45575"/>
    <w:rsid w:val="00E45D9B"/>
    <w:rsid w:val="00E50F76"/>
    <w:rsid w:val="00E51A1F"/>
    <w:rsid w:val="00E52627"/>
    <w:rsid w:val="00E52868"/>
    <w:rsid w:val="00E53906"/>
    <w:rsid w:val="00E53EF0"/>
    <w:rsid w:val="00E540CD"/>
    <w:rsid w:val="00E54931"/>
    <w:rsid w:val="00E55011"/>
    <w:rsid w:val="00E55559"/>
    <w:rsid w:val="00E55DB7"/>
    <w:rsid w:val="00E56623"/>
    <w:rsid w:val="00E5673A"/>
    <w:rsid w:val="00E5711C"/>
    <w:rsid w:val="00E613B7"/>
    <w:rsid w:val="00E61CB1"/>
    <w:rsid w:val="00E62ECF"/>
    <w:rsid w:val="00E6361C"/>
    <w:rsid w:val="00E63CC8"/>
    <w:rsid w:val="00E65BF7"/>
    <w:rsid w:val="00E6661E"/>
    <w:rsid w:val="00E66846"/>
    <w:rsid w:val="00E70D89"/>
    <w:rsid w:val="00E70EE3"/>
    <w:rsid w:val="00E718B1"/>
    <w:rsid w:val="00E71BCD"/>
    <w:rsid w:val="00E71E9B"/>
    <w:rsid w:val="00E736CD"/>
    <w:rsid w:val="00E73F87"/>
    <w:rsid w:val="00E74C18"/>
    <w:rsid w:val="00E750D9"/>
    <w:rsid w:val="00E75175"/>
    <w:rsid w:val="00E759C0"/>
    <w:rsid w:val="00E75C7B"/>
    <w:rsid w:val="00E765F8"/>
    <w:rsid w:val="00E777CA"/>
    <w:rsid w:val="00E779EF"/>
    <w:rsid w:val="00E77FD5"/>
    <w:rsid w:val="00E805D0"/>
    <w:rsid w:val="00E80FB3"/>
    <w:rsid w:val="00E8174F"/>
    <w:rsid w:val="00E81E18"/>
    <w:rsid w:val="00E82642"/>
    <w:rsid w:val="00E83969"/>
    <w:rsid w:val="00E83A37"/>
    <w:rsid w:val="00E85033"/>
    <w:rsid w:val="00E857C5"/>
    <w:rsid w:val="00E85DCC"/>
    <w:rsid w:val="00E874D5"/>
    <w:rsid w:val="00E902C9"/>
    <w:rsid w:val="00E90969"/>
    <w:rsid w:val="00E90DB4"/>
    <w:rsid w:val="00E917BB"/>
    <w:rsid w:val="00E91BCC"/>
    <w:rsid w:val="00E924AD"/>
    <w:rsid w:val="00E93024"/>
    <w:rsid w:val="00E93B8E"/>
    <w:rsid w:val="00E9445B"/>
    <w:rsid w:val="00E95100"/>
    <w:rsid w:val="00E96040"/>
    <w:rsid w:val="00E974BA"/>
    <w:rsid w:val="00EA02BF"/>
    <w:rsid w:val="00EA02D1"/>
    <w:rsid w:val="00EA14C8"/>
    <w:rsid w:val="00EA1543"/>
    <w:rsid w:val="00EA173A"/>
    <w:rsid w:val="00EA32AB"/>
    <w:rsid w:val="00EA4403"/>
    <w:rsid w:val="00EA4C3B"/>
    <w:rsid w:val="00EA4D75"/>
    <w:rsid w:val="00EA4E29"/>
    <w:rsid w:val="00EA6D0E"/>
    <w:rsid w:val="00EB0520"/>
    <w:rsid w:val="00EB2406"/>
    <w:rsid w:val="00EB2619"/>
    <w:rsid w:val="00EB2729"/>
    <w:rsid w:val="00EB38C2"/>
    <w:rsid w:val="00EB3B70"/>
    <w:rsid w:val="00EB43A7"/>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23DD"/>
    <w:rsid w:val="00ED2855"/>
    <w:rsid w:val="00ED3014"/>
    <w:rsid w:val="00ED3280"/>
    <w:rsid w:val="00ED33A0"/>
    <w:rsid w:val="00ED33A2"/>
    <w:rsid w:val="00ED3AB6"/>
    <w:rsid w:val="00ED431F"/>
    <w:rsid w:val="00ED7A93"/>
    <w:rsid w:val="00ED7F57"/>
    <w:rsid w:val="00EE0722"/>
    <w:rsid w:val="00EE1AAE"/>
    <w:rsid w:val="00EE26C4"/>
    <w:rsid w:val="00EE30D3"/>
    <w:rsid w:val="00EE34A0"/>
    <w:rsid w:val="00EE34B5"/>
    <w:rsid w:val="00EE3854"/>
    <w:rsid w:val="00EE39CE"/>
    <w:rsid w:val="00EE3A88"/>
    <w:rsid w:val="00EE3BA8"/>
    <w:rsid w:val="00EE3DD6"/>
    <w:rsid w:val="00EE49C9"/>
    <w:rsid w:val="00EE5672"/>
    <w:rsid w:val="00EE5A04"/>
    <w:rsid w:val="00EE5A92"/>
    <w:rsid w:val="00EE6A20"/>
    <w:rsid w:val="00EE6BAB"/>
    <w:rsid w:val="00EE7A11"/>
    <w:rsid w:val="00EF134B"/>
    <w:rsid w:val="00EF13B1"/>
    <w:rsid w:val="00EF4AB6"/>
    <w:rsid w:val="00EF521A"/>
    <w:rsid w:val="00EF56DF"/>
    <w:rsid w:val="00EF5D54"/>
    <w:rsid w:val="00EF653A"/>
    <w:rsid w:val="00EF65D8"/>
    <w:rsid w:val="00EF6666"/>
    <w:rsid w:val="00EF6AC5"/>
    <w:rsid w:val="00EF7831"/>
    <w:rsid w:val="00F00292"/>
    <w:rsid w:val="00F004F1"/>
    <w:rsid w:val="00F005B4"/>
    <w:rsid w:val="00F01550"/>
    <w:rsid w:val="00F0175A"/>
    <w:rsid w:val="00F017F1"/>
    <w:rsid w:val="00F01912"/>
    <w:rsid w:val="00F0219F"/>
    <w:rsid w:val="00F030EA"/>
    <w:rsid w:val="00F04EF4"/>
    <w:rsid w:val="00F0544F"/>
    <w:rsid w:val="00F054A7"/>
    <w:rsid w:val="00F05528"/>
    <w:rsid w:val="00F068E2"/>
    <w:rsid w:val="00F06A09"/>
    <w:rsid w:val="00F06CCB"/>
    <w:rsid w:val="00F072D3"/>
    <w:rsid w:val="00F07711"/>
    <w:rsid w:val="00F07B5D"/>
    <w:rsid w:val="00F105EF"/>
    <w:rsid w:val="00F10C17"/>
    <w:rsid w:val="00F119A4"/>
    <w:rsid w:val="00F12B1E"/>
    <w:rsid w:val="00F12DC2"/>
    <w:rsid w:val="00F137B5"/>
    <w:rsid w:val="00F14128"/>
    <w:rsid w:val="00F14E3F"/>
    <w:rsid w:val="00F1503A"/>
    <w:rsid w:val="00F16469"/>
    <w:rsid w:val="00F17818"/>
    <w:rsid w:val="00F17BD1"/>
    <w:rsid w:val="00F2057A"/>
    <w:rsid w:val="00F21246"/>
    <w:rsid w:val="00F21397"/>
    <w:rsid w:val="00F21687"/>
    <w:rsid w:val="00F23EE1"/>
    <w:rsid w:val="00F2498E"/>
    <w:rsid w:val="00F24A1A"/>
    <w:rsid w:val="00F24D0F"/>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0529"/>
    <w:rsid w:val="00F40EAB"/>
    <w:rsid w:val="00F40FEC"/>
    <w:rsid w:val="00F415AC"/>
    <w:rsid w:val="00F419E3"/>
    <w:rsid w:val="00F41B2C"/>
    <w:rsid w:val="00F43449"/>
    <w:rsid w:val="00F43DC9"/>
    <w:rsid w:val="00F441C9"/>
    <w:rsid w:val="00F44A01"/>
    <w:rsid w:val="00F45370"/>
    <w:rsid w:val="00F455CF"/>
    <w:rsid w:val="00F45A89"/>
    <w:rsid w:val="00F462FD"/>
    <w:rsid w:val="00F47FB5"/>
    <w:rsid w:val="00F50541"/>
    <w:rsid w:val="00F521E0"/>
    <w:rsid w:val="00F54227"/>
    <w:rsid w:val="00F5460C"/>
    <w:rsid w:val="00F566E1"/>
    <w:rsid w:val="00F61436"/>
    <w:rsid w:val="00F6162F"/>
    <w:rsid w:val="00F63E20"/>
    <w:rsid w:val="00F63EF7"/>
    <w:rsid w:val="00F640E8"/>
    <w:rsid w:val="00F65587"/>
    <w:rsid w:val="00F65B8A"/>
    <w:rsid w:val="00F65C1D"/>
    <w:rsid w:val="00F6644E"/>
    <w:rsid w:val="00F66EF4"/>
    <w:rsid w:val="00F702EA"/>
    <w:rsid w:val="00F7042D"/>
    <w:rsid w:val="00F70C61"/>
    <w:rsid w:val="00F719B5"/>
    <w:rsid w:val="00F71D7D"/>
    <w:rsid w:val="00F71EC4"/>
    <w:rsid w:val="00F7251E"/>
    <w:rsid w:val="00F72CA7"/>
    <w:rsid w:val="00F72FE7"/>
    <w:rsid w:val="00F73342"/>
    <w:rsid w:val="00F73A98"/>
    <w:rsid w:val="00F73E3E"/>
    <w:rsid w:val="00F74663"/>
    <w:rsid w:val="00F746A0"/>
    <w:rsid w:val="00F754BA"/>
    <w:rsid w:val="00F75787"/>
    <w:rsid w:val="00F77DE2"/>
    <w:rsid w:val="00F80246"/>
    <w:rsid w:val="00F81797"/>
    <w:rsid w:val="00F81936"/>
    <w:rsid w:val="00F8268F"/>
    <w:rsid w:val="00F83473"/>
    <w:rsid w:val="00F839DF"/>
    <w:rsid w:val="00F83F73"/>
    <w:rsid w:val="00F842F5"/>
    <w:rsid w:val="00F8440A"/>
    <w:rsid w:val="00F84E71"/>
    <w:rsid w:val="00F86F04"/>
    <w:rsid w:val="00F92553"/>
    <w:rsid w:val="00F933BB"/>
    <w:rsid w:val="00F93438"/>
    <w:rsid w:val="00F94459"/>
    <w:rsid w:val="00F944C0"/>
    <w:rsid w:val="00F95E55"/>
    <w:rsid w:val="00F9670B"/>
    <w:rsid w:val="00F96C4D"/>
    <w:rsid w:val="00F96C98"/>
    <w:rsid w:val="00F973B5"/>
    <w:rsid w:val="00F976A9"/>
    <w:rsid w:val="00F978BD"/>
    <w:rsid w:val="00F97D89"/>
    <w:rsid w:val="00FA0187"/>
    <w:rsid w:val="00FA02E0"/>
    <w:rsid w:val="00FA1E54"/>
    <w:rsid w:val="00FA29A9"/>
    <w:rsid w:val="00FA32F4"/>
    <w:rsid w:val="00FA49A9"/>
    <w:rsid w:val="00FA4AC7"/>
    <w:rsid w:val="00FA4C35"/>
    <w:rsid w:val="00FA51A7"/>
    <w:rsid w:val="00FA51B7"/>
    <w:rsid w:val="00FA6A0A"/>
    <w:rsid w:val="00FA6AC8"/>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BB0"/>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5B75"/>
    <w:rsid w:val="00FD60CC"/>
    <w:rsid w:val="00FD6826"/>
    <w:rsid w:val="00FD6A98"/>
    <w:rsid w:val="00FD6D24"/>
    <w:rsid w:val="00FD762F"/>
    <w:rsid w:val="00FD79B9"/>
    <w:rsid w:val="00FE0269"/>
    <w:rsid w:val="00FE0DF6"/>
    <w:rsid w:val="00FE184E"/>
    <w:rsid w:val="00FE1914"/>
    <w:rsid w:val="00FE296F"/>
    <w:rsid w:val="00FE35E1"/>
    <w:rsid w:val="00FE4267"/>
    <w:rsid w:val="00FE6160"/>
    <w:rsid w:val="00FE6B3D"/>
    <w:rsid w:val="00FF021B"/>
    <w:rsid w:val="00FF0D72"/>
    <w:rsid w:val="00FF0F3E"/>
    <w:rsid w:val="00FF175B"/>
    <w:rsid w:val="00FF2E31"/>
    <w:rsid w:val="00FF3034"/>
    <w:rsid w:val="00FF333B"/>
    <w:rsid w:val="00FF37E0"/>
    <w:rsid w:val="00FF5E76"/>
    <w:rsid w:val="00FF62A5"/>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6F7BF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BG Footnote Text"/>
    <w:basedOn w:val="single"/>
    <w:link w:val="FootnoteTextChar"/>
    <w:uiPriority w:val="99"/>
    <w:rsid w:val="00F105EF"/>
    <w:rPr>
      <w:sz w:val="22"/>
    </w:rPr>
  </w:style>
  <w:style w:type="character" w:customStyle="1" w:styleId="FootnoteTextChar">
    <w:name w:val="Footnote Text Char"/>
    <w:aliases w:val="BG Footnote Text Char"/>
    <w:link w:val="FootnoteText"/>
    <w:uiPriority w:val="99"/>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0531FF"/>
    <w:rPr>
      <w:rFonts w:ascii="Times New Roman" w:hAnsi="Times New Roman"/>
      <w:sz w:val="24"/>
    </w:rPr>
  </w:style>
  <w:style w:type="character" w:styleId="FootnoteReference">
    <w:name w:val="footnote reference"/>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uiPriority w:val="99"/>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3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532A"/>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character" w:customStyle="1" w:styleId="apple-converted-space">
    <w:name w:val="apple-converted-space"/>
    <w:basedOn w:val="DefaultParagraphFont"/>
    <w:rsid w:val="005C6DED"/>
  </w:style>
  <w:style w:type="character" w:styleId="PlaceholderText">
    <w:name w:val="Placeholder Text"/>
    <w:basedOn w:val="DefaultParagraphFont"/>
    <w:uiPriority w:val="99"/>
    <w:semiHidden/>
    <w:rsid w:val="00A71E66"/>
    <w:rPr>
      <w:vanish w:val="0"/>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BG Footnote Text"/>
    <w:basedOn w:val="single"/>
    <w:link w:val="FootnoteTextChar"/>
    <w:uiPriority w:val="99"/>
    <w:rsid w:val="00F105EF"/>
    <w:rPr>
      <w:sz w:val="22"/>
    </w:rPr>
  </w:style>
  <w:style w:type="character" w:customStyle="1" w:styleId="FootnoteTextChar">
    <w:name w:val="Footnote Text Char"/>
    <w:aliases w:val="BG Footnote Text Char"/>
    <w:link w:val="FootnoteText"/>
    <w:uiPriority w:val="99"/>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locked/>
    <w:rsid w:val="000531FF"/>
    <w:rPr>
      <w:rFonts w:ascii="Times New Roman" w:hAnsi="Times New Roman"/>
      <w:sz w:val="24"/>
    </w:rPr>
  </w:style>
  <w:style w:type="character" w:styleId="FootnoteReference">
    <w:name w:val="footnote reference"/>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uiPriority w:val="99"/>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3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3B532A"/>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character" w:customStyle="1" w:styleId="apple-converted-space">
    <w:name w:val="apple-converted-space"/>
    <w:basedOn w:val="DefaultParagraphFont"/>
    <w:rsid w:val="005C6DED"/>
  </w:style>
  <w:style w:type="character" w:styleId="PlaceholderText">
    <w:name w:val="Placeholder Text"/>
    <w:basedOn w:val="DefaultParagraphFont"/>
    <w:uiPriority w:val="99"/>
    <w:semiHidden/>
    <w:rsid w:val="00A71E66"/>
    <w:rPr>
      <w:vanish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43">
      <w:bodyDiv w:val="1"/>
      <w:marLeft w:val="0"/>
      <w:marRight w:val="0"/>
      <w:marTop w:val="0"/>
      <w:marBottom w:val="0"/>
      <w:divBdr>
        <w:top w:val="none" w:sz="0" w:space="0" w:color="auto"/>
        <w:left w:val="none" w:sz="0" w:space="0" w:color="auto"/>
        <w:bottom w:val="none" w:sz="0" w:space="0" w:color="auto"/>
        <w:right w:val="none" w:sz="0" w:space="0" w:color="auto"/>
      </w:divBdr>
      <w:divsChild>
        <w:div w:id="2029796011">
          <w:marLeft w:val="720"/>
          <w:marRight w:val="0"/>
          <w:marTop w:val="96"/>
          <w:marBottom w:val="0"/>
          <w:divBdr>
            <w:top w:val="none" w:sz="0" w:space="0" w:color="auto"/>
            <w:left w:val="none" w:sz="0" w:space="0" w:color="auto"/>
            <w:bottom w:val="none" w:sz="0" w:space="0" w:color="auto"/>
            <w:right w:val="none" w:sz="0" w:space="0" w:color="auto"/>
          </w:divBdr>
        </w:div>
        <w:div w:id="1489444063">
          <w:marLeft w:val="720"/>
          <w:marRight w:val="0"/>
          <w:marTop w:val="96"/>
          <w:marBottom w:val="0"/>
          <w:divBdr>
            <w:top w:val="none" w:sz="0" w:space="0" w:color="auto"/>
            <w:left w:val="none" w:sz="0" w:space="0" w:color="auto"/>
            <w:bottom w:val="none" w:sz="0" w:space="0" w:color="auto"/>
            <w:right w:val="none" w:sz="0" w:space="0" w:color="auto"/>
          </w:divBdr>
        </w:div>
        <w:div w:id="619654669">
          <w:marLeft w:val="720"/>
          <w:marRight w:val="0"/>
          <w:marTop w:val="96"/>
          <w:marBottom w:val="0"/>
          <w:divBdr>
            <w:top w:val="none" w:sz="0" w:space="0" w:color="auto"/>
            <w:left w:val="none" w:sz="0" w:space="0" w:color="auto"/>
            <w:bottom w:val="none" w:sz="0" w:space="0" w:color="auto"/>
            <w:right w:val="none" w:sz="0" w:space="0" w:color="auto"/>
          </w:divBdr>
        </w:div>
        <w:div w:id="1646541658">
          <w:marLeft w:val="720"/>
          <w:marRight w:val="0"/>
          <w:marTop w:val="96"/>
          <w:marBottom w:val="0"/>
          <w:divBdr>
            <w:top w:val="none" w:sz="0" w:space="0" w:color="auto"/>
            <w:left w:val="none" w:sz="0" w:space="0" w:color="auto"/>
            <w:bottom w:val="none" w:sz="0" w:space="0" w:color="auto"/>
            <w:right w:val="none" w:sz="0" w:space="0" w:color="auto"/>
          </w:divBdr>
        </w:div>
      </w:divsChild>
    </w:div>
    <w:div w:id="87511193">
      <w:bodyDiv w:val="1"/>
      <w:marLeft w:val="0"/>
      <w:marRight w:val="0"/>
      <w:marTop w:val="0"/>
      <w:marBottom w:val="0"/>
      <w:divBdr>
        <w:top w:val="none" w:sz="0" w:space="0" w:color="auto"/>
        <w:left w:val="none" w:sz="0" w:space="0" w:color="auto"/>
        <w:bottom w:val="none" w:sz="0" w:space="0" w:color="auto"/>
        <w:right w:val="none" w:sz="0" w:space="0" w:color="auto"/>
      </w:divBdr>
      <w:divsChild>
        <w:div w:id="977303121">
          <w:marLeft w:val="720"/>
          <w:marRight w:val="0"/>
          <w:marTop w:val="96"/>
          <w:marBottom w:val="0"/>
          <w:divBdr>
            <w:top w:val="none" w:sz="0" w:space="0" w:color="auto"/>
            <w:left w:val="none" w:sz="0" w:space="0" w:color="auto"/>
            <w:bottom w:val="none" w:sz="0" w:space="0" w:color="auto"/>
            <w:right w:val="none" w:sz="0" w:space="0" w:color="auto"/>
          </w:divBdr>
        </w:div>
        <w:div w:id="134422094">
          <w:marLeft w:val="720"/>
          <w:marRight w:val="0"/>
          <w:marTop w:val="96"/>
          <w:marBottom w:val="0"/>
          <w:divBdr>
            <w:top w:val="none" w:sz="0" w:space="0" w:color="auto"/>
            <w:left w:val="none" w:sz="0" w:space="0" w:color="auto"/>
            <w:bottom w:val="none" w:sz="0" w:space="0" w:color="auto"/>
            <w:right w:val="none" w:sz="0" w:space="0" w:color="auto"/>
          </w:divBdr>
        </w:div>
        <w:div w:id="407582693">
          <w:marLeft w:val="720"/>
          <w:marRight w:val="0"/>
          <w:marTop w:val="96"/>
          <w:marBottom w:val="0"/>
          <w:divBdr>
            <w:top w:val="none" w:sz="0" w:space="0" w:color="auto"/>
            <w:left w:val="none" w:sz="0" w:space="0" w:color="auto"/>
            <w:bottom w:val="none" w:sz="0" w:space="0" w:color="auto"/>
            <w:right w:val="none" w:sz="0" w:space="0" w:color="auto"/>
          </w:divBdr>
        </w:div>
        <w:div w:id="1372724784">
          <w:marLeft w:val="720"/>
          <w:marRight w:val="0"/>
          <w:marTop w:val="96"/>
          <w:marBottom w:val="0"/>
          <w:divBdr>
            <w:top w:val="none" w:sz="0" w:space="0" w:color="auto"/>
            <w:left w:val="none" w:sz="0" w:space="0" w:color="auto"/>
            <w:bottom w:val="none" w:sz="0" w:space="0" w:color="auto"/>
            <w:right w:val="none" w:sz="0" w:space="0" w:color="auto"/>
          </w:divBdr>
        </w:div>
        <w:div w:id="1831947520">
          <w:marLeft w:val="720"/>
          <w:marRight w:val="0"/>
          <w:marTop w:val="96"/>
          <w:marBottom w:val="0"/>
          <w:divBdr>
            <w:top w:val="none" w:sz="0" w:space="0" w:color="auto"/>
            <w:left w:val="none" w:sz="0" w:space="0" w:color="auto"/>
            <w:bottom w:val="none" w:sz="0" w:space="0" w:color="auto"/>
            <w:right w:val="none" w:sz="0" w:space="0" w:color="auto"/>
          </w:divBdr>
        </w:div>
      </w:divsChild>
    </w:div>
    <w:div w:id="127363597">
      <w:bodyDiv w:val="1"/>
      <w:marLeft w:val="0"/>
      <w:marRight w:val="0"/>
      <w:marTop w:val="0"/>
      <w:marBottom w:val="0"/>
      <w:divBdr>
        <w:top w:val="none" w:sz="0" w:space="0" w:color="auto"/>
        <w:left w:val="none" w:sz="0" w:space="0" w:color="auto"/>
        <w:bottom w:val="none" w:sz="0" w:space="0" w:color="auto"/>
        <w:right w:val="none" w:sz="0" w:space="0" w:color="auto"/>
      </w:divBdr>
      <w:divsChild>
        <w:div w:id="1025134188">
          <w:marLeft w:val="187"/>
          <w:marRight w:val="0"/>
          <w:marTop w:val="106"/>
          <w:marBottom w:val="0"/>
          <w:divBdr>
            <w:top w:val="none" w:sz="0" w:space="0" w:color="auto"/>
            <w:left w:val="none" w:sz="0" w:space="0" w:color="auto"/>
            <w:bottom w:val="none" w:sz="0" w:space="0" w:color="auto"/>
            <w:right w:val="none" w:sz="0" w:space="0" w:color="auto"/>
          </w:divBdr>
        </w:div>
        <w:div w:id="951478660">
          <w:marLeft w:val="720"/>
          <w:marRight w:val="0"/>
          <w:marTop w:val="96"/>
          <w:marBottom w:val="0"/>
          <w:divBdr>
            <w:top w:val="none" w:sz="0" w:space="0" w:color="auto"/>
            <w:left w:val="none" w:sz="0" w:space="0" w:color="auto"/>
            <w:bottom w:val="none" w:sz="0" w:space="0" w:color="auto"/>
            <w:right w:val="none" w:sz="0" w:space="0" w:color="auto"/>
          </w:divBdr>
        </w:div>
        <w:div w:id="2073503076">
          <w:marLeft w:val="1094"/>
          <w:marRight w:val="0"/>
          <w:marTop w:val="96"/>
          <w:marBottom w:val="0"/>
          <w:divBdr>
            <w:top w:val="none" w:sz="0" w:space="0" w:color="auto"/>
            <w:left w:val="none" w:sz="0" w:space="0" w:color="auto"/>
            <w:bottom w:val="none" w:sz="0" w:space="0" w:color="auto"/>
            <w:right w:val="none" w:sz="0" w:space="0" w:color="auto"/>
          </w:divBdr>
        </w:div>
        <w:div w:id="160590191">
          <w:marLeft w:val="720"/>
          <w:marRight w:val="0"/>
          <w:marTop w:val="96"/>
          <w:marBottom w:val="0"/>
          <w:divBdr>
            <w:top w:val="none" w:sz="0" w:space="0" w:color="auto"/>
            <w:left w:val="none" w:sz="0" w:space="0" w:color="auto"/>
            <w:bottom w:val="none" w:sz="0" w:space="0" w:color="auto"/>
            <w:right w:val="none" w:sz="0" w:space="0" w:color="auto"/>
          </w:divBdr>
        </w:div>
        <w:div w:id="1511869447">
          <w:marLeft w:val="720"/>
          <w:marRight w:val="0"/>
          <w:marTop w:val="96"/>
          <w:marBottom w:val="0"/>
          <w:divBdr>
            <w:top w:val="none" w:sz="0" w:space="0" w:color="auto"/>
            <w:left w:val="none" w:sz="0" w:space="0" w:color="auto"/>
            <w:bottom w:val="none" w:sz="0" w:space="0" w:color="auto"/>
            <w:right w:val="none" w:sz="0" w:space="0" w:color="auto"/>
          </w:divBdr>
        </w:div>
        <w:div w:id="1101797996">
          <w:marLeft w:val="720"/>
          <w:marRight w:val="0"/>
          <w:marTop w:val="96"/>
          <w:marBottom w:val="0"/>
          <w:divBdr>
            <w:top w:val="none" w:sz="0" w:space="0" w:color="auto"/>
            <w:left w:val="none" w:sz="0" w:space="0" w:color="auto"/>
            <w:bottom w:val="none" w:sz="0" w:space="0" w:color="auto"/>
            <w:right w:val="none" w:sz="0" w:space="0" w:color="auto"/>
          </w:divBdr>
        </w:div>
        <w:div w:id="1487094021">
          <w:marLeft w:val="720"/>
          <w:marRight w:val="0"/>
          <w:marTop w:val="96"/>
          <w:marBottom w:val="0"/>
          <w:divBdr>
            <w:top w:val="none" w:sz="0" w:space="0" w:color="auto"/>
            <w:left w:val="none" w:sz="0" w:space="0" w:color="auto"/>
            <w:bottom w:val="none" w:sz="0" w:space="0" w:color="auto"/>
            <w:right w:val="none" w:sz="0" w:space="0" w:color="auto"/>
          </w:divBdr>
        </w:div>
        <w:div w:id="241183575">
          <w:marLeft w:val="720"/>
          <w:marRight w:val="0"/>
          <w:marTop w:val="96"/>
          <w:marBottom w:val="0"/>
          <w:divBdr>
            <w:top w:val="none" w:sz="0" w:space="0" w:color="auto"/>
            <w:left w:val="none" w:sz="0" w:space="0" w:color="auto"/>
            <w:bottom w:val="none" w:sz="0" w:space="0" w:color="auto"/>
            <w:right w:val="none" w:sz="0" w:space="0" w:color="auto"/>
          </w:divBdr>
        </w:div>
        <w:div w:id="260997082">
          <w:marLeft w:val="720"/>
          <w:marRight w:val="0"/>
          <w:marTop w:val="96"/>
          <w:marBottom w:val="0"/>
          <w:divBdr>
            <w:top w:val="none" w:sz="0" w:space="0" w:color="auto"/>
            <w:left w:val="none" w:sz="0" w:space="0" w:color="auto"/>
            <w:bottom w:val="none" w:sz="0" w:space="0" w:color="auto"/>
            <w:right w:val="none" w:sz="0" w:space="0" w:color="auto"/>
          </w:divBdr>
        </w:div>
      </w:divsChild>
    </w:div>
    <w:div w:id="150679265">
      <w:bodyDiv w:val="1"/>
      <w:marLeft w:val="0"/>
      <w:marRight w:val="0"/>
      <w:marTop w:val="0"/>
      <w:marBottom w:val="0"/>
      <w:divBdr>
        <w:top w:val="none" w:sz="0" w:space="0" w:color="auto"/>
        <w:left w:val="none" w:sz="0" w:space="0" w:color="auto"/>
        <w:bottom w:val="none" w:sz="0" w:space="0" w:color="auto"/>
        <w:right w:val="none" w:sz="0" w:space="0" w:color="auto"/>
      </w:divBdr>
    </w:div>
    <w:div w:id="366880733">
      <w:bodyDiv w:val="1"/>
      <w:marLeft w:val="0"/>
      <w:marRight w:val="0"/>
      <w:marTop w:val="0"/>
      <w:marBottom w:val="0"/>
      <w:divBdr>
        <w:top w:val="none" w:sz="0" w:space="0" w:color="auto"/>
        <w:left w:val="none" w:sz="0" w:space="0" w:color="auto"/>
        <w:bottom w:val="none" w:sz="0" w:space="0" w:color="auto"/>
        <w:right w:val="none" w:sz="0" w:space="0" w:color="auto"/>
      </w:divBdr>
      <w:divsChild>
        <w:div w:id="1497842224">
          <w:marLeft w:val="187"/>
          <w:marRight w:val="0"/>
          <w:marTop w:val="86"/>
          <w:marBottom w:val="0"/>
          <w:divBdr>
            <w:top w:val="none" w:sz="0" w:space="0" w:color="auto"/>
            <w:left w:val="none" w:sz="0" w:space="0" w:color="auto"/>
            <w:bottom w:val="none" w:sz="0" w:space="0" w:color="auto"/>
            <w:right w:val="none" w:sz="0" w:space="0" w:color="auto"/>
          </w:divBdr>
        </w:div>
        <w:div w:id="330529891">
          <w:marLeft w:val="720"/>
          <w:marRight w:val="0"/>
          <w:marTop w:val="77"/>
          <w:marBottom w:val="0"/>
          <w:divBdr>
            <w:top w:val="none" w:sz="0" w:space="0" w:color="auto"/>
            <w:left w:val="none" w:sz="0" w:space="0" w:color="auto"/>
            <w:bottom w:val="none" w:sz="0" w:space="0" w:color="auto"/>
            <w:right w:val="none" w:sz="0" w:space="0" w:color="auto"/>
          </w:divBdr>
        </w:div>
        <w:div w:id="1068304905">
          <w:marLeft w:val="1094"/>
          <w:marRight w:val="0"/>
          <w:marTop w:val="77"/>
          <w:marBottom w:val="0"/>
          <w:divBdr>
            <w:top w:val="none" w:sz="0" w:space="0" w:color="auto"/>
            <w:left w:val="none" w:sz="0" w:space="0" w:color="auto"/>
            <w:bottom w:val="none" w:sz="0" w:space="0" w:color="auto"/>
            <w:right w:val="none" w:sz="0" w:space="0" w:color="auto"/>
          </w:divBdr>
        </w:div>
        <w:div w:id="2134056635">
          <w:marLeft w:val="1094"/>
          <w:marRight w:val="0"/>
          <w:marTop w:val="77"/>
          <w:marBottom w:val="0"/>
          <w:divBdr>
            <w:top w:val="none" w:sz="0" w:space="0" w:color="auto"/>
            <w:left w:val="none" w:sz="0" w:space="0" w:color="auto"/>
            <w:bottom w:val="none" w:sz="0" w:space="0" w:color="auto"/>
            <w:right w:val="none" w:sz="0" w:space="0" w:color="auto"/>
          </w:divBdr>
        </w:div>
        <w:div w:id="1188180781">
          <w:marLeft w:val="1094"/>
          <w:marRight w:val="0"/>
          <w:marTop w:val="77"/>
          <w:marBottom w:val="0"/>
          <w:divBdr>
            <w:top w:val="none" w:sz="0" w:space="0" w:color="auto"/>
            <w:left w:val="none" w:sz="0" w:space="0" w:color="auto"/>
            <w:bottom w:val="none" w:sz="0" w:space="0" w:color="auto"/>
            <w:right w:val="none" w:sz="0" w:space="0" w:color="auto"/>
          </w:divBdr>
        </w:div>
        <w:div w:id="1797210226">
          <w:marLeft w:val="1094"/>
          <w:marRight w:val="0"/>
          <w:marTop w:val="77"/>
          <w:marBottom w:val="0"/>
          <w:divBdr>
            <w:top w:val="none" w:sz="0" w:space="0" w:color="auto"/>
            <w:left w:val="none" w:sz="0" w:space="0" w:color="auto"/>
            <w:bottom w:val="none" w:sz="0" w:space="0" w:color="auto"/>
            <w:right w:val="none" w:sz="0" w:space="0" w:color="auto"/>
          </w:divBdr>
        </w:div>
        <w:div w:id="121577444">
          <w:marLeft w:val="720"/>
          <w:marRight w:val="0"/>
          <w:marTop w:val="77"/>
          <w:marBottom w:val="0"/>
          <w:divBdr>
            <w:top w:val="none" w:sz="0" w:space="0" w:color="auto"/>
            <w:left w:val="none" w:sz="0" w:space="0" w:color="auto"/>
            <w:bottom w:val="none" w:sz="0" w:space="0" w:color="auto"/>
            <w:right w:val="none" w:sz="0" w:space="0" w:color="auto"/>
          </w:divBdr>
        </w:div>
        <w:div w:id="642001847">
          <w:marLeft w:val="187"/>
          <w:marRight w:val="0"/>
          <w:marTop w:val="86"/>
          <w:marBottom w:val="0"/>
          <w:divBdr>
            <w:top w:val="none" w:sz="0" w:space="0" w:color="auto"/>
            <w:left w:val="none" w:sz="0" w:space="0" w:color="auto"/>
            <w:bottom w:val="none" w:sz="0" w:space="0" w:color="auto"/>
            <w:right w:val="none" w:sz="0" w:space="0" w:color="auto"/>
          </w:divBdr>
        </w:div>
        <w:div w:id="291061201">
          <w:marLeft w:val="720"/>
          <w:marRight w:val="0"/>
          <w:marTop w:val="77"/>
          <w:marBottom w:val="0"/>
          <w:divBdr>
            <w:top w:val="none" w:sz="0" w:space="0" w:color="auto"/>
            <w:left w:val="none" w:sz="0" w:space="0" w:color="auto"/>
            <w:bottom w:val="none" w:sz="0" w:space="0" w:color="auto"/>
            <w:right w:val="none" w:sz="0" w:space="0" w:color="auto"/>
          </w:divBdr>
        </w:div>
        <w:div w:id="1305544566">
          <w:marLeft w:val="187"/>
          <w:marRight w:val="0"/>
          <w:marTop w:val="86"/>
          <w:marBottom w:val="0"/>
          <w:divBdr>
            <w:top w:val="none" w:sz="0" w:space="0" w:color="auto"/>
            <w:left w:val="none" w:sz="0" w:space="0" w:color="auto"/>
            <w:bottom w:val="none" w:sz="0" w:space="0" w:color="auto"/>
            <w:right w:val="none" w:sz="0" w:space="0" w:color="auto"/>
          </w:divBdr>
        </w:div>
        <w:div w:id="515313903">
          <w:marLeft w:val="720"/>
          <w:marRight w:val="0"/>
          <w:marTop w:val="77"/>
          <w:marBottom w:val="0"/>
          <w:divBdr>
            <w:top w:val="none" w:sz="0" w:space="0" w:color="auto"/>
            <w:left w:val="none" w:sz="0" w:space="0" w:color="auto"/>
            <w:bottom w:val="none" w:sz="0" w:space="0" w:color="auto"/>
            <w:right w:val="none" w:sz="0" w:space="0" w:color="auto"/>
          </w:divBdr>
        </w:div>
        <w:div w:id="773090782">
          <w:marLeft w:val="720"/>
          <w:marRight w:val="0"/>
          <w:marTop w:val="77"/>
          <w:marBottom w:val="0"/>
          <w:divBdr>
            <w:top w:val="none" w:sz="0" w:space="0" w:color="auto"/>
            <w:left w:val="none" w:sz="0" w:space="0" w:color="auto"/>
            <w:bottom w:val="none" w:sz="0" w:space="0" w:color="auto"/>
            <w:right w:val="none" w:sz="0" w:space="0" w:color="auto"/>
          </w:divBdr>
        </w:div>
      </w:divsChild>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458031271">
      <w:bodyDiv w:val="1"/>
      <w:marLeft w:val="0"/>
      <w:marRight w:val="0"/>
      <w:marTop w:val="0"/>
      <w:marBottom w:val="0"/>
      <w:divBdr>
        <w:top w:val="none" w:sz="0" w:space="0" w:color="auto"/>
        <w:left w:val="none" w:sz="0" w:space="0" w:color="auto"/>
        <w:bottom w:val="none" w:sz="0" w:space="0" w:color="auto"/>
        <w:right w:val="none" w:sz="0" w:space="0" w:color="auto"/>
      </w:divBdr>
    </w:div>
    <w:div w:id="503519678">
      <w:bodyDiv w:val="1"/>
      <w:marLeft w:val="0"/>
      <w:marRight w:val="0"/>
      <w:marTop w:val="0"/>
      <w:marBottom w:val="0"/>
      <w:divBdr>
        <w:top w:val="none" w:sz="0" w:space="0" w:color="auto"/>
        <w:left w:val="none" w:sz="0" w:space="0" w:color="auto"/>
        <w:bottom w:val="none" w:sz="0" w:space="0" w:color="auto"/>
        <w:right w:val="none" w:sz="0" w:space="0" w:color="auto"/>
      </w:divBdr>
      <w:divsChild>
        <w:div w:id="2083327975">
          <w:marLeft w:val="187"/>
          <w:marRight w:val="0"/>
          <w:marTop w:val="86"/>
          <w:marBottom w:val="0"/>
          <w:divBdr>
            <w:top w:val="none" w:sz="0" w:space="0" w:color="auto"/>
            <w:left w:val="none" w:sz="0" w:space="0" w:color="auto"/>
            <w:bottom w:val="none" w:sz="0" w:space="0" w:color="auto"/>
            <w:right w:val="none" w:sz="0" w:space="0" w:color="auto"/>
          </w:divBdr>
        </w:div>
        <w:div w:id="1554266790">
          <w:marLeft w:val="720"/>
          <w:marRight w:val="0"/>
          <w:marTop w:val="77"/>
          <w:marBottom w:val="0"/>
          <w:divBdr>
            <w:top w:val="none" w:sz="0" w:space="0" w:color="auto"/>
            <w:left w:val="none" w:sz="0" w:space="0" w:color="auto"/>
            <w:bottom w:val="none" w:sz="0" w:space="0" w:color="auto"/>
            <w:right w:val="none" w:sz="0" w:space="0" w:color="auto"/>
          </w:divBdr>
        </w:div>
        <w:div w:id="248852194">
          <w:marLeft w:val="1094"/>
          <w:marRight w:val="0"/>
          <w:marTop w:val="77"/>
          <w:marBottom w:val="0"/>
          <w:divBdr>
            <w:top w:val="none" w:sz="0" w:space="0" w:color="auto"/>
            <w:left w:val="none" w:sz="0" w:space="0" w:color="auto"/>
            <w:bottom w:val="none" w:sz="0" w:space="0" w:color="auto"/>
            <w:right w:val="none" w:sz="0" w:space="0" w:color="auto"/>
          </w:divBdr>
        </w:div>
        <w:div w:id="1660110044">
          <w:marLeft w:val="1094"/>
          <w:marRight w:val="0"/>
          <w:marTop w:val="77"/>
          <w:marBottom w:val="0"/>
          <w:divBdr>
            <w:top w:val="none" w:sz="0" w:space="0" w:color="auto"/>
            <w:left w:val="none" w:sz="0" w:space="0" w:color="auto"/>
            <w:bottom w:val="none" w:sz="0" w:space="0" w:color="auto"/>
            <w:right w:val="none" w:sz="0" w:space="0" w:color="auto"/>
          </w:divBdr>
        </w:div>
        <w:div w:id="18548885">
          <w:marLeft w:val="1094"/>
          <w:marRight w:val="0"/>
          <w:marTop w:val="77"/>
          <w:marBottom w:val="0"/>
          <w:divBdr>
            <w:top w:val="none" w:sz="0" w:space="0" w:color="auto"/>
            <w:left w:val="none" w:sz="0" w:space="0" w:color="auto"/>
            <w:bottom w:val="none" w:sz="0" w:space="0" w:color="auto"/>
            <w:right w:val="none" w:sz="0" w:space="0" w:color="auto"/>
          </w:divBdr>
        </w:div>
        <w:div w:id="848913353">
          <w:marLeft w:val="1094"/>
          <w:marRight w:val="0"/>
          <w:marTop w:val="77"/>
          <w:marBottom w:val="0"/>
          <w:divBdr>
            <w:top w:val="none" w:sz="0" w:space="0" w:color="auto"/>
            <w:left w:val="none" w:sz="0" w:space="0" w:color="auto"/>
            <w:bottom w:val="none" w:sz="0" w:space="0" w:color="auto"/>
            <w:right w:val="none" w:sz="0" w:space="0" w:color="auto"/>
          </w:divBdr>
        </w:div>
        <w:div w:id="825782928">
          <w:marLeft w:val="720"/>
          <w:marRight w:val="0"/>
          <w:marTop w:val="77"/>
          <w:marBottom w:val="0"/>
          <w:divBdr>
            <w:top w:val="none" w:sz="0" w:space="0" w:color="auto"/>
            <w:left w:val="none" w:sz="0" w:space="0" w:color="auto"/>
            <w:bottom w:val="none" w:sz="0" w:space="0" w:color="auto"/>
            <w:right w:val="none" w:sz="0" w:space="0" w:color="auto"/>
          </w:divBdr>
        </w:div>
        <w:div w:id="158926912">
          <w:marLeft w:val="187"/>
          <w:marRight w:val="0"/>
          <w:marTop w:val="86"/>
          <w:marBottom w:val="0"/>
          <w:divBdr>
            <w:top w:val="none" w:sz="0" w:space="0" w:color="auto"/>
            <w:left w:val="none" w:sz="0" w:space="0" w:color="auto"/>
            <w:bottom w:val="none" w:sz="0" w:space="0" w:color="auto"/>
            <w:right w:val="none" w:sz="0" w:space="0" w:color="auto"/>
          </w:divBdr>
        </w:div>
        <w:div w:id="1407650081">
          <w:marLeft w:val="720"/>
          <w:marRight w:val="0"/>
          <w:marTop w:val="77"/>
          <w:marBottom w:val="0"/>
          <w:divBdr>
            <w:top w:val="none" w:sz="0" w:space="0" w:color="auto"/>
            <w:left w:val="none" w:sz="0" w:space="0" w:color="auto"/>
            <w:bottom w:val="none" w:sz="0" w:space="0" w:color="auto"/>
            <w:right w:val="none" w:sz="0" w:space="0" w:color="auto"/>
          </w:divBdr>
        </w:div>
        <w:div w:id="1856072589">
          <w:marLeft w:val="187"/>
          <w:marRight w:val="0"/>
          <w:marTop w:val="86"/>
          <w:marBottom w:val="0"/>
          <w:divBdr>
            <w:top w:val="none" w:sz="0" w:space="0" w:color="auto"/>
            <w:left w:val="none" w:sz="0" w:space="0" w:color="auto"/>
            <w:bottom w:val="none" w:sz="0" w:space="0" w:color="auto"/>
            <w:right w:val="none" w:sz="0" w:space="0" w:color="auto"/>
          </w:divBdr>
        </w:div>
        <w:div w:id="1842889087">
          <w:marLeft w:val="720"/>
          <w:marRight w:val="0"/>
          <w:marTop w:val="77"/>
          <w:marBottom w:val="0"/>
          <w:divBdr>
            <w:top w:val="none" w:sz="0" w:space="0" w:color="auto"/>
            <w:left w:val="none" w:sz="0" w:space="0" w:color="auto"/>
            <w:bottom w:val="none" w:sz="0" w:space="0" w:color="auto"/>
            <w:right w:val="none" w:sz="0" w:space="0" w:color="auto"/>
          </w:divBdr>
        </w:div>
        <w:div w:id="1967199141">
          <w:marLeft w:val="720"/>
          <w:marRight w:val="0"/>
          <w:marTop w:val="77"/>
          <w:marBottom w:val="0"/>
          <w:divBdr>
            <w:top w:val="none" w:sz="0" w:space="0" w:color="auto"/>
            <w:left w:val="none" w:sz="0" w:space="0" w:color="auto"/>
            <w:bottom w:val="none" w:sz="0" w:space="0" w:color="auto"/>
            <w:right w:val="none" w:sz="0" w:space="0" w:color="auto"/>
          </w:divBdr>
        </w:div>
        <w:div w:id="1473323978">
          <w:marLeft w:val="720"/>
          <w:marRight w:val="0"/>
          <w:marTop w:val="77"/>
          <w:marBottom w:val="0"/>
          <w:divBdr>
            <w:top w:val="none" w:sz="0" w:space="0" w:color="auto"/>
            <w:left w:val="none" w:sz="0" w:space="0" w:color="auto"/>
            <w:bottom w:val="none" w:sz="0" w:space="0" w:color="auto"/>
            <w:right w:val="none" w:sz="0" w:space="0" w:color="auto"/>
          </w:divBdr>
        </w:div>
      </w:divsChild>
    </w:div>
    <w:div w:id="506868942">
      <w:bodyDiv w:val="1"/>
      <w:marLeft w:val="0"/>
      <w:marRight w:val="0"/>
      <w:marTop w:val="0"/>
      <w:marBottom w:val="0"/>
      <w:divBdr>
        <w:top w:val="none" w:sz="0" w:space="0" w:color="auto"/>
        <w:left w:val="none" w:sz="0" w:space="0" w:color="auto"/>
        <w:bottom w:val="none" w:sz="0" w:space="0" w:color="auto"/>
        <w:right w:val="none" w:sz="0" w:space="0" w:color="auto"/>
      </w:divBdr>
      <w:divsChild>
        <w:div w:id="237523031">
          <w:marLeft w:val="187"/>
          <w:marRight w:val="0"/>
          <w:marTop w:val="77"/>
          <w:marBottom w:val="0"/>
          <w:divBdr>
            <w:top w:val="none" w:sz="0" w:space="0" w:color="auto"/>
            <w:left w:val="none" w:sz="0" w:space="0" w:color="auto"/>
            <w:bottom w:val="none" w:sz="0" w:space="0" w:color="auto"/>
            <w:right w:val="none" w:sz="0" w:space="0" w:color="auto"/>
          </w:divBdr>
        </w:div>
        <w:div w:id="1110587871">
          <w:marLeft w:val="720"/>
          <w:marRight w:val="0"/>
          <w:marTop w:val="67"/>
          <w:marBottom w:val="0"/>
          <w:divBdr>
            <w:top w:val="none" w:sz="0" w:space="0" w:color="auto"/>
            <w:left w:val="none" w:sz="0" w:space="0" w:color="auto"/>
            <w:bottom w:val="none" w:sz="0" w:space="0" w:color="auto"/>
            <w:right w:val="none" w:sz="0" w:space="0" w:color="auto"/>
          </w:divBdr>
        </w:div>
        <w:div w:id="2050910447">
          <w:marLeft w:val="720"/>
          <w:marRight w:val="0"/>
          <w:marTop w:val="67"/>
          <w:marBottom w:val="0"/>
          <w:divBdr>
            <w:top w:val="none" w:sz="0" w:space="0" w:color="auto"/>
            <w:left w:val="none" w:sz="0" w:space="0" w:color="auto"/>
            <w:bottom w:val="none" w:sz="0" w:space="0" w:color="auto"/>
            <w:right w:val="none" w:sz="0" w:space="0" w:color="auto"/>
          </w:divBdr>
        </w:div>
        <w:div w:id="1755591318">
          <w:marLeft w:val="1094"/>
          <w:marRight w:val="0"/>
          <w:marTop w:val="67"/>
          <w:marBottom w:val="0"/>
          <w:divBdr>
            <w:top w:val="none" w:sz="0" w:space="0" w:color="auto"/>
            <w:left w:val="none" w:sz="0" w:space="0" w:color="auto"/>
            <w:bottom w:val="none" w:sz="0" w:space="0" w:color="auto"/>
            <w:right w:val="none" w:sz="0" w:space="0" w:color="auto"/>
          </w:divBdr>
        </w:div>
        <w:div w:id="1381244141">
          <w:marLeft w:val="720"/>
          <w:marRight w:val="0"/>
          <w:marTop w:val="67"/>
          <w:marBottom w:val="0"/>
          <w:divBdr>
            <w:top w:val="none" w:sz="0" w:space="0" w:color="auto"/>
            <w:left w:val="none" w:sz="0" w:space="0" w:color="auto"/>
            <w:bottom w:val="none" w:sz="0" w:space="0" w:color="auto"/>
            <w:right w:val="none" w:sz="0" w:space="0" w:color="auto"/>
          </w:divBdr>
        </w:div>
        <w:div w:id="1941404303">
          <w:marLeft w:val="720"/>
          <w:marRight w:val="0"/>
          <w:marTop w:val="67"/>
          <w:marBottom w:val="0"/>
          <w:divBdr>
            <w:top w:val="none" w:sz="0" w:space="0" w:color="auto"/>
            <w:left w:val="none" w:sz="0" w:space="0" w:color="auto"/>
            <w:bottom w:val="none" w:sz="0" w:space="0" w:color="auto"/>
            <w:right w:val="none" w:sz="0" w:space="0" w:color="auto"/>
          </w:divBdr>
        </w:div>
        <w:div w:id="227036719">
          <w:marLeft w:val="720"/>
          <w:marRight w:val="0"/>
          <w:marTop w:val="67"/>
          <w:marBottom w:val="0"/>
          <w:divBdr>
            <w:top w:val="none" w:sz="0" w:space="0" w:color="auto"/>
            <w:left w:val="none" w:sz="0" w:space="0" w:color="auto"/>
            <w:bottom w:val="none" w:sz="0" w:space="0" w:color="auto"/>
            <w:right w:val="none" w:sz="0" w:space="0" w:color="auto"/>
          </w:divBdr>
        </w:div>
        <w:div w:id="857162013">
          <w:marLeft w:val="1094"/>
          <w:marRight w:val="0"/>
          <w:marTop w:val="67"/>
          <w:marBottom w:val="0"/>
          <w:divBdr>
            <w:top w:val="none" w:sz="0" w:space="0" w:color="auto"/>
            <w:left w:val="none" w:sz="0" w:space="0" w:color="auto"/>
            <w:bottom w:val="none" w:sz="0" w:space="0" w:color="auto"/>
            <w:right w:val="none" w:sz="0" w:space="0" w:color="auto"/>
          </w:divBdr>
        </w:div>
      </w:divsChild>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846750683">
      <w:bodyDiv w:val="1"/>
      <w:marLeft w:val="0"/>
      <w:marRight w:val="0"/>
      <w:marTop w:val="0"/>
      <w:marBottom w:val="0"/>
      <w:divBdr>
        <w:top w:val="none" w:sz="0" w:space="0" w:color="auto"/>
        <w:left w:val="none" w:sz="0" w:space="0" w:color="auto"/>
        <w:bottom w:val="none" w:sz="0" w:space="0" w:color="auto"/>
        <w:right w:val="none" w:sz="0" w:space="0" w:color="auto"/>
      </w:divBdr>
      <w:divsChild>
        <w:div w:id="1151823844">
          <w:marLeft w:val="720"/>
          <w:marRight w:val="0"/>
          <w:marTop w:val="77"/>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079597832">
      <w:bodyDiv w:val="1"/>
      <w:marLeft w:val="0"/>
      <w:marRight w:val="0"/>
      <w:marTop w:val="0"/>
      <w:marBottom w:val="0"/>
      <w:divBdr>
        <w:top w:val="none" w:sz="0" w:space="0" w:color="auto"/>
        <w:left w:val="none" w:sz="0" w:space="0" w:color="auto"/>
        <w:bottom w:val="none" w:sz="0" w:space="0" w:color="auto"/>
        <w:right w:val="none" w:sz="0" w:space="0" w:color="auto"/>
      </w:divBdr>
      <w:divsChild>
        <w:div w:id="1683050503">
          <w:marLeft w:val="187"/>
          <w:marRight w:val="0"/>
          <w:marTop w:val="106"/>
          <w:marBottom w:val="0"/>
          <w:divBdr>
            <w:top w:val="none" w:sz="0" w:space="0" w:color="auto"/>
            <w:left w:val="none" w:sz="0" w:space="0" w:color="auto"/>
            <w:bottom w:val="none" w:sz="0" w:space="0" w:color="auto"/>
            <w:right w:val="none" w:sz="0" w:space="0" w:color="auto"/>
          </w:divBdr>
        </w:div>
      </w:divsChild>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477794942">
      <w:bodyDiv w:val="1"/>
      <w:marLeft w:val="0"/>
      <w:marRight w:val="0"/>
      <w:marTop w:val="0"/>
      <w:marBottom w:val="0"/>
      <w:divBdr>
        <w:top w:val="none" w:sz="0" w:space="0" w:color="auto"/>
        <w:left w:val="none" w:sz="0" w:space="0" w:color="auto"/>
        <w:bottom w:val="none" w:sz="0" w:space="0" w:color="auto"/>
        <w:right w:val="none" w:sz="0" w:space="0" w:color="auto"/>
      </w:divBdr>
      <w:divsChild>
        <w:div w:id="627318636">
          <w:marLeft w:val="187"/>
          <w:marRight w:val="0"/>
          <w:marTop w:val="77"/>
          <w:marBottom w:val="0"/>
          <w:divBdr>
            <w:top w:val="none" w:sz="0" w:space="0" w:color="auto"/>
            <w:left w:val="none" w:sz="0" w:space="0" w:color="auto"/>
            <w:bottom w:val="none" w:sz="0" w:space="0" w:color="auto"/>
            <w:right w:val="none" w:sz="0" w:space="0" w:color="auto"/>
          </w:divBdr>
        </w:div>
        <w:div w:id="2117359434">
          <w:marLeft w:val="720"/>
          <w:marRight w:val="0"/>
          <w:marTop w:val="67"/>
          <w:marBottom w:val="0"/>
          <w:divBdr>
            <w:top w:val="none" w:sz="0" w:space="0" w:color="auto"/>
            <w:left w:val="none" w:sz="0" w:space="0" w:color="auto"/>
            <w:bottom w:val="none" w:sz="0" w:space="0" w:color="auto"/>
            <w:right w:val="none" w:sz="0" w:space="0" w:color="auto"/>
          </w:divBdr>
        </w:div>
        <w:div w:id="694117643">
          <w:marLeft w:val="1094"/>
          <w:marRight w:val="0"/>
          <w:marTop w:val="67"/>
          <w:marBottom w:val="0"/>
          <w:divBdr>
            <w:top w:val="none" w:sz="0" w:space="0" w:color="auto"/>
            <w:left w:val="none" w:sz="0" w:space="0" w:color="auto"/>
            <w:bottom w:val="none" w:sz="0" w:space="0" w:color="auto"/>
            <w:right w:val="none" w:sz="0" w:space="0" w:color="auto"/>
          </w:divBdr>
        </w:div>
        <w:div w:id="41832445">
          <w:marLeft w:val="720"/>
          <w:marRight w:val="0"/>
          <w:marTop w:val="67"/>
          <w:marBottom w:val="0"/>
          <w:divBdr>
            <w:top w:val="none" w:sz="0" w:space="0" w:color="auto"/>
            <w:left w:val="none" w:sz="0" w:space="0" w:color="auto"/>
            <w:bottom w:val="none" w:sz="0" w:space="0" w:color="auto"/>
            <w:right w:val="none" w:sz="0" w:space="0" w:color="auto"/>
          </w:divBdr>
        </w:div>
        <w:div w:id="706879721">
          <w:marLeft w:val="720"/>
          <w:marRight w:val="0"/>
          <w:marTop w:val="67"/>
          <w:marBottom w:val="0"/>
          <w:divBdr>
            <w:top w:val="none" w:sz="0" w:space="0" w:color="auto"/>
            <w:left w:val="none" w:sz="0" w:space="0" w:color="auto"/>
            <w:bottom w:val="none" w:sz="0" w:space="0" w:color="auto"/>
            <w:right w:val="none" w:sz="0" w:space="0" w:color="auto"/>
          </w:divBdr>
        </w:div>
        <w:div w:id="874539190">
          <w:marLeft w:val="1094"/>
          <w:marRight w:val="0"/>
          <w:marTop w:val="67"/>
          <w:marBottom w:val="0"/>
          <w:divBdr>
            <w:top w:val="none" w:sz="0" w:space="0" w:color="auto"/>
            <w:left w:val="none" w:sz="0" w:space="0" w:color="auto"/>
            <w:bottom w:val="none" w:sz="0" w:space="0" w:color="auto"/>
            <w:right w:val="none" w:sz="0" w:space="0" w:color="auto"/>
          </w:divBdr>
        </w:div>
        <w:div w:id="1809281459">
          <w:marLeft w:val="1094"/>
          <w:marRight w:val="0"/>
          <w:marTop w:val="67"/>
          <w:marBottom w:val="0"/>
          <w:divBdr>
            <w:top w:val="none" w:sz="0" w:space="0" w:color="auto"/>
            <w:left w:val="none" w:sz="0" w:space="0" w:color="auto"/>
            <w:bottom w:val="none" w:sz="0" w:space="0" w:color="auto"/>
            <w:right w:val="none" w:sz="0" w:space="0" w:color="auto"/>
          </w:divBdr>
        </w:div>
        <w:div w:id="140004713">
          <w:marLeft w:val="1094"/>
          <w:marRight w:val="0"/>
          <w:marTop w:val="67"/>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570072649">
      <w:bodyDiv w:val="1"/>
      <w:marLeft w:val="0"/>
      <w:marRight w:val="0"/>
      <w:marTop w:val="0"/>
      <w:marBottom w:val="0"/>
      <w:divBdr>
        <w:top w:val="none" w:sz="0" w:space="0" w:color="auto"/>
        <w:left w:val="none" w:sz="0" w:space="0" w:color="auto"/>
        <w:bottom w:val="none" w:sz="0" w:space="0" w:color="auto"/>
        <w:right w:val="none" w:sz="0" w:space="0" w:color="auto"/>
      </w:divBdr>
    </w:div>
    <w:div w:id="1719166572">
      <w:bodyDiv w:val="1"/>
      <w:marLeft w:val="0"/>
      <w:marRight w:val="0"/>
      <w:marTop w:val="0"/>
      <w:marBottom w:val="0"/>
      <w:divBdr>
        <w:top w:val="none" w:sz="0" w:space="0" w:color="auto"/>
        <w:left w:val="none" w:sz="0" w:space="0" w:color="auto"/>
        <w:bottom w:val="none" w:sz="0" w:space="0" w:color="auto"/>
        <w:right w:val="none" w:sz="0" w:space="0" w:color="auto"/>
      </w:divBdr>
      <w:divsChild>
        <w:div w:id="52387444">
          <w:marLeft w:val="187"/>
          <w:marRight w:val="0"/>
          <w:marTop w:val="77"/>
          <w:marBottom w:val="0"/>
          <w:divBdr>
            <w:top w:val="none" w:sz="0" w:space="0" w:color="auto"/>
            <w:left w:val="none" w:sz="0" w:space="0" w:color="auto"/>
            <w:bottom w:val="none" w:sz="0" w:space="0" w:color="auto"/>
            <w:right w:val="none" w:sz="0" w:space="0" w:color="auto"/>
          </w:divBdr>
        </w:div>
        <w:div w:id="2008552221">
          <w:marLeft w:val="720"/>
          <w:marRight w:val="0"/>
          <w:marTop w:val="67"/>
          <w:marBottom w:val="0"/>
          <w:divBdr>
            <w:top w:val="none" w:sz="0" w:space="0" w:color="auto"/>
            <w:left w:val="none" w:sz="0" w:space="0" w:color="auto"/>
            <w:bottom w:val="none" w:sz="0" w:space="0" w:color="auto"/>
            <w:right w:val="none" w:sz="0" w:space="0" w:color="auto"/>
          </w:divBdr>
        </w:div>
        <w:div w:id="1311523343">
          <w:marLeft w:val="720"/>
          <w:marRight w:val="0"/>
          <w:marTop w:val="67"/>
          <w:marBottom w:val="0"/>
          <w:divBdr>
            <w:top w:val="none" w:sz="0" w:space="0" w:color="auto"/>
            <w:left w:val="none" w:sz="0" w:space="0" w:color="auto"/>
            <w:bottom w:val="none" w:sz="0" w:space="0" w:color="auto"/>
            <w:right w:val="none" w:sz="0" w:space="0" w:color="auto"/>
          </w:divBdr>
        </w:div>
        <w:div w:id="831724379">
          <w:marLeft w:val="187"/>
          <w:marRight w:val="0"/>
          <w:marTop w:val="77"/>
          <w:marBottom w:val="0"/>
          <w:divBdr>
            <w:top w:val="none" w:sz="0" w:space="0" w:color="auto"/>
            <w:left w:val="none" w:sz="0" w:space="0" w:color="auto"/>
            <w:bottom w:val="none" w:sz="0" w:space="0" w:color="auto"/>
            <w:right w:val="none" w:sz="0" w:space="0" w:color="auto"/>
          </w:divBdr>
        </w:div>
        <w:div w:id="2099206495">
          <w:marLeft w:val="720"/>
          <w:marRight w:val="0"/>
          <w:marTop w:val="67"/>
          <w:marBottom w:val="0"/>
          <w:divBdr>
            <w:top w:val="none" w:sz="0" w:space="0" w:color="auto"/>
            <w:left w:val="none" w:sz="0" w:space="0" w:color="auto"/>
            <w:bottom w:val="none" w:sz="0" w:space="0" w:color="auto"/>
            <w:right w:val="none" w:sz="0" w:space="0" w:color="auto"/>
          </w:divBdr>
        </w:div>
        <w:div w:id="410663869">
          <w:marLeft w:val="720"/>
          <w:marRight w:val="0"/>
          <w:marTop w:val="67"/>
          <w:marBottom w:val="0"/>
          <w:divBdr>
            <w:top w:val="none" w:sz="0" w:space="0" w:color="auto"/>
            <w:left w:val="none" w:sz="0" w:space="0" w:color="auto"/>
            <w:bottom w:val="none" w:sz="0" w:space="0" w:color="auto"/>
            <w:right w:val="none" w:sz="0" w:space="0" w:color="auto"/>
          </w:divBdr>
        </w:div>
        <w:div w:id="553736018">
          <w:marLeft w:val="1094"/>
          <w:marRight w:val="0"/>
          <w:marTop w:val="67"/>
          <w:marBottom w:val="0"/>
          <w:divBdr>
            <w:top w:val="none" w:sz="0" w:space="0" w:color="auto"/>
            <w:left w:val="none" w:sz="0" w:space="0" w:color="auto"/>
            <w:bottom w:val="none" w:sz="0" w:space="0" w:color="auto"/>
            <w:right w:val="none" w:sz="0" w:space="0" w:color="auto"/>
          </w:divBdr>
        </w:div>
        <w:div w:id="2042120478">
          <w:marLeft w:val="1094"/>
          <w:marRight w:val="0"/>
          <w:marTop w:val="67"/>
          <w:marBottom w:val="0"/>
          <w:divBdr>
            <w:top w:val="none" w:sz="0" w:space="0" w:color="auto"/>
            <w:left w:val="none" w:sz="0" w:space="0" w:color="auto"/>
            <w:bottom w:val="none" w:sz="0" w:space="0" w:color="auto"/>
            <w:right w:val="none" w:sz="0" w:space="0" w:color="auto"/>
          </w:divBdr>
        </w:div>
        <w:div w:id="818806946">
          <w:marLeft w:val="720"/>
          <w:marRight w:val="0"/>
          <w:marTop w:val="67"/>
          <w:marBottom w:val="0"/>
          <w:divBdr>
            <w:top w:val="none" w:sz="0" w:space="0" w:color="auto"/>
            <w:left w:val="none" w:sz="0" w:space="0" w:color="auto"/>
            <w:bottom w:val="none" w:sz="0" w:space="0" w:color="auto"/>
            <w:right w:val="none" w:sz="0" w:space="0" w:color="auto"/>
          </w:divBdr>
        </w:div>
        <w:div w:id="2129422277">
          <w:marLeft w:val="1094"/>
          <w:marRight w:val="0"/>
          <w:marTop w:val="67"/>
          <w:marBottom w:val="0"/>
          <w:divBdr>
            <w:top w:val="none" w:sz="0" w:space="0" w:color="auto"/>
            <w:left w:val="none" w:sz="0" w:space="0" w:color="auto"/>
            <w:bottom w:val="none" w:sz="0" w:space="0" w:color="auto"/>
            <w:right w:val="none" w:sz="0" w:space="0" w:color="auto"/>
          </w:divBdr>
        </w:div>
        <w:div w:id="1038818114">
          <w:marLeft w:val="1094"/>
          <w:marRight w:val="0"/>
          <w:marTop w:val="67"/>
          <w:marBottom w:val="0"/>
          <w:divBdr>
            <w:top w:val="none" w:sz="0" w:space="0" w:color="auto"/>
            <w:left w:val="none" w:sz="0" w:space="0" w:color="auto"/>
            <w:bottom w:val="none" w:sz="0" w:space="0" w:color="auto"/>
            <w:right w:val="none" w:sz="0" w:space="0" w:color="auto"/>
          </w:divBdr>
        </w:div>
        <w:div w:id="932512828">
          <w:marLeft w:val="1094"/>
          <w:marRight w:val="0"/>
          <w:marTop w:val="67"/>
          <w:marBottom w:val="0"/>
          <w:divBdr>
            <w:top w:val="none" w:sz="0" w:space="0" w:color="auto"/>
            <w:left w:val="none" w:sz="0" w:space="0" w:color="auto"/>
            <w:bottom w:val="none" w:sz="0" w:space="0" w:color="auto"/>
            <w:right w:val="none" w:sz="0" w:space="0" w:color="auto"/>
          </w:divBdr>
        </w:div>
        <w:div w:id="1589733828">
          <w:marLeft w:val="1094"/>
          <w:marRight w:val="0"/>
          <w:marTop w:val="67"/>
          <w:marBottom w:val="0"/>
          <w:divBdr>
            <w:top w:val="none" w:sz="0" w:space="0" w:color="auto"/>
            <w:left w:val="none" w:sz="0" w:space="0" w:color="auto"/>
            <w:bottom w:val="none" w:sz="0" w:space="0" w:color="auto"/>
            <w:right w:val="none" w:sz="0" w:space="0" w:color="auto"/>
          </w:divBdr>
        </w:div>
        <w:div w:id="2125685880">
          <w:marLeft w:val="720"/>
          <w:marRight w:val="0"/>
          <w:marTop w:val="67"/>
          <w:marBottom w:val="0"/>
          <w:divBdr>
            <w:top w:val="none" w:sz="0" w:space="0" w:color="auto"/>
            <w:left w:val="none" w:sz="0" w:space="0" w:color="auto"/>
            <w:bottom w:val="none" w:sz="0" w:space="0" w:color="auto"/>
            <w:right w:val="none" w:sz="0" w:space="0" w:color="auto"/>
          </w:divBdr>
        </w:div>
        <w:div w:id="610211886">
          <w:marLeft w:val="1094"/>
          <w:marRight w:val="0"/>
          <w:marTop w:val="67"/>
          <w:marBottom w:val="0"/>
          <w:divBdr>
            <w:top w:val="none" w:sz="0" w:space="0" w:color="auto"/>
            <w:left w:val="none" w:sz="0" w:space="0" w:color="auto"/>
            <w:bottom w:val="none" w:sz="0" w:space="0" w:color="auto"/>
            <w:right w:val="none" w:sz="0" w:space="0" w:color="auto"/>
          </w:divBdr>
        </w:div>
        <w:div w:id="861210697">
          <w:marLeft w:val="187"/>
          <w:marRight w:val="0"/>
          <w:marTop w:val="77"/>
          <w:marBottom w:val="0"/>
          <w:divBdr>
            <w:top w:val="none" w:sz="0" w:space="0" w:color="auto"/>
            <w:left w:val="none" w:sz="0" w:space="0" w:color="auto"/>
            <w:bottom w:val="none" w:sz="0" w:space="0" w:color="auto"/>
            <w:right w:val="none" w:sz="0" w:space="0" w:color="auto"/>
          </w:divBdr>
        </w:div>
      </w:divsChild>
    </w:div>
    <w:div w:id="1727218457">
      <w:bodyDiv w:val="1"/>
      <w:marLeft w:val="0"/>
      <w:marRight w:val="0"/>
      <w:marTop w:val="0"/>
      <w:marBottom w:val="0"/>
      <w:divBdr>
        <w:top w:val="none" w:sz="0" w:space="0" w:color="auto"/>
        <w:left w:val="none" w:sz="0" w:space="0" w:color="auto"/>
        <w:bottom w:val="none" w:sz="0" w:space="0" w:color="auto"/>
        <w:right w:val="none" w:sz="0" w:space="0" w:color="auto"/>
      </w:divBdr>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1801532462">
      <w:bodyDiv w:val="1"/>
      <w:marLeft w:val="0"/>
      <w:marRight w:val="0"/>
      <w:marTop w:val="0"/>
      <w:marBottom w:val="0"/>
      <w:divBdr>
        <w:top w:val="none" w:sz="0" w:space="0" w:color="auto"/>
        <w:left w:val="none" w:sz="0" w:space="0" w:color="auto"/>
        <w:bottom w:val="none" w:sz="0" w:space="0" w:color="auto"/>
        <w:right w:val="none" w:sz="0" w:space="0" w:color="auto"/>
      </w:divBdr>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 w:id="2088187148">
      <w:bodyDiv w:val="1"/>
      <w:marLeft w:val="0"/>
      <w:marRight w:val="0"/>
      <w:marTop w:val="0"/>
      <w:marBottom w:val="0"/>
      <w:divBdr>
        <w:top w:val="none" w:sz="0" w:space="0" w:color="auto"/>
        <w:left w:val="none" w:sz="0" w:space="0" w:color="auto"/>
        <w:bottom w:val="none" w:sz="0" w:space="0" w:color="auto"/>
        <w:right w:val="none" w:sz="0" w:space="0" w:color="auto"/>
      </w:divBdr>
      <w:divsChild>
        <w:div w:id="1613437238">
          <w:marLeft w:val="720"/>
          <w:marRight w:val="0"/>
          <w:marTop w:val="77"/>
          <w:marBottom w:val="0"/>
          <w:divBdr>
            <w:top w:val="none" w:sz="0" w:space="0" w:color="auto"/>
            <w:left w:val="none" w:sz="0" w:space="0" w:color="auto"/>
            <w:bottom w:val="none" w:sz="0" w:space="0" w:color="auto"/>
            <w:right w:val="none" w:sz="0" w:space="0" w:color="auto"/>
          </w:divBdr>
        </w:div>
        <w:div w:id="320356396">
          <w:marLeft w:val="1094"/>
          <w:marRight w:val="0"/>
          <w:marTop w:val="77"/>
          <w:marBottom w:val="0"/>
          <w:divBdr>
            <w:top w:val="none" w:sz="0" w:space="0" w:color="auto"/>
            <w:left w:val="none" w:sz="0" w:space="0" w:color="auto"/>
            <w:bottom w:val="none" w:sz="0" w:space="0" w:color="auto"/>
            <w:right w:val="none" w:sz="0" w:space="0" w:color="auto"/>
          </w:divBdr>
        </w:div>
        <w:div w:id="2021542606">
          <w:marLeft w:val="1094"/>
          <w:marRight w:val="0"/>
          <w:marTop w:val="77"/>
          <w:marBottom w:val="0"/>
          <w:divBdr>
            <w:top w:val="none" w:sz="0" w:space="0" w:color="auto"/>
            <w:left w:val="none" w:sz="0" w:space="0" w:color="auto"/>
            <w:bottom w:val="none" w:sz="0" w:space="0" w:color="auto"/>
            <w:right w:val="none" w:sz="0" w:space="0" w:color="auto"/>
          </w:divBdr>
        </w:div>
        <w:div w:id="1183938852">
          <w:marLeft w:val="1094"/>
          <w:marRight w:val="0"/>
          <w:marTop w:val="77"/>
          <w:marBottom w:val="0"/>
          <w:divBdr>
            <w:top w:val="none" w:sz="0" w:space="0" w:color="auto"/>
            <w:left w:val="none" w:sz="0" w:space="0" w:color="auto"/>
            <w:bottom w:val="none" w:sz="0" w:space="0" w:color="auto"/>
            <w:right w:val="none" w:sz="0" w:space="0" w:color="auto"/>
          </w:divBdr>
        </w:div>
        <w:div w:id="1998533483">
          <w:marLeft w:val="1094"/>
          <w:marRight w:val="0"/>
          <w:marTop w:val="77"/>
          <w:marBottom w:val="0"/>
          <w:divBdr>
            <w:top w:val="none" w:sz="0" w:space="0" w:color="auto"/>
            <w:left w:val="none" w:sz="0" w:space="0" w:color="auto"/>
            <w:bottom w:val="none" w:sz="0" w:space="0" w:color="auto"/>
            <w:right w:val="none" w:sz="0" w:space="0" w:color="auto"/>
          </w:divBdr>
        </w:div>
        <w:div w:id="664625265">
          <w:marLeft w:val="72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people.hss.caltech.edu/~camerer/Ec101/ProspectTheory.pdf" TargetMode="External"/><Relationship Id="rId13" Type="http://schemas.openxmlformats.org/officeDocument/2006/relationships/hyperlink" Target="http://www.cmu.edu/dietrich/sds/docs/loewenstein/BehEconPastPresentFuture.pdf" TargetMode="External"/><Relationship Id="rId18" Type="http://schemas.openxmlformats.org/officeDocument/2006/relationships/hyperlink" Target="https://www3.epa.gov/otaq/climate/documents/420f14040a.pdf" TargetMode="External"/><Relationship Id="rId3" Type="http://schemas.openxmlformats.org/officeDocument/2006/relationships/hyperlink" Target="http://www.mckinsey.com/client_service/electric_power_and_natural_gas/latest_thinking/unlocking_energy_efficiency_in_the_us_economy" TargetMode="External"/><Relationship Id="rId7" Type="http://schemas.openxmlformats.org/officeDocument/2006/relationships/hyperlink" Target="http://josiah.berkeley.edu/2008Spring/ER291/Readings/2.27-3.04/AKN_Reddy-Barriers-1991.pdf" TargetMode="External"/><Relationship Id="rId12" Type="http://schemas.openxmlformats.org/officeDocument/2006/relationships/hyperlink" Target="http://harbaugh.uoregon.edu/Readings/Time/Laibson%201997%20QJE,%20Golden%20eggs%20and%20hyperbolic%20discounting.pdf" TargetMode="External"/><Relationship Id="rId17" Type="http://schemas.openxmlformats.org/officeDocument/2006/relationships/hyperlink" Target="https://pse.com/savingsandenergycenter/tips-tools-ideas/Pages/Energy-Cost-Guide.aspx" TargetMode="External"/><Relationship Id="rId2" Type="http://schemas.openxmlformats.org/officeDocument/2006/relationships/hyperlink" Target="http://eetd.lbl.gov/sites/all/files/lbnl-38059.pdf" TargetMode="External"/><Relationship Id="rId16" Type="http://schemas.openxmlformats.org/officeDocument/2006/relationships/hyperlink" Target="https://pse.com/savingsandenergycenter/tips-tools-ideas/Pages/Energy-Cost-Guide.aspx" TargetMode="External"/><Relationship Id="rId1" Type="http://schemas.openxmlformats.org/officeDocument/2006/relationships/hyperlink" Target="http://www.rff.org/files/sharepoint/WorkImages/Download/RFF-DP-09-13.pdf" TargetMode="External"/><Relationship Id="rId6" Type="http://schemas.openxmlformats.org/officeDocument/2006/relationships/hyperlink" Target="http://cdn.intechopen.com/pdfs/11463/InTech-Categorizing_barriers_to_energy_efficiency_an_interdisciplinary_perspective.pdf" TargetMode="External"/><Relationship Id="rId11" Type="http://schemas.openxmlformats.org/officeDocument/2006/relationships/hyperlink" Target="http://aceee.org/files/proceedings/2012/data/papers/0193-000214.pdf" TargetMode="External"/><Relationship Id="rId5" Type="http://schemas.openxmlformats.org/officeDocument/2006/relationships/hyperlink" Target="http://www.nap.edu/catalog/9259.html" TargetMode="External"/><Relationship Id="rId15" Type="http://schemas.openxmlformats.org/officeDocument/2006/relationships/hyperlink" Target="http://www.edisonfoundation.net/iei/Documents/IEE_AltFinancingMech_McCaffree.pdf" TargetMode="External"/><Relationship Id="rId10" Type="http://schemas.openxmlformats.org/officeDocument/2006/relationships/hyperlink" Target="http://www.sciencedirect.com/science/article/pii/0301421594901392" TargetMode="External"/><Relationship Id="rId4" Type="http://schemas.openxmlformats.org/officeDocument/2006/relationships/hyperlink" Target="https://www.unido.org/fileadmin/user_media/Services/Research_and_Statistics/WP102011_Ebook.pdf" TargetMode="External"/><Relationship Id="rId9" Type="http://schemas.openxmlformats.org/officeDocument/2006/relationships/hyperlink" Target="http://www-wds.worldbank.org/external/default/WDSContentServer/WDSP/IB/2012/10/17/000158349_20121017141002/Rendered/PDF/wps6240.pdf" TargetMode="External"/><Relationship Id="rId14" Type="http://schemas.openxmlformats.org/officeDocument/2006/relationships/hyperlink" Target="http://aceee.org/portal/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2016-02-25T08:00:00+00:00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160AB-1D24-45D9-91AC-4F6CB79093F1}"/>
</file>

<file path=customXml/itemProps2.xml><?xml version="1.0" encoding="utf-8"?>
<ds:datastoreItem xmlns:ds="http://schemas.openxmlformats.org/officeDocument/2006/customXml" ds:itemID="{B03C251F-815B-4566-9623-70724F675AE3}"/>
</file>

<file path=customXml/itemProps3.xml><?xml version="1.0" encoding="utf-8"?>
<ds:datastoreItem xmlns:ds="http://schemas.openxmlformats.org/officeDocument/2006/customXml" ds:itemID="{26B30999-7D41-431B-BF43-AAC76C77975C}"/>
</file>

<file path=customXml/itemProps4.xml><?xml version="1.0" encoding="utf-8"?>
<ds:datastoreItem xmlns:ds="http://schemas.openxmlformats.org/officeDocument/2006/customXml" ds:itemID="{3E0D11BF-2D7F-4166-9ED1-C5CA6BF06701}"/>
</file>

<file path=customXml/itemProps5.xml><?xml version="1.0" encoding="utf-8"?>
<ds:datastoreItem xmlns:ds="http://schemas.openxmlformats.org/officeDocument/2006/customXml" ds:itemID="{57757C7E-5864-46F0-B02E-0839CB45C85F}"/>
</file>

<file path=customXml/itemProps6.xml><?xml version="1.0" encoding="utf-8"?>
<ds:datastoreItem xmlns:ds="http://schemas.openxmlformats.org/officeDocument/2006/customXml" ds:itemID="{9370F92C-9673-4539-905E-A4ECB7F4E9BB}"/>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29200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34254</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2016-02-26T00:19:00Z</dcterms:created>
  <dcterms:modified xsi:type="dcterms:W3CDTF">2016-02-26T00:19:00Z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UFAAkxpNJwTxbICJk8yvGJzJXxzGYgtIiQFzNXqihRGmgV+0wFNEjMu5Sc4W4lnLwqG/usvAuTFa8lHZ
zgY/YNiI7Hb/8cw6+p87oaU5WOgI+QKHAK1GdWczQGD4USybz0wJ+PUb4gQvAUKsemwjqNP/GaW4
XWZj0hE5eX5yobobc2NcKKpMOTYj90ns8SqgdrbHi1bSKR2VJECD5ruz5oPaY0zXNGPwkLsUt2Yv
h4ZtuJNW8LkgAVglR</vt:lpwstr>
  </property>
  <property fmtid="{D5CDD505-2E9C-101B-9397-08002B2CF9AE}" pid="3" name="MAIL_MSG_ID2">
    <vt:lpwstr>SLWjS7cR0gwAnEO0IpWtAhxj6yzuDHaiPFs38y2G9Uo9r/OVBrObQ6gqVzJ
DB5BkG5+RnZpyAa3cL93VlfTAMo=</vt:lpwstr>
  </property>
  <property fmtid="{D5CDD505-2E9C-101B-9397-08002B2CF9AE}" pid="4" name="RESPONSE_SENDER_NAME">
    <vt:lpwstr>ABAAmylTnWthiz/FN1W2xHeO1cHo151QnBiBy9+r1T3hsX8F6HgB93wVN3W8ZF380y7P</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