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C8" w:rsidRPr="001666C8" w:rsidRDefault="001666C8" w:rsidP="001666C8">
      <w:pPr>
        <w:spacing w:line="240" w:lineRule="auto"/>
        <w:ind w:left="4320" w:firstLine="0"/>
        <w:rPr>
          <w:b/>
        </w:rPr>
      </w:pPr>
      <w:r w:rsidRPr="001666C8">
        <w:rPr>
          <w:b/>
        </w:rPr>
        <w:t xml:space="preserve">EXH. </w:t>
      </w:r>
      <w:r>
        <w:rPr>
          <w:rStyle w:val="Strong"/>
        </w:rPr>
        <w:t>JAP-54T</w:t>
      </w:r>
      <w:r w:rsidRPr="001666C8">
        <w:rPr>
          <w:b/>
        </w:rPr>
        <w:br/>
        <w:t>DOCKETS UE-170033/UG-170034</w:t>
      </w:r>
      <w:r w:rsidRPr="001666C8">
        <w:rPr>
          <w:b/>
        </w:rPr>
        <w:br/>
        <w:t>2017 PSE GENERAL RATE CASE</w:t>
      </w:r>
      <w:r w:rsidRPr="001666C8">
        <w:rPr>
          <w:b/>
        </w:rPr>
        <w:br/>
        <w:t>WITNESS: </w:t>
      </w:r>
      <w:r>
        <w:rPr>
          <w:b/>
        </w:rPr>
        <w:t>JON A. PILIARIS</w:t>
      </w:r>
    </w:p>
    <w:p w:rsidR="001666C8" w:rsidRPr="001666C8" w:rsidRDefault="001666C8" w:rsidP="001666C8">
      <w:pPr>
        <w:spacing w:before="1200" w:line="240" w:lineRule="auto"/>
        <w:ind w:firstLine="0"/>
        <w:jc w:val="center"/>
        <w:rPr>
          <w:b/>
        </w:rPr>
      </w:pPr>
      <w:r w:rsidRPr="001666C8">
        <w:rPr>
          <w:b/>
        </w:rPr>
        <w:t>BEFORE THE</w:t>
      </w:r>
    </w:p>
    <w:p w:rsidR="001666C8" w:rsidRPr="001666C8" w:rsidRDefault="001666C8" w:rsidP="001666C8">
      <w:pPr>
        <w:spacing w:after="720" w:line="240" w:lineRule="auto"/>
        <w:ind w:firstLine="0"/>
        <w:jc w:val="center"/>
        <w:rPr>
          <w:b/>
        </w:rPr>
      </w:pPr>
      <w:r w:rsidRPr="001666C8">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1666C8" w:rsidRPr="001666C8" w:rsidTr="00266B55">
        <w:trPr>
          <w:cantSplit/>
        </w:trPr>
        <w:tc>
          <w:tcPr>
            <w:tcW w:w="4418" w:type="dxa"/>
            <w:tcBorders>
              <w:bottom w:val="single" w:sz="4" w:space="0" w:color="auto"/>
              <w:right w:val="single" w:sz="4" w:space="0" w:color="auto"/>
            </w:tcBorders>
          </w:tcPr>
          <w:p w:rsidR="001666C8" w:rsidRPr="001666C8" w:rsidRDefault="001666C8" w:rsidP="001666C8">
            <w:pPr>
              <w:spacing w:line="240" w:lineRule="auto"/>
              <w:ind w:firstLine="0"/>
              <w:rPr>
                <w:b/>
              </w:rPr>
            </w:pPr>
            <w:r w:rsidRPr="001666C8">
              <w:rPr>
                <w:b/>
              </w:rPr>
              <w:t>WASHINGTON UTILITIES AND</w:t>
            </w:r>
          </w:p>
          <w:p w:rsidR="001666C8" w:rsidRPr="001666C8" w:rsidRDefault="001666C8" w:rsidP="001666C8">
            <w:pPr>
              <w:spacing w:after="240" w:line="240" w:lineRule="auto"/>
              <w:ind w:firstLine="0"/>
              <w:rPr>
                <w:b/>
              </w:rPr>
            </w:pPr>
            <w:r w:rsidRPr="001666C8">
              <w:rPr>
                <w:b/>
              </w:rPr>
              <w:t>TRANSPORTATION COMMISSION,</w:t>
            </w:r>
          </w:p>
          <w:p w:rsidR="001666C8" w:rsidRPr="001666C8" w:rsidRDefault="001666C8" w:rsidP="001666C8">
            <w:pPr>
              <w:spacing w:after="240" w:line="240" w:lineRule="auto"/>
              <w:ind w:left="2438" w:firstLine="0"/>
              <w:rPr>
                <w:b/>
              </w:rPr>
            </w:pPr>
            <w:r w:rsidRPr="001666C8">
              <w:rPr>
                <w:b/>
              </w:rPr>
              <w:t>Complainant,</w:t>
            </w:r>
          </w:p>
          <w:p w:rsidR="001666C8" w:rsidRPr="001666C8" w:rsidRDefault="001666C8" w:rsidP="001666C8">
            <w:pPr>
              <w:spacing w:after="240" w:line="240" w:lineRule="auto"/>
              <w:ind w:left="728" w:firstLine="0"/>
              <w:rPr>
                <w:b/>
              </w:rPr>
            </w:pPr>
            <w:r w:rsidRPr="001666C8">
              <w:rPr>
                <w:b/>
              </w:rPr>
              <w:t>v.</w:t>
            </w:r>
          </w:p>
          <w:p w:rsidR="001666C8" w:rsidRPr="001666C8" w:rsidRDefault="001666C8" w:rsidP="001666C8">
            <w:pPr>
              <w:spacing w:after="240" w:line="240" w:lineRule="auto"/>
              <w:ind w:left="8" w:firstLine="0"/>
              <w:rPr>
                <w:b/>
              </w:rPr>
            </w:pPr>
            <w:r w:rsidRPr="001666C8">
              <w:rPr>
                <w:b/>
              </w:rPr>
              <w:t>PUGET SOUND ENERGY,</w:t>
            </w:r>
          </w:p>
          <w:p w:rsidR="001666C8" w:rsidRPr="001666C8" w:rsidRDefault="001666C8" w:rsidP="001666C8">
            <w:pPr>
              <w:spacing w:after="240" w:line="240" w:lineRule="auto"/>
              <w:ind w:left="2438" w:firstLine="0"/>
              <w:rPr>
                <w:b/>
              </w:rPr>
            </w:pPr>
            <w:r w:rsidRPr="001666C8">
              <w:rPr>
                <w:b/>
              </w:rPr>
              <w:t>Respondent.</w:t>
            </w:r>
          </w:p>
        </w:tc>
        <w:tc>
          <w:tcPr>
            <w:tcW w:w="360" w:type="dxa"/>
            <w:tcBorders>
              <w:left w:val="single" w:sz="4" w:space="0" w:color="auto"/>
            </w:tcBorders>
          </w:tcPr>
          <w:p w:rsidR="001666C8" w:rsidRPr="001666C8" w:rsidRDefault="001666C8" w:rsidP="001666C8">
            <w:pPr>
              <w:spacing w:line="240" w:lineRule="auto"/>
              <w:rPr>
                <w:b/>
              </w:rPr>
            </w:pPr>
          </w:p>
        </w:tc>
        <w:tc>
          <w:tcPr>
            <w:tcW w:w="4423" w:type="dxa"/>
            <w:vAlign w:val="center"/>
          </w:tcPr>
          <w:p w:rsidR="001666C8" w:rsidRPr="001666C8" w:rsidRDefault="001666C8" w:rsidP="001666C8">
            <w:pPr>
              <w:spacing w:line="240" w:lineRule="auto"/>
              <w:ind w:left="198" w:firstLine="0"/>
              <w:rPr>
                <w:b/>
              </w:rPr>
            </w:pPr>
            <w:r w:rsidRPr="001666C8">
              <w:rPr>
                <w:b/>
              </w:rPr>
              <w:t>Docket UE-170033</w:t>
            </w:r>
          </w:p>
          <w:p w:rsidR="001666C8" w:rsidRPr="001666C8" w:rsidRDefault="001666C8" w:rsidP="001666C8">
            <w:pPr>
              <w:spacing w:line="240" w:lineRule="auto"/>
              <w:ind w:left="198" w:firstLine="0"/>
              <w:rPr>
                <w:b/>
              </w:rPr>
            </w:pPr>
            <w:r w:rsidRPr="001666C8">
              <w:rPr>
                <w:b/>
              </w:rPr>
              <w:t>Docket UG-170034</w:t>
            </w:r>
          </w:p>
        </w:tc>
      </w:tr>
    </w:tbl>
    <w:p w:rsidR="001666C8" w:rsidRPr="001666C8" w:rsidRDefault="001666C8" w:rsidP="001666C8">
      <w:pPr>
        <w:spacing w:before="720" w:line="240" w:lineRule="auto"/>
        <w:ind w:firstLine="0"/>
        <w:jc w:val="center"/>
        <w:rPr>
          <w:b/>
        </w:rPr>
      </w:pPr>
      <w:r w:rsidRPr="001666C8">
        <w:rPr>
          <w:b/>
        </w:rPr>
        <w:t xml:space="preserve">PREFILED </w:t>
      </w:r>
      <w:r>
        <w:rPr>
          <w:b/>
        </w:rPr>
        <w:t xml:space="preserve">SUPPLEMENTAL </w:t>
      </w:r>
      <w:r w:rsidRPr="001666C8">
        <w:rPr>
          <w:b/>
        </w:rPr>
        <w:t>REBUTTAL TESTIMONY</w:t>
      </w:r>
      <w:r w:rsidRPr="001666C8">
        <w:rPr>
          <w:b/>
        </w:rPr>
        <w:br/>
        <w:t>(NONCONFIDENTIAL) OF</w:t>
      </w:r>
    </w:p>
    <w:p w:rsidR="001666C8" w:rsidRPr="001666C8" w:rsidRDefault="001666C8" w:rsidP="001666C8">
      <w:pPr>
        <w:spacing w:before="240" w:after="240" w:line="240" w:lineRule="auto"/>
        <w:ind w:firstLine="0"/>
        <w:jc w:val="center"/>
        <w:rPr>
          <w:b/>
        </w:rPr>
      </w:pPr>
      <w:r>
        <w:rPr>
          <w:b/>
        </w:rPr>
        <w:t>JON A. PILIARIS</w:t>
      </w:r>
    </w:p>
    <w:p w:rsidR="001666C8" w:rsidRPr="001666C8" w:rsidRDefault="001666C8" w:rsidP="001666C8">
      <w:pPr>
        <w:spacing w:after="3840" w:line="240" w:lineRule="auto"/>
        <w:ind w:firstLine="0"/>
        <w:jc w:val="center"/>
        <w:rPr>
          <w:b/>
        </w:rPr>
      </w:pPr>
      <w:r w:rsidRPr="001666C8">
        <w:rPr>
          <w:b/>
        </w:rPr>
        <w:t>ON BEHALF OF PUGET SOUND ENERGY</w:t>
      </w:r>
    </w:p>
    <w:p w:rsidR="001666C8" w:rsidRPr="001666C8" w:rsidRDefault="001666C8" w:rsidP="001666C8">
      <w:pPr>
        <w:spacing w:line="240" w:lineRule="auto"/>
        <w:ind w:firstLine="0"/>
        <w:jc w:val="center"/>
        <w:rPr>
          <w:b/>
          <w:bCs/>
          <w:szCs w:val="24"/>
        </w:rPr>
      </w:pPr>
      <w:r w:rsidRPr="001666C8">
        <w:rPr>
          <w:b/>
        </w:rPr>
        <w:t xml:space="preserve">AUGUST </w:t>
      </w:r>
      <w:r>
        <w:rPr>
          <w:b/>
        </w:rPr>
        <w:t>15</w:t>
      </w:r>
      <w:r w:rsidRPr="001666C8">
        <w:rPr>
          <w:b/>
        </w:rPr>
        <w:t>, 2017</w:t>
      </w:r>
    </w:p>
    <w:p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rsidR="001666C8" w:rsidRPr="00255659" w:rsidRDefault="001666C8" w:rsidP="001666C8">
      <w:pPr>
        <w:spacing w:after="480" w:line="240" w:lineRule="auto"/>
        <w:ind w:left="720" w:right="720" w:firstLine="0"/>
        <w:jc w:val="center"/>
        <w:rPr>
          <w:b/>
          <w:bCs/>
          <w:szCs w:val="24"/>
        </w:rPr>
      </w:pPr>
      <w:r w:rsidRPr="00255659">
        <w:rPr>
          <w:b/>
          <w:bCs/>
          <w:szCs w:val="24"/>
        </w:rPr>
        <w:lastRenderedPageBreak/>
        <w:t>PUGET SOUND ENERGY</w:t>
      </w:r>
    </w:p>
    <w:p w:rsidR="001666C8" w:rsidRPr="00255659" w:rsidRDefault="001666C8" w:rsidP="001666C8">
      <w:pPr>
        <w:spacing w:after="240" w:line="240" w:lineRule="auto"/>
        <w:ind w:left="720" w:right="720" w:firstLine="0"/>
        <w:jc w:val="center"/>
        <w:rPr>
          <w:b/>
          <w:bCs/>
          <w:szCs w:val="24"/>
        </w:rPr>
      </w:pPr>
      <w:r w:rsidRPr="00255659">
        <w:rPr>
          <w:b/>
        </w:rPr>
        <w:t xml:space="preserve">PREFILED </w:t>
      </w:r>
      <w:r>
        <w:rPr>
          <w:b/>
        </w:rPr>
        <w:t xml:space="preserve">SUPPLEMENTAL </w:t>
      </w:r>
      <w:r w:rsidRPr="00255659">
        <w:rPr>
          <w:b/>
        </w:rPr>
        <w:t>REBUTTAL TESTIMONY</w:t>
      </w:r>
      <w:r>
        <w:rPr>
          <w:b/>
        </w:rPr>
        <w:br/>
      </w:r>
      <w:r w:rsidRPr="00255659">
        <w:rPr>
          <w:b/>
        </w:rPr>
        <w:t>(NONCONFIDENTIAL) OF</w:t>
      </w:r>
      <w:r w:rsidRPr="00255659">
        <w:rPr>
          <w:b/>
        </w:rPr>
        <w:br/>
      </w:r>
      <w:r>
        <w:rPr>
          <w:b/>
        </w:rPr>
        <w:t>JON A. PILIARIS</w:t>
      </w:r>
    </w:p>
    <w:p w:rsidR="001666C8" w:rsidRPr="00C8234D" w:rsidRDefault="001666C8" w:rsidP="001666C8">
      <w:pPr>
        <w:spacing w:after="480" w:line="240" w:lineRule="auto"/>
        <w:ind w:left="720" w:right="720" w:firstLine="0"/>
        <w:jc w:val="center"/>
        <w:rPr>
          <w:b/>
          <w:bCs/>
          <w:szCs w:val="24"/>
        </w:rPr>
      </w:pPr>
      <w:r w:rsidRPr="00C8234D">
        <w:rPr>
          <w:b/>
          <w:bCs/>
        </w:rPr>
        <w:t>CONTENTS</w:t>
      </w:r>
    </w:p>
    <w:p w:rsidR="000D20AD" w:rsidRPr="000D20AD" w:rsidRDefault="00F8418D">
      <w:pPr>
        <w:pStyle w:val="TOC1"/>
        <w:rPr>
          <w:rFonts w:asciiTheme="minorHAnsi" w:eastAsiaTheme="minorEastAsia" w:hAnsiTheme="minorHAnsi" w:cstheme="minorBidi"/>
          <w:color w:val="auto"/>
          <w:sz w:val="22"/>
          <w:szCs w:val="22"/>
          <w:lang w:eastAsia="en-US"/>
        </w:rPr>
      </w:pPr>
      <w:r w:rsidRPr="000D20AD">
        <w:rPr>
          <w:bCs/>
          <w:color w:val="auto"/>
        </w:rPr>
        <w:fldChar w:fldCharType="begin"/>
      </w:r>
      <w:r w:rsidRPr="000D20AD">
        <w:rPr>
          <w:bCs/>
          <w:color w:val="auto"/>
        </w:rPr>
        <w:instrText xml:space="preserve"> TOC \o "1-5" \h \z \u </w:instrText>
      </w:r>
      <w:r w:rsidRPr="000D20AD">
        <w:rPr>
          <w:bCs/>
          <w:color w:val="auto"/>
        </w:rPr>
        <w:fldChar w:fldCharType="separate"/>
      </w:r>
      <w:hyperlink w:anchor="_Toc490566952" w:history="1">
        <w:r w:rsidR="000D20AD" w:rsidRPr="000D20AD">
          <w:rPr>
            <w:rStyle w:val="Hyperlink"/>
            <w:color w:val="auto"/>
          </w:rPr>
          <w:t>I.</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INTRODUCTION</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_Toc490566952 \h </w:instrText>
        </w:r>
        <w:r w:rsidR="000D20AD" w:rsidRPr="000D20AD">
          <w:rPr>
            <w:webHidden/>
            <w:color w:val="auto"/>
          </w:rPr>
        </w:r>
        <w:r w:rsidR="000D20AD" w:rsidRPr="000D20AD">
          <w:rPr>
            <w:webHidden/>
            <w:color w:val="auto"/>
          </w:rPr>
          <w:fldChar w:fldCharType="separate"/>
        </w:r>
        <w:r w:rsidR="000D20AD" w:rsidRPr="000D20AD">
          <w:rPr>
            <w:webHidden/>
            <w:color w:val="auto"/>
          </w:rPr>
          <w:t>1</w:t>
        </w:r>
        <w:r w:rsidR="000D20AD" w:rsidRPr="000D20AD">
          <w:rPr>
            <w:webHidden/>
            <w:color w:val="auto"/>
          </w:rPr>
          <w:fldChar w:fldCharType="end"/>
        </w:r>
      </w:hyperlink>
    </w:p>
    <w:p w:rsidR="000D20AD" w:rsidRPr="000D20AD" w:rsidRDefault="008222FA">
      <w:pPr>
        <w:pStyle w:val="TOC1"/>
        <w:rPr>
          <w:rFonts w:asciiTheme="minorHAnsi" w:eastAsiaTheme="minorEastAsia" w:hAnsiTheme="minorHAnsi" w:cstheme="minorBidi"/>
          <w:color w:val="auto"/>
          <w:sz w:val="22"/>
          <w:szCs w:val="22"/>
          <w:lang w:eastAsia="en-US"/>
        </w:rPr>
      </w:pPr>
      <w:hyperlink w:anchor="_Toc490566953" w:history="1">
        <w:r w:rsidR="000D20AD" w:rsidRPr="000D20AD">
          <w:rPr>
            <w:rStyle w:val="Hyperlink"/>
            <w:color w:val="auto"/>
          </w:rPr>
          <w:t>II.</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STAFF MISINTERPRETS THE COMMISSION’S SPECIAL CONTRACT RULES</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_Toc490566953 \h </w:instrText>
        </w:r>
        <w:r w:rsidR="000D20AD" w:rsidRPr="000D20AD">
          <w:rPr>
            <w:webHidden/>
            <w:color w:val="auto"/>
          </w:rPr>
        </w:r>
        <w:r w:rsidR="000D20AD" w:rsidRPr="000D20AD">
          <w:rPr>
            <w:webHidden/>
            <w:color w:val="auto"/>
          </w:rPr>
          <w:fldChar w:fldCharType="separate"/>
        </w:r>
        <w:r w:rsidR="000D20AD" w:rsidRPr="000D20AD">
          <w:rPr>
            <w:webHidden/>
            <w:color w:val="auto"/>
          </w:rPr>
          <w:t>3</w:t>
        </w:r>
        <w:r w:rsidR="000D20AD" w:rsidRPr="000D20AD">
          <w:rPr>
            <w:webHidden/>
            <w:color w:val="auto"/>
          </w:rPr>
          <w:fldChar w:fldCharType="end"/>
        </w:r>
      </w:hyperlink>
    </w:p>
    <w:p w:rsidR="000D20AD" w:rsidRPr="000D20AD" w:rsidRDefault="008222FA">
      <w:pPr>
        <w:pStyle w:val="TOC1"/>
        <w:rPr>
          <w:rFonts w:asciiTheme="minorHAnsi" w:eastAsiaTheme="minorEastAsia" w:hAnsiTheme="minorHAnsi" w:cstheme="minorBidi"/>
          <w:color w:val="auto"/>
          <w:sz w:val="22"/>
          <w:szCs w:val="22"/>
          <w:lang w:eastAsia="en-US"/>
        </w:rPr>
      </w:pPr>
      <w:hyperlink w:anchor="_Toc490566954" w:history="1">
        <w:r w:rsidR="000D20AD" w:rsidRPr="000D20AD">
          <w:rPr>
            <w:rStyle w:val="Hyperlink"/>
            <w:color w:val="auto"/>
          </w:rPr>
          <w:t>III.</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PSE SPECIAL CONTRACT IS CONTRIBUTING TO A SUBSTANTIAL PORTION OF FIXED COSTS</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_Toc490566954 \h </w:instrText>
        </w:r>
        <w:r w:rsidR="000D20AD" w:rsidRPr="000D20AD">
          <w:rPr>
            <w:webHidden/>
            <w:color w:val="auto"/>
          </w:rPr>
        </w:r>
        <w:r w:rsidR="000D20AD" w:rsidRPr="000D20AD">
          <w:rPr>
            <w:webHidden/>
            <w:color w:val="auto"/>
          </w:rPr>
          <w:fldChar w:fldCharType="separate"/>
        </w:r>
        <w:r w:rsidR="000D20AD" w:rsidRPr="000D20AD">
          <w:rPr>
            <w:webHidden/>
            <w:color w:val="auto"/>
          </w:rPr>
          <w:t>4</w:t>
        </w:r>
        <w:r w:rsidR="000D20AD" w:rsidRPr="000D20AD">
          <w:rPr>
            <w:webHidden/>
            <w:color w:val="auto"/>
          </w:rPr>
          <w:fldChar w:fldCharType="end"/>
        </w:r>
      </w:hyperlink>
    </w:p>
    <w:p w:rsidR="000D20AD" w:rsidRPr="000D20AD" w:rsidRDefault="008222FA">
      <w:pPr>
        <w:pStyle w:val="TOC1"/>
        <w:rPr>
          <w:rFonts w:asciiTheme="minorHAnsi" w:eastAsiaTheme="minorEastAsia" w:hAnsiTheme="minorHAnsi" w:cstheme="minorBidi"/>
          <w:color w:val="auto"/>
          <w:sz w:val="22"/>
          <w:szCs w:val="22"/>
          <w:lang w:eastAsia="en-US"/>
        </w:rPr>
      </w:pPr>
      <w:hyperlink w:anchor="_Toc490566955" w:history="1">
        <w:r w:rsidR="000D20AD" w:rsidRPr="000D20AD">
          <w:rPr>
            <w:rStyle w:val="Hyperlink"/>
            <w:color w:val="auto"/>
          </w:rPr>
          <w:t>IV.</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STAFF RELIES TOO HEAVILY ON ONE ESTIMATE OF COST TO PROVIDE SPECIAL CONTRACT SERVICE</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_Toc490566955 \h </w:instrText>
        </w:r>
        <w:r w:rsidR="000D20AD" w:rsidRPr="000D20AD">
          <w:rPr>
            <w:webHidden/>
            <w:color w:val="auto"/>
          </w:rPr>
        </w:r>
        <w:r w:rsidR="000D20AD" w:rsidRPr="000D20AD">
          <w:rPr>
            <w:webHidden/>
            <w:color w:val="auto"/>
          </w:rPr>
          <w:fldChar w:fldCharType="separate"/>
        </w:r>
        <w:r w:rsidR="000D20AD" w:rsidRPr="000D20AD">
          <w:rPr>
            <w:webHidden/>
            <w:color w:val="auto"/>
          </w:rPr>
          <w:t>7</w:t>
        </w:r>
        <w:r w:rsidR="000D20AD" w:rsidRPr="000D20AD">
          <w:rPr>
            <w:webHidden/>
            <w:color w:val="auto"/>
          </w:rPr>
          <w:fldChar w:fldCharType="end"/>
        </w:r>
      </w:hyperlink>
    </w:p>
    <w:p w:rsidR="000D20AD" w:rsidRPr="000D20AD" w:rsidRDefault="008222FA">
      <w:pPr>
        <w:pStyle w:val="TOC1"/>
        <w:rPr>
          <w:rFonts w:asciiTheme="minorHAnsi" w:eastAsiaTheme="minorEastAsia" w:hAnsiTheme="minorHAnsi" w:cstheme="minorBidi"/>
          <w:color w:val="auto"/>
          <w:sz w:val="22"/>
          <w:szCs w:val="22"/>
          <w:lang w:eastAsia="en-US"/>
        </w:rPr>
      </w:pPr>
      <w:hyperlink w:anchor="_Toc490566956" w:history="1">
        <w:r w:rsidR="000D20AD" w:rsidRPr="000D20AD">
          <w:rPr>
            <w:rStyle w:val="Hyperlink"/>
            <w:color w:val="auto"/>
          </w:rPr>
          <w:t>V.</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STAFF HAS HAD MULTIPLE OPPORTUNITIES TO RAISE THIS ISSUE IN THE PAST, INCLUDING IN MORE APPROPRIATE FORUMS</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_Toc490566956 \h </w:instrText>
        </w:r>
        <w:r w:rsidR="000D20AD" w:rsidRPr="000D20AD">
          <w:rPr>
            <w:webHidden/>
            <w:color w:val="auto"/>
          </w:rPr>
        </w:r>
        <w:r w:rsidR="000D20AD" w:rsidRPr="000D20AD">
          <w:rPr>
            <w:webHidden/>
            <w:color w:val="auto"/>
          </w:rPr>
          <w:fldChar w:fldCharType="separate"/>
        </w:r>
        <w:r w:rsidR="000D20AD" w:rsidRPr="000D20AD">
          <w:rPr>
            <w:webHidden/>
            <w:color w:val="auto"/>
          </w:rPr>
          <w:t>8</w:t>
        </w:r>
        <w:r w:rsidR="000D20AD" w:rsidRPr="000D20AD">
          <w:rPr>
            <w:webHidden/>
            <w:color w:val="auto"/>
          </w:rPr>
          <w:fldChar w:fldCharType="end"/>
        </w:r>
      </w:hyperlink>
    </w:p>
    <w:p w:rsidR="000D20AD" w:rsidRPr="000D20AD" w:rsidRDefault="008222FA">
      <w:pPr>
        <w:pStyle w:val="TOC1"/>
        <w:rPr>
          <w:rFonts w:asciiTheme="minorHAnsi" w:eastAsiaTheme="minorEastAsia" w:hAnsiTheme="minorHAnsi" w:cstheme="minorBidi"/>
          <w:color w:val="auto"/>
          <w:sz w:val="22"/>
          <w:szCs w:val="22"/>
          <w:lang w:eastAsia="en-US"/>
        </w:rPr>
      </w:pPr>
      <w:hyperlink w:anchor="_Toc490566957" w:history="1">
        <w:r w:rsidR="000D20AD" w:rsidRPr="000D20AD">
          <w:rPr>
            <w:rStyle w:val="Hyperlink"/>
            <w:color w:val="auto"/>
          </w:rPr>
          <w:t>VI.</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STAFF PROPOSAL IS CONTRARY TO COMMISSION RULE AND THE PUBLIC INTEREST</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_Toc490566957 \h </w:instrText>
        </w:r>
        <w:r w:rsidR="000D20AD" w:rsidRPr="000D20AD">
          <w:rPr>
            <w:webHidden/>
            <w:color w:val="auto"/>
          </w:rPr>
        </w:r>
        <w:r w:rsidR="000D20AD" w:rsidRPr="000D20AD">
          <w:rPr>
            <w:webHidden/>
            <w:color w:val="auto"/>
          </w:rPr>
          <w:fldChar w:fldCharType="separate"/>
        </w:r>
        <w:r w:rsidR="000D20AD" w:rsidRPr="000D20AD">
          <w:rPr>
            <w:webHidden/>
            <w:color w:val="auto"/>
          </w:rPr>
          <w:t>10</w:t>
        </w:r>
        <w:r w:rsidR="000D20AD" w:rsidRPr="000D20AD">
          <w:rPr>
            <w:webHidden/>
            <w:color w:val="auto"/>
          </w:rPr>
          <w:fldChar w:fldCharType="end"/>
        </w:r>
      </w:hyperlink>
    </w:p>
    <w:p w:rsidR="000D20AD" w:rsidRPr="000D20AD" w:rsidRDefault="008222FA">
      <w:pPr>
        <w:pStyle w:val="TOC1"/>
        <w:rPr>
          <w:rFonts w:asciiTheme="minorHAnsi" w:eastAsiaTheme="minorEastAsia" w:hAnsiTheme="minorHAnsi" w:cstheme="minorBidi"/>
          <w:color w:val="auto"/>
          <w:sz w:val="22"/>
          <w:szCs w:val="22"/>
          <w:lang w:eastAsia="en-US"/>
        </w:rPr>
      </w:pPr>
      <w:hyperlink w:anchor="_Toc490566958" w:history="1">
        <w:r w:rsidR="000D20AD" w:rsidRPr="000D20AD">
          <w:rPr>
            <w:rStyle w:val="Hyperlink"/>
            <w:color w:val="auto"/>
          </w:rPr>
          <w:t>VII.</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STAFF PROPOSAL TO DISALLOW RECOVERY OF COSTS ALLOCATED TO AN APPROVED SPECIAL CONTRACT IS WITHOUT PRECEDENT</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_Toc490566958 \h </w:instrText>
        </w:r>
        <w:r w:rsidR="000D20AD" w:rsidRPr="000D20AD">
          <w:rPr>
            <w:webHidden/>
            <w:color w:val="auto"/>
          </w:rPr>
        </w:r>
        <w:r w:rsidR="000D20AD" w:rsidRPr="000D20AD">
          <w:rPr>
            <w:webHidden/>
            <w:color w:val="auto"/>
          </w:rPr>
          <w:fldChar w:fldCharType="separate"/>
        </w:r>
        <w:r w:rsidR="000D20AD" w:rsidRPr="000D20AD">
          <w:rPr>
            <w:webHidden/>
            <w:color w:val="auto"/>
          </w:rPr>
          <w:t>13</w:t>
        </w:r>
        <w:r w:rsidR="000D20AD" w:rsidRPr="000D20AD">
          <w:rPr>
            <w:webHidden/>
            <w:color w:val="auto"/>
          </w:rPr>
          <w:fldChar w:fldCharType="end"/>
        </w:r>
      </w:hyperlink>
    </w:p>
    <w:p w:rsidR="000D20AD" w:rsidRPr="000D20AD" w:rsidRDefault="008222FA">
      <w:pPr>
        <w:pStyle w:val="TOC1"/>
        <w:rPr>
          <w:rFonts w:asciiTheme="minorHAnsi" w:eastAsiaTheme="minorEastAsia" w:hAnsiTheme="minorHAnsi" w:cstheme="minorBidi"/>
          <w:color w:val="auto"/>
          <w:sz w:val="22"/>
          <w:szCs w:val="22"/>
          <w:lang w:eastAsia="en-US"/>
        </w:rPr>
      </w:pPr>
      <w:hyperlink w:anchor="_Toc490566959" w:history="1">
        <w:r w:rsidR="000D20AD" w:rsidRPr="000D20AD">
          <w:rPr>
            <w:rStyle w:val="Hyperlink"/>
            <w:color w:val="auto"/>
          </w:rPr>
          <w:t>VIII.</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STAFF’S ALTERNATIVE PROPOSAL IS ARBITRARY AND DIFFICULT TO ENFORCE</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_Toc490566959 \h </w:instrText>
        </w:r>
        <w:r w:rsidR="000D20AD" w:rsidRPr="000D20AD">
          <w:rPr>
            <w:webHidden/>
            <w:color w:val="auto"/>
          </w:rPr>
        </w:r>
        <w:r w:rsidR="000D20AD" w:rsidRPr="000D20AD">
          <w:rPr>
            <w:webHidden/>
            <w:color w:val="auto"/>
          </w:rPr>
          <w:fldChar w:fldCharType="separate"/>
        </w:r>
        <w:r w:rsidR="000D20AD" w:rsidRPr="000D20AD">
          <w:rPr>
            <w:webHidden/>
            <w:color w:val="auto"/>
          </w:rPr>
          <w:t>13</w:t>
        </w:r>
        <w:r w:rsidR="000D20AD" w:rsidRPr="000D20AD">
          <w:rPr>
            <w:webHidden/>
            <w:color w:val="auto"/>
          </w:rPr>
          <w:fldChar w:fldCharType="end"/>
        </w:r>
      </w:hyperlink>
    </w:p>
    <w:p w:rsidR="000D20AD" w:rsidRPr="000D20AD" w:rsidRDefault="008222FA">
      <w:pPr>
        <w:pStyle w:val="TOC1"/>
        <w:rPr>
          <w:rFonts w:asciiTheme="minorHAnsi" w:eastAsiaTheme="minorEastAsia" w:hAnsiTheme="minorHAnsi" w:cstheme="minorBidi"/>
          <w:color w:val="auto"/>
          <w:sz w:val="22"/>
          <w:szCs w:val="22"/>
          <w:lang w:eastAsia="en-US"/>
        </w:rPr>
      </w:pPr>
      <w:hyperlink w:anchor="_Toc490566960" w:history="1">
        <w:r w:rsidR="000D20AD" w:rsidRPr="000D20AD">
          <w:rPr>
            <w:rStyle w:val="Hyperlink"/>
            <w:color w:val="auto"/>
          </w:rPr>
          <w:t>IX.</w:t>
        </w:r>
        <w:r w:rsidR="000D20AD" w:rsidRPr="000D20AD">
          <w:rPr>
            <w:rFonts w:asciiTheme="minorHAnsi" w:eastAsiaTheme="minorEastAsia" w:hAnsiTheme="minorHAnsi" w:cstheme="minorBidi"/>
            <w:color w:val="auto"/>
            <w:sz w:val="22"/>
            <w:szCs w:val="22"/>
            <w:lang w:eastAsia="en-US"/>
          </w:rPr>
          <w:tab/>
        </w:r>
        <w:r w:rsidR="000D20AD" w:rsidRPr="000D20AD">
          <w:rPr>
            <w:rStyle w:val="Hyperlink"/>
            <w:color w:val="auto"/>
          </w:rPr>
          <w:t>CONCLUSION</w:t>
        </w:r>
        <w:r w:rsidR="000D20AD" w:rsidRPr="000D20AD">
          <w:rPr>
            <w:webHidden/>
            <w:color w:val="auto"/>
          </w:rPr>
          <w:tab/>
        </w:r>
        <w:r w:rsidR="000D20AD" w:rsidRPr="000D20AD">
          <w:rPr>
            <w:webHidden/>
            <w:color w:val="auto"/>
          </w:rPr>
          <w:fldChar w:fldCharType="begin"/>
        </w:r>
        <w:r w:rsidR="000D20AD" w:rsidRPr="000D20AD">
          <w:rPr>
            <w:webHidden/>
            <w:color w:val="auto"/>
          </w:rPr>
          <w:instrText xml:space="preserve"> PAGEREF _Toc490566960 \h </w:instrText>
        </w:r>
        <w:r w:rsidR="000D20AD" w:rsidRPr="000D20AD">
          <w:rPr>
            <w:webHidden/>
            <w:color w:val="auto"/>
          </w:rPr>
        </w:r>
        <w:r w:rsidR="000D20AD" w:rsidRPr="000D20AD">
          <w:rPr>
            <w:webHidden/>
            <w:color w:val="auto"/>
          </w:rPr>
          <w:fldChar w:fldCharType="separate"/>
        </w:r>
        <w:r w:rsidR="000D20AD" w:rsidRPr="000D20AD">
          <w:rPr>
            <w:webHidden/>
            <w:color w:val="auto"/>
          </w:rPr>
          <w:t>15</w:t>
        </w:r>
        <w:r w:rsidR="000D20AD" w:rsidRPr="000D20AD">
          <w:rPr>
            <w:webHidden/>
            <w:color w:val="auto"/>
          </w:rPr>
          <w:fldChar w:fldCharType="end"/>
        </w:r>
      </w:hyperlink>
    </w:p>
    <w:p w:rsidR="009D1F78" w:rsidRPr="009D1F78" w:rsidRDefault="00F8418D" w:rsidP="00734EBA">
      <w:pPr>
        <w:pStyle w:val="TOC1"/>
        <w:rPr>
          <w:b/>
          <w:bCs/>
        </w:rPr>
        <w:sectPr w:rsidR="009D1F78" w:rsidRPr="009D1F78">
          <w:headerReference w:type="default" r:id="rId10"/>
          <w:footerReference w:type="default" r:id="rId11"/>
          <w:pgSz w:w="12240" w:h="15840" w:code="1"/>
          <w:pgMar w:top="1440" w:right="1440" w:bottom="1440" w:left="2160" w:header="864" w:footer="576" w:gutter="0"/>
          <w:pgNumType w:fmt="lowerRoman" w:start="1"/>
          <w:cols w:space="720"/>
        </w:sectPr>
      </w:pPr>
      <w:r w:rsidRPr="000D20AD">
        <w:rPr>
          <w:bCs/>
          <w:color w:val="auto"/>
        </w:rPr>
        <w:fldChar w:fldCharType="end"/>
      </w:r>
    </w:p>
    <w:p w:rsidR="001666C8" w:rsidRPr="00255659" w:rsidRDefault="001666C8" w:rsidP="001666C8">
      <w:pPr>
        <w:spacing w:after="360" w:line="240" w:lineRule="auto"/>
        <w:ind w:left="720" w:right="720" w:firstLine="0"/>
        <w:jc w:val="center"/>
        <w:rPr>
          <w:b/>
          <w:bCs/>
          <w:szCs w:val="24"/>
        </w:rPr>
      </w:pPr>
      <w:r w:rsidRPr="00255659">
        <w:rPr>
          <w:b/>
          <w:bCs/>
          <w:szCs w:val="24"/>
        </w:rPr>
        <w:lastRenderedPageBreak/>
        <w:t>PUGET SOUND ENERGY</w:t>
      </w:r>
    </w:p>
    <w:p w:rsidR="001666C8" w:rsidRPr="00255659" w:rsidRDefault="001666C8" w:rsidP="001666C8">
      <w:pPr>
        <w:spacing w:after="360" w:line="240" w:lineRule="auto"/>
        <w:ind w:left="720" w:right="720" w:firstLine="0"/>
        <w:jc w:val="center"/>
        <w:rPr>
          <w:b/>
          <w:bCs/>
          <w:szCs w:val="24"/>
        </w:rPr>
      </w:pPr>
      <w:r w:rsidRPr="00255659">
        <w:rPr>
          <w:b/>
        </w:rPr>
        <w:t xml:space="preserve">PREFILED </w:t>
      </w:r>
      <w:r>
        <w:rPr>
          <w:b/>
        </w:rPr>
        <w:t xml:space="preserve">SUPPLEMENTAL </w:t>
      </w:r>
      <w:r w:rsidRPr="00255659">
        <w:rPr>
          <w:b/>
        </w:rPr>
        <w:t>REBUTTAL TESTIMONY</w:t>
      </w:r>
      <w:r>
        <w:rPr>
          <w:b/>
        </w:rPr>
        <w:br/>
      </w:r>
      <w:r w:rsidRPr="00255659">
        <w:rPr>
          <w:b/>
        </w:rPr>
        <w:t>(NONCONFIDENTIAL) OF</w:t>
      </w:r>
      <w:r w:rsidRPr="00255659">
        <w:rPr>
          <w:b/>
        </w:rPr>
        <w:br/>
      </w:r>
      <w:r>
        <w:rPr>
          <w:b/>
        </w:rPr>
        <w:t>JON A. PILIARIS</w:t>
      </w:r>
    </w:p>
    <w:p w:rsidR="00F8418D" w:rsidRPr="001666C8" w:rsidRDefault="00F8418D" w:rsidP="001666C8">
      <w:pPr>
        <w:pStyle w:val="Heading1"/>
      </w:pPr>
      <w:bookmarkStart w:id="0" w:name="_Toc125167531"/>
      <w:bookmarkStart w:id="1" w:name="_Toc127023381"/>
      <w:bookmarkStart w:id="2" w:name="_Toc490566952"/>
      <w:r w:rsidRPr="001666C8">
        <w:t>I.</w:t>
      </w:r>
      <w:r w:rsidRPr="001666C8">
        <w:tab/>
        <w:t>INTRODUCTION</w:t>
      </w:r>
      <w:bookmarkEnd w:id="0"/>
      <w:bookmarkEnd w:id="1"/>
      <w:bookmarkEnd w:id="2"/>
    </w:p>
    <w:p w:rsidR="00F8418D" w:rsidRPr="00734EBA" w:rsidRDefault="00F8418D" w:rsidP="00734EBA">
      <w:pPr>
        <w:pStyle w:val="question"/>
      </w:pPr>
      <w:r w:rsidRPr="00734EBA">
        <w:t>Q.</w:t>
      </w:r>
      <w:r w:rsidRPr="00734EBA">
        <w:tab/>
      </w:r>
      <w:r w:rsidR="00F5016E" w:rsidRPr="00734EBA">
        <w:t>Are you the same</w:t>
      </w:r>
      <w:r w:rsidR="00782962">
        <w:t xml:space="preserve"> Jon A. Piliaris</w:t>
      </w:r>
      <w:r w:rsidR="00F5016E" w:rsidRPr="00734EBA">
        <w:t xml:space="preserve"> who submitted prefiled direct testimony on January 13, 2017</w:t>
      </w:r>
      <w:r w:rsidR="00BA0AC2">
        <w:t>,</w:t>
      </w:r>
      <w:r w:rsidR="008869EC">
        <w:t xml:space="preserve"> prefiled supplemental direct testimony on April 3, 2017,</w:t>
      </w:r>
      <w:r w:rsidR="001F313C">
        <w:t xml:space="preserve"> </w:t>
      </w:r>
      <w:r w:rsidR="00BA0AC2">
        <w:t xml:space="preserve">and prefiled rebuttal testimony on August 9, 2017 </w:t>
      </w:r>
      <w:r w:rsidR="00F5016E" w:rsidRPr="00734EBA">
        <w:t>on behalf of Puget Sound Energy (</w:t>
      </w:r>
      <w:r w:rsidR="00734EBA">
        <w:t>“</w:t>
      </w:r>
      <w:r w:rsidR="00F5016E" w:rsidRPr="00734EBA">
        <w:t>PSE</w:t>
      </w:r>
      <w:r w:rsidR="00734EBA">
        <w:t>”</w:t>
      </w:r>
      <w:r w:rsidR="00F5016E" w:rsidRPr="00734EBA">
        <w:t>) in this proceeding?</w:t>
      </w:r>
    </w:p>
    <w:p w:rsidR="00F8418D" w:rsidRPr="009075DC" w:rsidRDefault="00F8418D" w:rsidP="00734EBA">
      <w:pPr>
        <w:pStyle w:val="answer"/>
        <w:rPr>
          <w:rFonts w:eastAsia="SimSun"/>
        </w:rPr>
      </w:pPr>
      <w:r w:rsidRPr="009075DC">
        <w:rPr>
          <w:rFonts w:eastAsia="SimSun"/>
        </w:rPr>
        <w:t>A.</w:t>
      </w:r>
      <w:r w:rsidRPr="009075DC">
        <w:rPr>
          <w:rFonts w:eastAsia="SimSun"/>
        </w:rPr>
        <w:tab/>
      </w:r>
      <w:r w:rsidR="00BA0AC2">
        <w:rPr>
          <w:rFonts w:eastAsia="SimSun"/>
        </w:rPr>
        <w:t>Yes.</w:t>
      </w:r>
    </w:p>
    <w:p w:rsidR="00F8418D" w:rsidRPr="009075DC" w:rsidRDefault="00F8418D" w:rsidP="00734EBA">
      <w:pPr>
        <w:pStyle w:val="question"/>
      </w:pPr>
      <w:r w:rsidRPr="009075DC">
        <w:t>Q.</w:t>
      </w:r>
      <w:r w:rsidRPr="009075DC">
        <w:tab/>
        <w:t xml:space="preserve">What is the purpose of your </w:t>
      </w:r>
      <w:r w:rsidR="001666C8">
        <w:t>supplemental re</w:t>
      </w:r>
      <w:r w:rsidR="00632256">
        <w:t>buttal</w:t>
      </w:r>
      <w:r w:rsidR="00F5016E">
        <w:t xml:space="preserve"> </w:t>
      </w:r>
      <w:r w:rsidRPr="009075DC">
        <w:t>testimony?</w:t>
      </w:r>
    </w:p>
    <w:p w:rsidR="00632256" w:rsidRPr="00632256" w:rsidRDefault="00F8418D" w:rsidP="00632256">
      <w:pPr>
        <w:pStyle w:val="answer"/>
        <w:rPr>
          <w:rFonts w:eastAsia="SimSun"/>
        </w:rPr>
      </w:pPr>
      <w:r w:rsidRPr="009075DC">
        <w:rPr>
          <w:rFonts w:eastAsia="SimSun"/>
        </w:rPr>
        <w:t>A.</w:t>
      </w:r>
      <w:r w:rsidRPr="009075DC">
        <w:rPr>
          <w:rFonts w:eastAsia="SimSun"/>
        </w:rPr>
        <w:tab/>
      </w:r>
      <w:r w:rsidR="00EE3502">
        <w:rPr>
          <w:rFonts w:eastAsia="SimSun"/>
        </w:rPr>
        <w:t xml:space="preserve">This </w:t>
      </w:r>
      <w:r w:rsidR="001666C8">
        <w:t xml:space="preserve">supplemental rebuttal </w:t>
      </w:r>
      <w:r w:rsidRPr="009075DC">
        <w:rPr>
          <w:rFonts w:eastAsia="SimSun"/>
        </w:rPr>
        <w:t xml:space="preserve">testimony </w:t>
      </w:r>
      <w:r w:rsidR="008A777B">
        <w:rPr>
          <w:rFonts w:eastAsia="SimSun"/>
        </w:rPr>
        <w:t>responds to the prefiled supplemental testimony</w:t>
      </w:r>
      <w:r w:rsidR="00915320">
        <w:rPr>
          <w:rFonts w:eastAsia="SimSun"/>
        </w:rPr>
        <w:t xml:space="preserve"> </w:t>
      </w:r>
      <w:r w:rsidR="008A777B">
        <w:rPr>
          <w:rFonts w:eastAsia="SimSun"/>
        </w:rPr>
        <w:t xml:space="preserve">of Mr. Jason Ball, witness for the </w:t>
      </w:r>
      <w:r w:rsidR="008A777B" w:rsidRPr="00315A36">
        <w:t>Staff of the Washington Utilities and Transportation Commission</w:t>
      </w:r>
      <w:r w:rsidR="008A777B">
        <w:t xml:space="preserve"> </w:t>
      </w:r>
      <w:r w:rsidR="008A777B">
        <w:rPr>
          <w:rFonts w:eastAsia="SimSun"/>
        </w:rPr>
        <w:t>(“Staff”)</w:t>
      </w:r>
      <w:r w:rsidR="00915320">
        <w:rPr>
          <w:rFonts w:eastAsia="SimSun"/>
        </w:rPr>
        <w:t>, filed on August</w:t>
      </w:r>
      <w:r w:rsidR="000D20AD">
        <w:rPr>
          <w:rFonts w:eastAsia="SimSun"/>
        </w:rPr>
        <w:t> </w:t>
      </w:r>
      <w:r w:rsidR="00915320">
        <w:rPr>
          <w:rFonts w:eastAsia="SimSun"/>
        </w:rPr>
        <w:t>7, 2017</w:t>
      </w:r>
      <w:r w:rsidR="008A777B">
        <w:rPr>
          <w:rFonts w:eastAsia="SimSun"/>
        </w:rPr>
        <w:t>.</w:t>
      </w:r>
      <w:r w:rsidR="000D20AD">
        <w:rPr>
          <w:rFonts w:eastAsia="SimSun"/>
        </w:rPr>
        <w:t xml:space="preserve"> </w:t>
      </w:r>
      <w:r w:rsidR="00DC49E3">
        <w:rPr>
          <w:rFonts w:eastAsia="SimSun"/>
        </w:rPr>
        <w:t xml:space="preserve">Specifically, </w:t>
      </w:r>
      <w:r w:rsidR="00EE3502">
        <w:rPr>
          <w:rFonts w:eastAsia="SimSun"/>
        </w:rPr>
        <w:t xml:space="preserve">this </w:t>
      </w:r>
      <w:r w:rsidR="00EE3502">
        <w:t xml:space="preserve">supplemental rebuttal </w:t>
      </w:r>
      <w:r w:rsidR="00EE3502" w:rsidRPr="009075DC">
        <w:rPr>
          <w:rFonts w:eastAsia="SimSun"/>
        </w:rPr>
        <w:t xml:space="preserve">testimony </w:t>
      </w:r>
      <w:r w:rsidR="00E359AC">
        <w:rPr>
          <w:rFonts w:eastAsia="SimSun"/>
        </w:rPr>
        <w:t xml:space="preserve">responds </w:t>
      </w:r>
      <w:r w:rsidR="00DC49E3">
        <w:rPr>
          <w:rFonts w:eastAsia="SimSun"/>
        </w:rPr>
        <w:t xml:space="preserve">to Staff’s recommendation that the Commission impute revenue for PSE’s natural gas Special Contract class sufficient to </w:t>
      </w:r>
      <w:r w:rsidR="00915320">
        <w:rPr>
          <w:rFonts w:eastAsia="SimSun"/>
        </w:rPr>
        <w:t>recover 100</w:t>
      </w:r>
      <w:r w:rsidR="000D20AD">
        <w:rPr>
          <w:rFonts w:eastAsia="SimSun"/>
        </w:rPr>
        <w:t> </w:t>
      </w:r>
      <w:r w:rsidR="00915320">
        <w:rPr>
          <w:rFonts w:eastAsia="SimSun"/>
        </w:rPr>
        <w:t>percent of its allocated</w:t>
      </w:r>
      <w:r w:rsidR="00DC49E3">
        <w:rPr>
          <w:rFonts w:eastAsia="SimSun"/>
        </w:rPr>
        <w:t xml:space="preserve"> costs, including the authorized return</w:t>
      </w:r>
      <w:r w:rsidR="00915320">
        <w:rPr>
          <w:rFonts w:eastAsia="SimSun"/>
        </w:rPr>
        <w:t xml:space="preserve"> on rate base allocated to serving</w:t>
      </w:r>
      <w:r w:rsidR="00DC49E3">
        <w:rPr>
          <w:rFonts w:eastAsia="SimSun"/>
        </w:rPr>
        <w:t xml:space="preserve"> these customers, and</w:t>
      </w:r>
      <w:r w:rsidR="00915320">
        <w:rPr>
          <w:rFonts w:eastAsia="SimSun"/>
        </w:rPr>
        <w:t xml:space="preserve"> to</w:t>
      </w:r>
      <w:r w:rsidR="00DC49E3">
        <w:rPr>
          <w:rFonts w:eastAsia="SimSun"/>
        </w:rPr>
        <w:t xml:space="preserve"> allow any shortfall in revenue flow to shareholders.</w:t>
      </w:r>
      <w:r w:rsidR="00DC49E3">
        <w:rPr>
          <w:rStyle w:val="FootnoteReference"/>
          <w:rFonts w:eastAsia="SimSun"/>
        </w:rPr>
        <w:footnoteReference w:id="2"/>
      </w:r>
      <w:r w:rsidR="000D20AD">
        <w:rPr>
          <w:rFonts w:eastAsia="SimSun"/>
        </w:rPr>
        <w:t xml:space="preserve"> </w:t>
      </w:r>
      <w:r w:rsidR="00EE3502">
        <w:rPr>
          <w:rFonts w:eastAsia="SimSun"/>
        </w:rPr>
        <w:t xml:space="preserve">This </w:t>
      </w:r>
      <w:r w:rsidR="00EE3502">
        <w:t xml:space="preserve">supplemental rebuttal </w:t>
      </w:r>
      <w:r w:rsidR="00EE3502" w:rsidRPr="009075DC">
        <w:rPr>
          <w:rFonts w:eastAsia="SimSun"/>
        </w:rPr>
        <w:t xml:space="preserve">testimony </w:t>
      </w:r>
      <w:r w:rsidR="00DD4C12">
        <w:rPr>
          <w:rFonts w:eastAsia="SimSun"/>
        </w:rPr>
        <w:t>also respond</w:t>
      </w:r>
      <w:r w:rsidR="00E359AC">
        <w:rPr>
          <w:rFonts w:eastAsia="SimSun"/>
        </w:rPr>
        <w:t>s</w:t>
      </w:r>
      <w:r w:rsidR="00DD4C12">
        <w:rPr>
          <w:rFonts w:eastAsia="SimSun"/>
        </w:rPr>
        <w:t xml:space="preserve"> to Staff’s alternative proposal that </w:t>
      </w:r>
      <w:r w:rsidR="00BD0BF8">
        <w:rPr>
          <w:rFonts w:eastAsia="SimSun"/>
        </w:rPr>
        <w:t xml:space="preserve">recommends that the Commission </w:t>
      </w:r>
      <w:r w:rsidR="00BD0BF8">
        <w:rPr>
          <w:rFonts w:eastAsia="SimSun"/>
        </w:rPr>
        <w:lastRenderedPageBreak/>
        <w:t>order an increase in rates to the Special Contract class sufficient to produce an approximate 2.0</w:t>
      </w:r>
      <w:r w:rsidR="00EE3502">
        <w:rPr>
          <w:rFonts w:eastAsia="SimSun"/>
        </w:rPr>
        <w:t> </w:t>
      </w:r>
      <w:r w:rsidR="00BD0BF8">
        <w:rPr>
          <w:rFonts w:eastAsia="SimSun"/>
        </w:rPr>
        <w:t>percent return on rate base for the class.</w:t>
      </w:r>
      <w:r w:rsidR="00BD0BF8">
        <w:rPr>
          <w:rStyle w:val="FootnoteReference"/>
          <w:rFonts w:eastAsia="SimSun"/>
        </w:rPr>
        <w:footnoteReference w:id="3"/>
      </w:r>
    </w:p>
    <w:p w:rsidR="008A777B" w:rsidRPr="009075DC" w:rsidRDefault="008A777B" w:rsidP="008A777B">
      <w:pPr>
        <w:pStyle w:val="question"/>
      </w:pPr>
      <w:r w:rsidRPr="009075DC">
        <w:t>Q.</w:t>
      </w:r>
      <w:r w:rsidRPr="009075DC">
        <w:tab/>
      </w:r>
      <w:r>
        <w:t xml:space="preserve">Please summarize your </w:t>
      </w:r>
      <w:r w:rsidR="000D20AD">
        <w:t xml:space="preserve">supplemental rebuttal </w:t>
      </w:r>
      <w:r>
        <w:t>testimony.</w:t>
      </w:r>
    </w:p>
    <w:p w:rsidR="00DC49E3" w:rsidRDefault="008A777B" w:rsidP="008A777B">
      <w:pPr>
        <w:pStyle w:val="answer"/>
        <w:rPr>
          <w:rFonts w:eastAsia="SimSun"/>
        </w:rPr>
      </w:pPr>
      <w:r w:rsidRPr="009075DC">
        <w:rPr>
          <w:rFonts w:eastAsia="SimSun"/>
        </w:rPr>
        <w:t>A.</w:t>
      </w:r>
      <w:r w:rsidRPr="009075DC">
        <w:rPr>
          <w:rFonts w:eastAsia="SimSun"/>
        </w:rPr>
        <w:tab/>
      </w:r>
      <w:r w:rsidR="00EE3502">
        <w:rPr>
          <w:rFonts w:eastAsia="SimSun"/>
        </w:rPr>
        <w:t xml:space="preserve">This </w:t>
      </w:r>
      <w:r w:rsidR="00EE3502">
        <w:t xml:space="preserve">supplemental rebuttal </w:t>
      </w:r>
      <w:r>
        <w:rPr>
          <w:rFonts w:eastAsia="SimSun"/>
        </w:rPr>
        <w:t xml:space="preserve">testimony recommends that the Commission reject Staff’s proposal </w:t>
      </w:r>
      <w:r w:rsidR="00DD4C12">
        <w:rPr>
          <w:rFonts w:eastAsia="SimSun"/>
        </w:rPr>
        <w:t xml:space="preserve">related to PSE’s Special Contract class </w:t>
      </w:r>
      <w:r w:rsidR="00DC49E3">
        <w:rPr>
          <w:rFonts w:eastAsia="SimSun"/>
        </w:rPr>
        <w:t>for the following reasons:</w:t>
      </w:r>
    </w:p>
    <w:p w:rsidR="00D3320A" w:rsidRDefault="00DC49E3" w:rsidP="004673A3">
      <w:pPr>
        <w:pStyle w:val="answer"/>
        <w:numPr>
          <w:ilvl w:val="0"/>
          <w:numId w:val="42"/>
        </w:numPr>
        <w:spacing w:before="0" w:after="280" w:line="240" w:lineRule="auto"/>
        <w:ind w:left="2160" w:hanging="720"/>
        <w:rPr>
          <w:rFonts w:eastAsia="SimSun"/>
        </w:rPr>
      </w:pPr>
      <w:r>
        <w:rPr>
          <w:rFonts w:eastAsia="SimSun"/>
        </w:rPr>
        <w:t xml:space="preserve">Staff misinterprets </w:t>
      </w:r>
      <w:r w:rsidR="00D3320A">
        <w:rPr>
          <w:rFonts w:eastAsia="SimSun"/>
        </w:rPr>
        <w:t>the Commission’s rules related to special contract</w:t>
      </w:r>
      <w:r w:rsidR="00BB2D53">
        <w:rPr>
          <w:rFonts w:eastAsia="SimSun"/>
        </w:rPr>
        <w:t>s</w:t>
      </w:r>
      <w:r w:rsidR="00D3320A">
        <w:rPr>
          <w:rFonts w:eastAsia="SimSun"/>
        </w:rPr>
        <w:t>,</w:t>
      </w:r>
    </w:p>
    <w:p w:rsidR="00BD481F" w:rsidRDefault="00BD481F" w:rsidP="004673A3">
      <w:pPr>
        <w:pStyle w:val="answer"/>
        <w:numPr>
          <w:ilvl w:val="0"/>
          <w:numId w:val="42"/>
        </w:numPr>
        <w:spacing w:before="0" w:after="280" w:line="240" w:lineRule="auto"/>
        <w:ind w:left="2160" w:hanging="720"/>
        <w:rPr>
          <w:rFonts w:eastAsia="SimSun"/>
        </w:rPr>
      </w:pPr>
      <w:r>
        <w:rPr>
          <w:rFonts w:eastAsia="SimSun"/>
        </w:rPr>
        <w:t xml:space="preserve">Staff’s own analysis shows that PSE’s </w:t>
      </w:r>
      <w:r w:rsidR="00BB2D53">
        <w:rPr>
          <w:rFonts w:eastAsia="SimSun"/>
        </w:rPr>
        <w:t>S</w:t>
      </w:r>
      <w:r>
        <w:rPr>
          <w:rFonts w:eastAsia="SimSun"/>
        </w:rPr>
        <w:t xml:space="preserve">pecial </w:t>
      </w:r>
      <w:r w:rsidR="00BB2D53">
        <w:rPr>
          <w:rFonts w:eastAsia="SimSun"/>
        </w:rPr>
        <w:t>C</w:t>
      </w:r>
      <w:r>
        <w:rPr>
          <w:rFonts w:eastAsia="SimSun"/>
        </w:rPr>
        <w:t>ontract</w:t>
      </w:r>
      <w:r w:rsidR="00BB2D53">
        <w:rPr>
          <w:rFonts w:eastAsia="SimSun"/>
        </w:rPr>
        <w:t xml:space="preserve"> class</w:t>
      </w:r>
      <w:r>
        <w:rPr>
          <w:rFonts w:eastAsia="SimSun"/>
        </w:rPr>
        <w:t xml:space="preserve"> is contributing to the recovery of a substantial amount of fixed costs,</w:t>
      </w:r>
    </w:p>
    <w:p w:rsidR="00BD0BF8" w:rsidRDefault="00BD0BF8" w:rsidP="004673A3">
      <w:pPr>
        <w:pStyle w:val="answer"/>
        <w:numPr>
          <w:ilvl w:val="0"/>
          <w:numId w:val="42"/>
        </w:numPr>
        <w:spacing w:before="0" w:after="280" w:line="240" w:lineRule="auto"/>
        <w:ind w:left="2160" w:hanging="720"/>
        <w:rPr>
          <w:rFonts w:eastAsia="SimSun"/>
        </w:rPr>
      </w:pPr>
      <w:r>
        <w:rPr>
          <w:rFonts w:eastAsia="SimSun"/>
        </w:rPr>
        <w:t>Staff’s proposal relies too heavily on one contested analysis of the cost to serve the Special Contract class and ignores the wide difference of opinion on that issue</w:t>
      </w:r>
      <w:r w:rsidR="00BB2D53">
        <w:rPr>
          <w:rFonts w:eastAsia="SimSun"/>
        </w:rPr>
        <w:t xml:space="preserve"> that could produce drastically different results</w:t>
      </w:r>
      <w:r>
        <w:rPr>
          <w:rFonts w:eastAsia="SimSun"/>
        </w:rPr>
        <w:t>,</w:t>
      </w:r>
    </w:p>
    <w:p w:rsidR="00BD0BF8" w:rsidRDefault="00BD0BF8" w:rsidP="004673A3">
      <w:pPr>
        <w:pStyle w:val="answer"/>
        <w:numPr>
          <w:ilvl w:val="0"/>
          <w:numId w:val="42"/>
        </w:numPr>
        <w:spacing w:before="0" w:after="280" w:line="240" w:lineRule="auto"/>
        <w:ind w:left="2160" w:hanging="720"/>
        <w:rPr>
          <w:rFonts w:eastAsia="SimSun"/>
        </w:rPr>
      </w:pPr>
      <w:r>
        <w:rPr>
          <w:rFonts w:eastAsia="SimSun"/>
        </w:rPr>
        <w:t xml:space="preserve">Staff has failed to raise these issues before despite having multiple opportunities over many years, </w:t>
      </w:r>
      <w:r w:rsidR="00BB2D53">
        <w:rPr>
          <w:rFonts w:eastAsia="SimSun"/>
        </w:rPr>
        <w:t>particularly when it had opportunities to do so in more appropriate proceedings,</w:t>
      </w:r>
    </w:p>
    <w:p w:rsidR="00D3320A" w:rsidRDefault="00D3320A" w:rsidP="004673A3">
      <w:pPr>
        <w:pStyle w:val="answer"/>
        <w:numPr>
          <w:ilvl w:val="0"/>
          <w:numId w:val="42"/>
        </w:numPr>
        <w:spacing w:before="0" w:after="280" w:line="240" w:lineRule="auto"/>
        <w:ind w:left="2160" w:hanging="720"/>
        <w:rPr>
          <w:rFonts w:eastAsia="SimSun"/>
        </w:rPr>
      </w:pPr>
      <w:r>
        <w:rPr>
          <w:rFonts w:eastAsia="SimSun"/>
        </w:rPr>
        <w:t xml:space="preserve">Staff’s proposal </w:t>
      </w:r>
      <w:r w:rsidR="00915320">
        <w:rPr>
          <w:rFonts w:eastAsia="SimSun"/>
        </w:rPr>
        <w:t>to require the recovery of the fully allocated cost to</w:t>
      </w:r>
      <w:r w:rsidR="0013375D">
        <w:rPr>
          <w:rFonts w:eastAsia="SimSun"/>
        </w:rPr>
        <w:t xml:space="preserve"> serve</w:t>
      </w:r>
      <w:r w:rsidR="00915320">
        <w:rPr>
          <w:rFonts w:eastAsia="SimSun"/>
        </w:rPr>
        <w:t xml:space="preserve"> the Special Contract class </w:t>
      </w:r>
      <w:r>
        <w:rPr>
          <w:rFonts w:eastAsia="SimSun"/>
        </w:rPr>
        <w:t>is contrary to the Commission’s policies related to special contracts and to the public interest,</w:t>
      </w:r>
    </w:p>
    <w:p w:rsidR="00D3320A" w:rsidRPr="00BD0BF8" w:rsidRDefault="00DA5980" w:rsidP="004673A3">
      <w:pPr>
        <w:pStyle w:val="answer"/>
        <w:numPr>
          <w:ilvl w:val="0"/>
          <w:numId w:val="42"/>
        </w:numPr>
        <w:spacing w:before="0" w:after="280" w:line="240" w:lineRule="auto"/>
        <w:ind w:left="2160" w:hanging="720"/>
        <w:rPr>
          <w:rFonts w:eastAsia="SimSun"/>
        </w:rPr>
      </w:pPr>
      <w:r>
        <w:rPr>
          <w:rFonts w:eastAsia="SimSun"/>
        </w:rPr>
        <w:t xml:space="preserve">Staff’s proposal to disallow the recovery of costs associated with providing service under an approved special contract is without precedent, and </w:t>
      </w:r>
    </w:p>
    <w:p w:rsidR="00D3320A" w:rsidRDefault="00DA5980" w:rsidP="004673A3">
      <w:pPr>
        <w:pStyle w:val="answer"/>
        <w:numPr>
          <w:ilvl w:val="0"/>
          <w:numId w:val="42"/>
        </w:numPr>
        <w:spacing w:before="0" w:after="280" w:line="240" w:lineRule="auto"/>
        <w:ind w:left="2160" w:hanging="720"/>
        <w:rPr>
          <w:rFonts w:eastAsia="SimSun"/>
        </w:rPr>
      </w:pPr>
      <w:r w:rsidRPr="00BD0BF8">
        <w:rPr>
          <w:rFonts w:eastAsia="SimSun"/>
        </w:rPr>
        <w:t>Staff</w:t>
      </w:r>
      <w:r>
        <w:rPr>
          <w:rFonts w:eastAsia="SimSun"/>
        </w:rPr>
        <w:t xml:space="preserve">’s alternative proposal is </w:t>
      </w:r>
      <w:r w:rsidRPr="00BD0BF8">
        <w:rPr>
          <w:rFonts w:eastAsia="SimSun"/>
        </w:rPr>
        <w:t>arbitrary</w:t>
      </w:r>
      <w:r w:rsidR="009A3142">
        <w:rPr>
          <w:rFonts w:eastAsia="SimSun"/>
        </w:rPr>
        <w:t>, difficult</w:t>
      </w:r>
      <w:r>
        <w:rPr>
          <w:rFonts w:eastAsia="SimSun"/>
        </w:rPr>
        <w:t xml:space="preserve"> to enforce</w:t>
      </w:r>
      <w:r w:rsidR="009A3142">
        <w:rPr>
          <w:rFonts w:eastAsia="SimSun"/>
        </w:rPr>
        <w:t xml:space="preserve"> and could negatively impact customers outside of the Special Contract class</w:t>
      </w:r>
      <w:r>
        <w:rPr>
          <w:rFonts w:eastAsia="SimSun"/>
        </w:rPr>
        <w:t>.</w:t>
      </w:r>
    </w:p>
    <w:p w:rsidR="008A777B" w:rsidRPr="009075DC" w:rsidRDefault="00D3320A" w:rsidP="00142DF7">
      <w:pPr>
        <w:pStyle w:val="answer"/>
        <w:ind w:firstLine="0"/>
        <w:rPr>
          <w:rFonts w:eastAsia="SimSun"/>
        </w:rPr>
      </w:pPr>
      <w:r>
        <w:rPr>
          <w:rFonts w:eastAsia="SimSun"/>
        </w:rPr>
        <w:t xml:space="preserve">For the foregoing reasons, all of which will be explained more fully below, </w:t>
      </w:r>
      <w:r w:rsidR="00EE3502">
        <w:rPr>
          <w:rFonts w:eastAsia="SimSun"/>
        </w:rPr>
        <w:t>PSE</w:t>
      </w:r>
      <w:r>
        <w:rPr>
          <w:rFonts w:eastAsia="SimSun"/>
        </w:rPr>
        <w:t xml:space="preserve"> recommend</w:t>
      </w:r>
      <w:r w:rsidR="00EE3502">
        <w:rPr>
          <w:rFonts w:eastAsia="SimSun"/>
        </w:rPr>
        <w:t>s</w:t>
      </w:r>
      <w:r>
        <w:rPr>
          <w:rFonts w:eastAsia="SimSun"/>
        </w:rPr>
        <w:t xml:space="preserve"> that the Commission reject Staff’s proposal to unfairly shift an </w:t>
      </w:r>
      <w:r>
        <w:rPr>
          <w:rFonts w:eastAsia="SimSun"/>
        </w:rPr>
        <w:lastRenderedPageBreak/>
        <w:t>arbitrary amount of costs onto PSE shareholders for a contract that it has supported</w:t>
      </w:r>
      <w:r w:rsidR="009A3142">
        <w:rPr>
          <w:rFonts w:eastAsia="SimSun"/>
        </w:rPr>
        <w:t>,</w:t>
      </w:r>
      <w:r w:rsidR="00142DF7">
        <w:rPr>
          <w:rFonts w:eastAsia="SimSun"/>
        </w:rPr>
        <w:t xml:space="preserve"> the Commission has approved</w:t>
      </w:r>
      <w:r w:rsidR="009A3142">
        <w:rPr>
          <w:rFonts w:eastAsia="SimSun"/>
        </w:rPr>
        <w:t xml:space="preserve"> and that provides benefits to PSE’s other customers</w:t>
      </w:r>
      <w:r w:rsidR="00142DF7">
        <w:rPr>
          <w:rFonts w:eastAsia="SimSun"/>
        </w:rPr>
        <w:t>.</w:t>
      </w:r>
    </w:p>
    <w:p w:rsidR="00BA0AC2" w:rsidRPr="009075DC" w:rsidRDefault="00BA0AC2" w:rsidP="001666C8">
      <w:pPr>
        <w:pStyle w:val="Heading1"/>
      </w:pPr>
      <w:bookmarkStart w:id="3" w:name="_Toc490566953"/>
      <w:r>
        <w:t>II</w:t>
      </w:r>
      <w:r w:rsidRPr="009075DC">
        <w:t>.</w:t>
      </w:r>
      <w:r w:rsidRPr="009075DC">
        <w:tab/>
      </w:r>
      <w:r>
        <w:t xml:space="preserve">STAFF MISINTERPRETS </w:t>
      </w:r>
      <w:r w:rsidR="00DC49E3">
        <w:t xml:space="preserve">THE </w:t>
      </w:r>
      <w:r>
        <w:t>COMMISSION</w:t>
      </w:r>
      <w:r w:rsidR="00DC49E3">
        <w:t>’S SPECIAL CONTRACT</w:t>
      </w:r>
      <w:r>
        <w:t xml:space="preserve"> RULES</w:t>
      </w:r>
      <w:bookmarkEnd w:id="3"/>
      <w:r>
        <w:t xml:space="preserve"> </w:t>
      </w:r>
    </w:p>
    <w:p w:rsidR="006A4194" w:rsidRPr="009075DC" w:rsidRDefault="006A4194" w:rsidP="006A4194">
      <w:pPr>
        <w:pStyle w:val="question"/>
      </w:pPr>
      <w:r>
        <w:t>Q.</w:t>
      </w:r>
      <w:r>
        <w:tab/>
        <w:t xml:space="preserve">What portion of Commission rules does Staff rely upon for their </w:t>
      </w:r>
      <w:r w:rsidR="009A3142">
        <w:t xml:space="preserve">supplemental </w:t>
      </w:r>
      <w:r>
        <w:t>proposal</w:t>
      </w:r>
      <w:r w:rsidRPr="009075DC">
        <w:t>?</w:t>
      </w:r>
    </w:p>
    <w:p w:rsidR="00217367" w:rsidRDefault="006A4194" w:rsidP="006A4194">
      <w:pPr>
        <w:pStyle w:val="answer"/>
        <w:rPr>
          <w:rFonts w:eastAsia="SimSun"/>
        </w:rPr>
      </w:pPr>
      <w:r>
        <w:rPr>
          <w:rFonts w:eastAsia="SimSun"/>
        </w:rPr>
        <w:t>A.</w:t>
      </w:r>
      <w:r>
        <w:rPr>
          <w:rFonts w:eastAsia="SimSun"/>
        </w:rPr>
        <w:tab/>
        <w:t>Staff points to WAC 480-80-143(5)(c),</w:t>
      </w:r>
      <w:r w:rsidR="00217367">
        <w:rPr>
          <w:rFonts w:eastAsia="SimSun"/>
        </w:rPr>
        <w:t xml:space="preserve"> which states</w:t>
      </w:r>
      <w:r w:rsidR="004673A3">
        <w:rPr>
          <w:rFonts w:eastAsia="SimSun"/>
        </w:rPr>
        <w:t xml:space="preserve"> as follows</w:t>
      </w:r>
      <w:r w:rsidR="00217367">
        <w:rPr>
          <w:rFonts w:eastAsia="SimSun"/>
        </w:rPr>
        <w:t>:</w:t>
      </w:r>
    </w:p>
    <w:p w:rsidR="00217367" w:rsidRPr="004673A3" w:rsidRDefault="00217367" w:rsidP="004673A3">
      <w:pPr>
        <w:pStyle w:val="Quote"/>
        <w:spacing w:after="280" w:line="240" w:lineRule="auto"/>
        <w:ind w:left="1440" w:right="720" w:firstLine="0"/>
        <w:jc w:val="both"/>
        <w:rPr>
          <w:rFonts w:eastAsia="SimSun"/>
          <w:i w:val="0"/>
        </w:rPr>
      </w:pPr>
      <w:r w:rsidRPr="004673A3">
        <w:rPr>
          <w:rFonts w:eastAsia="SimSun"/>
          <w:i w:val="0"/>
        </w:rPr>
        <w:t>Demonstrate, at a minimum, that the contract charges recover all costs resulting from providing the service during its term and, in addition, provide a contribution to the gas, electric, or water company</w:t>
      </w:r>
      <w:r w:rsidR="004673A3" w:rsidRPr="004673A3">
        <w:rPr>
          <w:rFonts w:eastAsia="SimSun"/>
          <w:i w:val="0"/>
        </w:rPr>
        <w:t>’s fixed costs.</w:t>
      </w:r>
      <w:r w:rsidR="00666B78">
        <w:rPr>
          <w:rStyle w:val="FootnoteReference"/>
          <w:rFonts w:eastAsia="SimSun"/>
          <w:i w:val="0"/>
        </w:rPr>
        <w:footnoteReference w:id="4"/>
      </w:r>
    </w:p>
    <w:p w:rsidR="006A4194" w:rsidRPr="009075DC" w:rsidRDefault="00217367" w:rsidP="00217367">
      <w:pPr>
        <w:pStyle w:val="answer"/>
        <w:ind w:firstLine="0"/>
        <w:rPr>
          <w:rFonts w:eastAsia="SimSun"/>
        </w:rPr>
      </w:pPr>
      <w:r>
        <w:rPr>
          <w:rFonts w:eastAsia="SimSun"/>
        </w:rPr>
        <w:t xml:space="preserve">Staff goes on to assert that </w:t>
      </w:r>
      <w:r w:rsidR="006A4194">
        <w:rPr>
          <w:rFonts w:eastAsia="SimSun"/>
        </w:rPr>
        <w:t>“the Commission rule clearly requires that special contracts”</w:t>
      </w:r>
      <w:r w:rsidR="00666B78">
        <w:rPr>
          <w:rStyle w:val="FootnoteReference"/>
          <w:rFonts w:eastAsia="SimSun"/>
        </w:rPr>
        <w:footnoteReference w:id="5"/>
      </w:r>
      <w:r w:rsidR="006A4194">
        <w:rPr>
          <w:rFonts w:eastAsia="SimSun"/>
        </w:rPr>
        <w:t xml:space="preserve"> must </w:t>
      </w:r>
      <w:r w:rsidR="00BF6BF7">
        <w:rPr>
          <w:rFonts w:eastAsia="SimSun"/>
        </w:rPr>
        <w:t>follow this section of the Commission rule</w:t>
      </w:r>
      <w:r w:rsidR="006A4194">
        <w:rPr>
          <w:rFonts w:eastAsia="SimSun"/>
        </w:rPr>
        <w:t>.</w:t>
      </w:r>
    </w:p>
    <w:p w:rsidR="00BF6BF7" w:rsidRPr="009075DC" w:rsidRDefault="00BF6BF7" w:rsidP="00BF6BF7">
      <w:pPr>
        <w:pStyle w:val="question"/>
      </w:pPr>
      <w:r>
        <w:t>Q.</w:t>
      </w:r>
      <w:r>
        <w:tab/>
        <w:t>Do</w:t>
      </w:r>
      <w:r w:rsidR="00666B78">
        <w:t>es</w:t>
      </w:r>
      <w:r>
        <w:t xml:space="preserve"> </w:t>
      </w:r>
      <w:r w:rsidR="00666B78">
        <w:t xml:space="preserve">PSE </w:t>
      </w:r>
      <w:r>
        <w:t>agree</w:t>
      </w:r>
      <w:r w:rsidR="009A3142">
        <w:t xml:space="preserve"> with Staff’s interpretation</w:t>
      </w:r>
      <w:r w:rsidRPr="009075DC">
        <w:t>?</w:t>
      </w:r>
    </w:p>
    <w:p w:rsidR="00BF6BF7" w:rsidRPr="009075DC" w:rsidRDefault="00BF6BF7" w:rsidP="00BF6BF7">
      <w:pPr>
        <w:pStyle w:val="answer"/>
        <w:rPr>
          <w:rFonts w:eastAsia="SimSun"/>
        </w:rPr>
      </w:pPr>
      <w:r>
        <w:rPr>
          <w:rFonts w:eastAsia="SimSun"/>
        </w:rPr>
        <w:t>A.</w:t>
      </w:r>
      <w:r>
        <w:rPr>
          <w:rFonts w:eastAsia="SimSun"/>
        </w:rPr>
        <w:tab/>
        <w:t>No</w:t>
      </w:r>
      <w:r w:rsidR="00666B78">
        <w:rPr>
          <w:rFonts w:eastAsia="SimSun"/>
        </w:rPr>
        <w:t>. PSE</w:t>
      </w:r>
      <w:r>
        <w:rPr>
          <w:rFonts w:eastAsia="SimSun"/>
        </w:rPr>
        <w:t xml:space="preserve"> d</w:t>
      </w:r>
      <w:r w:rsidR="00666B78">
        <w:rPr>
          <w:rFonts w:eastAsia="SimSun"/>
        </w:rPr>
        <w:t>is</w:t>
      </w:r>
      <w:r>
        <w:rPr>
          <w:rFonts w:eastAsia="SimSun"/>
        </w:rPr>
        <w:t>agree</w:t>
      </w:r>
      <w:r w:rsidR="00666B78">
        <w:rPr>
          <w:rFonts w:eastAsia="SimSun"/>
        </w:rPr>
        <w:t>s</w:t>
      </w:r>
      <w:r>
        <w:rPr>
          <w:rFonts w:eastAsia="SimSun"/>
        </w:rPr>
        <w:t xml:space="preserve"> with Staff’s interpretation of this section of the Commission’s rule to the extent that it suggests that PSE must demonstrate at any given time</w:t>
      </w:r>
      <w:r w:rsidR="00240E6A">
        <w:rPr>
          <w:rFonts w:eastAsia="SimSun"/>
        </w:rPr>
        <w:t xml:space="preserve"> subsequent to </w:t>
      </w:r>
      <w:r w:rsidR="00DD4C12">
        <w:rPr>
          <w:rFonts w:eastAsia="SimSun"/>
        </w:rPr>
        <w:t xml:space="preserve">the contract’s </w:t>
      </w:r>
      <w:r w:rsidR="00240E6A">
        <w:rPr>
          <w:rFonts w:eastAsia="SimSun"/>
        </w:rPr>
        <w:t>approval</w:t>
      </w:r>
      <w:r w:rsidR="009A3142">
        <w:rPr>
          <w:rFonts w:eastAsia="SimSun"/>
        </w:rPr>
        <w:t>, and on an ongoing basis,</w:t>
      </w:r>
      <w:r>
        <w:rPr>
          <w:rFonts w:eastAsia="SimSun"/>
        </w:rPr>
        <w:t xml:space="preserve"> that </w:t>
      </w:r>
      <w:r w:rsidR="00DD4C12">
        <w:rPr>
          <w:rFonts w:eastAsia="SimSun"/>
        </w:rPr>
        <w:t xml:space="preserve">it </w:t>
      </w:r>
      <w:r>
        <w:rPr>
          <w:rFonts w:eastAsia="SimSun"/>
        </w:rPr>
        <w:t>meets this standard.</w:t>
      </w:r>
      <w:r w:rsidR="000D20AD">
        <w:rPr>
          <w:rFonts w:eastAsia="SimSun"/>
        </w:rPr>
        <w:t xml:space="preserve"> </w:t>
      </w:r>
      <w:r>
        <w:rPr>
          <w:rFonts w:eastAsia="SimSun"/>
        </w:rPr>
        <w:t xml:space="preserve">Staff fails to note, or rather quote, the immediately preceding preamble to the quoted section which reads “[e]ach application filed for commission </w:t>
      </w:r>
      <w:r>
        <w:rPr>
          <w:rFonts w:eastAsia="SimSun"/>
        </w:rPr>
        <w:lastRenderedPageBreak/>
        <w:t>approval of a contract must….”</w:t>
      </w:r>
      <w:r w:rsidR="00666B78" w:rsidRPr="00666B78">
        <w:rPr>
          <w:rStyle w:val="FootnoteReference"/>
          <w:rFonts w:eastAsia="SimSun"/>
        </w:rPr>
        <w:footnoteReference w:id="6"/>
      </w:r>
      <w:r w:rsidR="000D20AD">
        <w:rPr>
          <w:rFonts w:eastAsia="SimSun"/>
        </w:rPr>
        <w:t xml:space="preserve"> </w:t>
      </w:r>
      <w:r>
        <w:rPr>
          <w:rFonts w:eastAsia="SimSun"/>
        </w:rPr>
        <w:t>Therefore, the section quoted by Staff is specifically dealing with the initial application for approval of the contract.</w:t>
      </w:r>
      <w:r w:rsidR="000D20AD">
        <w:rPr>
          <w:rFonts w:eastAsia="SimSun"/>
        </w:rPr>
        <w:t xml:space="preserve"> </w:t>
      </w:r>
      <w:r>
        <w:rPr>
          <w:rFonts w:eastAsia="SimSun"/>
        </w:rPr>
        <w:t>Indeed, all of the other sections in part (5) of this rule have to do with the various elements of the application filed with the Commission. It is not explicitly an ongoing condition</w:t>
      </w:r>
      <w:r w:rsidR="00240E6A">
        <w:rPr>
          <w:rFonts w:eastAsia="SimSun"/>
        </w:rPr>
        <w:t>, subject to continuing evaluation during the term of the cont</w:t>
      </w:r>
      <w:r w:rsidR="00E359AC">
        <w:rPr>
          <w:rFonts w:eastAsia="SimSun"/>
        </w:rPr>
        <w:t>r</w:t>
      </w:r>
      <w:r w:rsidR="00240E6A">
        <w:rPr>
          <w:rFonts w:eastAsia="SimSun"/>
        </w:rPr>
        <w:t>act.</w:t>
      </w:r>
      <w:r w:rsidR="000D20AD">
        <w:rPr>
          <w:rFonts w:eastAsia="SimSun"/>
        </w:rPr>
        <w:t xml:space="preserve"> </w:t>
      </w:r>
      <w:r w:rsidR="00EE3502">
        <w:rPr>
          <w:rFonts w:eastAsia="SimSun"/>
        </w:rPr>
        <w:t>E</w:t>
      </w:r>
      <w:r w:rsidR="000268B5">
        <w:rPr>
          <w:rFonts w:eastAsia="SimSun"/>
        </w:rPr>
        <w:t>ven i</w:t>
      </w:r>
      <w:r w:rsidR="00240E6A">
        <w:rPr>
          <w:rFonts w:eastAsia="SimSun"/>
        </w:rPr>
        <w:t xml:space="preserve">f it were, </w:t>
      </w:r>
      <w:r w:rsidR="000268B5">
        <w:rPr>
          <w:rFonts w:eastAsia="SimSun"/>
        </w:rPr>
        <w:t>the question would need to be answered over the totality of the term of the contract, not based on a given point estimate in any given rate proceeding</w:t>
      </w:r>
      <w:r w:rsidR="00240E6A">
        <w:rPr>
          <w:rFonts w:eastAsia="SimSun"/>
        </w:rPr>
        <w:t>.</w:t>
      </w:r>
    </w:p>
    <w:p w:rsidR="00BF6BF7" w:rsidRPr="009075DC" w:rsidRDefault="00BF6BF7" w:rsidP="00BF6BF7">
      <w:pPr>
        <w:pStyle w:val="question"/>
      </w:pPr>
      <w:r>
        <w:t>Q.</w:t>
      </w:r>
      <w:r>
        <w:tab/>
      </w:r>
      <w:r w:rsidR="00DC2CD0">
        <w:t>Is</w:t>
      </w:r>
      <w:r w:rsidR="00666B78">
        <w:t xml:space="preserve"> </w:t>
      </w:r>
      <w:r w:rsidR="00DC2CD0">
        <w:t xml:space="preserve">it </w:t>
      </w:r>
      <w:r w:rsidR="00240E6A">
        <w:t xml:space="preserve">useful to monitor </w:t>
      </w:r>
      <w:r w:rsidR="00DC2CD0">
        <w:t xml:space="preserve">cost recovery </w:t>
      </w:r>
      <w:r w:rsidR="00240E6A">
        <w:t>over the term of the contract</w:t>
      </w:r>
      <w:r w:rsidRPr="009075DC">
        <w:t>?</w:t>
      </w:r>
    </w:p>
    <w:p w:rsidR="00BF6BF7" w:rsidRPr="009075DC" w:rsidRDefault="00BF6BF7" w:rsidP="00BF6BF7">
      <w:pPr>
        <w:pStyle w:val="answer"/>
        <w:rPr>
          <w:rFonts w:eastAsia="SimSun"/>
        </w:rPr>
      </w:pPr>
      <w:r>
        <w:rPr>
          <w:rFonts w:eastAsia="SimSun"/>
        </w:rPr>
        <w:t>A.</w:t>
      </w:r>
      <w:r>
        <w:rPr>
          <w:rFonts w:eastAsia="SimSun"/>
        </w:rPr>
        <w:tab/>
      </w:r>
      <w:r w:rsidR="00240E6A">
        <w:rPr>
          <w:rFonts w:eastAsia="SimSun"/>
        </w:rPr>
        <w:t>Yes.</w:t>
      </w:r>
      <w:r w:rsidR="000D20AD">
        <w:rPr>
          <w:rFonts w:eastAsia="SimSun"/>
        </w:rPr>
        <w:t xml:space="preserve"> </w:t>
      </w:r>
      <w:r w:rsidR="00240E6A">
        <w:rPr>
          <w:rFonts w:eastAsia="SimSun"/>
        </w:rPr>
        <w:t>It is appropriate to monitor how well, and to what extent, the Special Contract class is contributing to the recovery of PSE’s overall fixed costs.</w:t>
      </w:r>
      <w:r w:rsidR="000D20AD">
        <w:rPr>
          <w:rFonts w:eastAsia="SimSun"/>
        </w:rPr>
        <w:t xml:space="preserve"> </w:t>
      </w:r>
      <w:r w:rsidR="00240E6A">
        <w:rPr>
          <w:rFonts w:eastAsia="SimSun"/>
        </w:rPr>
        <w:t>This is part of the reason why this class is included in each cost of service analysis filed as part of PSE’s general rate cases.</w:t>
      </w:r>
      <w:r w:rsidR="000D20AD">
        <w:rPr>
          <w:rFonts w:eastAsia="SimSun"/>
        </w:rPr>
        <w:t xml:space="preserve"> </w:t>
      </w:r>
      <w:r w:rsidR="00217367">
        <w:rPr>
          <w:rFonts w:eastAsia="SimSun"/>
        </w:rPr>
        <w:t xml:space="preserve">As the term of the contract is nearing its end, that historical information can then help determine whether the pricing allowed under the contract </w:t>
      </w:r>
      <w:r w:rsidR="000268B5">
        <w:rPr>
          <w:rFonts w:eastAsia="SimSun"/>
        </w:rPr>
        <w:t xml:space="preserve">indeed met the WAC’s expectations over the term of the contract and whether it </w:t>
      </w:r>
      <w:r w:rsidR="00DD4C12">
        <w:rPr>
          <w:rFonts w:eastAsia="SimSun"/>
        </w:rPr>
        <w:t xml:space="preserve">may </w:t>
      </w:r>
      <w:r w:rsidR="000268B5">
        <w:rPr>
          <w:rFonts w:eastAsia="SimSun"/>
        </w:rPr>
        <w:t>continue</w:t>
      </w:r>
      <w:r w:rsidR="00217367">
        <w:rPr>
          <w:rFonts w:eastAsia="SimSun"/>
        </w:rPr>
        <w:t xml:space="preserve"> to </w:t>
      </w:r>
      <w:r w:rsidR="00DD4C12">
        <w:rPr>
          <w:rFonts w:eastAsia="SimSun"/>
        </w:rPr>
        <w:t xml:space="preserve">provide benefits </w:t>
      </w:r>
      <w:r w:rsidR="00217367">
        <w:rPr>
          <w:rFonts w:eastAsia="SimSun"/>
        </w:rPr>
        <w:t>prior to approval of any further extension of the contract</w:t>
      </w:r>
      <w:r>
        <w:rPr>
          <w:rFonts w:eastAsia="SimSun"/>
        </w:rPr>
        <w:t>.</w:t>
      </w:r>
    </w:p>
    <w:p w:rsidR="00BA0AC2" w:rsidRPr="009075DC" w:rsidRDefault="00BA0AC2" w:rsidP="001666C8">
      <w:pPr>
        <w:pStyle w:val="Heading1"/>
      </w:pPr>
      <w:bookmarkStart w:id="4" w:name="_Toc490566954"/>
      <w:r>
        <w:lastRenderedPageBreak/>
        <w:t>I</w:t>
      </w:r>
      <w:r w:rsidR="00BD481F">
        <w:t>II</w:t>
      </w:r>
      <w:r w:rsidRPr="009075DC">
        <w:t>.</w:t>
      </w:r>
      <w:r w:rsidRPr="009075DC">
        <w:tab/>
      </w:r>
      <w:r>
        <w:t>PSE SPECIAL CONTRACT</w:t>
      </w:r>
      <w:r w:rsidR="00BD481F">
        <w:t xml:space="preserve"> IS</w:t>
      </w:r>
      <w:r>
        <w:t xml:space="preserve"> CONTRIBUTING TO A SUBSTANTIAL PORTION OF FIXED COSTS</w:t>
      </w:r>
      <w:bookmarkEnd w:id="4"/>
    </w:p>
    <w:p w:rsidR="00BD481F" w:rsidRPr="009075DC" w:rsidRDefault="00BD481F" w:rsidP="00BD481F">
      <w:pPr>
        <w:pStyle w:val="question"/>
      </w:pPr>
      <w:r>
        <w:t>Q.</w:t>
      </w:r>
      <w:r>
        <w:tab/>
        <w:t>Does Staff believe that the Special Contract class is contributing to PSE’s fixed gas distribution costs</w:t>
      </w:r>
      <w:r w:rsidRPr="009075DC">
        <w:t>?</w:t>
      </w:r>
    </w:p>
    <w:p w:rsidR="00BD481F" w:rsidRPr="009075DC" w:rsidRDefault="00BD481F" w:rsidP="00BD481F">
      <w:pPr>
        <w:pStyle w:val="answer"/>
        <w:rPr>
          <w:rFonts w:eastAsia="SimSun"/>
        </w:rPr>
      </w:pPr>
      <w:r>
        <w:rPr>
          <w:rFonts w:eastAsia="SimSun"/>
        </w:rPr>
        <w:t>A.</w:t>
      </w:r>
      <w:r>
        <w:rPr>
          <w:rFonts w:eastAsia="SimSun"/>
        </w:rPr>
        <w:tab/>
        <w:t>No.</w:t>
      </w:r>
      <w:r w:rsidR="000D20AD">
        <w:rPr>
          <w:rFonts w:eastAsia="SimSun"/>
        </w:rPr>
        <w:t xml:space="preserve"> </w:t>
      </w:r>
      <w:r>
        <w:rPr>
          <w:rFonts w:eastAsia="SimSun"/>
        </w:rPr>
        <w:t xml:space="preserve">Staff presents an analysis, using its proposed gas cost of service analysis, intended to show that PSE’s Special Contract class is not contributing to the recovery of the utility’s fixed costs. Specifically, </w:t>
      </w:r>
      <w:r w:rsidR="000268B5">
        <w:rPr>
          <w:rFonts w:eastAsia="SimSun"/>
        </w:rPr>
        <w:t>Staff</w:t>
      </w:r>
      <w:r>
        <w:rPr>
          <w:rFonts w:eastAsia="SimSun"/>
        </w:rPr>
        <w:t xml:space="preserve"> call</w:t>
      </w:r>
      <w:r w:rsidR="000268B5">
        <w:rPr>
          <w:rFonts w:eastAsia="SimSun"/>
        </w:rPr>
        <w:t>s</w:t>
      </w:r>
      <w:r>
        <w:rPr>
          <w:rFonts w:eastAsia="SimSun"/>
        </w:rPr>
        <w:t xml:space="preserve"> out a negative rate of return</w:t>
      </w:r>
      <w:r w:rsidR="00697A64">
        <w:rPr>
          <w:rFonts w:eastAsia="SimSun"/>
        </w:rPr>
        <w:t xml:space="preserve"> and conclude</w:t>
      </w:r>
      <w:r w:rsidR="000268B5">
        <w:rPr>
          <w:rFonts w:eastAsia="SimSun"/>
        </w:rPr>
        <w:t>s</w:t>
      </w:r>
      <w:r w:rsidR="00697A64">
        <w:rPr>
          <w:rFonts w:eastAsia="SimSun"/>
        </w:rPr>
        <w:t xml:space="preserve"> that such a result proves that these customers do not cover their full level of al</w:t>
      </w:r>
      <w:r w:rsidR="00E359AC">
        <w:rPr>
          <w:rFonts w:eastAsia="SimSun"/>
        </w:rPr>
        <w:t>located expenses and contribute</w:t>
      </w:r>
      <w:r w:rsidR="00697A64">
        <w:rPr>
          <w:rFonts w:eastAsia="SimSun"/>
        </w:rPr>
        <w:t xml:space="preserve"> less than nothing towards return on rate base.</w:t>
      </w:r>
      <w:r w:rsidR="000D20AD">
        <w:rPr>
          <w:rFonts w:eastAsia="SimSun"/>
        </w:rPr>
        <w:t xml:space="preserve"> </w:t>
      </w:r>
      <w:r w:rsidR="00697A64">
        <w:rPr>
          <w:rFonts w:eastAsia="SimSun"/>
        </w:rPr>
        <w:t>Based on that, Staff concludes that PSE’s Special Contract class is no</w:t>
      </w:r>
      <w:r w:rsidR="000268B5">
        <w:rPr>
          <w:rFonts w:eastAsia="SimSun"/>
        </w:rPr>
        <w:t>t</w:t>
      </w:r>
      <w:r w:rsidR="00697A64">
        <w:rPr>
          <w:rFonts w:eastAsia="SimSun"/>
        </w:rPr>
        <w:t xml:space="preserve"> in full compliance with WAC</w:t>
      </w:r>
      <w:r w:rsidR="00EE3502">
        <w:rPr>
          <w:rFonts w:eastAsia="SimSun"/>
        </w:rPr>
        <w:t> </w:t>
      </w:r>
      <w:r w:rsidR="00697A64">
        <w:rPr>
          <w:rFonts w:eastAsia="SimSun"/>
        </w:rPr>
        <w:t>480-80-143(5)(c).</w:t>
      </w:r>
      <w:r w:rsidR="00697A64">
        <w:rPr>
          <w:rStyle w:val="FootnoteReference"/>
          <w:rFonts w:eastAsia="SimSun"/>
        </w:rPr>
        <w:footnoteReference w:id="7"/>
      </w:r>
    </w:p>
    <w:p w:rsidR="006A4194" w:rsidRPr="009075DC" w:rsidRDefault="006A4194" w:rsidP="006A4194">
      <w:pPr>
        <w:pStyle w:val="question"/>
      </w:pPr>
      <w:r>
        <w:t>Q.</w:t>
      </w:r>
      <w:r>
        <w:tab/>
      </w:r>
      <w:r w:rsidR="00697A64">
        <w:t>Do</w:t>
      </w:r>
      <w:r w:rsidR="00666B78">
        <w:t>es</w:t>
      </w:r>
      <w:r w:rsidR="00697A64">
        <w:t xml:space="preserve"> </w:t>
      </w:r>
      <w:r w:rsidR="00666B78">
        <w:t xml:space="preserve">PSE </w:t>
      </w:r>
      <w:r w:rsidR="00697A64">
        <w:t>agree with Staff’s conclusions</w:t>
      </w:r>
      <w:r w:rsidRPr="009075DC">
        <w:t>?</w:t>
      </w:r>
    </w:p>
    <w:p w:rsidR="006A4194" w:rsidRPr="009075DC" w:rsidRDefault="006A4194" w:rsidP="006A4194">
      <w:pPr>
        <w:pStyle w:val="answer"/>
        <w:rPr>
          <w:rFonts w:eastAsia="SimSun"/>
        </w:rPr>
      </w:pPr>
      <w:r>
        <w:rPr>
          <w:rFonts w:eastAsia="SimSun"/>
        </w:rPr>
        <w:t>A.</w:t>
      </w:r>
      <w:r>
        <w:rPr>
          <w:rFonts w:eastAsia="SimSun"/>
        </w:rPr>
        <w:tab/>
      </w:r>
      <w:r w:rsidR="00697A64">
        <w:rPr>
          <w:rFonts w:eastAsia="SimSun"/>
        </w:rPr>
        <w:t>No.</w:t>
      </w:r>
      <w:r w:rsidR="000D20AD">
        <w:rPr>
          <w:rFonts w:eastAsia="SimSun"/>
        </w:rPr>
        <w:t xml:space="preserve"> </w:t>
      </w:r>
      <w:r w:rsidR="00697A64">
        <w:rPr>
          <w:rFonts w:eastAsia="SimSun"/>
        </w:rPr>
        <w:t>Staff’s conclusion relies on a faulty assumption that to provide a contribution to PSE’s fixed costs necessarily implies the need for a positive rate of return.</w:t>
      </w:r>
      <w:r w:rsidR="000D20AD">
        <w:rPr>
          <w:rFonts w:eastAsia="SimSun"/>
        </w:rPr>
        <w:t xml:space="preserve"> </w:t>
      </w:r>
      <w:r w:rsidR="00697A64">
        <w:rPr>
          <w:rFonts w:eastAsia="SimSun"/>
        </w:rPr>
        <w:t>This is not correct.</w:t>
      </w:r>
      <w:r w:rsidR="000D20AD">
        <w:rPr>
          <w:rFonts w:eastAsia="SimSun"/>
        </w:rPr>
        <w:t xml:space="preserve"> </w:t>
      </w:r>
      <w:r w:rsidR="00697A64">
        <w:rPr>
          <w:rFonts w:eastAsia="SimSun"/>
        </w:rPr>
        <w:t>PSE’s fixed costs include more than just its return on rate base.</w:t>
      </w:r>
      <w:r w:rsidR="000D20AD">
        <w:rPr>
          <w:rFonts w:eastAsia="SimSun"/>
        </w:rPr>
        <w:t xml:space="preserve"> </w:t>
      </w:r>
      <w:r w:rsidR="00697A64">
        <w:rPr>
          <w:rFonts w:eastAsia="SimSun"/>
        </w:rPr>
        <w:t>From a ratemaking perspective it also includes, at a minimum, PSE’s depreciation</w:t>
      </w:r>
      <w:r w:rsidR="0071111B">
        <w:rPr>
          <w:rFonts w:eastAsia="SimSun"/>
        </w:rPr>
        <w:t>,</w:t>
      </w:r>
      <w:r w:rsidR="00697A64">
        <w:rPr>
          <w:rFonts w:eastAsia="SimSun"/>
        </w:rPr>
        <w:t xml:space="preserve"> income tax expense</w:t>
      </w:r>
      <w:r w:rsidR="0071111B">
        <w:rPr>
          <w:rFonts w:eastAsia="SimSun"/>
        </w:rPr>
        <w:t xml:space="preserve"> and a substantial portion of other taxes that are indirectly related to the recovery of fixed costs</w:t>
      </w:r>
      <w:r w:rsidR="00697A64">
        <w:rPr>
          <w:rFonts w:eastAsia="SimSun"/>
        </w:rPr>
        <w:t>.</w:t>
      </w:r>
      <w:r w:rsidR="000D20AD">
        <w:rPr>
          <w:rFonts w:eastAsia="SimSun"/>
        </w:rPr>
        <w:t xml:space="preserve"> </w:t>
      </w:r>
      <w:r w:rsidR="000268B5">
        <w:rPr>
          <w:rFonts w:eastAsia="SimSun"/>
        </w:rPr>
        <w:t>Realistically</w:t>
      </w:r>
      <w:r w:rsidR="0071111B">
        <w:rPr>
          <w:rFonts w:eastAsia="SimSun"/>
        </w:rPr>
        <w:t xml:space="preserve">, it </w:t>
      </w:r>
      <w:r w:rsidR="000268B5">
        <w:rPr>
          <w:rFonts w:eastAsia="SimSun"/>
        </w:rPr>
        <w:t>sh</w:t>
      </w:r>
      <w:r w:rsidR="0071111B">
        <w:rPr>
          <w:rFonts w:eastAsia="SimSun"/>
        </w:rPr>
        <w:t>ould also</w:t>
      </w:r>
      <w:r w:rsidR="00697A64">
        <w:rPr>
          <w:rFonts w:eastAsia="SimSun"/>
        </w:rPr>
        <w:t xml:space="preserve"> include a substantial portion of PSE’</w:t>
      </w:r>
      <w:r w:rsidR="0071111B">
        <w:rPr>
          <w:rFonts w:eastAsia="SimSun"/>
        </w:rPr>
        <w:t>s other operation and maintenance</w:t>
      </w:r>
      <w:r w:rsidR="00697A64">
        <w:rPr>
          <w:rFonts w:eastAsia="SimSun"/>
        </w:rPr>
        <w:t xml:space="preserve"> </w:t>
      </w:r>
      <w:r w:rsidR="0071111B">
        <w:rPr>
          <w:rFonts w:eastAsia="SimSun"/>
        </w:rPr>
        <w:t xml:space="preserve">(“O&amp;M”) </w:t>
      </w:r>
      <w:r w:rsidR="00697A64">
        <w:rPr>
          <w:rFonts w:eastAsia="SimSun"/>
        </w:rPr>
        <w:lastRenderedPageBreak/>
        <w:t>expenses that are relatively fixed in nature, at least in the short run</w:t>
      </w:r>
      <w:r w:rsidR="000268B5">
        <w:rPr>
          <w:rFonts w:eastAsia="SimSun"/>
        </w:rPr>
        <w:t>, and unaffected by the presence or absence of the Special Contract class</w:t>
      </w:r>
      <w:r w:rsidR="00697A64">
        <w:rPr>
          <w:rFonts w:eastAsia="SimSun"/>
        </w:rPr>
        <w:t>.</w:t>
      </w:r>
      <w:r w:rsidR="00D52761">
        <w:rPr>
          <w:rStyle w:val="FootnoteReference"/>
          <w:rFonts w:eastAsia="SimSun"/>
        </w:rPr>
        <w:footnoteReference w:id="8"/>
      </w:r>
    </w:p>
    <w:p w:rsidR="006A4194" w:rsidRPr="009075DC" w:rsidRDefault="006A4194" w:rsidP="006A4194">
      <w:pPr>
        <w:pStyle w:val="question"/>
      </w:pPr>
      <w:r>
        <w:t>Q.</w:t>
      </w:r>
      <w:r>
        <w:tab/>
      </w:r>
      <w:r w:rsidR="0071111B">
        <w:t>Is PSE’s Special Contract class contributing to a more correct definition of fixed costs?</w:t>
      </w:r>
    </w:p>
    <w:p w:rsidR="00D95F00" w:rsidRDefault="006A4194" w:rsidP="006A4194">
      <w:pPr>
        <w:pStyle w:val="answer"/>
        <w:rPr>
          <w:rFonts w:eastAsia="SimSun"/>
        </w:rPr>
      </w:pPr>
      <w:r>
        <w:rPr>
          <w:rFonts w:eastAsia="SimSun"/>
        </w:rPr>
        <w:t>A.</w:t>
      </w:r>
      <w:r>
        <w:rPr>
          <w:rFonts w:eastAsia="SimSun"/>
        </w:rPr>
        <w:tab/>
      </w:r>
      <w:r w:rsidR="0071111B">
        <w:rPr>
          <w:rFonts w:eastAsia="SimSun"/>
        </w:rPr>
        <w:t>Yes.</w:t>
      </w:r>
      <w:r w:rsidR="000D20AD">
        <w:rPr>
          <w:rFonts w:eastAsia="SimSun"/>
        </w:rPr>
        <w:t xml:space="preserve"> </w:t>
      </w:r>
      <w:r w:rsidR="0071111B">
        <w:rPr>
          <w:rFonts w:eastAsia="SimSun"/>
        </w:rPr>
        <w:t>Even using Staff’s figures, which as discuss</w:t>
      </w:r>
      <w:r w:rsidR="00EE3502">
        <w:rPr>
          <w:rFonts w:eastAsia="SimSun"/>
        </w:rPr>
        <w:t xml:space="preserve">ed later, </w:t>
      </w:r>
      <w:r w:rsidR="0071111B">
        <w:rPr>
          <w:rFonts w:eastAsia="SimSun"/>
        </w:rPr>
        <w:t>are highly contested, PSE’s Special Contract class can be shown to be contributing to the recovery of its fixed costs.</w:t>
      </w:r>
      <w:r w:rsidR="000D20AD">
        <w:rPr>
          <w:rFonts w:eastAsia="SimSun"/>
        </w:rPr>
        <w:t xml:space="preserve"> </w:t>
      </w:r>
      <w:r w:rsidR="0071111B">
        <w:rPr>
          <w:rFonts w:eastAsia="SimSun"/>
        </w:rPr>
        <w:t>As noted in Table</w:t>
      </w:r>
      <w:r w:rsidR="00EE3502">
        <w:rPr>
          <w:rFonts w:eastAsia="SimSun"/>
        </w:rPr>
        <w:t> </w:t>
      </w:r>
      <w:r w:rsidR="0071111B">
        <w:rPr>
          <w:rFonts w:eastAsia="SimSun"/>
        </w:rPr>
        <w:t>10 of Mr. Ball’s prefiled supplemental testimony, the revenues associated with these customers are approximately $1.37</w:t>
      </w:r>
      <w:r w:rsidR="00EE3502">
        <w:rPr>
          <w:rFonts w:eastAsia="SimSun"/>
        </w:rPr>
        <w:t> </w:t>
      </w:r>
      <w:r w:rsidR="0071111B">
        <w:rPr>
          <w:rFonts w:eastAsia="SimSun"/>
        </w:rPr>
        <w:t>million.</w:t>
      </w:r>
      <w:r w:rsidR="0071111B">
        <w:rPr>
          <w:rStyle w:val="FootnoteReference"/>
          <w:rFonts w:eastAsia="SimSun"/>
        </w:rPr>
        <w:footnoteReference w:id="9"/>
      </w:r>
      <w:r w:rsidR="000D20AD">
        <w:rPr>
          <w:rFonts w:eastAsia="SimSun"/>
        </w:rPr>
        <w:t xml:space="preserve"> </w:t>
      </w:r>
      <w:r w:rsidR="0071111B">
        <w:rPr>
          <w:rFonts w:eastAsia="SimSun"/>
        </w:rPr>
        <w:t>Conservatively assuming that the incremental cost of serving the Special Contract class is equal to the fully allocated share of embedded O&amp;M expenses, that would amount to a little over $800,000.</w:t>
      </w:r>
      <w:r w:rsidR="000D20AD">
        <w:rPr>
          <w:rFonts w:eastAsia="SimSun"/>
        </w:rPr>
        <w:t xml:space="preserve"> </w:t>
      </w:r>
      <w:r w:rsidR="0071111B">
        <w:rPr>
          <w:rFonts w:eastAsia="SimSun"/>
        </w:rPr>
        <w:t>This leaves approximately $570,000 to contribute to</w:t>
      </w:r>
      <w:r w:rsidR="00351F45">
        <w:rPr>
          <w:rFonts w:eastAsia="SimSun"/>
        </w:rPr>
        <w:t>wards the recovery of</w:t>
      </w:r>
      <w:r w:rsidR="0071111B">
        <w:rPr>
          <w:rFonts w:eastAsia="SimSun"/>
        </w:rPr>
        <w:t xml:space="preserve"> PSE’s fixed costs</w:t>
      </w:r>
      <w:r>
        <w:rPr>
          <w:rFonts w:eastAsia="SimSun"/>
        </w:rPr>
        <w:t>.</w:t>
      </w:r>
      <w:r w:rsidR="000D20AD">
        <w:rPr>
          <w:rFonts w:eastAsia="SimSun"/>
        </w:rPr>
        <w:t xml:space="preserve"> </w:t>
      </w:r>
      <w:r w:rsidR="0071111B">
        <w:rPr>
          <w:rFonts w:eastAsia="SimSun"/>
        </w:rPr>
        <w:t xml:space="preserve">Again, this is a conservative estimate using a liberal interpretation of </w:t>
      </w:r>
      <w:r w:rsidR="00351F45">
        <w:rPr>
          <w:rFonts w:eastAsia="SimSun"/>
        </w:rPr>
        <w:t>the costs necessary to provide service to this class and using Staff’s contested methodology for allocating costs wi</w:t>
      </w:r>
      <w:r w:rsidR="00EE3502">
        <w:rPr>
          <w:rFonts w:eastAsia="SimSun"/>
        </w:rPr>
        <w:t>thin its cost of service study.</w:t>
      </w:r>
    </w:p>
    <w:p w:rsidR="00D95F00" w:rsidRPr="00EE3502" w:rsidRDefault="00D95F00" w:rsidP="00EE3502">
      <w:pPr>
        <w:pStyle w:val="question"/>
      </w:pPr>
      <w:r w:rsidRPr="009C32DF">
        <w:lastRenderedPageBreak/>
        <w:t>Q.</w:t>
      </w:r>
      <w:r w:rsidRPr="009C32DF">
        <w:tab/>
      </w:r>
      <w:r w:rsidR="009C32DF">
        <w:t xml:space="preserve">Does recovering less than one hundred percent of allocated costs from the Special Contract class necessarily frustrate </w:t>
      </w:r>
      <w:r w:rsidRPr="009C32DF">
        <w:t>PSE’s ability to earn its authorized rate of return?</w:t>
      </w:r>
    </w:p>
    <w:p w:rsidR="006A4194" w:rsidRPr="009075DC" w:rsidRDefault="00D95F00" w:rsidP="006A4194">
      <w:pPr>
        <w:pStyle w:val="answer"/>
        <w:rPr>
          <w:rFonts w:eastAsia="SimSun"/>
        </w:rPr>
      </w:pPr>
      <w:r>
        <w:rPr>
          <w:rFonts w:eastAsia="SimSun"/>
        </w:rPr>
        <w:t>A.</w:t>
      </w:r>
      <w:r>
        <w:rPr>
          <w:rFonts w:eastAsia="SimSun"/>
        </w:rPr>
        <w:tab/>
        <w:t>No.</w:t>
      </w:r>
      <w:r w:rsidR="000D20AD">
        <w:rPr>
          <w:rFonts w:eastAsia="SimSun"/>
        </w:rPr>
        <w:t xml:space="preserve"> </w:t>
      </w:r>
      <w:r>
        <w:rPr>
          <w:rFonts w:eastAsia="SimSun"/>
        </w:rPr>
        <w:t>In each rate case, rates are set to recover a certain amount of costs primarily in relation to their loads.</w:t>
      </w:r>
      <w:r w:rsidR="000D20AD">
        <w:rPr>
          <w:rFonts w:eastAsia="SimSun"/>
        </w:rPr>
        <w:t xml:space="preserve"> </w:t>
      </w:r>
      <w:r>
        <w:rPr>
          <w:rFonts w:eastAsia="SimSun"/>
        </w:rPr>
        <w:t>This is part of the so-called matching principle. As will be shown later in this testimony, the Commission has routinely approved rates that contemplated recovering less revenue from the Special Contract class than their fully allocated costs.</w:t>
      </w:r>
      <w:r w:rsidR="000D20AD">
        <w:rPr>
          <w:rFonts w:eastAsia="SimSun"/>
        </w:rPr>
        <w:t xml:space="preserve"> </w:t>
      </w:r>
      <w:r>
        <w:rPr>
          <w:rFonts w:eastAsia="SimSun"/>
        </w:rPr>
        <w:t>So long as the relationship between the approved rates and</w:t>
      </w:r>
      <w:r w:rsidR="009C32DF">
        <w:rPr>
          <w:rFonts w:eastAsia="SimSun"/>
        </w:rPr>
        <w:t xml:space="preserve"> the partial recovery of fully</w:t>
      </w:r>
      <w:r>
        <w:rPr>
          <w:rFonts w:eastAsia="SimSun"/>
        </w:rPr>
        <w:t xml:space="preserve"> allocated costs holds (i.e., PSE’s recovery of costs in the future is no better or worse than the relationship set when rates were approved), then the Special Contract class does not impact PSE’s ability to earn its authorized return.</w:t>
      </w:r>
    </w:p>
    <w:p w:rsidR="00351F45" w:rsidRPr="009075DC" w:rsidRDefault="00351F45" w:rsidP="001666C8">
      <w:pPr>
        <w:pStyle w:val="Heading1"/>
      </w:pPr>
      <w:bookmarkStart w:id="5" w:name="_Toc490566955"/>
      <w:r>
        <w:t>IV</w:t>
      </w:r>
      <w:r w:rsidRPr="009075DC">
        <w:t>.</w:t>
      </w:r>
      <w:r w:rsidRPr="009075DC">
        <w:tab/>
      </w:r>
      <w:r>
        <w:t>STAFF RELIES TOO HEAVILY ON ONE ESTIMATE OF COST TO PROVIDE SPECIAL CONTRACT SERVICE</w:t>
      </w:r>
      <w:bookmarkEnd w:id="5"/>
    </w:p>
    <w:p w:rsidR="00351F45" w:rsidRPr="009075DC" w:rsidRDefault="00351F45" w:rsidP="00351F45">
      <w:pPr>
        <w:pStyle w:val="question"/>
      </w:pPr>
      <w:r>
        <w:t>Q.</w:t>
      </w:r>
      <w:r>
        <w:tab/>
        <w:t>Does Staff consider whether its conclusion remains valid under alternative cost allocation assumptions</w:t>
      </w:r>
      <w:r w:rsidRPr="009075DC">
        <w:t>?</w:t>
      </w:r>
    </w:p>
    <w:p w:rsidR="00351F45" w:rsidRPr="009075DC" w:rsidRDefault="00351F45" w:rsidP="00351F45">
      <w:pPr>
        <w:pStyle w:val="answer"/>
        <w:rPr>
          <w:rFonts w:eastAsia="SimSun"/>
        </w:rPr>
      </w:pPr>
      <w:r>
        <w:rPr>
          <w:rFonts w:eastAsia="SimSun"/>
        </w:rPr>
        <w:t>A.</w:t>
      </w:r>
      <w:r>
        <w:rPr>
          <w:rFonts w:eastAsia="SimSun"/>
        </w:rPr>
        <w:tab/>
        <w:t>No.</w:t>
      </w:r>
      <w:r w:rsidR="00EE3502">
        <w:rPr>
          <w:rFonts w:eastAsia="SimSun"/>
        </w:rPr>
        <w:t xml:space="preserve"> PSE </w:t>
      </w:r>
      <w:r>
        <w:rPr>
          <w:rFonts w:eastAsia="SimSun"/>
        </w:rPr>
        <w:t>could find nowhere in Staff’s analysis where it considered alternative cost allocation results presented in this case.</w:t>
      </w:r>
    </w:p>
    <w:p w:rsidR="00351F45" w:rsidRPr="009075DC" w:rsidRDefault="00351F45" w:rsidP="00351F45">
      <w:pPr>
        <w:pStyle w:val="question"/>
      </w:pPr>
      <w:r>
        <w:t>Q.</w:t>
      </w:r>
      <w:r>
        <w:tab/>
        <w:t>What would such an analysis have shown</w:t>
      </w:r>
      <w:r w:rsidRPr="009075DC">
        <w:t>?</w:t>
      </w:r>
    </w:p>
    <w:p w:rsidR="00351F45" w:rsidRPr="009075DC" w:rsidRDefault="00351F45" w:rsidP="00351F45">
      <w:pPr>
        <w:pStyle w:val="answer"/>
        <w:rPr>
          <w:rFonts w:eastAsia="SimSun"/>
        </w:rPr>
      </w:pPr>
      <w:r>
        <w:rPr>
          <w:rFonts w:eastAsia="SimSun"/>
        </w:rPr>
        <w:t>A.</w:t>
      </w:r>
      <w:r>
        <w:rPr>
          <w:rFonts w:eastAsia="SimSun"/>
        </w:rPr>
        <w:tab/>
        <w:t xml:space="preserve">It would have shown that, again </w:t>
      </w:r>
      <w:r w:rsidR="00DD4C12">
        <w:rPr>
          <w:rFonts w:eastAsia="SimSun"/>
        </w:rPr>
        <w:t xml:space="preserve">using </w:t>
      </w:r>
      <w:r>
        <w:rPr>
          <w:rFonts w:eastAsia="SimSun"/>
        </w:rPr>
        <w:t xml:space="preserve">the conservative </w:t>
      </w:r>
      <w:r w:rsidR="00CA1A63">
        <w:rPr>
          <w:rFonts w:eastAsia="SimSun"/>
        </w:rPr>
        <w:t>use</w:t>
      </w:r>
      <w:r>
        <w:rPr>
          <w:rFonts w:eastAsia="SimSun"/>
        </w:rPr>
        <w:t xml:space="preserve"> of O&amp;M expenses</w:t>
      </w:r>
      <w:r w:rsidR="00CA1A63">
        <w:rPr>
          <w:rFonts w:eastAsia="SimSun"/>
        </w:rPr>
        <w:t xml:space="preserve"> as a surrogate for the incremental cost of service</w:t>
      </w:r>
      <w:r>
        <w:rPr>
          <w:rFonts w:eastAsia="SimSun"/>
        </w:rPr>
        <w:t>, the Special Contract class is contributing to even more of PSE’s fixed production costs.</w:t>
      </w:r>
      <w:r w:rsidR="000D20AD">
        <w:rPr>
          <w:rFonts w:eastAsia="SimSun"/>
        </w:rPr>
        <w:t xml:space="preserve"> </w:t>
      </w:r>
      <w:r>
        <w:rPr>
          <w:rFonts w:eastAsia="SimSun"/>
        </w:rPr>
        <w:t xml:space="preserve">For example, the gas </w:t>
      </w:r>
      <w:r>
        <w:rPr>
          <w:rFonts w:eastAsia="SimSun"/>
        </w:rPr>
        <w:lastRenderedPageBreak/>
        <w:t>cost of service study supporting my supplemental direct testimony showed the Special Contract class being allocated approximately $670,000 in O&amp;M expense.</w:t>
      </w:r>
      <w:r w:rsidR="000D20AD">
        <w:rPr>
          <w:rFonts w:eastAsia="SimSun"/>
        </w:rPr>
        <w:t xml:space="preserve"> </w:t>
      </w:r>
      <w:r>
        <w:rPr>
          <w:rFonts w:eastAsia="SimSun"/>
        </w:rPr>
        <w:t>Compared with $1.37</w:t>
      </w:r>
      <w:r w:rsidR="00EE3502">
        <w:rPr>
          <w:rFonts w:eastAsia="SimSun"/>
        </w:rPr>
        <w:t> </w:t>
      </w:r>
      <w:r>
        <w:rPr>
          <w:rFonts w:eastAsia="SimSun"/>
        </w:rPr>
        <w:t xml:space="preserve">million in revenue, this leaves </w:t>
      </w:r>
      <w:r w:rsidR="002178E1">
        <w:rPr>
          <w:rFonts w:eastAsia="SimSun"/>
        </w:rPr>
        <w:t>approximately $700,000 to contribute to the recovery of PSE’s fixed costs.</w:t>
      </w:r>
      <w:r w:rsidR="000D20AD">
        <w:rPr>
          <w:rFonts w:eastAsia="SimSun"/>
        </w:rPr>
        <w:t xml:space="preserve"> </w:t>
      </w:r>
      <w:r w:rsidR="002178E1">
        <w:rPr>
          <w:rFonts w:eastAsia="SimSun"/>
        </w:rPr>
        <w:t>The gas cost of service model supporting the</w:t>
      </w:r>
      <w:r w:rsidR="00D22978">
        <w:rPr>
          <w:rFonts w:eastAsia="SimSun"/>
        </w:rPr>
        <w:t xml:space="preserve"> prefiled</w:t>
      </w:r>
      <w:r w:rsidR="002178E1">
        <w:rPr>
          <w:rFonts w:eastAsia="SimSun"/>
        </w:rPr>
        <w:t xml:space="preserve"> response testimony of Mr. Brian Collins, witness for the Northwest Industrial Gas Users (“NWIGU”), showed an </w:t>
      </w:r>
      <w:r w:rsidR="00CA1A63">
        <w:rPr>
          <w:rFonts w:eastAsia="SimSun"/>
        </w:rPr>
        <w:t>allocation of approximately</w:t>
      </w:r>
      <w:r w:rsidR="002178E1">
        <w:rPr>
          <w:rFonts w:eastAsia="SimSun"/>
        </w:rPr>
        <w:t xml:space="preserve"> $390,000 </w:t>
      </w:r>
      <w:r w:rsidR="00CA1A63">
        <w:rPr>
          <w:rFonts w:eastAsia="SimSun"/>
        </w:rPr>
        <w:t>in</w:t>
      </w:r>
      <w:r w:rsidR="002178E1">
        <w:rPr>
          <w:rFonts w:eastAsia="SimSun"/>
        </w:rPr>
        <w:t xml:space="preserve"> O&amp;M expenses,</w:t>
      </w:r>
      <w:r w:rsidR="002178E1">
        <w:rPr>
          <w:rStyle w:val="FootnoteReference"/>
          <w:rFonts w:eastAsia="SimSun"/>
        </w:rPr>
        <w:footnoteReference w:id="10"/>
      </w:r>
      <w:r w:rsidR="002178E1">
        <w:rPr>
          <w:rFonts w:eastAsia="SimSun"/>
        </w:rPr>
        <w:t xml:space="preserve"> leaving $980,000 for fixed cost recovery</w:t>
      </w:r>
      <w:r>
        <w:rPr>
          <w:rFonts w:eastAsia="SimSun"/>
        </w:rPr>
        <w:t>.</w:t>
      </w:r>
      <w:r w:rsidR="000D20AD">
        <w:rPr>
          <w:rFonts w:eastAsia="SimSun"/>
        </w:rPr>
        <w:t xml:space="preserve"> </w:t>
      </w:r>
      <w:r w:rsidR="002178E1">
        <w:rPr>
          <w:rFonts w:eastAsia="SimSun"/>
        </w:rPr>
        <w:t>In fact, using NWIGU’s cost allocation assumptions, the Special Contract class is shown to recover 100</w:t>
      </w:r>
      <w:r w:rsidR="00EE3502">
        <w:rPr>
          <w:rFonts w:eastAsia="SimSun"/>
        </w:rPr>
        <w:t> </w:t>
      </w:r>
      <w:r w:rsidR="002178E1">
        <w:rPr>
          <w:rFonts w:eastAsia="SimSun"/>
        </w:rPr>
        <w:t>percent of its allocated fixed costs at PSE’s requested 7.74</w:t>
      </w:r>
      <w:r w:rsidR="00EE3502">
        <w:rPr>
          <w:rFonts w:eastAsia="SimSun"/>
        </w:rPr>
        <w:t> </w:t>
      </w:r>
      <w:r w:rsidR="002178E1">
        <w:rPr>
          <w:rFonts w:eastAsia="SimSun"/>
        </w:rPr>
        <w:t>percent rate of return.</w:t>
      </w:r>
    </w:p>
    <w:p w:rsidR="00351F45" w:rsidRPr="009075DC" w:rsidRDefault="00351F45" w:rsidP="00351F45">
      <w:pPr>
        <w:pStyle w:val="question"/>
      </w:pPr>
      <w:r>
        <w:t>Q.</w:t>
      </w:r>
      <w:r>
        <w:tab/>
      </w:r>
      <w:r w:rsidR="002178E1">
        <w:t>What should be made of this wide range of results</w:t>
      </w:r>
      <w:r w:rsidRPr="009075DC">
        <w:t>?</w:t>
      </w:r>
    </w:p>
    <w:p w:rsidR="00351F45" w:rsidRPr="009075DC" w:rsidRDefault="00351F45" w:rsidP="00351F45">
      <w:pPr>
        <w:pStyle w:val="answer"/>
        <w:rPr>
          <w:rFonts w:eastAsia="SimSun"/>
        </w:rPr>
      </w:pPr>
      <w:r>
        <w:rPr>
          <w:rFonts w:eastAsia="SimSun"/>
        </w:rPr>
        <w:t>A.</w:t>
      </w:r>
      <w:r>
        <w:rPr>
          <w:rFonts w:eastAsia="SimSun"/>
        </w:rPr>
        <w:tab/>
      </w:r>
      <w:r w:rsidR="002178E1">
        <w:rPr>
          <w:rFonts w:eastAsia="SimSun"/>
        </w:rPr>
        <w:t xml:space="preserve">This wide range of results illustrates the caution that should be taken </w:t>
      </w:r>
      <w:r w:rsidR="009E037C">
        <w:rPr>
          <w:rFonts w:eastAsia="SimSun"/>
        </w:rPr>
        <w:t>before putting too much faith in any one set of cost of service results</w:t>
      </w:r>
      <w:r>
        <w:rPr>
          <w:rFonts w:eastAsia="SimSun"/>
        </w:rPr>
        <w:t>.</w:t>
      </w:r>
      <w:r w:rsidR="000D20AD">
        <w:rPr>
          <w:rFonts w:eastAsia="SimSun"/>
        </w:rPr>
        <w:t xml:space="preserve"> </w:t>
      </w:r>
      <w:r w:rsidR="00D22978">
        <w:rPr>
          <w:rFonts w:eastAsia="SimSun"/>
        </w:rPr>
        <w:t xml:space="preserve">These results are far too unstable to be making recommendations with the </w:t>
      </w:r>
      <w:r w:rsidR="00DD4C12">
        <w:rPr>
          <w:rFonts w:eastAsia="SimSun"/>
        </w:rPr>
        <w:t xml:space="preserve">level of </w:t>
      </w:r>
      <w:r w:rsidR="00D22978">
        <w:rPr>
          <w:rFonts w:eastAsia="SimSun"/>
        </w:rPr>
        <w:t>precision of Staff’s proposal.</w:t>
      </w:r>
      <w:r w:rsidR="000D20AD">
        <w:rPr>
          <w:rFonts w:eastAsia="SimSun"/>
        </w:rPr>
        <w:t xml:space="preserve"> </w:t>
      </w:r>
      <w:r w:rsidR="00DD4C12">
        <w:rPr>
          <w:rFonts w:eastAsia="SimSun"/>
        </w:rPr>
        <w:t>Indeed, the Commission typically eschews direct application of cost of service results in ratemaking applications, contrary to Staff’s proposal here.</w:t>
      </w:r>
    </w:p>
    <w:p w:rsidR="00BD0BF8" w:rsidRPr="009075DC" w:rsidRDefault="00BD0BF8" w:rsidP="001666C8">
      <w:pPr>
        <w:pStyle w:val="Heading1"/>
      </w:pPr>
      <w:bookmarkStart w:id="6" w:name="_Toc490566956"/>
      <w:r>
        <w:lastRenderedPageBreak/>
        <w:t>V</w:t>
      </w:r>
      <w:r w:rsidRPr="009075DC">
        <w:t>.</w:t>
      </w:r>
      <w:r w:rsidRPr="009075DC">
        <w:tab/>
      </w:r>
      <w:r>
        <w:t>STAFF HAS HAD MULTIPLE OPPORTUNITIES TO RAISE THIS ISSUE IN THE PAST</w:t>
      </w:r>
      <w:r w:rsidR="00D22978">
        <w:t>, INCLUDING IN MORE APPROPRIATE FORUMS</w:t>
      </w:r>
      <w:bookmarkEnd w:id="6"/>
    </w:p>
    <w:p w:rsidR="00BD0BF8" w:rsidRPr="009075DC" w:rsidRDefault="00BD0BF8" w:rsidP="00BD0BF8">
      <w:pPr>
        <w:pStyle w:val="question"/>
      </w:pPr>
      <w:r>
        <w:t>Q.</w:t>
      </w:r>
      <w:r>
        <w:tab/>
        <w:t>Are the circumstances that give rise to Staff’s issue new</w:t>
      </w:r>
      <w:r w:rsidRPr="009075DC">
        <w:t>?</w:t>
      </w:r>
    </w:p>
    <w:p w:rsidR="00FE40FE" w:rsidRDefault="00BD0BF8" w:rsidP="00BD0BF8">
      <w:pPr>
        <w:pStyle w:val="answer"/>
        <w:rPr>
          <w:rFonts w:eastAsia="SimSun"/>
        </w:rPr>
      </w:pPr>
      <w:r>
        <w:rPr>
          <w:rFonts w:eastAsia="SimSun"/>
        </w:rPr>
        <w:t>A.</w:t>
      </w:r>
      <w:r>
        <w:rPr>
          <w:rFonts w:eastAsia="SimSun"/>
        </w:rPr>
        <w:tab/>
      </w:r>
      <w:r w:rsidR="00BB1819">
        <w:rPr>
          <w:rFonts w:eastAsia="SimSun"/>
        </w:rPr>
        <w:t>No.</w:t>
      </w:r>
      <w:r w:rsidR="000D20AD">
        <w:rPr>
          <w:rFonts w:eastAsia="SimSun"/>
        </w:rPr>
        <w:t xml:space="preserve"> </w:t>
      </w:r>
      <w:r w:rsidR="00BB1819">
        <w:rPr>
          <w:rFonts w:eastAsia="SimSun"/>
        </w:rPr>
        <w:t>The special contract in question in this proceeding was originally approved in Docket UG-950392.</w:t>
      </w:r>
      <w:r w:rsidR="000D20AD">
        <w:rPr>
          <w:rFonts w:eastAsia="SimSun"/>
        </w:rPr>
        <w:t xml:space="preserve"> </w:t>
      </w:r>
      <w:r w:rsidR="00BB1819">
        <w:rPr>
          <w:rFonts w:eastAsia="SimSun"/>
        </w:rPr>
        <w:t>Since that time, PSE has filed multiple rate cases, all of which were reviewed by Staff and which resulted in rates charged to the Special Contract class that recovered less than their fully allocated costs, including allocated fixed costs</w:t>
      </w:r>
      <w:r w:rsidR="00DD4C12">
        <w:rPr>
          <w:rFonts w:eastAsia="SimSun"/>
        </w:rPr>
        <w:t xml:space="preserve"> as being proposed by Staff in this case</w:t>
      </w:r>
      <w:r>
        <w:rPr>
          <w:rFonts w:eastAsia="SimSun"/>
        </w:rPr>
        <w:t>.</w:t>
      </w:r>
      <w:r w:rsidR="000D20AD">
        <w:rPr>
          <w:rFonts w:eastAsia="SimSun"/>
        </w:rPr>
        <w:t xml:space="preserve"> The table</w:t>
      </w:r>
      <w:r w:rsidR="00FE40FE">
        <w:rPr>
          <w:rFonts w:eastAsia="SimSun"/>
        </w:rPr>
        <w:t xml:space="preserve"> below illustrates the revenues, allocated O&amp;M expenses and parity ratios resulting from the final rates approved in each case</w:t>
      </w:r>
      <w:r w:rsidR="00061C24">
        <w:rPr>
          <w:rFonts w:eastAsia="SimSun"/>
        </w:rPr>
        <w:t xml:space="preserve"> since PSE’s 2007 </w:t>
      </w:r>
      <w:r w:rsidR="00986456">
        <w:rPr>
          <w:rFonts w:eastAsia="SimSun"/>
        </w:rPr>
        <w:t>general rate case</w:t>
      </w:r>
      <w:r w:rsidR="00FE40FE">
        <w:rPr>
          <w:rFonts w:eastAsia="SimSun"/>
        </w:rPr>
        <w:t xml:space="preserve"> for the Special Contract class, as well as the results using PSE’s proposal in this case.</w:t>
      </w:r>
    </w:p>
    <w:tbl>
      <w:tblPr>
        <w:tblStyle w:val="TableGrid"/>
        <w:tblW w:w="0" w:type="auto"/>
        <w:tblInd w:w="720" w:type="dxa"/>
        <w:tblLook w:val="04A0" w:firstRow="1" w:lastRow="0" w:firstColumn="1" w:lastColumn="0" w:noHBand="0" w:noVBand="1"/>
      </w:tblPr>
      <w:tblGrid>
        <w:gridCol w:w="2007"/>
        <w:gridCol w:w="2073"/>
        <w:gridCol w:w="2073"/>
        <w:gridCol w:w="1983"/>
      </w:tblGrid>
      <w:tr w:rsidR="00FE40FE" w:rsidTr="000D20AD">
        <w:tc>
          <w:tcPr>
            <w:tcW w:w="2007" w:type="dxa"/>
            <w:shd w:val="clear" w:color="auto" w:fill="D9D9D9" w:themeFill="background1" w:themeFillShade="D9"/>
            <w:vAlign w:val="bottom"/>
          </w:tcPr>
          <w:p w:rsidR="00FE40FE" w:rsidRPr="00102FFC" w:rsidRDefault="00FE40FE" w:rsidP="000D20AD">
            <w:pPr>
              <w:pStyle w:val="answer"/>
              <w:keepNext/>
              <w:keepLines/>
              <w:spacing w:before="60" w:after="60" w:line="240" w:lineRule="auto"/>
              <w:ind w:left="0" w:firstLine="0"/>
              <w:jc w:val="center"/>
              <w:rPr>
                <w:rFonts w:eastAsia="SimSun"/>
                <w:b/>
              </w:rPr>
            </w:pPr>
            <w:r w:rsidRPr="00102FFC">
              <w:rPr>
                <w:rFonts w:eastAsia="SimSun"/>
                <w:b/>
              </w:rPr>
              <w:t>Docket</w:t>
            </w:r>
          </w:p>
        </w:tc>
        <w:tc>
          <w:tcPr>
            <w:tcW w:w="2073" w:type="dxa"/>
            <w:shd w:val="clear" w:color="auto" w:fill="D9D9D9" w:themeFill="background1" w:themeFillShade="D9"/>
            <w:vAlign w:val="bottom"/>
          </w:tcPr>
          <w:p w:rsidR="00FE40FE" w:rsidRPr="00102FFC" w:rsidRDefault="00FE40FE" w:rsidP="000D20AD">
            <w:pPr>
              <w:pStyle w:val="answer"/>
              <w:keepNext/>
              <w:keepLines/>
              <w:spacing w:before="60" w:after="60" w:line="240" w:lineRule="auto"/>
              <w:ind w:left="0" w:firstLine="0"/>
              <w:jc w:val="center"/>
              <w:rPr>
                <w:rFonts w:eastAsia="SimSun"/>
                <w:b/>
              </w:rPr>
            </w:pPr>
            <w:r w:rsidRPr="00102FFC">
              <w:rPr>
                <w:rFonts w:eastAsia="SimSun"/>
                <w:b/>
              </w:rPr>
              <w:t>Revenue ($ millions)</w:t>
            </w:r>
          </w:p>
        </w:tc>
        <w:tc>
          <w:tcPr>
            <w:tcW w:w="2073" w:type="dxa"/>
            <w:shd w:val="clear" w:color="auto" w:fill="D9D9D9" w:themeFill="background1" w:themeFillShade="D9"/>
            <w:vAlign w:val="bottom"/>
          </w:tcPr>
          <w:p w:rsidR="00FE40FE" w:rsidRPr="00102FFC" w:rsidRDefault="00FE40FE" w:rsidP="000D20AD">
            <w:pPr>
              <w:pStyle w:val="answer"/>
              <w:keepNext/>
              <w:keepLines/>
              <w:spacing w:before="60" w:after="60" w:line="240" w:lineRule="auto"/>
              <w:ind w:left="0" w:firstLine="0"/>
              <w:jc w:val="center"/>
              <w:rPr>
                <w:rFonts w:eastAsia="SimSun"/>
                <w:b/>
              </w:rPr>
            </w:pPr>
            <w:r w:rsidRPr="00102FFC">
              <w:rPr>
                <w:rFonts w:eastAsia="SimSun"/>
                <w:b/>
              </w:rPr>
              <w:t>O&amp;M Expense ($ millions)</w:t>
            </w:r>
          </w:p>
        </w:tc>
        <w:tc>
          <w:tcPr>
            <w:tcW w:w="1983" w:type="dxa"/>
            <w:shd w:val="clear" w:color="auto" w:fill="D9D9D9" w:themeFill="background1" w:themeFillShade="D9"/>
            <w:vAlign w:val="bottom"/>
          </w:tcPr>
          <w:p w:rsidR="00FE40FE" w:rsidRPr="00102FFC" w:rsidRDefault="00FE40FE" w:rsidP="000D20AD">
            <w:pPr>
              <w:pStyle w:val="answer"/>
              <w:keepNext/>
              <w:keepLines/>
              <w:spacing w:before="60" w:after="60" w:line="240" w:lineRule="auto"/>
              <w:ind w:left="0" w:firstLine="0"/>
              <w:jc w:val="center"/>
              <w:rPr>
                <w:rFonts w:eastAsia="SimSun"/>
                <w:b/>
              </w:rPr>
            </w:pPr>
            <w:r w:rsidRPr="00102FFC">
              <w:rPr>
                <w:rFonts w:eastAsia="SimSun"/>
                <w:b/>
              </w:rPr>
              <w:t>Parity Ratio</w:t>
            </w:r>
          </w:p>
        </w:tc>
      </w:tr>
      <w:tr w:rsidR="00FE40FE" w:rsidTr="00102FFC">
        <w:tc>
          <w:tcPr>
            <w:tcW w:w="2007" w:type="dxa"/>
          </w:tcPr>
          <w:p w:rsidR="00FE40FE" w:rsidRDefault="00FE40FE" w:rsidP="000D20AD">
            <w:pPr>
              <w:pStyle w:val="answer"/>
              <w:keepNext/>
              <w:keepLines/>
              <w:spacing w:before="60" w:after="60" w:line="240" w:lineRule="auto"/>
              <w:ind w:left="0" w:firstLine="0"/>
              <w:rPr>
                <w:rFonts w:eastAsia="SimSun"/>
              </w:rPr>
            </w:pPr>
            <w:r>
              <w:rPr>
                <w:rFonts w:eastAsia="SimSun"/>
              </w:rPr>
              <w:t>UG-072301</w:t>
            </w:r>
          </w:p>
        </w:tc>
        <w:tc>
          <w:tcPr>
            <w:tcW w:w="2073" w:type="dxa"/>
          </w:tcPr>
          <w:p w:rsidR="00FE40FE" w:rsidRDefault="001F622B" w:rsidP="000D20AD">
            <w:pPr>
              <w:pStyle w:val="answer"/>
              <w:keepNext/>
              <w:keepLines/>
              <w:spacing w:before="60" w:after="60" w:line="240" w:lineRule="auto"/>
              <w:ind w:left="0" w:firstLine="0"/>
              <w:jc w:val="center"/>
              <w:rPr>
                <w:rFonts w:eastAsia="SimSun"/>
              </w:rPr>
            </w:pPr>
            <w:r>
              <w:rPr>
                <w:rFonts w:eastAsia="SimSun"/>
              </w:rPr>
              <w:t>$1.60</w:t>
            </w:r>
          </w:p>
        </w:tc>
        <w:tc>
          <w:tcPr>
            <w:tcW w:w="2073" w:type="dxa"/>
          </w:tcPr>
          <w:p w:rsidR="00FE40FE" w:rsidRDefault="001F622B" w:rsidP="000D20AD">
            <w:pPr>
              <w:pStyle w:val="answer"/>
              <w:keepNext/>
              <w:keepLines/>
              <w:spacing w:before="60" w:after="60" w:line="240" w:lineRule="auto"/>
              <w:ind w:left="0" w:firstLine="0"/>
              <w:jc w:val="center"/>
              <w:rPr>
                <w:rFonts w:eastAsia="SimSun"/>
              </w:rPr>
            </w:pPr>
            <w:r>
              <w:rPr>
                <w:rFonts w:eastAsia="SimSun"/>
              </w:rPr>
              <w:t>$0.40</w:t>
            </w:r>
          </w:p>
        </w:tc>
        <w:tc>
          <w:tcPr>
            <w:tcW w:w="1983" w:type="dxa"/>
          </w:tcPr>
          <w:p w:rsidR="00FE40FE" w:rsidRDefault="001F622B" w:rsidP="000D20AD">
            <w:pPr>
              <w:pStyle w:val="answer"/>
              <w:keepNext/>
              <w:keepLines/>
              <w:spacing w:before="60" w:after="60" w:line="240" w:lineRule="auto"/>
              <w:ind w:left="0" w:firstLine="0"/>
              <w:jc w:val="center"/>
              <w:rPr>
                <w:rFonts w:eastAsia="SimSun"/>
              </w:rPr>
            </w:pPr>
            <w:r>
              <w:rPr>
                <w:rFonts w:eastAsia="SimSun"/>
              </w:rPr>
              <w:t>95%</w:t>
            </w:r>
          </w:p>
        </w:tc>
      </w:tr>
      <w:tr w:rsidR="00FE40FE" w:rsidTr="00102FFC">
        <w:tc>
          <w:tcPr>
            <w:tcW w:w="2007" w:type="dxa"/>
          </w:tcPr>
          <w:p w:rsidR="00FE40FE" w:rsidRDefault="00FE40FE" w:rsidP="000D20AD">
            <w:pPr>
              <w:pStyle w:val="answer"/>
              <w:keepNext/>
              <w:keepLines/>
              <w:spacing w:before="60" w:after="60" w:line="240" w:lineRule="auto"/>
              <w:ind w:left="0" w:firstLine="0"/>
              <w:rPr>
                <w:rFonts w:eastAsia="SimSun"/>
              </w:rPr>
            </w:pPr>
            <w:r>
              <w:rPr>
                <w:rFonts w:eastAsia="SimSun"/>
              </w:rPr>
              <w:t>UG-090705</w:t>
            </w:r>
          </w:p>
        </w:tc>
        <w:tc>
          <w:tcPr>
            <w:tcW w:w="2073" w:type="dxa"/>
          </w:tcPr>
          <w:p w:rsidR="00FE40FE" w:rsidRDefault="00D1770B" w:rsidP="000D20AD">
            <w:pPr>
              <w:pStyle w:val="answer"/>
              <w:keepNext/>
              <w:keepLines/>
              <w:spacing w:before="60" w:after="60" w:line="240" w:lineRule="auto"/>
              <w:ind w:left="0" w:firstLine="0"/>
              <w:jc w:val="center"/>
              <w:rPr>
                <w:rFonts w:eastAsia="SimSun"/>
              </w:rPr>
            </w:pPr>
            <w:r>
              <w:rPr>
                <w:rFonts w:eastAsia="SimSun"/>
              </w:rPr>
              <w:t>$1.63</w:t>
            </w:r>
          </w:p>
        </w:tc>
        <w:tc>
          <w:tcPr>
            <w:tcW w:w="2073" w:type="dxa"/>
          </w:tcPr>
          <w:p w:rsidR="00FE40FE" w:rsidRDefault="00D1770B" w:rsidP="000D20AD">
            <w:pPr>
              <w:pStyle w:val="answer"/>
              <w:keepNext/>
              <w:keepLines/>
              <w:spacing w:before="60" w:after="60" w:line="240" w:lineRule="auto"/>
              <w:ind w:left="0" w:firstLine="0"/>
              <w:jc w:val="center"/>
              <w:rPr>
                <w:rFonts w:eastAsia="SimSun"/>
              </w:rPr>
            </w:pPr>
            <w:r>
              <w:rPr>
                <w:rFonts w:eastAsia="SimSun"/>
              </w:rPr>
              <w:t>$0.46</w:t>
            </w:r>
          </w:p>
        </w:tc>
        <w:tc>
          <w:tcPr>
            <w:tcW w:w="1983" w:type="dxa"/>
          </w:tcPr>
          <w:p w:rsidR="00FE40FE" w:rsidRDefault="00D1770B" w:rsidP="000D20AD">
            <w:pPr>
              <w:pStyle w:val="answer"/>
              <w:keepNext/>
              <w:keepLines/>
              <w:spacing w:before="60" w:after="60" w:line="240" w:lineRule="auto"/>
              <w:ind w:left="0" w:firstLine="0"/>
              <w:jc w:val="center"/>
              <w:rPr>
                <w:rFonts w:eastAsia="SimSun"/>
              </w:rPr>
            </w:pPr>
            <w:r>
              <w:rPr>
                <w:rFonts w:eastAsia="SimSun"/>
              </w:rPr>
              <w:t>78%</w:t>
            </w:r>
          </w:p>
        </w:tc>
      </w:tr>
      <w:tr w:rsidR="00FE40FE" w:rsidTr="00102FFC">
        <w:tc>
          <w:tcPr>
            <w:tcW w:w="2007" w:type="dxa"/>
          </w:tcPr>
          <w:p w:rsidR="00FE40FE" w:rsidRDefault="00FE40FE" w:rsidP="000D20AD">
            <w:pPr>
              <w:pStyle w:val="answer"/>
              <w:keepNext/>
              <w:keepLines/>
              <w:spacing w:before="60" w:after="60" w:line="240" w:lineRule="auto"/>
              <w:ind w:left="0" w:firstLine="0"/>
              <w:rPr>
                <w:rFonts w:eastAsia="SimSun"/>
              </w:rPr>
            </w:pPr>
            <w:r>
              <w:rPr>
                <w:rFonts w:eastAsia="SimSun"/>
              </w:rPr>
              <w:t>UG-101644</w:t>
            </w:r>
          </w:p>
        </w:tc>
        <w:tc>
          <w:tcPr>
            <w:tcW w:w="2073" w:type="dxa"/>
          </w:tcPr>
          <w:p w:rsidR="00FE40FE" w:rsidRDefault="00D1770B" w:rsidP="000D20AD">
            <w:pPr>
              <w:pStyle w:val="answer"/>
              <w:keepNext/>
              <w:keepLines/>
              <w:spacing w:before="60" w:after="60" w:line="240" w:lineRule="auto"/>
              <w:ind w:left="0" w:firstLine="0"/>
              <w:jc w:val="center"/>
              <w:rPr>
                <w:rFonts w:eastAsia="SimSun"/>
              </w:rPr>
            </w:pPr>
            <w:r>
              <w:rPr>
                <w:rFonts w:eastAsia="SimSun"/>
              </w:rPr>
              <w:t>$1.</w:t>
            </w:r>
            <w:r w:rsidR="00EB517F">
              <w:rPr>
                <w:rFonts w:eastAsia="SimSun"/>
              </w:rPr>
              <w:t>65</w:t>
            </w:r>
          </w:p>
        </w:tc>
        <w:tc>
          <w:tcPr>
            <w:tcW w:w="2073" w:type="dxa"/>
          </w:tcPr>
          <w:p w:rsidR="00FE40FE" w:rsidRDefault="00D1770B" w:rsidP="000D20AD">
            <w:pPr>
              <w:pStyle w:val="answer"/>
              <w:keepNext/>
              <w:keepLines/>
              <w:spacing w:before="60" w:after="60" w:line="240" w:lineRule="auto"/>
              <w:ind w:left="0" w:firstLine="0"/>
              <w:jc w:val="center"/>
              <w:rPr>
                <w:rFonts w:eastAsia="SimSun"/>
              </w:rPr>
            </w:pPr>
            <w:r>
              <w:rPr>
                <w:rFonts w:eastAsia="SimSun"/>
              </w:rPr>
              <w:t>$0.42</w:t>
            </w:r>
          </w:p>
        </w:tc>
        <w:tc>
          <w:tcPr>
            <w:tcW w:w="1983" w:type="dxa"/>
          </w:tcPr>
          <w:p w:rsidR="00FE40FE" w:rsidRDefault="00D1770B" w:rsidP="000D20AD">
            <w:pPr>
              <w:pStyle w:val="answer"/>
              <w:keepNext/>
              <w:keepLines/>
              <w:spacing w:before="60" w:after="60" w:line="240" w:lineRule="auto"/>
              <w:ind w:left="0" w:firstLine="0"/>
              <w:jc w:val="center"/>
              <w:rPr>
                <w:rFonts w:eastAsia="SimSun"/>
              </w:rPr>
            </w:pPr>
            <w:r>
              <w:rPr>
                <w:rFonts w:eastAsia="SimSun"/>
              </w:rPr>
              <w:t>79%</w:t>
            </w:r>
          </w:p>
        </w:tc>
      </w:tr>
      <w:tr w:rsidR="00FE40FE" w:rsidTr="00102FFC">
        <w:tc>
          <w:tcPr>
            <w:tcW w:w="2007" w:type="dxa"/>
          </w:tcPr>
          <w:p w:rsidR="00FE40FE" w:rsidRDefault="00FE40FE" w:rsidP="000D20AD">
            <w:pPr>
              <w:pStyle w:val="answer"/>
              <w:keepNext/>
              <w:keepLines/>
              <w:spacing w:before="60" w:after="60" w:line="240" w:lineRule="auto"/>
              <w:ind w:left="0" w:firstLine="0"/>
              <w:rPr>
                <w:rFonts w:eastAsia="SimSun"/>
              </w:rPr>
            </w:pPr>
            <w:r>
              <w:rPr>
                <w:rFonts w:eastAsia="SimSun"/>
              </w:rPr>
              <w:t>UG-111049</w:t>
            </w:r>
          </w:p>
        </w:tc>
        <w:tc>
          <w:tcPr>
            <w:tcW w:w="2073" w:type="dxa"/>
          </w:tcPr>
          <w:p w:rsidR="00FE40FE" w:rsidRDefault="00102FFC" w:rsidP="000D20AD">
            <w:pPr>
              <w:pStyle w:val="answer"/>
              <w:keepNext/>
              <w:keepLines/>
              <w:spacing w:before="60" w:after="60" w:line="240" w:lineRule="auto"/>
              <w:ind w:left="0" w:firstLine="0"/>
              <w:jc w:val="center"/>
              <w:rPr>
                <w:rFonts w:eastAsia="SimSun"/>
              </w:rPr>
            </w:pPr>
            <w:r>
              <w:rPr>
                <w:rFonts w:eastAsia="SimSun"/>
              </w:rPr>
              <w:t>$1.66</w:t>
            </w:r>
          </w:p>
        </w:tc>
        <w:tc>
          <w:tcPr>
            <w:tcW w:w="2073" w:type="dxa"/>
          </w:tcPr>
          <w:p w:rsidR="00FE40FE" w:rsidRDefault="00102FFC" w:rsidP="000D20AD">
            <w:pPr>
              <w:pStyle w:val="answer"/>
              <w:keepNext/>
              <w:keepLines/>
              <w:spacing w:before="60" w:after="60" w:line="240" w:lineRule="auto"/>
              <w:ind w:left="0" w:firstLine="0"/>
              <w:jc w:val="center"/>
              <w:rPr>
                <w:rFonts w:eastAsia="SimSun"/>
              </w:rPr>
            </w:pPr>
            <w:r>
              <w:rPr>
                <w:rFonts w:eastAsia="SimSun"/>
              </w:rPr>
              <w:t>$0.45</w:t>
            </w:r>
          </w:p>
        </w:tc>
        <w:tc>
          <w:tcPr>
            <w:tcW w:w="1983" w:type="dxa"/>
          </w:tcPr>
          <w:p w:rsidR="00FE40FE" w:rsidRDefault="00102FFC" w:rsidP="000D20AD">
            <w:pPr>
              <w:pStyle w:val="answer"/>
              <w:keepNext/>
              <w:keepLines/>
              <w:spacing w:before="60" w:after="60" w:line="240" w:lineRule="auto"/>
              <w:ind w:left="0" w:firstLine="0"/>
              <w:jc w:val="center"/>
              <w:rPr>
                <w:rFonts w:eastAsia="SimSun"/>
              </w:rPr>
            </w:pPr>
            <w:r>
              <w:rPr>
                <w:rFonts w:eastAsia="SimSun"/>
              </w:rPr>
              <w:t>72%</w:t>
            </w:r>
          </w:p>
        </w:tc>
      </w:tr>
      <w:tr w:rsidR="00FE40FE" w:rsidTr="00102FFC">
        <w:tc>
          <w:tcPr>
            <w:tcW w:w="2007" w:type="dxa"/>
          </w:tcPr>
          <w:p w:rsidR="00FE40FE" w:rsidRDefault="00FE40FE" w:rsidP="004673A3">
            <w:pPr>
              <w:pStyle w:val="answer"/>
              <w:spacing w:before="60" w:after="60" w:line="240" w:lineRule="auto"/>
              <w:ind w:left="0" w:firstLine="0"/>
              <w:rPr>
                <w:rFonts w:eastAsia="SimSun"/>
              </w:rPr>
            </w:pPr>
            <w:r>
              <w:rPr>
                <w:rFonts w:eastAsia="SimSun"/>
              </w:rPr>
              <w:t>UG-170034</w:t>
            </w:r>
          </w:p>
        </w:tc>
        <w:tc>
          <w:tcPr>
            <w:tcW w:w="2073" w:type="dxa"/>
          </w:tcPr>
          <w:p w:rsidR="00FE40FE" w:rsidRDefault="00102FFC" w:rsidP="004673A3">
            <w:pPr>
              <w:pStyle w:val="answer"/>
              <w:spacing w:before="60" w:after="60" w:line="240" w:lineRule="auto"/>
              <w:ind w:left="0" w:firstLine="0"/>
              <w:jc w:val="center"/>
              <w:rPr>
                <w:rFonts w:eastAsia="SimSun"/>
              </w:rPr>
            </w:pPr>
            <w:r>
              <w:rPr>
                <w:rFonts w:eastAsia="SimSun"/>
              </w:rPr>
              <w:t>$1.37</w:t>
            </w:r>
          </w:p>
        </w:tc>
        <w:tc>
          <w:tcPr>
            <w:tcW w:w="2073" w:type="dxa"/>
          </w:tcPr>
          <w:p w:rsidR="00FE40FE" w:rsidRDefault="00102FFC" w:rsidP="004673A3">
            <w:pPr>
              <w:pStyle w:val="answer"/>
              <w:spacing w:before="60" w:after="60" w:line="240" w:lineRule="auto"/>
              <w:ind w:left="0" w:firstLine="0"/>
              <w:jc w:val="center"/>
              <w:rPr>
                <w:rFonts w:eastAsia="SimSun"/>
              </w:rPr>
            </w:pPr>
            <w:r>
              <w:rPr>
                <w:rFonts w:eastAsia="SimSun"/>
              </w:rPr>
              <w:t>$0.67</w:t>
            </w:r>
          </w:p>
        </w:tc>
        <w:tc>
          <w:tcPr>
            <w:tcW w:w="1983" w:type="dxa"/>
          </w:tcPr>
          <w:p w:rsidR="00FE40FE" w:rsidRDefault="00102FFC" w:rsidP="004673A3">
            <w:pPr>
              <w:pStyle w:val="answer"/>
              <w:spacing w:before="60" w:after="60" w:line="240" w:lineRule="auto"/>
              <w:ind w:left="0" w:firstLine="0"/>
              <w:jc w:val="center"/>
              <w:rPr>
                <w:rFonts w:eastAsia="SimSun"/>
              </w:rPr>
            </w:pPr>
            <w:r>
              <w:rPr>
                <w:rFonts w:eastAsia="SimSun"/>
              </w:rPr>
              <w:t>59%</w:t>
            </w:r>
          </w:p>
        </w:tc>
      </w:tr>
    </w:tbl>
    <w:p w:rsidR="00BD0BF8" w:rsidRPr="009075DC" w:rsidRDefault="00BB1819" w:rsidP="000D20AD">
      <w:pPr>
        <w:pStyle w:val="answer"/>
        <w:spacing w:before="360"/>
        <w:ind w:firstLine="0"/>
        <w:rPr>
          <w:rFonts w:eastAsia="SimSun"/>
        </w:rPr>
      </w:pPr>
      <w:r>
        <w:rPr>
          <w:rFonts w:eastAsia="SimSun"/>
        </w:rPr>
        <w:t xml:space="preserve">In </w:t>
      </w:r>
      <w:r w:rsidR="00061C24">
        <w:rPr>
          <w:rFonts w:eastAsia="SimSun"/>
        </w:rPr>
        <w:t xml:space="preserve">all of </w:t>
      </w:r>
      <w:r w:rsidR="00FE40FE">
        <w:rPr>
          <w:rFonts w:eastAsia="SimSun"/>
        </w:rPr>
        <w:t>the</w:t>
      </w:r>
      <w:r w:rsidR="00D846BA">
        <w:rPr>
          <w:rFonts w:eastAsia="SimSun"/>
        </w:rPr>
        <w:t xml:space="preserve"> completed</w:t>
      </w:r>
      <w:r w:rsidR="00FE40FE">
        <w:rPr>
          <w:rFonts w:eastAsia="SimSun"/>
        </w:rPr>
        <w:t xml:space="preserve"> rate </w:t>
      </w:r>
      <w:r>
        <w:rPr>
          <w:rFonts w:eastAsia="SimSun"/>
        </w:rPr>
        <w:t>cases, the rate spread issues</w:t>
      </w:r>
      <w:r w:rsidR="00FE40FE">
        <w:rPr>
          <w:rFonts w:eastAsia="SimSun"/>
        </w:rPr>
        <w:t xml:space="preserve"> were settled</w:t>
      </w:r>
      <w:r w:rsidR="00102FFC">
        <w:rPr>
          <w:rFonts w:eastAsia="SimSun"/>
        </w:rPr>
        <w:t xml:space="preserve"> and Staff was</w:t>
      </w:r>
      <w:r w:rsidR="00FE40FE">
        <w:rPr>
          <w:rFonts w:eastAsia="SimSun"/>
        </w:rPr>
        <w:t xml:space="preserve"> a party to all of these settlements. </w:t>
      </w:r>
      <w:r w:rsidR="00102FFC">
        <w:rPr>
          <w:rFonts w:eastAsia="SimSun"/>
        </w:rPr>
        <w:t xml:space="preserve">In all cases, </w:t>
      </w:r>
      <w:r w:rsidR="002D300B">
        <w:rPr>
          <w:rFonts w:eastAsia="SimSun"/>
        </w:rPr>
        <w:t xml:space="preserve">Special Contract class </w:t>
      </w:r>
      <w:r w:rsidR="00102FFC">
        <w:rPr>
          <w:rFonts w:eastAsia="SimSun"/>
        </w:rPr>
        <w:t>revenues exceeded</w:t>
      </w:r>
      <w:r w:rsidR="002D300B">
        <w:rPr>
          <w:rFonts w:eastAsia="SimSun"/>
        </w:rPr>
        <w:t xml:space="preserve"> their</w:t>
      </w:r>
      <w:r w:rsidR="00102FFC">
        <w:rPr>
          <w:rFonts w:eastAsia="SimSun"/>
        </w:rPr>
        <w:t xml:space="preserve"> allocated O&amp;M expense (i.e., the Special Contract class was contributing to fixed costs).</w:t>
      </w:r>
      <w:r w:rsidR="000D20AD">
        <w:rPr>
          <w:rFonts w:eastAsia="SimSun"/>
        </w:rPr>
        <w:t xml:space="preserve"> </w:t>
      </w:r>
      <w:r w:rsidR="00102FFC">
        <w:rPr>
          <w:rFonts w:eastAsia="SimSun"/>
        </w:rPr>
        <w:t>However, in all cases, the</w:t>
      </w:r>
      <w:r w:rsidR="002D300B">
        <w:rPr>
          <w:rFonts w:eastAsia="SimSun"/>
        </w:rPr>
        <w:t>ir</w:t>
      </w:r>
      <w:r w:rsidR="00102FFC">
        <w:rPr>
          <w:rFonts w:eastAsia="SimSun"/>
        </w:rPr>
        <w:t xml:space="preserve"> parity ratios were </w:t>
      </w:r>
      <w:r w:rsidR="00DD4C12">
        <w:rPr>
          <w:rFonts w:eastAsia="SimSun"/>
        </w:rPr>
        <w:t xml:space="preserve">also </w:t>
      </w:r>
      <w:r w:rsidR="00102FFC">
        <w:rPr>
          <w:rFonts w:eastAsia="SimSun"/>
        </w:rPr>
        <w:t xml:space="preserve">all well below 1.0 (i.e., the Special Contract class was not covering its fully allocated </w:t>
      </w:r>
      <w:r w:rsidR="00102FFC">
        <w:rPr>
          <w:rFonts w:eastAsia="SimSun"/>
        </w:rPr>
        <w:lastRenderedPageBreak/>
        <w:t>costs).</w:t>
      </w:r>
      <w:r w:rsidR="000D20AD">
        <w:rPr>
          <w:rFonts w:eastAsia="SimSun"/>
        </w:rPr>
        <w:t xml:space="preserve"> </w:t>
      </w:r>
      <w:r w:rsidR="00DD4C12">
        <w:rPr>
          <w:rFonts w:eastAsia="SimSun"/>
        </w:rPr>
        <w:t>None of these results, approved in prior cases, are substantially different than being proposed by PSE in this case.</w:t>
      </w:r>
    </w:p>
    <w:p w:rsidR="00BD0BF8" w:rsidRPr="009075DC" w:rsidRDefault="00BD0BF8" w:rsidP="00BD0BF8">
      <w:pPr>
        <w:pStyle w:val="question"/>
      </w:pPr>
      <w:r>
        <w:t>Q.</w:t>
      </w:r>
      <w:r>
        <w:tab/>
      </w:r>
      <w:r w:rsidR="002D300B">
        <w:t>Has Staff had more appropriate opportunities to raise this</w:t>
      </w:r>
      <w:r w:rsidR="001A3EE4">
        <w:t xml:space="preserve"> issue before the Commission</w:t>
      </w:r>
      <w:r w:rsidRPr="009075DC">
        <w:t>?</w:t>
      </w:r>
    </w:p>
    <w:p w:rsidR="00BD0BF8" w:rsidRDefault="00092114" w:rsidP="00BD0BF8">
      <w:pPr>
        <w:pStyle w:val="answer"/>
        <w:rPr>
          <w:rFonts w:eastAsia="SimSun"/>
        </w:rPr>
      </w:pPr>
      <w:r>
        <w:rPr>
          <w:rFonts w:eastAsia="SimSun"/>
        </w:rPr>
        <w:t>A.</w:t>
      </w:r>
      <w:r>
        <w:rPr>
          <w:rFonts w:eastAsia="SimSun"/>
        </w:rPr>
        <w:tab/>
        <w:t>Yes.</w:t>
      </w:r>
      <w:r w:rsidR="000D20AD">
        <w:rPr>
          <w:rFonts w:eastAsia="SimSun"/>
        </w:rPr>
        <w:t xml:space="preserve"> </w:t>
      </w:r>
      <w:r>
        <w:rPr>
          <w:rFonts w:eastAsia="SimSun"/>
        </w:rPr>
        <w:t>On May</w:t>
      </w:r>
      <w:r w:rsidR="007B0A90">
        <w:rPr>
          <w:rFonts w:eastAsia="SimSun"/>
        </w:rPr>
        <w:t> </w:t>
      </w:r>
      <w:r>
        <w:rPr>
          <w:rFonts w:eastAsia="SimSun"/>
        </w:rPr>
        <w:t>4,</w:t>
      </w:r>
      <w:r w:rsidR="001A3EE4">
        <w:rPr>
          <w:rFonts w:eastAsia="SimSun"/>
        </w:rPr>
        <w:t xml:space="preserve"> 2009, PSE filed</w:t>
      </w:r>
      <w:r w:rsidR="00DD4C12">
        <w:rPr>
          <w:rFonts w:eastAsia="SimSun"/>
        </w:rPr>
        <w:t xml:space="preserve"> in Docket</w:t>
      </w:r>
      <w:r w:rsidR="007B0A90">
        <w:rPr>
          <w:rFonts w:eastAsia="SimSun"/>
        </w:rPr>
        <w:t> </w:t>
      </w:r>
      <w:r w:rsidR="00DD4C12">
        <w:rPr>
          <w:rFonts w:eastAsia="SimSun"/>
        </w:rPr>
        <w:t>UG-950392</w:t>
      </w:r>
      <w:r w:rsidR="001A3EE4">
        <w:rPr>
          <w:rFonts w:eastAsia="SimSun"/>
        </w:rPr>
        <w:t xml:space="preserve"> to extend the term of its gas special contract.</w:t>
      </w:r>
      <w:r w:rsidR="000D20AD">
        <w:rPr>
          <w:rFonts w:eastAsia="SimSun"/>
        </w:rPr>
        <w:t xml:space="preserve"> </w:t>
      </w:r>
      <w:r w:rsidR="001A3EE4">
        <w:rPr>
          <w:rFonts w:eastAsia="SimSun"/>
        </w:rPr>
        <w:t>This</w:t>
      </w:r>
      <w:r>
        <w:rPr>
          <w:rFonts w:eastAsia="SimSun"/>
        </w:rPr>
        <w:t xml:space="preserve"> term extension was approved by order of the Commission on June</w:t>
      </w:r>
      <w:r w:rsidR="007B0A90">
        <w:rPr>
          <w:rFonts w:eastAsia="SimSun"/>
        </w:rPr>
        <w:t> </w:t>
      </w:r>
      <w:r>
        <w:rPr>
          <w:rFonts w:eastAsia="SimSun"/>
        </w:rPr>
        <w:t>11, 2009 and went into effect the next day.</w:t>
      </w:r>
      <w:r w:rsidR="000D20AD">
        <w:rPr>
          <w:rFonts w:eastAsia="SimSun"/>
        </w:rPr>
        <w:t xml:space="preserve"> </w:t>
      </w:r>
      <w:r>
        <w:rPr>
          <w:rFonts w:eastAsia="SimSun"/>
        </w:rPr>
        <w:t xml:space="preserve">If Staff had any concerns about the contribution this class was making to the recovery of PSE’s fixed delivery costs, the filing to extend the term of the contract would have been the appropriate time to </w:t>
      </w:r>
      <w:r w:rsidR="00DD4C12">
        <w:rPr>
          <w:rFonts w:eastAsia="SimSun"/>
        </w:rPr>
        <w:t xml:space="preserve">raise </w:t>
      </w:r>
      <w:r>
        <w:rPr>
          <w:rFonts w:eastAsia="SimSun"/>
        </w:rPr>
        <w:t>these issues.</w:t>
      </w:r>
    </w:p>
    <w:p w:rsidR="00092114" w:rsidRPr="004E5B36" w:rsidRDefault="00092114" w:rsidP="00BD0BF8">
      <w:pPr>
        <w:pStyle w:val="answer"/>
        <w:rPr>
          <w:rFonts w:eastAsia="SimSun"/>
          <w:b/>
        </w:rPr>
      </w:pPr>
      <w:r w:rsidRPr="004E5B36">
        <w:rPr>
          <w:rFonts w:eastAsia="SimSun"/>
          <w:b/>
        </w:rPr>
        <w:t>Q.</w:t>
      </w:r>
      <w:r w:rsidRPr="004E5B36">
        <w:rPr>
          <w:rFonts w:eastAsia="SimSun"/>
          <w:b/>
        </w:rPr>
        <w:tab/>
      </w:r>
      <w:r w:rsidR="004E5B36" w:rsidRPr="004E5B36">
        <w:rPr>
          <w:rFonts w:eastAsia="SimSun"/>
          <w:b/>
        </w:rPr>
        <w:t xml:space="preserve">Is this proceeding the appropriate place to </w:t>
      </w:r>
      <w:r w:rsidR="00DD4C12">
        <w:rPr>
          <w:rFonts w:eastAsia="SimSun"/>
          <w:b/>
        </w:rPr>
        <w:t xml:space="preserve">raise </w:t>
      </w:r>
      <w:r w:rsidR="004E5B36" w:rsidRPr="004E5B36">
        <w:rPr>
          <w:rFonts w:eastAsia="SimSun"/>
          <w:b/>
        </w:rPr>
        <w:t>the issues related to cost recovery from the Special Contract class?</w:t>
      </w:r>
    </w:p>
    <w:p w:rsidR="004E5B36" w:rsidRPr="009075DC" w:rsidRDefault="004E5B36" w:rsidP="00BD0BF8">
      <w:pPr>
        <w:pStyle w:val="answer"/>
        <w:rPr>
          <w:rFonts w:eastAsia="SimSun"/>
        </w:rPr>
      </w:pPr>
      <w:r>
        <w:rPr>
          <w:rFonts w:eastAsia="SimSun"/>
        </w:rPr>
        <w:t>A.</w:t>
      </w:r>
      <w:r>
        <w:rPr>
          <w:rFonts w:eastAsia="SimSun"/>
        </w:rPr>
        <w:tab/>
        <w:t>No.</w:t>
      </w:r>
      <w:r w:rsidR="000D20AD">
        <w:rPr>
          <w:rFonts w:eastAsia="SimSun"/>
        </w:rPr>
        <w:t xml:space="preserve"> </w:t>
      </w:r>
      <w:r>
        <w:rPr>
          <w:rFonts w:eastAsia="SimSun"/>
        </w:rPr>
        <w:t>PSE has not filed any amendments to its contracts in this case and, therefore, proposed changes are outside the scope of this proceeding.</w:t>
      </w:r>
      <w:r w:rsidR="000D20AD">
        <w:rPr>
          <w:rFonts w:eastAsia="SimSun"/>
        </w:rPr>
        <w:t xml:space="preserve"> </w:t>
      </w:r>
      <w:r w:rsidR="002D300B">
        <w:rPr>
          <w:rFonts w:eastAsia="SimSun"/>
        </w:rPr>
        <w:t xml:space="preserve">At best, the Special Contract class rates are only tangentially relevant in that they are partly tied to the rates </w:t>
      </w:r>
      <w:r w:rsidR="00DD4C12">
        <w:rPr>
          <w:rFonts w:eastAsia="SimSun"/>
        </w:rPr>
        <w:t xml:space="preserve">charged </w:t>
      </w:r>
      <w:r w:rsidR="002D300B">
        <w:rPr>
          <w:rFonts w:eastAsia="SimSun"/>
        </w:rPr>
        <w:t xml:space="preserve">for </w:t>
      </w:r>
      <w:r w:rsidR="00DD4C12">
        <w:rPr>
          <w:rFonts w:eastAsia="SimSun"/>
        </w:rPr>
        <w:t xml:space="preserve">service under </w:t>
      </w:r>
      <w:r w:rsidR="002D300B">
        <w:rPr>
          <w:rFonts w:eastAsia="SimSun"/>
        </w:rPr>
        <w:t>gas Schedule</w:t>
      </w:r>
      <w:r w:rsidR="007B0A90">
        <w:rPr>
          <w:rFonts w:eastAsia="SimSun"/>
        </w:rPr>
        <w:t> </w:t>
      </w:r>
      <w:r w:rsidR="002D300B">
        <w:rPr>
          <w:rFonts w:eastAsia="SimSun"/>
        </w:rPr>
        <w:t>87T.</w:t>
      </w:r>
    </w:p>
    <w:p w:rsidR="00BA0AC2" w:rsidRPr="009075DC" w:rsidRDefault="00BA0AC2" w:rsidP="001666C8">
      <w:pPr>
        <w:pStyle w:val="Heading1"/>
      </w:pPr>
      <w:bookmarkStart w:id="7" w:name="_Toc490566957"/>
      <w:r>
        <w:t>V</w:t>
      </w:r>
      <w:r w:rsidR="00BD0BF8">
        <w:t>I</w:t>
      </w:r>
      <w:r w:rsidRPr="009075DC">
        <w:t>.</w:t>
      </w:r>
      <w:r w:rsidRPr="009075DC">
        <w:tab/>
      </w:r>
      <w:r>
        <w:t>STAFF</w:t>
      </w:r>
      <w:r w:rsidR="003F220D">
        <w:t xml:space="preserve"> </w:t>
      </w:r>
      <w:r>
        <w:t xml:space="preserve">PROPOSAL IS CONTRARY TO COMMISSION </w:t>
      </w:r>
      <w:r w:rsidR="000C3117">
        <w:t>RULE</w:t>
      </w:r>
      <w:r>
        <w:t xml:space="preserve"> AND </w:t>
      </w:r>
      <w:r w:rsidR="000C3117">
        <w:t xml:space="preserve">THE </w:t>
      </w:r>
      <w:r>
        <w:t>PUBLIC INTEREST</w:t>
      </w:r>
      <w:bookmarkEnd w:id="7"/>
    </w:p>
    <w:p w:rsidR="006A4194" w:rsidRPr="009075DC" w:rsidRDefault="006A4194" w:rsidP="006A4194">
      <w:pPr>
        <w:pStyle w:val="question"/>
      </w:pPr>
      <w:r>
        <w:t>Q.</w:t>
      </w:r>
      <w:r>
        <w:tab/>
      </w:r>
      <w:r w:rsidR="007833A9">
        <w:t>What are the typical circumstances under which the Commission approves a special contract</w:t>
      </w:r>
      <w:r w:rsidRPr="009075DC">
        <w:t>?</w:t>
      </w:r>
    </w:p>
    <w:p w:rsidR="006A4194" w:rsidRPr="009075DC" w:rsidRDefault="006A4194" w:rsidP="006A4194">
      <w:pPr>
        <w:pStyle w:val="answer"/>
        <w:rPr>
          <w:rFonts w:eastAsia="SimSun"/>
        </w:rPr>
      </w:pPr>
      <w:r>
        <w:rPr>
          <w:rFonts w:eastAsia="SimSun"/>
        </w:rPr>
        <w:t>A.</w:t>
      </w:r>
      <w:r>
        <w:rPr>
          <w:rFonts w:eastAsia="SimSun"/>
        </w:rPr>
        <w:tab/>
      </w:r>
      <w:r w:rsidR="007833A9">
        <w:rPr>
          <w:rFonts w:eastAsia="SimSun"/>
        </w:rPr>
        <w:t xml:space="preserve">Speaking very broadly, the Commission usually only approves special contracts in instances where the customer either requires substantially different service than </w:t>
      </w:r>
      <w:r w:rsidR="007833A9">
        <w:rPr>
          <w:rFonts w:eastAsia="SimSun"/>
        </w:rPr>
        <w:lastRenderedPageBreak/>
        <w:t>otherwise provided by the utility under standard tariffs or where the customer has a viable alternative that may be less costly or otherwise preferable to the customers</w:t>
      </w:r>
      <w:r w:rsidR="00C748A0">
        <w:rPr>
          <w:rFonts w:eastAsia="SimSun"/>
        </w:rPr>
        <w:t xml:space="preserve"> (i.e., a “bypass” opportunity)</w:t>
      </w:r>
      <w:r>
        <w:rPr>
          <w:rFonts w:eastAsia="SimSun"/>
        </w:rPr>
        <w:t>.</w:t>
      </w:r>
    </w:p>
    <w:p w:rsidR="006A4194" w:rsidRPr="009075DC" w:rsidRDefault="006A4194" w:rsidP="006A4194">
      <w:pPr>
        <w:pStyle w:val="question"/>
      </w:pPr>
      <w:r>
        <w:t>Q.</w:t>
      </w:r>
      <w:r>
        <w:tab/>
      </w:r>
      <w:r w:rsidR="007833A9">
        <w:t>What situation was applicable for PSE’s gas Special Contract class</w:t>
      </w:r>
      <w:r w:rsidRPr="009075DC">
        <w:t>?</w:t>
      </w:r>
    </w:p>
    <w:p w:rsidR="006A4194" w:rsidRPr="009075DC" w:rsidRDefault="006A4194" w:rsidP="006A4194">
      <w:pPr>
        <w:pStyle w:val="answer"/>
        <w:rPr>
          <w:rFonts w:eastAsia="SimSun"/>
        </w:rPr>
      </w:pPr>
      <w:r>
        <w:rPr>
          <w:rFonts w:eastAsia="SimSun"/>
        </w:rPr>
        <w:t>A.</w:t>
      </w:r>
      <w:r>
        <w:rPr>
          <w:rFonts w:eastAsia="SimSun"/>
        </w:rPr>
        <w:tab/>
      </w:r>
      <w:r w:rsidR="007833A9">
        <w:rPr>
          <w:rFonts w:eastAsia="SimSun"/>
        </w:rPr>
        <w:t xml:space="preserve">Customers receiving service within PSE’s </w:t>
      </w:r>
      <w:r w:rsidR="00F404E0">
        <w:rPr>
          <w:rFonts w:eastAsia="SimSun"/>
        </w:rPr>
        <w:t xml:space="preserve">gas </w:t>
      </w:r>
      <w:r w:rsidR="007833A9">
        <w:rPr>
          <w:rFonts w:eastAsia="SimSun"/>
        </w:rPr>
        <w:t xml:space="preserve">Special Contract class had an opportunity to completely bypass service from the utility and </w:t>
      </w:r>
      <w:r w:rsidR="00C748A0">
        <w:rPr>
          <w:rFonts w:eastAsia="SimSun"/>
        </w:rPr>
        <w:t xml:space="preserve">instead take gas deliveries </w:t>
      </w:r>
      <w:r w:rsidR="007833A9">
        <w:rPr>
          <w:rFonts w:eastAsia="SimSun"/>
        </w:rPr>
        <w:t>directly from the interstate pipeline</w:t>
      </w:r>
      <w:r>
        <w:rPr>
          <w:rFonts w:eastAsia="SimSun"/>
        </w:rPr>
        <w:t>.</w:t>
      </w:r>
    </w:p>
    <w:p w:rsidR="007833A9" w:rsidRPr="009075DC" w:rsidRDefault="007833A9" w:rsidP="007833A9">
      <w:pPr>
        <w:pStyle w:val="question"/>
      </w:pPr>
      <w:r>
        <w:t>Q.</w:t>
      </w:r>
      <w:r>
        <w:tab/>
      </w:r>
      <w:r w:rsidR="00F404E0">
        <w:t>In this situation</w:t>
      </w:r>
      <w:r>
        <w:t>, is it reasonable to assume that the utility can retain such a customer under a standard tariff</w:t>
      </w:r>
      <w:r w:rsidRPr="009075DC">
        <w:t>?</w:t>
      </w:r>
    </w:p>
    <w:p w:rsidR="007833A9" w:rsidRPr="009075DC" w:rsidRDefault="007833A9" w:rsidP="007833A9">
      <w:pPr>
        <w:pStyle w:val="answer"/>
        <w:rPr>
          <w:rFonts w:eastAsia="SimSun"/>
        </w:rPr>
      </w:pPr>
      <w:r>
        <w:rPr>
          <w:rFonts w:eastAsia="SimSun"/>
        </w:rPr>
        <w:t>A.</w:t>
      </w:r>
      <w:r>
        <w:rPr>
          <w:rFonts w:eastAsia="SimSun"/>
        </w:rPr>
        <w:tab/>
      </w:r>
      <w:r w:rsidR="00DD4C12">
        <w:rPr>
          <w:rFonts w:eastAsia="SimSun"/>
        </w:rPr>
        <w:t>Of course not</w:t>
      </w:r>
      <w:r w:rsidR="00C748A0">
        <w:rPr>
          <w:rFonts w:eastAsia="SimSun"/>
        </w:rPr>
        <w:t>.</w:t>
      </w:r>
      <w:r w:rsidR="000D20AD">
        <w:rPr>
          <w:rFonts w:eastAsia="SimSun"/>
        </w:rPr>
        <w:t xml:space="preserve"> </w:t>
      </w:r>
      <w:r w:rsidR="00C748A0">
        <w:rPr>
          <w:rFonts w:eastAsia="SimSun"/>
        </w:rPr>
        <w:t>This is why the customer was</w:t>
      </w:r>
      <w:r w:rsidR="00F404E0">
        <w:rPr>
          <w:rFonts w:eastAsia="SimSun"/>
        </w:rPr>
        <w:t xml:space="preserve"> seriously considering the alternative</w:t>
      </w:r>
      <w:r>
        <w:rPr>
          <w:rFonts w:eastAsia="SimSun"/>
        </w:rPr>
        <w:t>.</w:t>
      </w:r>
      <w:r w:rsidR="000D20AD">
        <w:rPr>
          <w:rFonts w:eastAsia="SimSun"/>
        </w:rPr>
        <w:t xml:space="preserve"> </w:t>
      </w:r>
      <w:r w:rsidR="00F404E0">
        <w:rPr>
          <w:rFonts w:eastAsia="SimSun"/>
        </w:rPr>
        <w:t xml:space="preserve">This is </w:t>
      </w:r>
      <w:r w:rsidR="00D52761">
        <w:rPr>
          <w:rFonts w:eastAsia="SimSun"/>
        </w:rPr>
        <w:t xml:space="preserve">also </w:t>
      </w:r>
      <w:r w:rsidR="00F404E0">
        <w:rPr>
          <w:rFonts w:eastAsia="SimSun"/>
        </w:rPr>
        <w:t>why</w:t>
      </w:r>
      <w:r w:rsidR="000C3117">
        <w:rPr>
          <w:rFonts w:eastAsia="SimSun"/>
        </w:rPr>
        <w:t xml:space="preserve"> </w:t>
      </w:r>
      <w:r w:rsidR="00F404E0">
        <w:rPr>
          <w:rFonts w:eastAsia="SimSun"/>
        </w:rPr>
        <w:t xml:space="preserve">Commission rules </w:t>
      </w:r>
      <w:r w:rsidR="00C748A0">
        <w:rPr>
          <w:rFonts w:eastAsia="SimSun"/>
        </w:rPr>
        <w:t>provide utilities the flexibility to negotiate prices that do not</w:t>
      </w:r>
      <w:r w:rsidR="00F404E0">
        <w:rPr>
          <w:rFonts w:eastAsia="SimSun"/>
        </w:rPr>
        <w:t xml:space="preserve"> </w:t>
      </w:r>
      <w:r w:rsidR="00C748A0">
        <w:rPr>
          <w:rFonts w:eastAsia="SimSun"/>
        </w:rPr>
        <w:t>recover</w:t>
      </w:r>
      <w:r w:rsidR="00D52761">
        <w:rPr>
          <w:rFonts w:eastAsia="SimSun"/>
        </w:rPr>
        <w:t xml:space="preserve"> 100</w:t>
      </w:r>
      <w:r w:rsidR="007B0A90">
        <w:rPr>
          <w:rFonts w:eastAsia="SimSun"/>
        </w:rPr>
        <w:t> </w:t>
      </w:r>
      <w:r w:rsidR="00D52761">
        <w:rPr>
          <w:rFonts w:eastAsia="SimSun"/>
        </w:rPr>
        <w:t>percent of fully allocated and embedded costs</w:t>
      </w:r>
      <w:r w:rsidR="00B91D59">
        <w:rPr>
          <w:rFonts w:eastAsia="SimSun"/>
        </w:rPr>
        <w:t>.</w:t>
      </w:r>
      <w:r w:rsidR="000D20AD">
        <w:rPr>
          <w:rFonts w:eastAsia="SimSun"/>
        </w:rPr>
        <w:t xml:space="preserve"> </w:t>
      </w:r>
      <w:r w:rsidR="00B91D59">
        <w:rPr>
          <w:rFonts w:eastAsia="SimSun"/>
        </w:rPr>
        <w:t>These</w:t>
      </w:r>
      <w:r w:rsidR="00D52761">
        <w:rPr>
          <w:rFonts w:eastAsia="SimSun"/>
        </w:rPr>
        <w:t xml:space="preserve"> rules only require the recovery of “all costs </w:t>
      </w:r>
      <w:r w:rsidR="00D52761" w:rsidRPr="00D52761">
        <w:rPr>
          <w:rFonts w:eastAsia="SimSun"/>
          <w:i/>
        </w:rPr>
        <w:t>resulting from providing the service</w:t>
      </w:r>
      <w:r w:rsidR="00D52761">
        <w:rPr>
          <w:rFonts w:eastAsia="SimSun"/>
        </w:rPr>
        <w:t xml:space="preserve"> during </w:t>
      </w:r>
      <w:r w:rsidR="007B0A90">
        <w:rPr>
          <w:rFonts w:eastAsia="SimSun"/>
        </w:rPr>
        <w:t xml:space="preserve">its </w:t>
      </w:r>
      <w:r w:rsidR="00D52761">
        <w:rPr>
          <w:rFonts w:eastAsia="SimSun"/>
        </w:rPr>
        <w:t>term”</w:t>
      </w:r>
      <w:r w:rsidR="007B0A90">
        <w:rPr>
          <w:rStyle w:val="FootnoteReference"/>
          <w:rFonts w:eastAsia="SimSun"/>
        </w:rPr>
        <w:footnoteReference w:id="11"/>
      </w:r>
      <w:r w:rsidR="00D52761">
        <w:rPr>
          <w:rFonts w:eastAsia="SimSun"/>
        </w:rPr>
        <w:t xml:space="preserve"> (i.e., the incremental cost of providing the service) and “provide a </w:t>
      </w:r>
      <w:r w:rsidR="00D52761" w:rsidRPr="00D52761">
        <w:rPr>
          <w:rFonts w:eastAsia="SimSun"/>
          <w:i/>
        </w:rPr>
        <w:t>contribution</w:t>
      </w:r>
      <w:r w:rsidR="00D52761">
        <w:rPr>
          <w:rFonts w:eastAsia="SimSun"/>
        </w:rPr>
        <w:t xml:space="preserve"> to the….company’s fixed costs.”</w:t>
      </w:r>
      <w:r w:rsidR="007B0A90">
        <w:rPr>
          <w:rStyle w:val="FootnoteReference"/>
          <w:rFonts w:eastAsia="SimSun"/>
        </w:rPr>
        <w:footnoteReference w:id="12"/>
      </w:r>
      <w:r w:rsidR="000D20AD">
        <w:rPr>
          <w:rFonts w:eastAsia="SimSun"/>
        </w:rPr>
        <w:t xml:space="preserve"> </w:t>
      </w:r>
      <w:r w:rsidR="00D52761">
        <w:rPr>
          <w:rFonts w:eastAsia="SimSun"/>
        </w:rPr>
        <w:t>In other words, so long as the customer</w:t>
      </w:r>
      <w:r w:rsidR="00B91D59">
        <w:rPr>
          <w:rFonts w:eastAsia="SimSun"/>
        </w:rPr>
        <w:t>s</w:t>
      </w:r>
      <w:r w:rsidR="00D52761">
        <w:rPr>
          <w:rFonts w:eastAsia="SimSun"/>
        </w:rPr>
        <w:t xml:space="preserve"> serv</w:t>
      </w:r>
      <w:r w:rsidR="00B91D59">
        <w:rPr>
          <w:rFonts w:eastAsia="SimSun"/>
        </w:rPr>
        <w:t>ed under the Special Contract are</w:t>
      </w:r>
      <w:r w:rsidR="00D52761">
        <w:rPr>
          <w:rFonts w:eastAsia="SimSun"/>
        </w:rPr>
        <w:t xml:space="preserve"> covering the costs that would not otherwise exist in its absence, any additional recovery </w:t>
      </w:r>
      <w:r w:rsidR="00C748A0">
        <w:rPr>
          <w:rFonts w:eastAsia="SimSun"/>
        </w:rPr>
        <w:t xml:space="preserve">from the Special </w:t>
      </w:r>
      <w:r w:rsidR="00C748A0">
        <w:rPr>
          <w:rFonts w:eastAsia="SimSun"/>
        </w:rPr>
        <w:lastRenderedPageBreak/>
        <w:t xml:space="preserve">Contract customer </w:t>
      </w:r>
      <w:r w:rsidR="00D52761">
        <w:rPr>
          <w:rFonts w:eastAsia="SimSun"/>
        </w:rPr>
        <w:t>helps to spread the utility’s fixed costs more broadly, to the benefit of other customers.</w:t>
      </w:r>
      <w:r w:rsidR="00B91D59">
        <w:rPr>
          <w:rStyle w:val="FootnoteReference"/>
          <w:rFonts w:eastAsia="SimSun"/>
        </w:rPr>
        <w:footnoteReference w:id="13"/>
      </w:r>
    </w:p>
    <w:p w:rsidR="000C3117" w:rsidRPr="009075DC" w:rsidRDefault="000C3117" w:rsidP="000C3117">
      <w:pPr>
        <w:pStyle w:val="question"/>
      </w:pPr>
      <w:r>
        <w:t>Q.</w:t>
      </w:r>
      <w:r>
        <w:tab/>
        <w:t xml:space="preserve">Does Staff’s proposal </w:t>
      </w:r>
      <w:r w:rsidR="00F8368C">
        <w:t>meet the spirit or the letter of WAC 480-80-143(5)(c)</w:t>
      </w:r>
      <w:r w:rsidRPr="009075DC">
        <w:t>?</w:t>
      </w:r>
    </w:p>
    <w:p w:rsidR="000C3117" w:rsidRPr="009075DC" w:rsidRDefault="000C3117" w:rsidP="000C3117">
      <w:pPr>
        <w:pStyle w:val="answer"/>
        <w:rPr>
          <w:rFonts w:eastAsia="SimSun"/>
        </w:rPr>
      </w:pPr>
      <w:r>
        <w:rPr>
          <w:rFonts w:eastAsia="SimSun"/>
        </w:rPr>
        <w:t>A.</w:t>
      </w:r>
      <w:r>
        <w:rPr>
          <w:rFonts w:eastAsia="SimSun"/>
        </w:rPr>
        <w:tab/>
      </w:r>
      <w:r w:rsidR="00F8368C">
        <w:rPr>
          <w:rFonts w:eastAsia="SimSun"/>
        </w:rPr>
        <w:t>No, on both accounts.</w:t>
      </w:r>
      <w:r w:rsidR="000D20AD">
        <w:rPr>
          <w:rFonts w:eastAsia="SimSun"/>
        </w:rPr>
        <w:t xml:space="preserve"> </w:t>
      </w:r>
      <w:r w:rsidR="00F8368C">
        <w:rPr>
          <w:rFonts w:eastAsia="SimSun"/>
        </w:rPr>
        <w:t>This section of the WAC is intended to allow for a certain degree of flexibility in the pricing of service while ensuring that existing customers continue to benefit by the presence of the customers taking service under the special contract</w:t>
      </w:r>
      <w:r>
        <w:rPr>
          <w:rFonts w:eastAsia="SimSun"/>
        </w:rPr>
        <w:t>.</w:t>
      </w:r>
      <w:r w:rsidR="00F8368C">
        <w:rPr>
          <w:rFonts w:eastAsia="SimSun"/>
        </w:rPr>
        <w:t xml:space="preserve"> Staff’s proposal removes all flexibility in the pricing for the special contract by requiring full recovery of all costs, which is far more than the “contribution” required under Commission rules.</w:t>
      </w:r>
      <w:r w:rsidR="00D846BA">
        <w:rPr>
          <w:rStyle w:val="FootnoteReference"/>
          <w:rFonts w:eastAsia="SimSun"/>
        </w:rPr>
        <w:footnoteReference w:id="14"/>
      </w:r>
    </w:p>
    <w:p w:rsidR="000C3117" w:rsidRPr="009075DC" w:rsidRDefault="000C3117" w:rsidP="000C3117">
      <w:pPr>
        <w:pStyle w:val="question"/>
      </w:pPr>
      <w:r>
        <w:t>Q.</w:t>
      </w:r>
      <w:r>
        <w:tab/>
      </w:r>
      <w:r w:rsidR="00F8368C">
        <w:t>If Staff’s proposal recovers more costs from Special Contracts customers than under the current contract, isn’t this in the public interest</w:t>
      </w:r>
      <w:r w:rsidRPr="009075DC">
        <w:t>?</w:t>
      </w:r>
    </w:p>
    <w:p w:rsidR="000C3117" w:rsidRPr="009075DC" w:rsidRDefault="000C3117" w:rsidP="000C3117">
      <w:pPr>
        <w:pStyle w:val="answer"/>
        <w:rPr>
          <w:rFonts w:eastAsia="SimSun"/>
        </w:rPr>
      </w:pPr>
      <w:r>
        <w:rPr>
          <w:rFonts w:eastAsia="SimSun"/>
        </w:rPr>
        <w:t>A.</w:t>
      </w:r>
      <w:r>
        <w:rPr>
          <w:rFonts w:eastAsia="SimSun"/>
        </w:rPr>
        <w:tab/>
      </w:r>
      <w:r w:rsidR="00F8368C">
        <w:rPr>
          <w:rFonts w:eastAsia="SimSun"/>
        </w:rPr>
        <w:t>No</w:t>
      </w:r>
      <w:r w:rsidR="00CB49DF">
        <w:rPr>
          <w:rFonts w:eastAsia="SimSun"/>
        </w:rPr>
        <w:t>.</w:t>
      </w:r>
      <w:r w:rsidR="000D20AD">
        <w:rPr>
          <w:rFonts w:eastAsia="SimSun"/>
        </w:rPr>
        <w:t xml:space="preserve"> </w:t>
      </w:r>
      <w:r w:rsidR="00CB49DF">
        <w:rPr>
          <w:rFonts w:eastAsia="SimSun"/>
        </w:rPr>
        <w:t>Staff’s proposal puts PSE into the position of either (a)</w:t>
      </w:r>
      <w:r w:rsidR="007B0A90">
        <w:rPr>
          <w:rFonts w:eastAsia="SimSun"/>
        </w:rPr>
        <w:t> </w:t>
      </w:r>
      <w:r w:rsidR="00CB49DF">
        <w:rPr>
          <w:rFonts w:eastAsia="SimSun"/>
        </w:rPr>
        <w:t>entering into a contract and incurring a disallowance of otherwise prudently incurred expenses to the extent that it does not recover 100 percent of the customers’ allocated embedded cost of service,</w:t>
      </w:r>
      <w:r w:rsidR="00CB49DF">
        <w:rPr>
          <w:rStyle w:val="FootnoteReference"/>
          <w:rFonts w:eastAsia="SimSun"/>
        </w:rPr>
        <w:footnoteReference w:id="15"/>
      </w:r>
      <w:r w:rsidR="00CB49DF">
        <w:rPr>
          <w:rFonts w:eastAsia="SimSun"/>
        </w:rPr>
        <w:t xml:space="preserve"> or (b)</w:t>
      </w:r>
      <w:r w:rsidR="007B0A90">
        <w:rPr>
          <w:rFonts w:eastAsia="SimSun"/>
        </w:rPr>
        <w:t> </w:t>
      </w:r>
      <w:r w:rsidR="00CB49DF">
        <w:rPr>
          <w:rFonts w:eastAsia="SimSun"/>
        </w:rPr>
        <w:t xml:space="preserve">letting the customer(s) pursue their alternative </w:t>
      </w:r>
      <w:r w:rsidR="00CB49DF">
        <w:rPr>
          <w:rFonts w:eastAsia="SimSun"/>
        </w:rPr>
        <w:lastRenderedPageBreak/>
        <w:t xml:space="preserve">supply arrangements and deprive PSE’s </w:t>
      </w:r>
      <w:r w:rsidR="00B76C24">
        <w:rPr>
          <w:rFonts w:eastAsia="SimSun"/>
        </w:rPr>
        <w:t>remaini</w:t>
      </w:r>
      <w:r w:rsidR="00CB49DF">
        <w:rPr>
          <w:rFonts w:eastAsia="SimSun"/>
        </w:rPr>
        <w:t>ng customers of the potential to share in the recovery of the utility’s existing fixed costs that they will now have to pay alone</w:t>
      </w:r>
      <w:r>
        <w:rPr>
          <w:rFonts w:eastAsia="SimSun"/>
        </w:rPr>
        <w:t>.</w:t>
      </w:r>
      <w:r w:rsidR="000D20AD">
        <w:rPr>
          <w:rFonts w:eastAsia="SimSun"/>
        </w:rPr>
        <w:t xml:space="preserve"> </w:t>
      </w:r>
      <w:r w:rsidR="00DA5980">
        <w:rPr>
          <w:rFonts w:eastAsia="SimSun"/>
        </w:rPr>
        <w:t>Contrary to Staff’s assertions that PSE would “reap the rewards” and customers would be held “harmless” u</w:t>
      </w:r>
      <w:r w:rsidR="00B76C24">
        <w:rPr>
          <w:rFonts w:eastAsia="SimSun"/>
        </w:rPr>
        <w:t xml:space="preserve">nder </w:t>
      </w:r>
      <w:r w:rsidR="00DA5980">
        <w:rPr>
          <w:rFonts w:eastAsia="SimSun"/>
        </w:rPr>
        <w:t>its</w:t>
      </w:r>
      <w:r w:rsidR="00B76C24">
        <w:rPr>
          <w:rFonts w:eastAsia="SimSun"/>
        </w:rPr>
        <w:t xml:space="preserve"> proposal,</w:t>
      </w:r>
      <w:r w:rsidR="00DA5980">
        <w:rPr>
          <w:rStyle w:val="FootnoteReference"/>
          <w:rFonts w:eastAsia="SimSun"/>
        </w:rPr>
        <w:footnoteReference w:id="16"/>
      </w:r>
      <w:r w:rsidR="00B76C24">
        <w:rPr>
          <w:rFonts w:eastAsia="SimSun"/>
        </w:rPr>
        <w:t xml:space="preserve"> there is no upside for the utility</w:t>
      </w:r>
      <w:r w:rsidR="00DA5980">
        <w:rPr>
          <w:rFonts w:eastAsia="SimSun"/>
        </w:rPr>
        <w:t xml:space="preserve"> and its customers</w:t>
      </w:r>
      <w:r w:rsidR="00B76C24">
        <w:rPr>
          <w:rFonts w:eastAsia="SimSun"/>
        </w:rPr>
        <w:t>.</w:t>
      </w:r>
      <w:r w:rsidR="000D20AD">
        <w:rPr>
          <w:rFonts w:eastAsia="SimSun"/>
        </w:rPr>
        <w:t xml:space="preserve"> </w:t>
      </w:r>
      <w:r w:rsidR="00B76C24">
        <w:rPr>
          <w:rFonts w:eastAsia="SimSun"/>
        </w:rPr>
        <w:t>Either PSE pursues a contract and loses money, or it lets the customer(s) go and its remaining customers have higher rates as a result.</w:t>
      </w:r>
      <w:r w:rsidR="00CB49DF">
        <w:rPr>
          <w:rFonts w:eastAsia="SimSun"/>
        </w:rPr>
        <w:t xml:space="preserve"> </w:t>
      </w:r>
      <w:r w:rsidR="00B76C24">
        <w:rPr>
          <w:rFonts w:eastAsia="SimSun"/>
        </w:rPr>
        <w:t>Neither result is in the public interest.</w:t>
      </w:r>
    </w:p>
    <w:p w:rsidR="00BA0AC2" w:rsidRPr="009075DC" w:rsidRDefault="00E3726A" w:rsidP="001666C8">
      <w:pPr>
        <w:pStyle w:val="Heading1"/>
      </w:pPr>
      <w:bookmarkStart w:id="9" w:name="_Toc490566958"/>
      <w:r>
        <w:t>VI</w:t>
      </w:r>
      <w:r w:rsidR="00BA0AC2">
        <w:t>I</w:t>
      </w:r>
      <w:r w:rsidR="00BA0AC2" w:rsidRPr="009075DC">
        <w:t>.</w:t>
      </w:r>
      <w:r w:rsidR="00BA0AC2" w:rsidRPr="009075DC">
        <w:tab/>
      </w:r>
      <w:r>
        <w:t xml:space="preserve">STAFF PROPOSAL </w:t>
      </w:r>
      <w:r w:rsidR="00D3320A">
        <w:t>TO DISALLOW RECOVER</w:t>
      </w:r>
      <w:r w:rsidR="00DA5980">
        <w:t>Y OF COSTS</w:t>
      </w:r>
      <w:r w:rsidR="00D3320A">
        <w:t xml:space="preserve"> </w:t>
      </w:r>
      <w:r w:rsidR="00DC2CD0">
        <w:t xml:space="preserve">ALLOCATED TO </w:t>
      </w:r>
      <w:r w:rsidR="00D3320A">
        <w:t xml:space="preserve">AN APPROVED SPECIAL CONTRACT </w:t>
      </w:r>
      <w:r>
        <w:t>IS WITHOUT PRECEDENT</w:t>
      </w:r>
      <w:bookmarkEnd w:id="9"/>
    </w:p>
    <w:p w:rsidR="006A4194" w:rsidRPr="009075DC" w:rsidRDefault="006A4194" w:rsidP="006A4194">
      <w:pPr>
        <w:pStyle w:val="question"/>
      </w:pPr>
      <w:r>
        <w:t>Q.</w:t>
      </w:r>
      <w:r>
        <w:tab/>
      </w:r>
      <w:r w:rsidR="00666B78">
        <w:t>Is PSE</w:t>
      </w:r>
      <w:r w:rsidR="00DC2CD0">
        <w:t xml:space="preserve"> aware of any precedent where the Commission disallowed recovery of costs allocated to an already approved special contract</w:t>
      </w:r>
      <w:r w:rsidRPr="009075DC">
        <w:t>?</w:t>
      </w:r>
    </w:p>
    <w:p w:rsidR="006A4194" w:rsidRPr="009075DC" w:rsidRDefault="006A4194" w:rsidP="006A4194">
      <w:pPr>
        <w:pStyle w:val="answer"/>
        <w:rPr>
          <w:rFonts w:eastAsia="SimSun"/>
        </w:rPr>
      </w:pPr>
      <w:r>
        <w:rPr>
          <w:rFonts w:eastAsia="SimSun"/>
        </w:rPr>
        <w:t>A.</w:t>
      </w:r>
      <w:r>
        <w:rPr>
          <w:rFonts w:eastAsia="SimSun"/>
        </w:rPr>
        <w:tab/>
      </w:r>
      <w:r w:rsidR="00DC2CD0">
        <w:rPr>
          <w:rFonts w:eastAsia="SimSun"/>
        </w:rPr>
        <w:t>No.</w:t>
      </w:r>
      <w:r w:rsidR="000D20AD">
        <w:rPr>
          <w:rFonts w:eastAsia="SimSun"/>
        </w:rPr>
        <w:t xml:space="preserve"> </w:t>
      </w:r>
      <w:r w:rsidR="00666B78">
        <w:rPr>
          <w:rFonts w:eastAsia="SimSun"/>
        </w:rPr>
        <w:t xml:space="preserve">PSE is </w:t>
      </w:r>
      <w:r w:rsidR="00DC2CD0">
        <w:rPr>
          <w:rFonts w:eastAsia="SimSun"/>
        </w:rPr>
        <w:t>unaware of any such precedent</w:t>
      </w:r>
      <w:r>
        <w:rPr>
          <w:rFonts w:eastAsia="SimSun"/>
        </w:rPr>
        <w:t>.</w:t>
      </w:r>
    </w:p>
    <w:p w:rsidR="006A4194" w:rsidRPr="009075DC" w:rsidRDefault="006A4194" w:rsidP="006A4194">
      <w:pPr>
        <w:pStyle w:val="question"/>
      </w:pPr>
      <w:r>
        <w:t>Q.</w:t>
      </w:r>
      <w:r>
        <w:tab/>
      </w:r>
      <w:r w:rsidR="00DC2CD0">
        <w:t>Did Staff point to any precedent supporting its proposal</w:t>
      </w:r>
      <w:r w:rsidR="004A092F">
        <w:t xml:space="preserve"> to disallow otherwise recoverable costs due to the presence of a special contract</w:t>
      </w:r>
      <w:r w:rsidRPr="009075DC">
        <w:t>?</w:t>
      </w:r>
    </w:p>
    <w:p w:rsidR="006A4194" w:rsidRPr="009075DC" w:rsidRDefault="006A4194" w:rsidP="006A4194">
      <w:pPr>
        <w:pStyle w:val="answer"/>
        <w:rPr>
          <w:rFonts w:eastAsia="SimSun"/>
        </w:rPr>
      </w:pPr>
      <w:r>
        <w:rPr>
          <w:rFonts w:eastAsia="SimSun"/>
        </w:rPr>
        <w:t>A.</w:t>
      </w:r>
      <w:r>
        <w:rPr>
          <w:rFonts w:eastAsia="SimSun"/>
        </w:rPr>
        <w:tab/>
      </w:r>
      <w:r w:rsidR="004A092F">
        <w:rPr>
          <w:rFonts w:eastAsia="SimSun"/>
        </w:rPr>
        <w:t>No, it did not</w:t>
      </w:r>
      <w:r>
        <w:rPr>
          <w:rFonts w:eastAsia="SimSun"/>
        </w:rPr>
        <w:t>.</w:t>
      </w:r>
    </w:p>
    <w:p w:rsidR="00DA5980" w:rsidRPr="009075DC" w:rsidRDefault="00DA5980" w:rsidP="001666C8">
      <w:pPr>
        <w:pStyle w:val="Heading1"/>
      </w:pPr>
      <w:bookmarkStart w:id="10" w:name="_Toc490566959"/>
      <w:r>
        <w:lastRenderedPageBreak/>
        <w:t>VIII</w:t>
      </w:r>
      <w:r w:rsidRPr="009075DC">
        <w:t>.</w:t>
      </w:r>
      <w:r w:rsidRPr="009075DC">
        <w:tab/>
      </w:r>
      <w:r>
        <w:t>STAFF’S ALTERNATIVE PROPOSAL IS ARBITRARY AND DIFFICULT TO ENFORCE</w:t>
      </w:r>
      <w:bookmarkEnd w:id="10"/>
    </w:p>
    <w:p w:rsidR="00DA5980" w:rsidRPr="009075DC" w:rsidRDefault="00DA5980" w:rsidP="00DA5980">
      <w:pPr>
        <w:pStyle w:val="question"/>
      </w:pPr>
      <w:r>
        <w:t>Q.</w:t>
      </w:r>
      <w:r>
        <w:tab/>
      </w:r>
      <w:r w:rsidR="004A092F">
        <w:t>P</w:t>
      </w:r>
      <w:r w:rsidR="00117F6C">
        <w:t>lease summarize</w:t>
      </w:r>
      <w:r w:rsidR="004A092F">
        <w:t xml:space="preserve"> Staff’s alternative proposal to disallowing allocated costs not fully recovered from the Special Contract.</w:t>
      </w:r>
    </w:p>
    <w:p w:rsidR="00DA5980" w:rsidRPr="009075DC" w:rsidRDefault="00DA5980" w:rsidP="00DA5980">
      <w:pPr>
        <w:pStyle w:val="answer"/>
        <w:rPr>
          <w:rFonts w:eastAsia="SimSun"/>
        </w:rPr>
      </w:pPr>
      <w:r>
        <w:rPr>
          <w:rFonts w:eastAsia="SimSun"/>
        </w:rPr>
        <w:t>A.</w:t>
      </w:r>
      <w:r>
        <w:rPr>
          <w:rFonts w:eastAsia="SimSun"/>
        </w:rPr>
        <w:tab/>
      </w:r>
      <w:r w:rsidR="004A092F">
        <w:rPr>
          <w:rFonts w:eastAsia="SimSun"/>
        </w:rPr>
        <w:t>If the Commission does not accept Staff’s primary proposal</w:t>
      </w:r>
      <w:r w:rsidR="00117F6C">
        <w:rPr>
          <w:rFonts w:eastAsia="SimSun"/>
        </w:rPr>
        <w:t xml:space="preserve"> to disallow all allocated costs not recovered from PSE’s Special Contract class</w:t>
      </w:r>
      <w:r w:rsidR="004A092F">
        <w:rPr>
          <w:rFonts w:eastAsia="SimSun"/>
        </w:rPr>
        <w:t>, it offers an alternative that the rates for the Special Contract class be increased to produce a 2.0</w:t>
      </w:r>
      <w:r w:rsidR="000D20AD">
        <w:rPr>
          <w:rFonts w:eastAsia="SimSun"/>
        </w:rPr>
        <w:t> </w:t>
      </w:r>
      <w:r w:rsidR="004A092F">
        <w:rPr>
          <w:rFonts w:eastAsia="SimSun"/>
        </w:rPr>
        <w:t>percent return on allocated rate base</w:t>
      </w:r>
      <w:r>
        <w:rPr>
          <w:rFonts w:eastAsia="SimSun"/>
        </w:rPr>
        <w:t>.</w:t>
      </w:r>
      <w:r w:rsidR="00117F6C">
        <w:rPr>
          <w:rStyle w:val="FootnoteReference"/>
          <w:rFonts w:eastAsia="SimSun"/>
        </w:rPr>
        <w:footnoteReference w:id="17"/>
      </w:r>
    </w:p>
    <w:p w:rsidR="004A092F" w:rsidRPr="009075DC" w:rsidRDefault="004A092F" w:rsidP="004A092F">
      <w:pPr>
        <w:pStyle w:val="question"/>
      </w:pPr>
      <w:r>
        <w:t>Q.</w:t>
      </w:r>
      <w:r>
        <w:tab/>
      </w:r>
      <w:r w:rsidR="00934D73">
        <w:t>Does Staff support the basis for its recommended alternative</w:t>
      </w:r>
      <w:r w:rsidRPr="009075DC">
        <w:t>?</w:t>
      </w:r>
    </w:p>
    <w:p w:rsidR="004A092F" w:rsidRPr="009075DC" w:rsidRDefault="00117F6C" w:rsidP="004A092F">
      <w:pPr>
        <w:pStyle w:val="answer"/>
        <w:rPr>
          <w:rFonts w:eastAsia="SimSun"/>
        </w:rPr>
      </w:pPr>
      <w:r>
        <w:rPr>
          <w:rFonts w:eastAsia="SimSun"/>
        </w:rPr>
        <w:t>A.</w:t>
      </w:r>
      <w:r>
        <w:rPr>
          <w:rFonts w:eastAsia="SimSun"/>
        </w:rPr>
        <w:tab/>
      </w:r>
      <w:r w:rsidR="00934D73">
        <w:rPr>
          <w:rFonts w:eastAsia="SimSun"/>
        </w:rPr>
        <w:t>No.</w:t>
      </w:r>
      <w:r w:rsidR="000D20AD">
        <w:rPr>
          <w:rFonts w:eastAsia="SimSun"/>
        </w:rPr>
        <w:t xml:space="preserve"> </w:t>
      </w:r>
      <w:r w:rsidR="00934D73">
        <w:rPr>
          <w:rFonts w:eastAsia="SimSun"/>
        </w:rPr>
        <w:t xml:space="preserve">Staff </w:t>
      </w:r>
      <w:r w:rsidR="00DD4C12">
        <w:rPr>
          <w:rFonts w:eastAsia="SimSun"/>
        </w:rPr>
        <w:t xml:space="preserve">simply </w:t>
      </w:r>
      <w:r w:rsidR="00934D73">
        <w:rPr>
          <w:rFonts w:eastAsia="SimSun"/>
        </w:rPr>
        <w:t>asserts that its proposal would bring the contract into compliance with the applicable WAC.</w:t>
      </w:r>
      <w:r w:rsidR="00934D73">
        <w:rPr>
          <w:rStyle w:val="FootnoteReference"/>
          <w:rFonts w:eastAsia="SimSun"/>
        </w:rPr>
        <w:footnoteReference w:id="18"/>
      </w:r>
      <w:r w:rsidR="000D20AD">
        <w:rPr>
          <w:rFonts w:eastAsia="SimSun"/>
        </w:rPr>
        <w:t xml:space="preserve"> </w:t>
      </w:r>
      <w:r w:rsidR="00934D73">
        <w:rPr>
          <w:rFonts w:eastAsia="SimSun"/>
        </w:rPr>
        <w:t>However, it provides no basis for evaluating the veracity of this assertion.</w:t>
      </w:r>
      <w:r w:rsidR="000D20AD">
        <w:rPr>
          <w:rFonts w:eastAsia="SimSun"/>
        </w:rPr>
        <w:t xml:space="preserve"> </w:t>
      </w:r>
      <w:r w:rsidR="00934D73">
        <w:rPr>
          <w:rFonts w:eastAsia="SimSun"/>
        </w:rPr>
        <w:t xml:space="preserve">Moreover, Staff’s </w:t>
      </w:r>
      <w:r w:rsidR="00396392">
        <w:rPr>
          <w:rFonts w:eastAsia="SimSun"/>
        </w:rPr>
        <w:t xml:space="preserve">assertion that its </w:t>
      </w:r>
      <w:r w:rsidR="00934D73">
        <w:rPr>
          <w:rFonts w:eastAsia="SimSun"/>
        </w:rPr>
        <w:t xml:space="preserve">alternative proposal </w:t>
      </w:r>
      <w:r w:rsidR="00396392">
        <w:rPr>
          <w:rFonts w:eastAsia="SimSun"/>
        </w:rPr>
        <w:t xml:space="preserve">meets the requirements of the WAC </w:t>
      </w:r>
      <w:r w:rsidR="00934D73">
        <w:rPr>
          <w:rFonts w:eastAsia="SimSun"/>
        </w:rPr>
        <w:t>undercut</w:t>
      </w:r>
      <w:r w:rsidR="00396392">
        <w:rPr>
          <w:rFonts w:eastAsia="SimSun"/>
        </w:rPr>
        <w:t>s</w:t>
      </w:r>
      <w:r w:rsidR="00934D73">
        <w:rPr>
          <w:rFonts w:eastAsia="SimSun"/>
        </w:rPr>
        <w:t xml:space="preserve"> its primary proposal to fully disallow all costs below those necessary to fully recover the allocated costs to the Special Contract class.</w:t>
      </w:r>
      <w:r w:rsidR="000D20AD">
        <w:rPr>
          <w:rFonts w:eastAsia="SimSun"/>
        </w:rPr>
        <w:t xml:space="preserve"> </w:t>
      </w:r>
      <w:r w:rsidR="00934D73">
        <w:rPr>
          <w:rFonts w:eastAsia="SimSun"/>
        </w:rPr>
        <w:t>If earning a 2.0</w:t>
      </w:r>
      <w:r w:rsidR="007B0A90">
        <w:rPr>
          <w:rFonts w:eastAsia="SimSun"/>
        </w:rPr>
        <w:t> </w:t>
      </w:r>
      <w:r w:rsidR="00934D73">
        <w:rPr>
          <w:rFonts w:eastAsia="SimSun"/>
        </w:rPr>
        <w:t xml:space="preserve">percent rate of return is sufficient to be compliant with the applicable WAC, how then could the Commission justify disallowing </w:t>
      </w:r>
      <w:r w:rsidR="00396392">
        <w:rPr>
          <w:rFonts w:eastAsia="SimSun"/>
        </w:rPr>
        <w:t>an</w:t>
      </w:r>
      <w:r w:rsidR="00934D73">
        <w:rPr>
          <w:rFonts w:eastAsia="SimSun"/>
        </w:rPr>
        <w:t xml:space="preserve"> additional $680,000, in Staff’s estimation,</w:t>
      </w:r>
      <w:r w:rsidR="00934D73">
        <w:rPr>
          <w:rStyle w:val="FootnoteReference"/>
          <w:rFonts w:eastAsia="SimSun"/>
        </w:rPr>
        <w:footnoteReference w:id="19"/>
      </w:r>
      <w:r w:rsidR="00934D73">
        <w:rPr>
          <w:rFonts w:eastAsia="SimSun"/>
        </w:rPr>
        <w:t xml:space="preserve"> required to fully recover the allocated costs from this class?</w:t>
      </w:r>
      <w:r w:rsidR="000D20AD">
        <w:rPr>
          <w:rFonts w:eastAsia="SimSun"/>
        </w:rPr>
        <w:t xml:space="preserve"> </w:t>
      </w:r>
      <w:r w:rsidR="00934D73">
        <w:rPr>
          <w:rFonts w:eastAsia="SimSun"/>
        </w:rPr>
        <w:t>Staff does not say.</w:t>
      </w:r>
    </w:p>
    <w:p w:rsidR="004A092F" w:rsidRPr="009075DC" w:rsidRDefault="004A092F" w:rsidP="004A092F">
      <w:pPr>
        <w:pStyle w:val="question"/>
      </w:pPr>
      <w:r>
        <w:lastRenderedPageBreak/>
        <w:t>Q.</w:t>
      </w:r>
      <w:r>
        <w:tab/>
      </w:r>
      <w:r w:rsidR="00396392">
        <w:t>Did Staff explain how its proposed rate increases for the Special Contract class under its alternative proposal would be implemented</w:t>
      </w:r>
      <w:r w:rsidRPr="009075DC">
        <w:t>?</w:t>
      </w:r>
    </w:p>
    <w:p w:rsidR="004A092F" w:rsidRPr="009075DC" w:rsidRDefault="004A092F" w:rsidP="004A092F">
      <w:pPr>
        <w:pStyle w:val="answer"/>
        <w:rPr>
          <w:rFonts w:eastAsia="SimSun"/>
        </w:rPr>
      </w:pPr>
      <w:r>
        <w:rPr>
          <w:rFonts w:eastAsia="SimSun"/>
        </w:rPr>
        <w:t>A.</w:t>
      </w:r>
      <w:r>
        <w:rPr>
          <w:rFonts w:eastAsia="SimSun"/>
        </w:rPr>
        <w:tab/>
      </w:r>
      <w:r w:rsidR="00396392">
        <w:rPr>
          <w:rFonts w:eastAsia="SimSun"/>
        </w:rPr>
        <w:t>No</w:t>
      </w:r>
      <w:r>
        <w:rPr>
          <w:rFonts w:eastAsia="SimSun"/>
        </w:rPr>
        <w:t>.</w:t>
      </w:r>
    </w:p>
    <w:p w:rsidR="004A092F" w:rsidRPr="009075DC" w:rsidRDefault="004A092F" w:rsidP="004A092F">
      <w:pPr>
        <w:pStyle w:val="question"/>
      </w:pPr>
      <w:r>
        <w:t>Q.</w:t>
      </w:r>
      <w:r>
        <w:tab/>
      </w:r>
      <w:r w:rsidR="00396392">
        <w:t>Can PSE or the Commission unilaterally implement Staff’s alternative proposal</w:t>
      </w:r>
      <w:r w:rsidRPr="009075DC">
        <w:t>?</w:t>
      </w:r>
    </w:p>
    <w:p w:rsidR="004A092F" w:rsidRPr="009075DC" w:rsidRDefault="004A092F" w:rsidP="004A092F">
      <w:pPr>
        <w:pStyle w:val="answer"/>
        <w:rPr>
          <w:rFonts w:eastAsia="SimSun"/>
        </w:rPr>
      </w:pPr>
      <w:r>
        <w:rPr>
          <w:rFonts w:eastAsia="SimSun"/>
        </w:rPr>
        <w:t>A.</w:t>
      </w:r>
      <w:r>
        <w:rPr>
          <w:rFonts w:eastAsia="SimSun"/>
        </w:rPr>
        <w:tab/>
      </w:r>
      <w:r w:rsidR="00396392">
        <w:rPr>
          <w:rFonts w:eastAsia="SimSun"/>
        </w:rPr>
        <w:t>No.</w:t>
      </w:r>
      <w:r w:rsidR="000D20AD">
        <w:rPr>
          <w:rFonts w:eastAsia="SimSun"/>
        </w:rPr>
        <w:t xml:space="preserve"> </w:t>
      </w:r>
      <w:r w:rsidR="00396392">
        <w:rPr>
          <w:rFonts w:eastAsia="SimSun"/>
        </w:rPr>
        <w:t>The pricing for the Special Contract class is govern</w:t>
      </w:r>
      <w:r w:rsidR="00403625">
        <w:rPr>
          <w:rFonts w:eastAsia="SimSun"/>
        </w:rPr>
        <w:t>ed by the terms of the contract</w:t>
      </w:r>
      <w:r w:rsidR="00396392">
        <w:rPr>
          <w:rFonts w:eastAsia="SimSun"/>
        </w:rPr>
        <w:t xml:space="preserve"> under which service is taken</w:t>
      </w:r>
      <w:r>
        <w:rPr>
          <w:rFonts w:eastAsia="SimSun"/>
        </w:rPr>
        <w:t>.</w:t>
      </w:r>
      <w:r w:rsidR="00403625">
        <w:rPr>
          <w:rFonts w:eastAsia="SimSun"/>
        </w:rPr>
        <w:t xml:space="preserve"> It is only indirectly impacted by changes to rates charged </w:t>
      </w:r>
      <w:r w:rsidR="00DD4C12">
        <w:rPr>
          <w:rFonts w:eastAsia="SimSun"/>
        </w:rPr>
        <w:t xml:space="preserve">for service under </w:t>
      </w:r>
      <w:r w:rsidR="00403625">
        <w:rPr>
          <w:rFonts w:eastAsia="SimSun"/>
        </w:rPr>
        <w:t>gas Schedule</w:t>
      </w:r>
      <w:r w:rsidR="007B0A90">
        <w:rPr>
          <w:rFonts w:eastAsia="SimSun"/>
        </w:rPr>
        <w:t> </w:t>
      </w:r>
      <w:r w:rsidR="00403625">
        <w:rPr>
          <w:rFonts w:eastAsia="SimSun"/>
        </w:rPr>
        <w:t>87T, specifically through the linkage in demand and customer charges.</w:t>
      </w:r>
    </w:p>
    <w:p w:rsidR="004A092F" w:rsidRPr="009075DC" w:rsidRDefault="004A092F" w:rsidP="004A092F">
      <w:pPr>
        <w:pStyle w:val="question"/>
      </w:pPr>
      <w:r>
        <w:t>Q.</w:t>
      </w:r>
      <w:r>
        <w:tab/>
      </w:r>
      <w:r w:rsidR="00403625">
        <w:t>Could PSE or the Commission implement Staff’s alternative proposal through rate changes for Schedule</w:t>
      </w:r>
      <w:r w:rsidR="007B0A90">
        <w:t> </w:t>
      </w:r>
      <w:r w:rsidR="00403625">
        <w:t>87T</w:t>
      </w:r>
      <w:r w:rsidRPr="009075DC">
        <w:t>?</w:t>
      </w:r>
    </w:p>
    <w:p w:rsidR="004A092F" w:rsidRPr="009075DC" w:rsidRDefault="004A092F" w:rsidP="004A092F">
      <w:pPr>
        <w:pStyle w:val="answer"/>
        <w:rPr>
          <w:rFonts w:eastAsia="SimSun"/>
        </w:rPr>
      </w:pPr>
      <w:r>
        <w:rPr>
          <w:rFonts w:eastAsia="SimSun"/>
        </w:rPr>
        <w:t>A.</w:t>
      </w:r>
      <w:r>
        <w:rPr>
          <w:rFonts w:eastAsia="SimSun"/>
        </w:rPr>
        <w:tab/>
      </w:r>
      <w:r w:rsidR="00403625">
        <w:rPr>
          <w:rFonts w:eastAsia="SimSun"/>
        </w:rPr>
        <w:t xml:space="preserve">This would be </w:t>
      </w:r>
      <w:r w:rsidR="007619DA">
        <w:rPr>
          <w:rFonts w:eastAsia="SimSun"/>
        </w:rPr>
        <w:t xml:space="preserve">technically </w:t>
      </w:r>
      <w:r w:rsidR="00403625">
        <w:rPr>
          <w:rFonts w:eastAsia="SimSun"/>
        </w:rPr>
        <w:t>possible.</w:t>
      </w:r>
      <w:r w:rsidR="000D20AD">
        <w:rPr>
          <w:rFonts w:eastAsia="SimSun"/>
        </w:rPr>
        <w:t xml:space="preserve"> </w:t>
      </w:r>
      <w:r w:rsidR="00403625">
        <w:rPr>
          <w:rFonts w:eastAsia="SimSun"/>
        </w:rPr>
        <w:t>However, Staff’s alternative proposal would then of course impact far more than just the Special Contract customers.</w:t>
      </w:r>
      <w:r w:rsidR="000D20AD">
        <w:rPr>
          <w:rFonts w:eastAsia="SimSun"/>
        </w:rPr>
        <w:t xml:space="preserve"> </w:t>
      </w:r>
      <w:r w:rsidR="00403625">
        <w:rPr>
          <w:rFonts w:eastAsia="SimSun"/>
        </w:rPr>
        <w:t>It would impact the rates charged to customers served under Schedule</w:t>
      </w:r>
      <w:r w:rsidR="007B0A90">
        <w:rPr>
          <w:rFonts w:eastAsia="SimSun"/>
        </w:rPr>
        <w:t> </w:t>
      </w:r>
      <w:r w:rsidR="00403625">
        <w:rPr>
          <w:rFonts w:eastAsia="SimSun"/>
        </w:rPr>
        <w:t>87T, and most likely Schedule</w:t>
      </w:r>
      <w:r w:rsidR="007B0A90">
        <w:rPr>
          <w:rFonts w:eastAsia="SimSun"/>
        </w:rPr>
        <w:t> </w:t>
      </w:r>
      <w:r w:rsidR="00403625">
        <w:rPr>
          <w:rFonts w:eastAsia="SimSun"/>
        </w:rPr>
        <w:t>87, as well</w:t>
      </w:r>
      <w:r>
        <w:rPr>
          <w:rFonts w:eastAsia="SimSun"/>
        </w:rPr>
        <w:t>.</w:t>
      </w:r>
      <w:r w:rsidR="000D20AD">
        <w:rPr>
          <w:rFonts w:eastAsia="SimSun"/>
        </w:rPr>
        <w:t xml:space="preserve"> </w:t>
      </w:r>
      <w:r w:rsidR="00DD4C12">
        <w:rPr>
          <w:rFonts w:eastAsia="SimSun"/>
        </w:rPr>
        <w:t>Indeed, given Staff’s proposed increase of upwards of approximately $1.5</w:t>
      </w:r>
      <w:r w:rsidR="007B0A90">
        <w:rPr>
          <w:rFonts w:eastAsia="SimSun"/>
        </w:rPr>
        <w:t> </w:t>
      </w:r>
      <w:r w:rsidR="00DD4C12">
        <w:rPr>
          <w:rFonts w:eastAsia="SimSun"/>
        </w:rPr>
        <w:t xml:space="preserve">million, the demand charges for these customers would need to be dramatically increased, many multiples of their current levels. </w:t>
      </w:r>
    </w:p>
    <w:p w:rsidR="00DA5980" w:rsidRPr="009075DC" w:rsidRDefault="00DA5980" w:rsidP="00DA5980">
      <w:pPr>
        <w:pStyle w:val="question"/>
      </w:pPr>
      <w:r>
        <w:t>Q.</w:t>
      </w:r>
      <w:r>
        <w:tab/>
      </w:r>
      <w:r w:rsidR="00403625">
        <w:t>Has Staff justified whether the rates charged to Schedules</w:t>
      </w:r>
      <w:r w:rsidR="007B0A90">
        <w:t> </w:t>
      </w:r>
      <w:r w:rsidR="00403625">
        <w:t xml:space="preserve">87 or 87T should be </w:t>
      </w:r>
      <w:r w:rsidR="00DD4C12">
        <w:t xml:space="preserve">dramatically </w:t>
      </w:r>
      <w:r w:rsidR="00403625">
        <w:t>changed merely to implement its alternative proposal to increase the rates of customers served in the Special Contract class</w:t>
      </w:r>
      <w:r w:rsidRPr="009075DC">
        <w:t>?</w:t>
      </w:r>
    </w:p>
    <w:p w:rsidR="00DA5980" w:rsidRPr="009075DC" w:rsidRDefault="00403625" w:rsidP="00DA5980">
      <w:pPr>
        <w:pStyle w:val="answer"/>
        <w:rPr>
          <w:rFonts w:eastAsia="SimSun"/>
        </w:rPr>
      </w:pPr>
      <w:r>
        <w:rPr>
          <w:rFonts w:eastAsia="SimSun"/>
        </w:rPr>
        <w:t>A.</w:t>
      </w:r>
      <w:r>
        <w:rPr>
          <w:rFonts w:eastAsia="SimSun"/>
        </w:rPr>
        <w:tab/>
        <w:t>No.</w:t>
      </w:r>
      <w:r w:rsidR="000D20AD">
        <w:rPr>
          <w:rFonts w:eastAsia="SimSun"/>
        </w:rPr>
        <w:t xml:space="preserve"> </w:t>
      </w:r>
      <w:r>
        <w:rPr>
          <w:rFonts w:eastAsia="SimSun"/>
        </w:rPr>
        <w:t>Staff has provided no such justification.</w:t>
      </w:r>
    </w:p>
    <w:p w:rsidR="00F8418D" w:rsidRPr="009075DC" w:rsidRDefault="00DA7D3D" w:rsidP="001666C8">
      <w:pPr>
        <w:pStyle w:val="Heading1"/>
      </w:pPr>
      <w:bookmarkStart w:id="11" w:name="_Toc127023404"/>
      <w:bookmarkStart w:id="12" w:name="_Toc490566960"/>
      <w:r>
        <w:lastRenderedPageBreak/>
        <w:t>I</w:t>
      </w:r>
      <w:r w:rsidR="00E3726A">
        <w:t>X</w:t>
      </w:r>
      <w:r w:rsidR="00F8418D" w:rsidRPr="009075DC">
        <w:t>.</w:t>
      </w:r>
      <w:r w:rsidR="00F8418D" w:rsidRPr="009075DC">
        <w:tab/>
        <w:t>CONCLUSION</w:t>
      </w:r>
      <w:bookmarkEnd w:id="11"/>
      <w:bookmarkEnd w:id="12"/>
    </w:p>
    <w:p w:rsidR="00F8418D" w:rsidRPr="009075DC" w:rsidRDefault="00F8418D" w:rsidP="00734EBA">
      <w:pPr>
        <w:pStyle w:val="question"/>
      </w:pPr>
      <w:r w:rsidRPr="009075DC">
        <w:t>Q.</w:t>
      </w:r>
      <w:r w:rsidRPr="009075DC">
        <w:tab/>
        <w:t xml:space="preserve">Does this conclude your </w:t>
      </w:r>
      <w:r w:rsidR="000D20AD">
        <w:t xml:space="preserve">supplemental </w:t>
      </w:r>
      <w:r w:rsidR="0013679C">
        <w:t xml:space="preserve">rebuttal </w:t>
      </w:r>
      <w:r w:rsidRPr="009075DC">
        <w:t>testimony?</w:t>
      </w:r>
    </w:p>
    <w:p w:rsidR="00734EBA" w:rsidRPr="009075DC" w:rsidRDefault="00F8418D">
      <w:pPr>
        <w:pStyle w:val="answer"/>
        <w:rPr>
          <w:rFonts w:eastAsia="SimSun"/>
        </w:rPr>
      </w:pPr>
      <w:r w:rsidRPr="009075DC">
        <w:rPr>
          <w:rFonts w:eastAsia="SimSun"/>
        </w:rPr>
        <w:t>A.</w:t>
      </w:r>
      <w:r w:rsidRPr="009075DC">
        <w:rPr>
          <w:rFonts w:eastAsia="SimSun"/>
        </w:rPr>
        <w:tab/>
        <w:t>Yes</w:t>
      </w:r>
      <w:r w:rsidR="00406B72">
        <w:rPr>
          <w:rFonts w:eastAsia="SimSun"/>
        </w:rPr>
        <w:t>.</w:t>
      </w:r>
    </w:p>
    <w:sectPr w:rsidR="00734EBA" w:rsidRPr="009075DC"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FA" w:rsidRDefault="008222FA">
      <w:r>
        <w:separator/>
      </w:r>
    </w:p>
  </w:endnote>
  <w:endnote w:type="continuationSeparator" w:id="0">
    <w:p w:rsidR="008222FA" w:rsidRDefault="0082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8" w:rsidRDefault="00BD0BF8">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BD0BF8" w:rsidRDefault="00BD0BF8">
    <w:pPr>
      <w:pStyle w:val="Footer"/>
      <w:tabs>
        <w:tab w:val="clear" w:pos="4507"/>
        <w:tab w:val="clear" w:pos="9000"/>
        <w:tab w:val="right" w:pos="8640"/>
      </w:tabs>
      <w:spacing w:line="240" w:lineRule="auto"/>
      <w:ind w:right="0" w:hanging="4"/>
      <w:rPr>
        <w:sz w:val="10"/>
        <w:szCs w:val="10"/>
      </w:rPr>
    </w:pPr>
  </w:p>
  <w:p w:rsidR="00BD0BF8" w:rsidRDefault="00BD0BF8">
    <w:pPr>
      <w:pStyle w:val="Footer"/>
      <w:tabs>
        <w:tab w:val="clear" w:pos="4507"/>
        <w:tab w:val="clear" w:pos="9000"/>
        <w:tab w:val="right" w:pos="8640"/>
      </w:tabs>
      <w:ind w:hanging="4"/>
    </w:pPr>
    <w:r>
      <w:t xml:space="preserve">Prefiled </w:t>
    </w:r>
    <w:r w:rsidR="001666C8">
      <w:t>Supplemental Reb</w:t>
    </w:r>
    <w:r>
      <w:t>uttal Testimony</w:t>
    </w:r>
    <w:r>
      <w:tab/>
      <w:t>Exh. JAP-54T</w:t>
    </w:r>
  </w:p>
  <w:p w:rsidR="00BD0BF8" w:rsidRDefault="00BD0BF8">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E359AC">
      <w:rPr>
        <w:rStyle w:val="PageNumber"/>
        <w:noProof/>
      </w:rPr>
      <w:t>i</w:t>
    </w:r>
    <w:r>
      <w:rPr>
        <w:rStyle w:val="PageNumber"/>
      </w:rPr>
      <w:fldChar w:fldCharType="end"/>
    </w:r>
    <w:r>
      <w:rPr>
        <w:rStyle w:val="PageNumber"/>
      </w:rPr>
      <w:t xml:space="preserve"> of </w:t>
    </w:r>
    <w:r>
      <w:t>i</w:t>
    </w:r>
  </w:p>
  <w:p w:rsidR="00BD0BF8" w:rsidRDefault="00BD0BF8" w:rsidP="008869EC">
    <w:pPr>
      <w:pStyle w:val="Footer"/>
      <w:tabs>
        <w:tab w:val="clear" w:pos="4507"/>
        <w:tab w:val="clear" w:pos="9000"/>
        <w:tab w:val="right" w:pos="8640"/>
      </w:tabs>
      <w:ind w:hanging="4"/>
    </w:pPr>
    <w:r>
      <w:t>Jon A. Piliaris</w:t>
    </w:r>
    <w:r w:rsidRPr="0078296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8" w:rsidRDefault="00BD0BF8">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BD0BF8" w:rsidRDefault="00BD0BF8">
    <w:pPr>
      <w:pStyle w:val="Footer"/>
      <w:tabs>
        <w:tab w:val="clear" w:pos="4507"/>
        <w:tab w:val="clear" w:pos="9000"/>
        <w:tab w:val="right" w:pos="8640"/>
      </w:tabs>
      <w:spacing w:line="240" w:lineRule="auto"/>
      <w:ind w:right="0"/>
      <w:rPr>
        <w:sz w:val="10"/>
      </w:rPr>
    </w:pPr>
  </w:p>
  <w:p w:rsidR="00BD0BF8" w:rsidRDefault="00BD0BF8">
    <w:pPr>
      <w:pStyle w:val="Footer"/>
      <w:tabs>
        <w:tab w:val="clear" w:pos="4507"/>
        <w:tab w:val="clear" w:pos="9000"/>
        <w:tab w:val="right" w:pos="8640"/>
      </w:tabs>
    </w:pPr>
    <w:r>
      <w:t xml:space="preserve">Prefiled </w:t>
    </w:r>
    <w:r w:rsidR="001666C8">
      <w:t>Supplemental R</w:t>
    </w:r>
    <w:r>
      <w:t>ebuttal Testimony</w:t>
    </w:r>
    <w:r>
      <w:tab/>
      <w:t>Exh. JAP-54T</w:t>
    </w:r>
  </w:p>
  <w:p w:rsidR="00BD0BF8" w:rsidRDefault="00BD0BF8">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E359AC">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E359AC">
      <w:rPr>
        <w:rStyle w:val="PageNumber"/>
        <w:noProof/>
      </w:rPr>
      <w:t>16</w:t>
    </w:r>
    <w:r>
      <w:rPr>
        <w:rStyle w:val="PageNumber"/>
      </w:rPr>
      <w:fldChar w:fldCharType="end"/>
    </w:r>
  </w:p>
  <w:p w:rsidR="00BD0BF8" w:rsidRDefault="00BD0BF8" w:rsidP="008869EC">
    <w:pPr>
      <w:pStyle w:val="Footer"/>
      <w:tabs>
        <w:tab w:val="clear" w:pos="4507"/>
        <w:tab w:val="clear" w:pos="9000"/>
        <w:tab w:val="right" w:pos="8640"/>
      </w:tabs>
    </w:pPr>
    <w:r>
      <w:t>Jon A. Piliaris</w:t>
    </w:r>
    <w:r w:rsidRPr="0078296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8" w:rsidRDefault="00BD0BF8">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BD0BF8" w:rsidRDefault="00BD0BF8">
    <w:pPr>
      <w:pStyle w:val="Footer"/>
      <w:tabs>
        <w:tab w:val="clear" w:pos="4507"/>
        <w:tab w:val="clear" w:pos="9000"/>
        <w:tab w:val="right" w:pos="8640"/>
      </w:tabs>
      <w:spacing w:line="240" w:lineRule="auto"/>
      <w:ind w:left="-630" w:right="0" w:hanging="4"/>
      <w:rPr>
        <w:sz w:val="10"/>
      </w:rPr>
    </w:pPr>
  </w:p>
  <w:p w:rsidR="00BD0BF8" w:rsidRDefault="00BD0BF8">
    <w:pPr>
      <w:pStyle w:val="Footer"/>
      <w:tabs>
        <w:tab w:val="clear" w:pos="4507"/>
        <w:tab w:val="clear" w:pos="9000"/>
        <w:tab w:val="right" w:pos="8640"/>
      </w:tabs>
      <w:ind w:left="-630" w:hanging="4"/>
    </w:pPr>
    <w:r>
      <w:t>Prefiled Direct Testimony of</w:t>
    </w:r>
    <w:r>
      <w:tab/>
      <w:t>Exhibit No. ___(JD-1CT)</w:t>
    </w:r>
  </w:p>
  <w:p w:rsidR="00BD0BF8" w:rsidRDefault="00BD0BF8">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FA" w:rsidRDefault="008222FA" w:rsidP="004673A3">
      <w:pPr>
        <w:spacing w:line="240" w:lineRule="auto"/>
        <w:ind w:firstLine="0"/>
      </w:pPr>
      <w:r>
        <w:separator/>
      </w:r>
    </w:p>
  </w:footnote>
  <w:footnote w:type="continuationSeparator" w:id="0">
    <w:p w:rsidR="008222FA" w:rsidRDefault="008222FA" w:rsidP="004673A3">
      <w:pPr>
        <w:spacing w:line="240" w:lineRule="auto"/>
        <w:ind w:firstLine="0"/>
      </w:pPr>
      <w:r>
        <w:continuationSeparator/>
      </w:r>
    </w:p>
  </w:footnote>
  <w:footnote w:type="continuationNotice" w:id="1">
    <w:p w:rsidR="008222FA" w:rsidRDefault="008222FA" w:rsidP="004673A3">
      <w:pPr>
        <w:spacing w:line="240" w:lineRule="auto"/>
        <w:ind w:firstLine="0"/>
      </w:pPr>
    </w:p>
  </w:footnote>
  <w:footnote w:id="2">
    <w:p w:rsidR="00BD0BF8" w:rsidRDefault="00BD0BF8" w:rsidP="001666C8">
      <w:pPr>
        <w:pStyle w:val="FootnoteText"/>
      </w:pPr>
      <w:r>
        <w:rPr>
          <w:rStyle w:val="FootnoteReference"/>
        </w:rPr>
        <w:footnoteRef/>
      </w:r>
      <w:r w:rsidR="001666C8">
        <w:tab/>
      </w:r>
      <w:r>
        <w:t xml:space="preserve">Ball, Exh. </w:t>
      </w:r>
      <w:r w:rsidRPr="001666C8">
        <w:t>JLB</w:t>
      </w:r>
      <w:r>
        <w:t>-8T at 4:8-12.</w:t>
      </w:r>
    </w:p>
  </w:footnote>
  <w:footnote w:id="3">
    <w:p w:rsidR="00BD0BF8" w:rsidRDefault="00BD0BF8" w:rsidP="001666C8">
      <w:pPr>
        <w:pStyle w:val="FootnoteText"/>
      </w:pPr>
      <w:r>
        <w:rPr>
          <w:rStyle w:val="FootnoteReference"/>
        </w:rPr>
        <w:footnoteRef/>
      </w:r>
      <w:r w:rsidR="001666C8">
        <w:tab/>
      </w:r>
      <w:r w:rsidR="000D20AD">
        <w:t xml:space="preserve">Ball, Exh. </w:t>
      </w:r>
      <w:r w:rsidR="000D20AD" w:rsidRPr="001666C8">
        <w:t>JLB</w:t>
      </w:r>
      <w:r w:rsidR="000D20AD">
        <w:t xml:space="preserve">-8T at </w:t>
      </w:r>
      <w:r>
        <w:t>6:3-4.</w:t>
      </w:r>
    </w:p>
  </w:footnote>
  <w:footnote w:id="4">
    <w:p w:rsidR="00666B78" w:rsidRDefault="00666B78">
      <w:pPr>
        <w:pStyle w:val="FootnoteText"/>
      </w:pPr>
      <w:r>
        <w:rPr>
          <w:rStyle w:val="FootnoteReference"/>
        </w:rPr>
        <w:footnoteRef/>
      </w:r>
      <w:r>
        <w:tab/>
      </w:r>
      <w:r w:rsidRPr="00666B78">
        <w:t>WAC 480-80-143(5)(c)</w:t>
      </w:r>
      <w:r>
        <w:t>.</w:t>
      </w:r>
    </w:p>
  </w:footnote>
  <w:footnote w:id="5">
    <w:p w:rsidR="00666B78" w:rsidRDefault="00666B78">
      <w:pPr>
        <w:pStyle w:val="FootnoteText"/>
      </w:pPr>
      <w:r>
        <w:rPr>
          <w:rStyle w:val="FootnoteReference"/>
        </w:rPr>
        <w:footnoteRef/>
      </w:r>
      <w:r>
        <w:tab/>
        <w:t xml:space="preserve">Ball, Exh. </w:t>
      </w:r>
      <w:r w:rsidRPr="001666C8">
        <w:t>JLB</w:t>
      </w:r>
      <w:r>
        <w:t>-8T at 2:25-26.</w:t>
      </w:r>
    </w:p>
  </w:footnote>
  <w:footnote w:id="6">
    <w:p w:rsidR="00666B78" w:rsidRDefault="00666B78" w:rsidP="00666B78">
      <w:pPr>
        <w:pStyle w:val="FootnoteText"/>
      </w:pPr>
      <w:r>
        <w:rPr>
          <w:rStyle w:val="FootnoteReference"/>
        </w:rPr>
        <w:footnoteRef/>
      </w:r>
      <w:r>
        <w:tab/>
      </w:r>
      <w:r w:rsidRPr="00666B78">
        <w:t>WAC 480-80-143(5)</w:t>
      </w:r>
      <w:r>
        <w:t>.</w:t>
      </w:r>
    </w:p>
  </w:footnote>
  <w:footnote w:id="7">
    <w:p w:rsidR="00BD0BF8" w:rsidRDefault="00BD0BF8" w:rsidP="001666C8">
      <w:pPr>
        <w:pStyle w:val="FootnoteText"/>
      </w:pPr>
      <w:r>
        <w:rPr>
          <w:rStyle w:val="FootnoteReference"/>
        </w:rPr>
        <w:footnoteRef/>
      </w:r>
      <w:r w:rsidR="001666C8">
        <w:tab/>
      </w:r>
      <w:r w:rsidR="000D20AD">
        <w:t xml:space="preserve">Ball, Exh. </w:t>
      </w:r>
      <w:r w:rsidR="000D20AD" w:rsidRPr="001666C8">
        <w:t>JLB</w:t>
      </w:r>
      <w:r w:rsidR="000D20AD">
        <w:t xml:space="preserve">-8T at </w:t>
      </w:r>
      <w:r>
        <w:t>3:6-10.</w:t>
      </w:r>
    </w:p>
  </w:footnote>
  <w:footnote w:id="8">
    <w:p w:rsidR="00D52761" w:rsidRDefault="00D52761" w:rsidP="001666C8">
      <w:pPr>
        <w:pStyle w:val="FootnoteText"/>
      </w:pPr>
      <w:r>
        <w:rPr>
          <w:rStyle w:val="FootnoteReference"/>
        </w:rPr>
        <w:footnoteRef/>
      </w:r>
      <w:r w:rsidR="001666C8">
        <w:tab/>
      </w:r>
      <w:r>
        <w:t>Ideally, only the “incremental” cost of providing s</w:t>
      </w:r>
      <w:r w:rsidR="000D20AD">
        <w:t xml:space="preserve">ervice would be included here. </w:t>
      </w:r>
      <w:r>
        <w:t>However, this is a challenging and relatively controversial figure to determine.</w:t>
      </w:r>
    </w:p>
  </w:footnote>
  <w:footnote w:id="9">
    <w:p w:rsidR="00BD0BF8" w:rsidRDefault="00BD0BF8" w:rsidP="001666C8">
      <w:pPr>
        <w:pStyle w:val="FootnoteText"/>
      </w:pPr>
      <w:r>
        <w:rPr>
          <w:rStyle w:val="FootnoteReference"/>
        </w:rPr>
        <w:footnoteRef/>
      </w:r>
      <w:r w:rsidR="001666C8">
        <w:tab/>
      </w:r>
      <w:r w:rsidR="00DD4C12">
        <w:t>Ball, Exh. JLB-8T</w:t>
      </w:r>
      <w:r>
        <w:t xml:space="preserve"> at 3.</w:t>
      </w:r>
    </w:p>
  </w:footnote>
  <w:footnote w:id="10">
    <w:p w:rsidR="00BD0BF8" w:rsidRDefault="00BD0BF8" w:rsidP="001666C8">
      <w:pPr>
        <w:pStyle w:val="FootnoteText"/>
      </w:pPr>
      <w:r>
        <w:rPr>
          <w:rStyle w:val="FootnoteReference"/>
        </w:rPr>
        <w:footnoteRef/>
      </w:r>
      <w:r w:rsidR="001666C8">
        <w:tab/>
      </w:r>
      <w:r>
        <w:t xml:space="preserve">As with Staff, and as discussed in my prefiled rebuttal testimony, </w:t>
      </w:r>
      <w:r w:rsidR="00EE3502">
        <w:t>PSE</w:t>
      </w:r>
      <w:r>
        <w:t xml:space="preserve"> contest</w:t>
      </w:r>
      <w:r w:rsidR="00EE3502">
        <w:t>s</w:t>
      </w:r>
      <w:r>
        <w:t xml:space="preserve"> NWIGU’s cost allocation methodology.</w:t>
      </w:r>
    </w:p>
  </w:footnote>
  <w:footnote w:id="11">
    <w:p w:rsidR="007B0A90" w:rsidRDefault="007B0A90">
      <w:pPr>
        <w:pStyle w:val="FootnoteText"/>
      </w:pPr>
      <w:r>
        <w:rPr>
          <w:rStyle w:val="FootnoteReference"/>
        </w:rPr>
        <w:footnoteRef/>
      </w:r>
      <w:r>
        <w:tab/>
      </w:r>
      <w:r w:rsidRPr="00666B78">
        <w:t>WAC</w:t>
      </w:r>
      <w:r>
        <w:t> </w:t>
      </w:r>
      <w:r w:rsidRPr="00666B78">
        <w:t>480-80-143(5)</w:t>
      </w:r>
      <w:r>
        <w:t>(c) (emphasis added).</w:t>
      </w:r>
    </w:p>
  </w:footnote>
  <w:footnote w:id="12">
    <w:p w:rsidR="007B0A90" w:rsidRDefault="007B0A90">
      <w:pPr>
        <w:pStyle w:val="FootnoteText"/>
      </w:pPr>
      <w:r>
        <w:rPr>
          <w:rStyle w:val="FootnoteReference"/>
        </w:rPr>
        <w:footnoteRef/>
      </w:r>
      <w:r>
        <w:tab/>
      </w:r>
      <w:r w:rsidRPr="007B0A90">
        <w:rPr>
          <w:i/>
        </w:rPr>
        <w:t>Id.</w:t>
      </w:r>
      <w:r>
        <w:t xml:space="preserve"> (emphasis added).</w:t>
      </w:r>
    </w:p>
  </w:footnote>
  <w:footnote w:id="13">
    <w:p w:rsidR="00B91D59" w:rsidRDefault="00B91D59" w:rsidP="001666C8">
      <w:pPr>
        <w:pStyle w:val="FootnoteText"/>
      </w:pPr>
      <w:r>
        <w:rPr>
          <w:rStyle w:val="FootnoteReference"/>
        </w:rPr>
        <w:footnoteRef/>
      </w:r>
      <w:r w:rsidR="001666C8">
        <w:tab/>
      </w:r>
      <w:r>
        <w:t>This, of course, does</w:t>
      </w:r>
      <w:r w:rsidR="007B0A90">
        <w:t xml:space="preserve"> </w:t>
      </w:r>
      <w:r>
        <w:t>n</w:t>
      </w:r>
      <w:r w:rsidR="007B0A90">
        <w:t>o</w:t>
      </w:r>
      <w:r>
        <w:t>t mean that the customer simply needs to pay for little more than its incremental cost of service. The Commission must also satisfy itself that the customer is not paying significantly less than had it p</w:t>
      </w:r>
      <w:r w:rsidR="000D20AD">
        <w:t>ursued its service alternative.</w:t>
      </w:r>
    </w:p>
  </w:footnote>
  <w:footnote w:id="14">
    <w:p w:rsidR="00D846BA" w:rsidRDefault="00D846BA" w:rsidP="001666C8">
      <w:pPr>
        <w:pStyle w:val="FootnoteText"/>
      </w:pPr>
      <w:r>
        <w:rPr>
          <w:rStyle w:val="FootnoteReference"/>
        </w:rPr>
        <w:footnoteRef/>
      </w:r>
      <w:r w:rsidR="001666C8">
        <w:tab/>
      </w:r>
      <w:r>
        <w:t>Staff’s alternative proposal</w:t>
      </w:r>
      <w:r w:rsidR="007619DA">
        <w:t xml:space="preserve"> discussed later in testimony</w:t>
      </w:r>
      <w:r>
        <w:t xml:space="preserve"> is only slightly better in that it provides the possibility for offering </w:t>
      </w:r>
      <w:r w:rsidR="00E359AC">
        <w:t xml:space="preserve">rates that do not fully </w:t>
      </w:r>
      <w:r w:rsidR="00E359AC">
        <w:t>recover</w:t>
      </w:r>
      <w:bookmarkStart w:id="8" w:name="_GoBack"/>
      <w:bookmarkEnd w:id="8"/>
      <w:r>
        <w:t xml:space="preserve"> all allocated costs.</w:t>
      </w:r>
      <w:r w:rsidR="000D20AD">
        <w:t xml:space="preserve"> </w:t>
      </w:r>
      <w:r>
        <w:t xml:space="preserve">However, it still ignores the realities that must be acknowledged at the </w:t>
      </w:r>
      <w:r w:rsidR="000D20AD">
        <w:t xml:space="preserve">time the contract is approved. </w:t>
      </w:r>
      <w:r>
        <w:t>That is, the customers served within this class had a bypass opportunity and setting an artificial return threshold could have resulted in the exercising of the bypass option to the detrime</w:t>
      </w:r>
      <w:r w:rsidR="000D20AD">
        <w:t>nt of remaining PSE customers.</w:t>
      </w:r>
    </w:p>
  </w:footnote>
  <w:footnote w:id="15">
    <w:p w:rsidR="00CB49DF" w:rsidRDefault="00CB49DF" w:rsidP="001666C8">
      <w:pPr>
        <w:pStyle w:val="FootnoteText"/>
      </w:pPr>
      <w:r>
        <w:rPr>
          <w:rStyle w:val="FootnoteReference"/>
        </w:rPr>
        <w:footnoteRef/>
      </w:r>
      <w:r w:rsidR="001666C8">
        <w:tab/>
      </w:r>
      <w:r>
        <w:t>Worse still is the uncertainty as to how to determine exactly what constitutes “full” recovery of costs</w:t>
      </w:r>
      <w:r w:rsidR="00DC2CD0">
        <w:t>, given the widely varying opinions on that matter</w:t>
      </w:r>
      <w:r w:rsidR="000D20AD">
        <w:t>.</w:t>
      </w:r>
    </w:p>
  </w:footnote>
  <w:footnote w:id="16">
    <w:p w:rsidR="00DA5980" w:rsidRDefault="00DA5980" w:rsidP="001666C8">
      <w:pPr>
        <w:pStyle w:val="FootnoteText"/>
      </w:pPr>
      <w:r>
        <w:rPr>
          <w:rStyle w:val="FootnoteReference"/>
        </w:rPr>
        <w:footnoteRef/>
      </w:r>
      <w:r w:rsidR="001666C8">
        <w:tab/>
      </w:r>
      <w:r>
        <w:t>Ball, Exh. JLB-8T at 5:5-7.</w:t>
      </w:r>
    </w:p>
  </w:footnote>
  <w:footnote w:id="17">
    <w:p w:rsidR="00117F6C" w:rsidRDefault="00117F6C" w:rsidP="001666C8">
      <w:pPr>
        <w:pStyle w:val="FootnoteText"/>
      </w:pPr>
      <w:r>
        <w:rPr>
          <w:rStyle w:val="FootnoteReference"/>
        </w:rPr>
        <w:footnoteRef/>
      </w:r>
      <w:r w:rsidR="001666C8">
        <w:tab/>
      </w:r>
      <w:r w:rsidR="000D20AD">
        <w:t xml:space="preserve">Ball, Exh. JLB-8T </w:t>
      </w:r>
      <w:r>
        <w:t>at 6:3-4.</w:t>
      </w:r>
    </w:p>
  </w:footnote>
  <w:footnote w:id="18">
    <w:p w:rsidR="00934D73" w:rsidRDefault="00934D73" w:rsidP="001666C8">
      <w:pPr>
        <w:pStyle w:val="FootnoteText"/>
      </w:pPr>
      <w:r>
        <w:rPr>
          <w:rStyle w:val="FootnoteReference"/>
        </w:rPr>
        <w:footnoteRef/>
      </w:r>
      <w:r w:rsidR="001666C8">
        <w:tab/>
      </w:r>
      <w:r w:rsidRPr="00934D73">
        <w:rPr>
          <w:i/>
        </w:rPr>
        <w:t>Id.</w:t>
      </w:r>
      <w:r>
        <w:t xml:space="preserve"> at 6:4-6.</w:t>
      </w:r>
    </w:p>
  </w:footnote>
  <w:footnote w:id="19">
    <w:p w:rsidR="00934D73" w:rsidRDefault="00934D73" w:rsidP="001666C8">
      <w:pPr>
        <w:pStyle w:val="FootnoteText"/>
      </w:pPr>
      <w:r>
        <w:rPr>
          <w:rStyle w:val="FootnoteReference"/>
        </w:rPr>
        <w:footnoteRef/>
      </w:r>
      <w:r w:rsidR="001666C8">
        <w:tab/>
      </w:r>
      <w:r w:rsidR="000D20AD">
        <w:t xml:space="preserve">Ball, Exh. JLB-8T </w:t>
      </w:r>
      <w:r>
        <w:t>at 6.  Difference between $1.49</w:t>
      </w:r>
      <w:r w:rsidR="000D20AD">
        <w:t> </w:t>
      </w:r>
      <w:r>
        <w:t>million at 7.37</w:t>
      </w:r>
      <w:r w:rsidR="000D20AD">
        <w:t> </w:t>
      </w:r>
      <w:r>
        <w:t>percent return versus $0.81</w:t>
      </w:r>
      <w:r w:rsidR="000D20AD">
        <w:t> </w:t>
      </w:r>
      <w:r>
        <w:t>million at 2.0</w:t>
      </w:r>
      <w:r w:rsidR="000D20AD">
        <w:t> </w:t>
      </w:r>
      <w:r>
        <w:t>percent return.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8" w:rsidRDefault="00BD0BF8">
    <w:pPr>
      <w:pStyle w:val="Header"/>
    </w:pPr>
    <w:r>
      <w:rPr>
        <w:noProof/>
        <w:lang w:eastAsia="en-US"/>
      </w:rPr>
      <mc:AlternateContent>
        <mc:Choice Requires="wps">
          <w:drawing>
            <wp:anchor distT="0" distB="0" distL="114300" distR="114300" simplePos="0" relativeHeight="251660288" behindDoc="0" locked="0" layoutInCell="0" allowOverlap="1" wp14:anchorId="163AAA20" wp14:editId="639D49CA">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8" w:rsidRDefault="00BD0BF8">
    <w:pPr>
      <w:pStyle w:val="Header"/>
    </w:pPr>
    <w:r>
      <w:rPr>
        <w:noProof/>
        <w:lang w:eastAsia="en-US"/>
      </w:rPr>
      <mc:AlternateContent>
        <mc:Choice Requires="wps">
          <w:drawing>
            <wp:anchor distT="0" distB="0" distL="114300" distR="114300" simplePos="0" relativeHeight="251662336" behindDoc="0" locked="0" layoutInCell="1" allowOverlap="1" wp14:anchorId="2424C51E" wp14:editId="31AAD79B">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E9E071F"/>
    <w:multiLevelType w:val="hybridMultilevel"/>
    <w:tmpl w:val="C3A4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5">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4">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8">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9">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0"/>
  </w:num>
  <w:num w:numId="13">
    <w:abstractNumId w:val="38"/>
  </w:num>
  <w:num w:numId="14">
    <w:abstractNumId w:val="24"/>
  </w:num>
  <w:num w:numId="15">
    <w:abstractNumId w:val="33"/>
  </w:num>
  <w:num w:numId="16">
    <w:abstractNumId w:val="36"/>
  </w:num>
  <w:num w:numId="17">
    <w:abstractNumId w:val="40"/>
  </w:num>
  <w:num w:numId="18">
    <w:abstractNumId w:val="27"/>
  </w:num>
  <w:num w:numId="19">
    <w:abstractNumId w:val="41"/>
  </w:num>
  <w:num w:numId="20">
    <w:abstractNumId w:val="30"/>
  </w:num>
  <w:num w:numId="21">
    <w:abstractNumId w:val="32"/>
  </w:num>
  <w:num w:numId="22">
    <w:abstractNumId w:val="18"/>
  </w:num>
  <w:num w:numId="23">
    <w:abstractNumId w:val="16"/>
  </w:num>
  <w:num w:numId="24">
    <w:abstractNumId w:val="22"/>
  </w:num>
  <w:num w:numId="25">
    <w:abstractNumId w:val="20"/>
  </w:num>
  <w:num w:numId="26">
    <w:abstractNumId w:val="3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8"/>
  </w:num>
  <w:num w:numId="30">
    <w:abstractNumId w:val="12"/>
  </w:num>
  <w:num w:numId="31">
    <w:abstractNumId w:val="25"/>
  </w:num>
  <w:num w:numId="32">
    <w:abstractNumId w:val="29"/>
  </w:num>
  <w:num w:numId="33">
    <w:abstractNumId w:val="23"/>
  </w:num>
  <w:num w:numId="34">
    <w:abstractNumId w:val="11"/>
  </w:num>
  <w:num w:numId="35">
    <w:abstractNumId w:val="13"/>
  </w:num>
  <w:num w:numId="36">
    <w:abstractNumId w:val="15"/>
  </w:num>
  <w:num w:numId="37">
    <w:abstractNumId w:val="35"/>
  </w:num>
  <w:num w:numId="38">
    <w:abstractNumId w:val="26"/>
  </w:num>
  <w:num w:numId="39">
    <w:abstractNumId w:val="19"/>
  </w:num>
  <w:num w:numId="40">
    <w:abstractNumId w:val="21"/>
  </w:num>
  <w:num w:numId="41">
    <w:abstractNumId w:val="39"/>
  </w:num>
  <w:num w:numId="4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18F4"/>
    <w:rsid w:val="00002751"/>
    <w:rsid w:val="00003202"/>
    <w:rsid w:val="00003CCA"/>
    <w:rsid w:val="00004D39"/>
    <w:rsid w:val="0000554F"/>
    <w:rsid w:val="0000723E"/>
    <w:rsid w:val="00007913"/>
    <w:rsid w:val="000101C9"/>
    <w:rsid w:val="000109F6"/>
    <w:rsid w:val="0001112F"/>
    <w:rsid w:val="00011F34"/>
    <w:rsid w:val="00012170"/>
    <w:rsid w:val="00012CC9"/>
    <w:rsid w:val="000139D8"/>
    <w:rsid w:val="000166B1"/>
    <w:rsid w:val="00017DB9"/>
    <w:rsid w:val="00020C64"/>
    <w:rsid w:val="00020C6A"/>
    <w:rsid w:val="0002256A"/>
    <w:rsid w:val="0002428B"/>
    <w:rsid w:val="00024ADC"/>
    <w:rsid w:val="000251EE"/>
    <w:rsid w:val="000268B5"/>
    <w:rsid w:val="0003005E"/>
    <w:rsid w:val="00031B05"/>
    <w:rsid w:val="00032928"/>
    <w:rsid w:val="00032B65"/>
    <w:rsid w:val="00032BAE"/>
    <w:rsid w:val="000334C5"/>
    <w:rsid w:val="0003603B"/>
    <w:rsid w:val="000373BB"/>
    <w:rsid w:val="00037CE8"/>
    <w:rsid w:val="00040032"/>
    <w:rsid w:val="00040E73"/>
    <w:rsid w:val="00041701"/>
    <w:rsid w:val="000425A2"/>
    <w:rsid w:val="00043BF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1C24"/>
    <w:rsid w:val="000623F4"/>
    <w:rsid w:val="00063680"/>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114"/>
    <w:rsid w:val="00092201"/>
    <w:rsid w:val="00093447"/>
    <w:rsid w:val="00093522"/>
    <w:rsid w:val="00093C4A"/>
    <w:rsid w:val="000969E2"/>
    <w:rsid w:val="000A0290"/>
    <w:rsid w:val="000A0F0E"/>
    <w:rsid w:val="000A4ADD"/>
    <w:rsid w:val="000A56A7"/>
    <w:rsid w:val="000A7131"/>
    <w:rsid w:val="000A7F6A"/>
    <w:rsid w:val="000B068C"/>
    <w:rsid w:val="000B18E9"/>
    <w:rsid w:val="000B1EA2"/>
    <w:rsid w:val="000B38BF"/>
    <w:rsid w:val="000B3FB1"/>
    <w:rsid w:val="000B547D"/>
    <w:rsid w:val="000B6388"/>
    <w:rsid w:val="000B6DD9"/>
    <w:rsid w:val="000C3117"/>
    <w:rsid w:val="000C480A"/>
    <w:rsid w:val="000C56F0"/>
    <w:rsid w:val="000C5931"/>
    <w:rsid w:val="000C5A2C"/>
    <w:rsid w:val="000C6EA8"/>
    <w:rsid w:val="000C7BD8"/>
    <w:rsid w:val="000D0074"/>
    <w:rsid w:val="000D0F91"/>
    <w:rsid w:val="000D1FB5"/>
    <w:rsid w:val="000D20AD"/>
    <w:rsid w:val="000D3A5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4005"/>
    <w:rsid w:val="000F490A"/>
    <w:rsid w:val="000F53C0"/>
    <w:rsid w:val="000F762C"/>
    <w:rsid w:val="000F7DE8"/>
    <w:rsid w:val="00100417"/>
    <w:rsid w:val="001010E0"/>
    <w:rsid w:val="001023BE"/>
    <w:rsid w:val="0010268D"/>
    <w:rsid w:val="00102CE2"/>
    <w:rsid w:val="00102D02"/>
    <w:rsid w:val="00102FFC"/>
    <w:rsid w:val="001045A8"/>
    <w:rsid w:val="0010573F"/>
    <w:rsid w:val="0010641D"/>
    <w:rsid w:val="001066A2"/>
    <w:rsid w:val="0010724B"/>
    <w:rsid w:val="00110894"/>
    <w:rsid w:val="001124A8"/>
    <w:rsid w:val="0011347D"/>
    <w:rsid w:val="00113B9D"/>
    <w:rsid w:val="00113E20"/>
    <w:rsid w:val="00114B5C"/>
    <w:rsid w:val="00115F53"/>
    <w:rsid w:val="00116CF5"/>
    <w:rsid w:val="00117F6C"/>
    <w:rsid w:val="0012055A"/>
    <w:rsid w:val="001222A4"/>
    <w:rsid w:val="001227D6"/>
    <w:rsid w:val="001235E4"/>
    <w:rsid w:val="001248E8"/>
    <w:rsid w:val="00125292"/>
    <w:rsid w:val="00126228"/>
    <w:rsid w:val="00127342"/>
    <w:rsid w:val="001310AA"/>
    <w:rsid w:val="001314A8"/>
    <w:rsid w:val="0013195B"/>
    <w:rsid w:val="00132447"/>
    <w:rsid w:val="0013375D"/>
    <w:rsid w:val="0013586D"/>
    <w:rsid w:val="0013679C"/>
    <w:rsid w:val="00137615"/>
    <w:rsid w:val="00140EC8"/>
    <w:rsid w:val="00141044"/>
    <w:rsid w:val="001417A7"/>
    <w:rsid w:val="00141820"/>
    <w:rsid w:val="00141A46"/>
    <w:rsid w:val="00142532"/>
    <w:rsid w:val="00142DF7"/>
    <w:rsid w:val="001433AA"/>
    <w:rsid w:val="00143E87"/>
    <w:rsid w:val="00146EDB"/>
    <w:rsid w:val="001479BB"/>
    <w:rsid w:val="001507AA"/>
    <w:rsid w:val="00150B43"/>
    <w:rsid w:val="00151400"/>
    <w:rsid w:val="00151E68"/>
    <w:rsid w:val="001527E4"/>
    <w:rsid w:val="001530C6"/>
    <w:rsid w:val="001533D3"/>
    <w:rsid w:val="00153529"/>
    <w:rsid w:val="00155A5E"/>
    <w:rsid w:val="00155ABF"/>
    <w:rsid w:val="001578FF"/>
    <w:rsid w:val="001603DB"/>
    <w:rsid w:val="0016182B"/>
    <w:rsid w:val="00161845"/>
    <w:rsid w:val="00163F6E"/>
    <w:rsid w:val="0016430B"/>
    <w:rsid w:val="001664B2"/>
    <w:rsid w:val="001666C8"/>
    <w:rsid w:val="001668BA"/>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919C4"/>
    <w:rsid w:val="00192832"/>
    <w:rsid w:val="00192868"/>
    <w:rsid w:val="00192D72"/>
    <w:rsid w:val="001936DE"/>
    <w:rsid w:val="0019637E"/>
    <w:rsid w:val="00196CB7"/>
    <w:rsid w:val="00196FCA"/>
    <w:rsid w:val="00197652"/>
    <w:rsid w:val="00197984"/>
    <w:rsid w:val="001A1529"/>
    <w:rsid w:val="001A2510"/>
    <w:rsid w:val="001A2DBE"/>
    <w:rsid w:val="001A3B38"/>
    <w:rsid w:val="001A3EE4"/>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757"/>
    <w:rsid w:val="001C2894"/>
    <w:rsid w:val="001C5CAF"/>
    <w:rsid w:val="001C7603"/>
    <w:rsid w:val="001D05A4"/>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1F622B"/>
    <w:rsid w:val="00201995"/>
    <w:rsid w:val="00202C2B"/>
    <w:rsid w:val="00203289"/>
    <w:rsid w:val="00204D0F"/>
    <w:rsid w:val="00206603"/>
    <w:rsid w:val="00206F0F"/>
    <w:rsid w:val="00210AF9"/>
    <w:rsid w:val="00210FD3"/>
    <w:rsid w:val="002111FC"/>
    <w:rsid w:val="0021264C"/>
    <w:rsid w:val="00217367"/>
    <w:rsid w:val="002176C8"/>
    <w:rsid w:val="00217738"/>
    <w:rsid w:val="002178E1"/>
    <w:rsid w:val="002200C5"/>
    <w:rsid w:val="00220BA5"/>
    <w:rsid w:val="0022127D"/>
    <w:rsid w:val="00221CB5"/>
    <w:rsid w:val="002225DC"/>
    <w:rsid w:val="00222C36"/>
    <w:rsid w:val="0022574D"/>
    <w:rsid w:val="002272F9"/>
    <w:rsid w:val="00227B90"/>
    <w:rsid w:val="00235E91"/>
    <w:rsid w:val="002366CD"/>
    <w:rsid w:val="002370A7"/>
    <w:rsid w:val="00237BC7"/>
    <w:rsid w:val="00237DAF"/>
    <w:rsid w:val="0024042B"/>
    <w:rsid w:val="00240D91"/>
    <w:rsid w:val="00240E6A"/>
    <w:rsid w:val="0024173A"/>
    <w:rsid w:val="002423F8"/>
    <w:rsid w:val="00242803"/>
    <w:rsid w:val="00242F00"/>
    <w:rsid w:val="002439A7"/>
    <w:rsid w:val="00243C0C"/>
    <w:rsid w:val="00243D81"/>
    <w:rsid w:val="0024414E"/>
    <w:rsid w:val="002503F1"/>
    <w:rsid w:val="00250A52"/>
    <w:rsid w:val="002514AA"/>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36"/>
    <w:rsid w:val="00265D55"/>
    <w:rsid w:val="0026646A"/>
    <w:rsid w:val="0027022C"/>
    <w:rsid w:val="00271076"/>
    <w:rsid w:val="00271C28"/>
    <w:rsid w:val="00272458"/>
    <w:rsid w:val="002727F1"/>
    <w:rsid w:val="002747B0"/>
    <w:rsid w:val="002758F7"/>
    <w:rsid w:val="002776EB"/>
    <w:rsid w:val="00281869"/>
    <w:rsid w:val="00281FB1"/>
    <w:rsid w:val="00282FFC"/>
    <w:rsid w:val="00284894"/>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9A0"/>
    <w:rsid w:val="002B1D5B"/>
    <w:rsid w:val="002B3F2B"/>
    <w:rsid w:val="002B45F5"/>
    <w:rsid w:val="002B7714"/>
    <w:rsid w:val="002C091A"/>
    <w:rsid w:val="002C4A47"/>
    <w:rsid w:val="002C68E6"/>
    <w:rsid w:val="002D0C18"/>
    <w:rsid w:val="002D0FA8"/>
    <w:rsid w:val="002D2A12"/>
    <w:rsid w:val="002D300B"/>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F0FE8"/>
    <w:rsid w:val="002F4BC1"/>
    <w:rsid w:val="002F4CD2"/>
    <w:rsid w:val="002F6E18"/>
    <w:rsid w:val="002F706F"/>
    <w:rsid w:val="002F77A9"/>
    <w:rsid w:val="002F7A4E"/>
    <w:rsid w:val="002F7C7C"/>
    <w:rsid w:val="00300996"/>
    <w:rsid w:val="0030150A"/>
    <w:rsid w:val="00301A6C"/>
    <w:rsid w:val="00302D0C"/>
    <w:rsid w:val="00302E7A"/>
    <w:rsid w:val="003031BF"/>
    <w:rsid w:val="00304BA0"/>
    <w:rsid w:val="0030575E"/>
    <w:rsid w:val="00306F7C"/>
    <w:rsid w:val="0030775B"/>
    <w:rsid w:val="00311821"/>
    <w:rsid w:val="003150B6"/>
    <w:rsid w:val="00315629"/>
    <w:rsid w:val="00317739"/>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1F45"/>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156A"/>
    <w:rsid w:val="0038164D"/>
    <w:rsid w:val="00382131"/>
    <w:rsid w:val="00382C5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392"/>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20D"/>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25"/>
    <w:rsid w:val="004036B6"/>
    <w:rsid w:val="00404453"/>
    <w:rsid w:val="00404CFE"/>
    <w:rsid w:val="004059EB"/>
    <w:rsid w:val="0040642A"/>
    <w:rsid w:val="0040651F"/>
    <w:rsid w:val="004067DB"/>
    <w:rsid w:val="00406B72"/>
    <w:rsid w:val="004100FF"/>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41C3"/>
    <w:rsid w:val="00445291"/>
    <w:rsid w:val="004479B6"/>
    <w:rsid w:val="0045217A"/>
    <w:rsid w:val="00452684"/>
    <w:rsid w:val="0045400D"/>
    <w:rsid w:val="00454484"/>
    <w:rsid w:val="00455FB0"/>
    <w:rsid w:val="00461E19"/>
    <w:rsid w:val="004634CD"/>
    <w:rsid w:val="00463EFF"/>
    <w:rsid w:val="00464D88"/>
    <w:rsid w:val="00465629"/>
    <w:rsid w:val="00466E61"/>
    <w:rsid w:val="004673A3"/>
    <w:rsid w:val="004674DD"/>
    <w:rsid w:val="0046783D"/>
    <w:rsid w:val="0046788D"/>
    <w:rsid w:val="00467D78"/>
    <w:rsid w:val="004708DE"/>
    <w:rsid w:val="004709B1"/>
    <w:rsid w:val="00472593"/>
    <w:rsid w:val="00472ED7"/>
    <w:rsid w:val="00473CB4"/>
    <w:rsid w:val="00474F45"/>
    <w:rsid w:val="004758A2"/>
    <w:rsid w:val="00476A1F"/>
    <w:rsid w:val="00480054"/>
    <w:rsid w:val="004807DC"/>
    <w:rsid w:val="00480BEE"/>
    <w:rsid w:val="00480DFA"/>
    <w:rsid w:val="004818C2"/>
    <w:rsid w:val="0048269E"/>
    <w:rsid w:val="0048295A"/>
    <w:rsid w:val="00482CE9"/>
    <w:rsid w:val="004837B4"/>
    <w:rsid w:val="004847D0"/>
    <w:rsid w:val="00486844"/>
    <w:rsid w:val="00486F8C"/>
    <w:rsid w:val="00490281"/>
    <w:rsid w:val="00491882"/>
    <w:rsid w:val="004949C9"/>
    <w:rsid w:val="00494CF7"/>
    <w:rsid w:val="0049768D"/>
    <w:rsid w:val="00497C3C"/>
    <w:rsid w:val="004A092F"/>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6069"/>
    <w:rsid w:val="004B62CF"/>
    <w:rsid w:val="004C05B4"/>
    <w:rsid w:val="004C09FD"/>
    <w:rsid w:val="004C168F"/>
    <w:rsid w:val="004C16E8"/>
    <w:rsid w:val="004C170F"/>
    <w:rsid w:val="004C2A9D"/>
    <w:rsid w:val="004C3E5A"/>
    <w:rsid w:val="004C4A2E"/>
    <w:rsid w:val="004C638F"/>
    <w:rsid w:val="004C6641"/>
    <w:rsid w:val="004C69B5"/>
    <w:rsid w:val="004C6CED"/>
    <w:rsid w:val="004C71E1"/>
    <w:rsid w:val="004D03B3"/>
    <w:rsid w:val="004D1343"/>
    <w:rsid w:val="004D2851"/>
    <w:rsid w:val="004D2A90"/>
    <w:rsid w:val="004D3D21"/>
    <w:rsid w:val="004D400A"/>
    <w:rsid w:val="004D4861"/>
    <w:rsid w:val="004D4984"/>
    <w:rsid w:val="004D4B77"/>
    <w:rsid w:val="004D4DCA"/>
    <w:rsid w:val="004D5B37"/>
    <w:rsid w:val="004D7505"/>
    <w:rsid w:val="004D7A7F"/>
    <w:rsid w:val="004E01A2"/>
    <w:rsid w:val="004E0DE1"/>
    <w:rsid w:val="004E1648"/>
    <w:rsid w:val="004E17E1"/>
    <w:rsid w:val="004E1E18"/>
    <w:rsid w:val="004E2C82"/>
    <w:rsid w:val="004E36E2"/>
    <w:rsid w:val="004E4D21"/>
    <w:rsid w:val="004E5469"/>
    <w:rsid w:val="004E5B36"/>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FF3"/>
    <w:rsid w:val="00560BDC"/>
    <w:rsid w:val="0056302F"/>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3849"/>
    <w:rsid w:val="005775FE"/>
    <w:rsid w:val="005809F6"/>
    <w:rsid w:val="00585BB2"/>
    <w:rsid w:val="00586948"/>
    <w:rsid w:val="00587372"/>
    <w:rsid w:val="0058766E"/>
    <w:rsid w:val="005879F2"/>
    <w:rsid w:val="00587E33"/>
    <w:rsid w:val="00591A61"/>
    <w:rsid w:val="00592134"/>
    <w:rsid w:val="00592351"/>
    <w:rsid w:val="00592472"/>
    <w:rsid w:val="00592644"/>
    <w:rsid w:val="00592D78"/>
    <w:rsid w:val="0059465D"/>
    <w:rsid w:val="0059639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4747"/>
    <w:rsid w:val="005D5262"/>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6543"/>
    <w:rsid w:val="006665EA"/>
    <w:rsid w:val="0066669F"/>
    <w:rsid w:val="00666B78"/>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6D1"/>
    <w:rsid w:val="00693729"/>
    <w:rsid w:val="00693C4C"/>
    <w:rsid w:val="00693C60"/>
    <w:rsid w:val="0069502F"/>
    <w:rsid w:val="00696255"/>
    <w:rsid w:val="006971DB"/>
    <w:rsid w:val="00697A64"/>
    <w:rsid w:val="00697BE3"/>
    <w:rsid w:val="006A01EE"/>
    <w:rsid w:val="006A192F"/>
    <w:rsid w:val="006A262E"/>
    <w:rsid w:val="006A2A87"/>
    <w:rsid w:val="006A31F3"/>
    <w:rsid w:val="006A36EB"/>
    <w:rsid w:val="006A3DBA"/>
    <w:rsid w:val="006A4194"/>
    <w:rsid w:val="006A5744"/>
    <w:rsid w:val="006A716E"/>
    <w:rsid w:val="006A74F5"/>
    <w:rsid w:val="006A7DEB"/>
    <w:rsid w:val="006A7F43"/>
    <w:rsid w:val="006B0268"/>
    <w:rsid w:val="006B146E"/>
    <w:rsid w:val="006B16C0"/>
    <w:rsid w:val="006B2755"/>
    <w:rsid w:val="006B40A8"/>
    <w:rsid w:val="006B4712"/>
    <w:rsid w:val="006B50D3"/>
    <w:rsid w:val="006B5757"/>
    <w:rsid w:val="006B79D5"/>
    <w:rsid w:val="006C03DD"/>
    <w:rsid w:val="006C15B5"/>
    <w:rsid w:val="006C1BFE"/>
    <w:rsid w:val="006C25C2"/>
    <w:rsid w:val="006C2AE1"/>
    <w:rsid w:val="006C2ED2"/>
    <w:rsid w:val="006C3EAD"/>
    <w:rsid w:val="006C4F89"/>
    <w:rsid w:val="006C793A"/>
    <w:rsid w:val="006D065D"/>
    <w:rsid w:val="006D07F2"/>
    <w:rsid w:val="006D478A"/>
    <w:rsid w:val="006D48DF"/>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F60"/>
    <w:rsid w:val="00704232"/>
    <w:rsid w:val="00704B71"/>
    <w:rsid w:val="007068E6"/>
    <w:rsid w:val="00706B06"/>
    <w:rsid w:val="0071111B"/>
    <w:rsid w:val="007112A2"/>
    <w:rsid w:val="00711ECD"/>
    <w:rsid w:val="00711F8C"/>
    <w:rsid w:val="00713452"/>
    <w:rsid w:val="007134DF"/>
    <w:rsid w:val="007138BD"/>
    <w:rsid w:val="00714886"/>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EBA"/>
    <w:rsid w:val="00740802"/>
    <w:rsid w:val="00741A4C"/>
    <w:rsid w:val="00741D0C"/>
    <w:rsid w:val="0074206F"/>
    <w:rsid w:val="00743A49"/>
    <w:rsid w:val="00745606"/>
    <w:rsid w:val="00745B9C"/>
    <w:rsid w:val="007462CB"/>
    <w:rsid w:val="007464C7"/>
    <w:rsid w:val="0074780F"/>
    <w:rsid w:val="007479D7"/>
    <w:rsid w:val="00747E79"/>
    <w:rsid w:val="007500C0"/>
    <w:rsid w:val="0075114A"/>
    <w:rsid w:val="00752492"/>
    <w:rsid w:val="00752EBB"/>
    <w:rsid w:val="00754552"/>
    <w:rsid w:val="007547FF"/>
    <w:rsid w:val="00756AAC"/>
    <w:rsid w:val="00760094"/>
    <w:rsid w:val="007608D1"/>
    <w:rsid w:val="00761068"/>
    <w:rsid w:val="0076163B"/>
    <w:rsid w:val="00761722"/>
    <w:rsid w:val="007619DA"/>
    <w:rsid w:val="00761E8E"/>
    <w:rsid w:val="007634AB"/>
    <w:rsid w:val="00764DAF"/>
    <w:rsid w:val="00765BC2"/>
    <w:rsid w:val="00770765"/>
    <w:rsid w:val="00771ADE"/>
    <w:rsid w:val="00771B62"/>
    <w:rsid w:val="00772CF4"/>
    <w:rsid w:val="0077386A"/>
    <w:rsid w:val="00774F17"/>
    <w:rsid w:val="007773E2"/>
    <w:rsid w:val="00777698"/>
    <w:rsid w:val="007777E6"/>
    <w:rsid w:val="00780212"/>
    <w:rsid w:val="0078122C"/>
    <w:rsid w:val="007816E1"/>
    <w:rsid w:val="0078192B"/>
    <w:rsid w:val="00782962"/>
    <w:rsid w:val="0078337F"/>
    <w:rsid w:val="007833A9"/>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1265"/>
    <w:rsid w:val="007A1C62"/>
    <w:rsid w:val="007A50D7"/>
    <w:rsid w:val="007A5685"/>
    <w:rsid w:val="007B0A90"/>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1648"/>
    <w:rsid w:val="008222FA"/>
    <w:rsid w:val="008232C8"/>
    <w:rsid w:val="008244E3"/>
    <w:rsid w:val="008254AA"/>
    <w:rsid w:val="008261C3"/>
    <w:rsid w:val="008272EF"/>
    <w:rsid w:val="00827622"/>
    <w:rsid w:val="008300E7"/>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862"/>
    <w:rsid w:val="00877BC0"/>
    <w:rsid w:val="00881A27"/>
    <w:rsid w:val="00882659"/>
    <w:rsid w:val="008827A7"/>
    <w:rsid w:val="00884379"/>
    <w:rsid w:val="0088470E"/>
    <w:rsid w:val="00884985"/>
    <w:rsid w:val="00885BEC"/>
    <w:rsid w:val="00885F68"/>
    <w:rsid w:val="00886451"/>
    <w:rsid w:val="008869EC"/>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77B"/>
    <w:rsid w:val="008A7CA1"/>
    <w:rsid w:val="008A7F35"/>
    <w:rsid w:val="008B0D24"/>
    <w:rsid w:val="008B25E3"/>
    <w:rsid w:val="008B3D6F"/>
    <w:rsid w:val="008B6B95"/>
    <w:rsid w:val="008B7304"/>
    <w:rsid w:val="008B7B64"/>
    <w:rsid w:val="008C0615"/>
    <w:rsid w:val="008C10C0"/>
    <w:rsid w:val="008C1BAC"/>
    <w:rsid w:val="008C20FF"/>
    <w:rsid w:val="008C4586"/>
    <w:rsid w:val="008C4AE3"/>
    <w:rsid w:val="008C589D"/>
    <w:rsid w:val="008C5DCB"/>
    <w:rsid w:val="008C5F34"/>
    <w:rsid w:val="008C69DB"/>
    <w:rsid w:val="008C7983"/>
    <w:rsid w:val="008C79FE"/>
    <w:rsid w:val="008D03EA"/>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C14"/>
    <w:rsid w:val="008F7306"/>
    <w:rsid w:val="008F739E"/>
    <w:rsid w:val="008F7F79"/>
    <w:rsid w:val="009013D9"/>
    <w:rsid w:val="00902AA1"/>
    <w:rsid w:val="009041B6"/>
    <w:rsid w:val="00904733"/>
    <w:rsid w:val="00906383"/>
    <w:rsid w:val="009067E4"/>
    <w:rsid w:val="009075DC"/>
    <w:rsid w:val="0090760E"/>
    <w:rsid w:val="00910E4B"/>
    <w:rsid w:val="00911969"/>
    <w:rsid w:val="00911D1B"/>
    <w:rsid w:val="00912ACA"/>
    <w:rsid w:val="009139C3"/>
    <w:rsid w:val="00914544"/>
    <w:rsid w:val="00914617"/>
    <w:rsid w:val="0091508E"/>
    <w:rsid w:val="00915320"/>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4D73"/>
    <w:rsid w:val="00935C3E"/>
    <w:rsid w:val="0093659D"/>
    <w:rsid w:val="009367D5"/>
    <w:rsid w:val="00936BE4"/>
    <w:rsid w:val="00937640"/>
    <w:rsid w:val="00937D5A"/>
    <w:rsid w:val="00940C67"/>
    <w:rsid w:val="00941237"/>
    <w:rsid w:val="009426F1"/>
    <w:rsid w:val="0094330C"/>
    <w:rsid w:val="00943479"/>
    <w:rsid w:val="00947B74"/>
    <w:rsid w:val="00947F23"/>
    <w:rsid w:val="00951391"/>
    <w:rsid w:val="009517DD"/>
    <w:rsid w:val="0095467F"/>
    <w:rsid w:val="00955380"/>
    <w:rsid w:val="00955F63"/>
    <w:rsid w:val="009576BE"/>
    <w:rsid w:val="00960171"/>
    <w:rsid w:val="00961E05"/>
    <w:rsid w:val="00963942"/>
    <w:rsid w:val="009647FA"/>
    <w:rsid w:val="00966474"/>
    <w:rsid w:val="00966588"/>
    <w:rsid w:val="00966B10"/>
    <w:rsid w:val="00966C81"/>
    <w:rsid w:val="00966F57"/>
    <w:rsid w:val="00966FC0"/>
    <w:rsid w:val="00967449"/>
    <w:rsid w:val="0097013C"/>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6456"/>
    <w:rsid w:val="00987C56"/>
    <w:rsid w:val="00990297"/>
    <w:rsid w:val="00990591"/>
    <w:rsid w:val="00991A60"/>
    <w:rsid w:val="0099224E"/>
    <w:rsid w:val="00993BD7"/>
    <w:rsid w:val="00995BC5"/>
    <w:rsid w:val="00996D61"/>
    <w:rsid w:val="009973D1"/>
    <w:rsid w:val="009A0AD1"/>
    <w:rsid w:val="009A10FB"/>
    <w:rsid w:val="009A1FF8"/>
    <w:rsid w:val="009A3142"/>
    <w:rsid w:val="009A3260"/>
    <w:rsid w:val="009A33B2"/>
    <w:rsid w:val="009A6969"/>
    <w:rsid w:val="009A6E26"/>
    <w:rsid w:val="009A7BEE"/>
    <w:rsid w:val="009B0DB9"/>
    <w:rsid w:val="009B0E8E"/>
    <w:rsid w:val="009B0EB2"/>
    <w:rsid w:val="009B0EB3"/>
    <w:rsid w:val="009B1285"/>
    <w:rsid w:val="009B4BA8"/>
    <w:rsid w:val="009B5733"/>
    <w:rsid w:val="009B67C5"/>
    <w:rsid w:val="009C109B"/>
    <w:rsid w:val="009C12C0"/>
    <w:rsid w:val="009C17B4"/>
    <w:rsid w:val="009C1C81"/>
    <w:rsid w:val="009C1DF9"/>
    <w:rsid w:val="009C28B1"/>
    <w:rsid w:val="009C32DF"/>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7FA2"/>
    <w:rsid w:val="009E01FD"/>
    <w:rsid w:val="009E037C"/>
    <w:rsid w:val="009E0B51"/>
    <w:rsid w:val="009E27EB"/>
    <w:rsid w:val="009E2B56"/>
    <w:rsid w:val="009E40D0"/>
    <w:rsid w:val="009E5A09"/>
    <w:rsid w:val="009E758A"/>
    <w:rsid w:val="009F0584"/>
    <w:rsid w:val="009F16F6"/>
    <w:rsid w:val="009F2286"/>
    <w:rsid w:val="009F303B"/>
    <w:rsid w:val="009F3A4C"/>
    <w:rsid w:val="009F3D88"/>
    <w:rsid w:val="009F5360"/>
    <w:rsid w:val="009F6332"/>
    <w:rsid w:val="00A0051F"/>
    <w:rsid w:val="00A00A07"/>
    <w:rsid w:val="00A02DD0"/>
    <w:rsid w:val="00A031E6"/>
    <w:rsid w:val="00A0341E"/>
    <w:rsid w:val="00A03C2C"/>
    <w:rsid w:val="00A0488E"/>
    <w:rsid w:val="00A10F73"/>
    <w:rsid w:val="00A130CD"/>
    <w:rsid w:val="00A13807"/>
    <w:rsid w:val="00A1390B"/>
    <w:rsid w:val="00A148EB"/>
    <w:rsid w:val="00A14A3F"/>
    <w:rsid w:val="00A1527A"/>
    <w:rsid w:val="00A16FBB"/>
    <w:rsid w:val="00A1796F"/>
    <w:rsid w:val="00A21717"/>
    <w:rsid w:val="00A2288B"/>
    <w:rsid w:val="00A22B03"/>
    <w:rsid w:val="00A24DEB"/>
    <w:rsid w:val="00A24F0A"/>
    <w:rsid w:val="00A27109"/>
    <w:rsid w:val="00A27290"/>
    <w:rsid w:val="00A27F45"/>
    <w:rsid w:val="00A27F4D"/>
    <w:rsid w:val="00A339F5"/>
    <w:rsid w:val="00A3415A"/>
    <w:rsid w:val="00A354F2"/>
    <w:rsid w:val="00A35C7F"/>
    <w:rsid w:val="00A36F59"/>
    <w:rsid w:val="00A370FB"/>
    <w:rsid w:val="00A3719C"/>
    <w:rsid w:val="00A373A2"/>
    <w:rsid w:val="00A37C23"/>
    <w:rsid w:val="00A41041"/>
    <w:rsid w:val="00A42875"/>
    <w:rsid w:val="00A47A93"/>
    <w:rsid w:val="00A50417"/>
    <w:rsid w:val="00A52A23"/>
    <w:rsid w:val="00A52CE9"/>
    <w:rsid w:val="00A52FBE"/>
    <w:rsid w:val="00A55CD4"/>
    <w:rsid w:val="00A56D01"/>
    <w:rsid w:val="00A57080"/>
    <w:rsid w:val="00A57BFE"/>
    <w:rsid w:val="00A635F6"/>
    <w:rsid w:val="00A643B3"/>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63DC"/>
    <w:rsid w:val="00AB1B73"/>
    <w:rsid w:val="00AB246C"/>
    <w:rsid w:val="00AB3379"/>
    <w:rsid w:val="00AB5D04"/>
    <w:rsid w:val="00AB5F0F"/>
    <w:rsid w:val="00AB6B68"/>
    <w:rsid w:val="00AB6DAC"/>
    <w:rsid w:val="00AB75F7"/>
    <w:rsid w:val="00AB7AC0"/>
    <w:rsid w:val="00AC0EFD"/>
    <w:rsid w:val="00AC3234"/>
    <w:rsid w:val="00AC5FC7"/>
    <w:rsid w:val="00AC6E75"/>
    <w:rsid w:val="00AC78A7"/>
    <w:rsid w:val="00AC7AED"/>
    <w:rsid w:val="00AC7C43"/>
    <w:rsid w:val="00AD03A4"/>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701E"/>
    <w:rsid w:val="00B07E93"/>
    <w:rsid w:val="00B105AD"/>
    <w:rsid w:val="00B10D55"/>
    <w:rsid w:val="00B1463B"/>
    <w:rsid w:val="00B14D9B"/>
    <w:rsid w:val="00B14DE9"/>
    <w:rsid w:val="00B15EDE"/>
    <w:rsid w:val="00B17F8A"/>
    <w:rsid w:val="00B20BBF"/>
    <w:rsid w:val="00B2223B"/>
    <w:rsid w:val="00B223B9"/>
    <w:rsid w:val="00B22DF8"/>
    <w:rsid w:val="00B23136"/>
    <w:rsid w:val="00B23A48"/>
    <w:rsid w:val="00B24CBD"/>
    <w:rsid w:val="00B266D7"/>
    <w:rsid w:val="00B27039"/>
    <w:rsid w:val="00B278E8"/>
    <w:rsid w:val="00B30725"/>
    <w:rsid w:val="00B31C09"/>
    <w:rsid w:val="00B32C85"/>
    <w:rsid w:val="00B3467C"/>
    <w:rsid w:val="00B3683E"/>
    <w:rsid w:val="00B36A6E"/>
    <w:rsid w:val="00B373B1"/>
    <w:rsid w:val="00B44620"/>
    <w:rsid w:val="00B4519A"/>
    <w:rsid w:val="00B4527B"/>
    <w:rsid w:val="00B45BFA"/>
    <w:rsid w:val="00B4622E"/>
    <w:rsid w:val="00B46243"/>
    <w:rsid w:val="00B46B5F"/>
    <w:rsid w:val="00B50B31"/>
    <w:rsid w:val="00B51D81"/>
    <w:rsid w:val="00B5217C"/>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D2F"/>
    <w:rsid w:val="00B7150D"/>
    <w:rsid w:val="00B7217C"/>
    <w:rsid w:val="00B72B8E"/>
    <w:rsid w:val="00B73F34"/>
    <w:rsid w:val="00B73FBB"/>
    <w:rsid w:val="00B74FBA"/>
    <w:rsid w:val="00B7633E"/>
    <w:rsid w:val="00B76C24"/>
    <w:rsid w:val="00B773FF"/>
    <w:rsid w:val="00B77EA2"/>
    <w:rsid w:val="00B81686"/>
    <w:rsid w:val="00B83055"/>
    <w:rsid w:val="00B86876"/>
    <w:rsid w:val="00B874A3"/>
    <w:rsid w:val="00B87598"/>
    <w:rsid w:val="00B906AA"/>
    <w:rsid w:val="00B91D59"/>
    <w:rsid w:val="00B93265"/>
    <w:rsid w:val="00B94A1E"/>
    <w:rsid w:val="00B97BA8"/>
    <w:rsid w:val="00BA0156"/>
    <w:rsid w:val="00BA01EC"/>
    <w:rsid w:val="00BA0530"/>
    <w:rsid w:val="00BA0AC2"/>
    <w:rsid w:val="00BA120F"/>
    <w:rsid w:val="00BA17EA"/>
    <w:rsid w:val="00BA18DA"/>
    <w:rsid w:val="00BA2D49"/>
    <w:rsid w:val="00BA34B2"/>
    <w:rsid w:val="00BA4435"/>
    <w:rsid w:val="00BA49FE"/>
    <w:rsid w:val="00BA6566"/>
    <w:rsid w:val="00BA6F03"/>
    <w:rsid w:val="00BA7B3C"/>
    <w:rsid w:val="00BB068C"/>
    <w:rsid w:val="00BB0E95"/>
    <w:rsid w:val="00BB1386"/>
    <w:rsid w:val="00BB1819"/>
    <w:rsid w:val="00BB2842"/>
    <w:rsid w:val="00BB2D53"/>
    <w:rsid w:val="00BB3B79"/>
    <w:rsid w:val="00BB56E2"/>
    <w:rsid w:val="00BB58AE"/>
    <w:rsid w:val="00BB6B94"/>
    <w:rsid w:val="00BB71E9"/>
    <w:rsid w:val="00BB75FC"/>
    <w:rsid w:val="00BC0C2B"/>
    <w:rsid w:val="00BC29F7"/>
    <w:rsid w:val="00BC2ACE"/>
    <w:rsid w:val="00BC2D15"/>
    <w:rsid w:val="00BC3351"/>
    <w:rsid w:val="00BC4460"/>
    <w:rsid w:val="00BC45CD"/>
    <w:rsid w:val="00BC48B1"/>
    <w:rsid w:val="00BC5A31"/>
    <w:rsid w:val="00BC6B8F"/>
    <w:rsid w:val="00BD050D"/>
    <w:rsid w:val="00BD094A"/>
    <w:rsid w:val="00BD0976"/>
    <w:rsid w:val="00BD0BF8"/>
    <w:rsid w:val="00BD0FA2"/>
    <w:rsid w:val="00BD1824"/>
    <w:rsid w:val="00BD265A"/>
    <w:rsid w:val="00BD3447"/>
    <w:rsid w:val="00BD481F"/>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6BF7"/>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1A4B"/>
    <w:rsid w:val="00C12ADD"/>
    <w:rsid w:val="00C12C7D"/>
    <w:rsid w:val="00C14D1F"/>
    <w:rsid w:val="00C15F53"/>
    <w:rsid w:val="00C16C86"/>
    <w:rsid w:val="00C17442"/>
    <w:rsid w:val="00C20DD3"/>
    <w:rsid w:val="00C21220"/>
    <w:rsid w:val="00C216CC"/>
    <w:rsid w:val="00C22377"/>
    <w:rsid w:val="00C22D7C"/>
    <w:rsid w:val="00C2328D"/>
    <w:rsid w:val="00C23367"/>
    <w:rsid w:val="00C23566"/>
    <w:rsid w:val="00C236BE"/>
    <w:rsid w:val="00C25F56"/>
    <w:rsid w:val="00C26681"/>
    <w:rsid w:val="00C269BA"/>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48A0"/>
    <w:rsid w:val="00C75CDD"/>
    <w:rsid w:val="00C7683A"/>
    <w:rsid w:val="00C8021D"/>
    <w:rsid w:val="00C807B6"/>
    <w:rsid w:val="00C80B6B"/>
    <w:rsid w:val="00C8119A"/>
    <w:rsid w:val="00C83D1D"/>
    <w:rsid w:val="00C843DC"/>
    <w:rsid w:val="00C854E1"/>
    <w:rsid w:val="00C86ED6"/>
    <w:rsid w:val="00C914FC"/>
    <w:rsid w:val="00C91AAE"/>
    <w:rsid w:val="00C92CD7"/>
    <w:rsid w:val="00C935A3"/>
    <w:rsid w:val="00C93694"/>
    <w:rsid w:val="00C93962"/>
    <w:rsid w:val="00C94219"/>
    <w:rsid w:val="00C9450A"/>
    <w:rsid w:val="00C94774"/>
    <w:rsid w:val="00C948B1"/>
    <w:rsid w:val="00C949EB"/>
    <w:rsid w:val="00C968F0"/>
    <w:rsid w:val="00CA012D"/>
    <w:rsid w:val="00CA1A63"/>
    <w:rsid w:val="00CA1F02"/>
    <w:rsid w:val="00CA3B3D"/>
    <w:rsid w:val="00CA54B6"/>
    <w:rsid w:val="00CA5B05"/>
    <w:rsid w:val="00CA6C90"/>
    <w:rsid w:val="00CA6F2E"/>
    <w:rsid w:val="00CA7F28"/>
    <w:rsid w:val="00CB0501"/>
    <w:rsid w:val="00CB089E"/>
    <w:rsid w:val="00CB0A6C"/>
    <w:rsid w:val="00CB1F21"/>
    <w:rsid w:val="00CB25A6"/>
    <w:rsid w:val="00CB26FE"/>
    <w:rsid w:val="00CB49DF"/>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70B"/>
    <w:rsid w:val="00D1798E"/>
    <w:rsid w:val="00D203D3"/>
    <w:rsid w:val="00D21686"/>
    <w:rsid w:val="00D22978"/>
    <w:rsid w:val="00D22E5B"/>
    <w:rsid w:val="00D231AA"/>
    <w:rsid w:val="00D242CA"/>
    <w:rsid w:val="00D24501"/>
    <w:rsid w:val="00D274CF"/>
    <w:rsid w:val="00D27F9C"/>
    <w:rsid w:val="00D307C6"/>
    <w:rsid w:val="00D3158F"/>
    <w:rsid w:val="00D3320A"/>
    <w:rsid w:val="00D33228"/>
    <w:rsid w:val="00D34B7B"/>
    <w:rsid w:val="00D34F29"/>
    <w:rsid w:val="00D35801"/>
    <w:rsid w:val="00D41FFC"/>
    <w:rsid w:val="00D430CB"/>
    <w:rsid w:val="00D43B6E"/>
    <w:rsid w:val="00D45FEB"/>
    <w:rsid w:val="00D463A0"/>
    <w:rsid w:val="00D5240F"/>
    <w:rsid w:val="00D52761"/>
    <w:rsid w:val="00D53D47"/>
    <w:rsid w:val="00D5747F"/>
    <w:rsid w:val="00D60E8B"/>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BD3"/>
    <w:rsid w:val="00D83F66"/>
    <w:rsid w:val="00D846BA"/>
    <w:rsid w:val="00D847C4"/>
    <w:rsid w:val="00D8483D"/>
    <w:rsid w:val="00D85EAE"/>
    <w:rsid w:val="00D863C2"/>
    <w:rsid w:val="00D90FF4"/>
    <w:rsid w:val="00D93122"/>
    <w:rsid w:val="00D94101"/>
    <w:rsid w:val="00D95151"/>
    <w:rsid w:val="00D95F00"/>
    <w:rsid w:val="00D97E81"/>
    <w:rsid w:val="00DA0153"/>
    <w:rsid w:val="00DA0331"/>
    <w:rsid w:val="00DA5026"/>
    <w:rsid w:val="00DA509F"/>
    <w:rsid w:val="00DA5980"/>
    <w:rsid w:val="00DA7469"/>
    <w:rsid w:val="00DA7D3D"/>
    <w:rsid w:val="00DB08C0"/>
    <w:rsid w:val="00DB0A6C"/>
    <w:rsid w:val="00DB0E0E"/>
    <w:rsid w:val="00DB2869"/>
    <w:rsid w:val="00DB301E"/>
    <w:rsid w:val="00DB4568"/>
    <w:rsid w:val="00DB5488"/>
    <w:rsid w:val="00DB64DC"/>
    <w:rsid w:val="00DB6710"/>
    <w:rsid w:val="00DB6949"/>
    <w:rsid w:val="00DB707C"/>
    <w:rsid w:val="00DC2CD0"/>
    <w:rsid w:val="00DC35E5"/>
    <w:rsid w:val="00DC3C34"/>
    <w:rsid w:val="00DC3F6F"/>
    <w:rsid w:val="00DC49E3"/>
    <w:rsid w:val="00DC6CA9"/>
    <w:rsid w:val="00DC78A5"/>
    <w:rsid w:val="00DD0029"/>
    <w:rsid w:val="00DD0489"/>
    <w:rsid w:val="00DD07FD"/>
    <w:rsid w:val="00DD0ACB"/>
    <w:rsid w:val="00DD0C05"/>
    <w:rsid w:val="00DD0EA5"/>
    <w:rsid w:val="00DD1DA9"/>
    <w:rsid w:val="00DD1DCF"/>
    <w:rsid w:val="00DD2250"/>
    <w:rsid w:val="00DD233F"/>
    <w:rsid w:val="00DD3BEB"/>
    <w:rsid w:val="00DD4985"/>
    <w:rsid w:val="00DD4C12"/>
    <w:rsid w:val="00DD4EF5"/>
    <w:rsid w:val="00DD68D1"/>
    <w:rsid w:val="00DE2318"/>
    <w:rsid w:val="00DE37B3"/>
    <w:rsid w:val="00DE4F77"/>
    <w:rsid w:val="00DE69DD"/>
    <w:rsid w:val="00DE6A65"/>
    <w:rsid w:val="00DF1108"/>
    <w:rsid w:val="00DF1E8A"/>
    <w:rsid w:val="00DF20AA"/>
    <w:rsid w:val="00DF279F"/>
    <w:rsid w:val="00DF3335"/>
    <w:rsid w:val="00DF5529"/>
    <w:rsid w:val="00DF55B2"/>
    <w:rsid w:val="00DF5AC8"/>
    <w:rsid w:val="00DF5C77"/>
    <w:rsid w:val="00DF5D71"/>
    <w:rsid w:val="00DF6BA9"/>
    <w:rsid w:val="00DF7CB8"/>
    <w:rsid w:val="00DF7DCA"/>
    <w:rsid w:val="00E02CD1"/>
    <w:rsid w:val="00E02DCE"/>
    <w:rsid w:val="00E034F1"/>
    <w:rsid w:val="00E03641"/>
    <w:rsid w:val="00E0439A"/>
    <w:rsid w:val="00E04CE3"/>
    <w:rsid w:val="00E05014"/>
    <w:rsid w:val="00E054D8"/>
    <w:rsid w:val="00E060DE"/>
    <w:rsid w:val="00E078C5"/>
    <w:rsid w:val="00E104A8"/>
    <w:rsid w:val="00E10EF1"/>
    <w:rsid w:val="00E147DB"/>
    <w:rsid w:val="00E172F7"/>
    <w:rsid w:val="00E1747D"/>
    <w:rsid w:val="00E17ED9"/>
    <w:rsid w:val="00E20737"/>
    <w:rsid w:val="00E22C54"/>
    <w:rsid w:val="00E2622B"/>
    <w:rsid w:val="00E26E5A"/>
    <w:rsid w:val="00E2712A"/>
    <w:rsid w:val="00E27937"/>
    <w:rsid w:val="00E3143B"/>
    <w:rsid w:val="00E32941"/>
    <w:rsid w:val="00E332F6"/>
    <w:rsid w:val="00E33738"/>
    <w:rsid w:val="00E35091"/>
    <w:rsid w:val="00E3529D"/>
    <w:rsid w:val="00E359AC"/>
    <w:rsid w:val="00E36103"/>
    <w:rsid w:val="00E361D9"/>
    <w:rsid w:val="00E369CA"/>
    <w:rsid w:val="00E3726A"/>
    <w:rsid w:val="00E3736A"/>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4077"/>
    <w:rsid w:val="00E54542"/>
    <w:rsid w:val="00E557AC"/>
    <w:rsid w:val="00E56EC1"/>
    <w:rsid w:val="00E607EC"/>
    <w:rsid w:val="00E60934"/>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0A56"/>
    <w:rsid w:val="00EA10BF"/>
    <w:rsid w:val="00EA12D0"/>
    <w:rsid w:val="00EA1534"/>
    <w:rsid w:val="00EA22D8"/>
    <w:rsid w:val="00EA5149"/>
    <w:rsid w:val="00EA724E"/>
    <w:rsid w:val="00EB07F5"/>
    <w:rsid w:val="00EB0B86"/>
    <w:rsid w:val="00EB41E1"/>
    <w:rsid w:val="00EB43E3"/>
    <w:rsid w:val="00EB4A70"/>
    <w:rsid w:val="00EB4F3B"/>
    <w:rsid w:val="00EB517F"/>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502"/>
    <w:rsid w:val="00EE3900"/>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D30"/>
    <w:rsid w:val="00F06FFD"/>
    <w:rsid w:val="00F11FB9"/>
    <w:rsid w:val="00F1300E"/>
    <w:rsid w:val="00F139A3"/>
    <w:rsid w:val="00F144A1"/>
    <w:rsid w:val="00F151DF"/>
    <w:rsid w:val="00F1744A"/>
    <w:rsid w:val="00F177D6"/>
    <w:rsid w:val="00F17977"/>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7B02"/>
    <w:rsid w:val="00F400E2"/>
    <w:rsid w:val="00F404E0"/>
    <w:rsid w:val="00F40918"/>
    <w:rsid w:val="00F409F5"/>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7A0"/>
    <w:rsid w:val="00F61E32"/>
    <w:rsid w:val="00F637CB"/>
    <w:rsid w:val="00F63A44"/>
    <w:rsid w:val="00F6607A"/>
    <w:rsid w:val="00F668C7"/>
    <w:rsid w:val="00F66F62"/>
    <w:rsid w:val="00F67965"/>
    <w:rsid w:val="00F7294B"/>
    <w:rsid w:val="00F74892"/>
    <w:rsid w:val="00F74A9E"/>
    <w:rsid w:val="00F7519D"/>
    <w:rsid w:val="00F7641D"/>
    <w:rsid w:val="00F76A25"/>
    <w:rsid w:val="00F76D9B"/>
    <w:rsid w:val="00F80B4C"/>
    <w:rsid w:val="00F80FF6"/>
    <w:rsid w:val="00F8368C"/>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0FE"/>
    <w:rsid w:val="00FE41DF"/>
    <w:rsid w:val="00FE4E26"/>
    <w:rsid w:val="00FE7709"/>
    <w:rsid w:val="00FF08C2"/>
    <w:rsid w:val="00FF13E8"/>
    <w:rsid w:val="00FF2050"/>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1666C8"/>
    <w:pPr>
      <w:keepNext/>
      <w:keepLines/>
      <w:spacing w:after="320" w:line="240" w:lineRule="auto"/>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1666C8"/>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autoRedefine/>
    <w:uiPriority w:val="99"/>
    <w:qFormat/>
    <w:rsid w:val="001666C8"/>
    <w:pPr>
      <w:spacing w:before="60" w:after="60" w:line="240" w:lineRule="auto"/>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1666C8"/>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78296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Quote">
    <w:name w:val="Quote"/>
    <w:basedOn w:val="Normal"/>
    <w:next w:val="Normal"/>
    <w:link w:val="QuoteChar"/>
    <w:uiPriority w:val="29"/>
    <w:qFormat/>
    <w:rsid w:val="004673A3"/>
    <w:rPr>
      <w:i/>
      <w:iCs/>
      <w:color w:val="000000" w:themeColor="text1"/>
    </w:rPr>
  </w:style>
  <w:style w:type="character" w:customStyle="1" w:styleId="QuoteChar">
    <w:name w:val="Quote Char"/>
    <w:basedOn w:val="DefaultParagraphFont"/>
    <w:link w:val="Quote"/>
    <w:uiPriority w:val="29"/>
    <w:rsid w:val="004673A3"/>
    <w:rPr>
      <w:rFonts w:ascii="Times New Roman" w:hAnsi="Times New Roman"/>
      <w:i/>
      <w:iCs/>
      <w:color w:val="000000" w:themeColor="text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1666C8"/>
    <w:pPr>
      <w:keepNext/>
      <w:keepLines/>
      <w:spacing w:after="320" w:line="240" w:lineRule="auto"/>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1666C8"/>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autoRedefine/>
    <w:uiPriority w:val="99"/>
    <w:qFormat/>
    <w:rsid w:val="001666C8"/>
    <w:pPr>
      <w:spacing w:before="60" w:after="60" w:line="240" w:lineRule="auto"/>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1666C8"/>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78296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Quote">
    <w:name w:val="Quote"/>
    <w:basedOn w:val="Normal"/>
    <w:next w:val="Normal"/>
    <w:link w:val="QuoteChar"/>
    <w:uiPriority w:val="29"/>
    <w:qFormat/>
    <w:rsid w:val="004673A3"/>
    <w:rPr>
      <w:i/>
      <w:iCs/>
      <w:color w:val="000000" w:themeColor="text1"/>
    </w:rPr>
  </w:style>
  <w:style w:type="character" w:customStyle="1" w:styleId="QuoteChar">
    <w:name w:val="Quote Char"/>
    <w:basedOn w:val="DefaultParagraphFont"/>
    <w:link w:val="Quote"/>
    <w:uiPriority w:val="29"/>
    <w:rsid w:val="004673A3"/>
    <w:rPr>
      <w:rFonts w:ascii="Times New Roman" w:hAnsi="Times New Roman"/>
      <w:i/>
      <w:iCs/>
      <w:color w:val="000000" w:themeColor="text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731940B-20EC-4DA4-92AC-7F4AC8951ADD}">
  <ds:schemaRefs>
    <ds:schemaRef ds:uri="http://schemas.openxmlformats.org/officeDocument/2006/bibliography"/>
  </ds:schemaRefs>
</ds:datastoreItem>
</file>

<file path=customXml/itemProps2.xml><?xml version="1.0" encoding="utf-8"?>
<ds:datastoreItem xmlns:ds="http://schemas.openxmlformats.org/officeDocument/2006/customXml" ds:itemID="{F119566A-3C05-448F-A6EF-9BE1A52396F8}"/>
</file>

<file path=customXml/itemProps3.xml><?xml version="1.0" encoding="utf-8"?>
<ds:datastoreItem xmlns:ds="http://schemas.openxmlformats.org/officeDocument/2006/customXml" ds:itemID="{E1D6D310-7A8B-4E79-963A-4B834AF92E06}"/>
</file>

<file path=customXml/itemProps4.xml><?xml version="1.0" encoding="utf-8"?>
<ds:datastoreItem xmlns:ds="http://schemas.openxmlformats.org/officeDocument/2006/customXml" ds:itemID="{38A53F5B-1286-4EEE-A3A4-528620CC3436}"/>
</file>

<file path=customXml/itemProps5.xml><?xml version="1.0" encoding="utf-8"?>
<ds:datastoreItem xmlns:ds="http://schemas.openxmlformats.org/officeDocument/2006/customXml" ds:itemID="{9D5058A4-149A-4A88-876A-42462116E1D4}"/>
</file>

<file path=docProps/app.xml><?xml version="1.0" encoding="utf-8"?>
<Properties xmlns="http://schemas.openxmlformats.org/officeDocument/2006/extended-properties" xmlns:vt="http://schemas.openxmlformats.org/officeDocument/2006/docPropsVTypes">
  <Template>Normal.dotm</Template>
  <TotalTime>3</TotalTime>
  <Pages>18</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4</cp:revision>
  <cp:lastPrinted>2017-08-15T15:35:00Z</cp:lastPrinted>
  <dcterms:created xsi:type="dcterms:W3CDTF">2017-08-15T20:42:00Z</dcterms:created>
  <dcterms:modified xsi:type="dcterms:W3CDTF">2017-08-15T21:43:00Z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