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39DC8" w14:textId="77777777" w:rsidR="00E1036D" w:rsidRDefault="00E1036D" w:rsidP="00E1036D">
      <w:pPr>
        <w:spacing w:after="0"/>
        <w:rPr>
          <w:rFonts w:eastAsia="Times New Roman" w:cs="Times New Roman"/>
          <w:b/>
          <w:szCs w:val="24"/>
        </w:rPr>
      </w:pPr>
      <w:bookmarkStart w:id="0" w:name="_GoBack"/>
      <w:bookmarkEnd w:id="0"/>
    </w:p>
    <w:p w14:paraId="04839DC9" w14:textId="77777777" w:rsidR="00E1036D" w:rsidRDefault="00E1036D" w:rsidP="00E1036D">
      <w:pPr>
        <w:spacing w:after="0"/>
        <w:rPr>
          <w:rFonts w:eastAsia="Times New Roman" w:cs="Times New Roman"/>
          <w:b/>
          <w:szCs w:val="24"/>
        </w:rPr>
      </w:pPr>
    </w:p>
    <w:p w14:paraId="04839DCA" w14:textId="77777777" w:rsidR="00E1036D" w:rsidRDefault="00E1036D" w:rsidP="00E1036D">
      <w:pPr>
        <w:spacing w:after="0"/>
        <w:jc w:val="center"/>
        <w:rPr>
          <w:rFonts w:eastAsia="Times New Roman" w:cs="Times New Roman"/>
          <w:b/>
          <w:szCs w:val="24"/>
        </w:rPr>
      </w:pPr>
      <w:r>
        <w:rPr>
          <w:rFonts w:eastAsia="Times New Roman" w:cs="Times New Roman"/>
          <w:b/>
          <w:szCs w:val="24"/>
        </w:rPr>
        <w:t>BEFORE THE</w:t>
      </w:r>
    </w:p>
    <w:p w14:paraId="04839DCB" w14:textId="77777777" w:rsidR="00E1036D" w:rsidRDefault="00E1036D" w:rsidP="00E1036D">
      <w:pPr>
        <w:spacing w:after="0"/>
        <w:jc w:val="center"/>
        <w:rPr>
          <w:rFonts w:eastAsia="Times New Roman" w:cs="Times New Roman"/>
          <w:b/>
          <w:szCs w:val="24"/>
        </w:rPr>
      </w:pPr>
      <w:r>
        <w:rPr>
          <w:rFonts w:eastAsia="Times New Roman" w:cs="Times New Roman"/>
          <w:b/>
          <w:szCs w:val="24"/>
        </w:rPr>
        <w:t>WASHINGTON UTILITIES AND TRANSPORTATION COMMISSION</w:t>
      </w:r>
    </w:p>
    <w:p w14:paraId="04839DCC" w14:textId="77777777" w:rsidR="00E1036D" w:rsidRDefault="00E1036D" w:rsidP="00E1036D">
      <w:pPr>
        <w:spacing w:after="0"/>
        <w:jc w:val="center"/>
        <w:rPr>
          <w:rFonts w:eastAsia="Times New Roman" w:cs="Times New Roman"/>
          <w:szCs w:val="24"/>
        </w:rPr>
      </w:pPr>
    </w:p>
    <w:p w14:paraId="04839DCD" w14:textId="77777777" w:rsidR="00E1036D" w:rsidRDefault="00E1036D" w:rsidP="00E1036D">
      <w:pPr>
        <w:spacing w:after="0"/>
        <w:jc w:val="center"/>
        <w:rPr>
          <w:rFonts w:eastAsia="Times New Roman" w:cs="Times New Roman"/>
          <w:szCs w:val="24"/>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60"/>
        <w:gridCol w:w="4608"/>
      </w:tblGrid>
      <w:tr w:rsidR="00E1036D" w14:paraId="04839DEC" w14:textId="77777777" w:rsidTr="00E1036D">
        <w:tc>
          <w:tcPr>
            <w:tcW w:w="4608" w:type="dxa"/>
            <w:tcBorders>
              <w:top w:val="nil"/>
              <w:left w:val="nil"/>
              <w:bottom w:val="single" w:sz="4" w:space="0" w:color="auto"/>
              <w:right w:val="nil"/>
            </w:tcBorders>
          </w:tcPr>
          <w:p w14:paraId="04839DCE" w14:textId="77777777" w:rsidR="00E1036D" w:rsidRDefault="00E1036D" w:rsidP="00E1036D">
            <w:pPr>
              <w:spacing w:after="0"/>
              <w:rPr>
                <w:rFonts w:eastAsia="Times New Roman" w:cs="Times New Roman"/>
                <w:b/>
                <w:szCs w:val="24"/>
              </w:rPr>
            </w:pPr>
          </w:p>
          <w:p w14:paraId="04839DCF" w14:textId="77777777" w:rsidR="00E1036D" w:rsidRDefault="00E1036D" w:rsidP="00E1036D">
            <w:pPr>
              <w:tabs>
                <w:tab w:val="left" w:pos="1440"/>
              </w:tabs>
              <w:spacing w:after="0"/>
              <w:rPr>
                <w:rFonts w:eastAsia="Times New Roman" w:cs="Times New Roman"/>
                <w:b/>
                <w:szCs w:val="24"/>
                <w:lang w:eastAsia="zh-CN"/>
              </w:rPr>
            </w:pPr>
            <w:r>
              <w:rPr>
                <w:rFonts w:eastAsia="Times New Roman" w:cs="Times New Roman"/>
                <w:b/>
                <w:szCs w:val="24"/>
                <w:lang w:eastAsia="zh-CN"/>
              </w:rPr>
              <w:t>WASHINGTON UTILITIES AND TRANSPORTATION COMMISSION,</w:t>
            </w:r>
          </w:p>
          <w:p w14:paraId="04839DD0" w14:textId="77777777" w:rsidR="00E1036D" w:rsidRDefault="00E1036D" w:rsidP="00E1036D">
            <w:pPr>
              <w:tabs>
                <w:tab w:val="left" w:pos="1440"/>
              </w:tabs>
              <w:spacing w:after="0"/>
              <w:rPr>
                <w:rFonts w:eastAsia="Times New Roman" w:cs="Times New Roman"/>
                <w:b/>
                <w:szCs w:val="24"/>
                <w:lang w:eastAsia="zh-CN"/>
              </w:rPr>
            </w:pPr>
          </w:p>
          <w:p w14:paraId="04839DD1" w14:textId="77777777" w:rsidR="00E1036D" w:rsidRDefault="00E1036D" w:rsidP="00E1036D">
            <w:pPr>
              <w:tabs>
                <w:tab w:val="left" w:pos="1440"/>
              </w:tabs>
              <w:spacing w:after="0"/>
              <w:rPr>
                <w:rFonts w:eastAsia="Times New Roman" w:cs="Times New Roman"/>
                <w:b/>
                <w:szCs w:val="24"/>
                <w:lang w:eastAsia="zh-CN"/>
              </w:rPr>
            </w:pPr>
            <w:r>
              <w:rPr>
                <w:rFonts w:eastAsia="Times New Roman" w:cs="Times New Roman"/>
                <w:b/>
                <w:szCs w:val="24"/>
                <w:lang w:eastAsia="zh-CN"/>
              </w:rPr>
              <w:tab/>
              <w:t>Complainant,</w:t>
            </w:r>
          </w:p>
          <w:p w14:paraId="04839DD2" w14:textId="77777777" w:rsidR="00E1036D" w:rsidRDefault="00E1036D" w:rsidP="00E1036D">
            <w:pPr>
              <w:tabs>
                <w:tab w:val="left" w:pos="1440"/>
              </w:tabs>
              <w:spacing w:after="0"/>
              <w:rPr>
                <w:rFonts w:eastAsia="Times New Roman" w:cs="Times New Roman"/>
                <w:b/>
                <w:szCs w:val="24"/>
                <w:lang w:eastAsia="zh-CN"/>
              </w:rPr>
            </w:pPr>
          </w:p>
          <w:p w14:paraId="04839DD3" w14:textId="77777777" w:rsidR="00E1036D" w:rsidRDefault="00E1036D" w:rsidP="00E1036D">
            <w:pPr>
              <w:spacing w:after="0"/>
              <w:rPr>
                <w:rFonts w:eastAsia="Times New Roman" w:cs="Times New Roman"/>
                <w:b/>
                <w:szCs w:val="24"/>
                <w:lang w:eastAsia="zh-CN"/>
              </w:rPr>
            </w:pPr>
            <w:r>
              <w:rPr>
                <w:rFonts w:eastAsia="Times New Roman" w:cs="Times New Roman"/>
                <w:b/>
                <w:szCs w:val="24"/>
                <w:lang w:eastAsia="zh-CN"/>
              </w:rPr>
              <w:t>v.</w:t>
            </w:r>
          </w:p>
          <w:p w14:paraId="04839DD4" w14:textId="77777777" w:rsidR="00E1036D" w:rsidRDefault="00E1036D" w:rsidP="00E1036D">
            <w:pPr>
              <w:spacing w:after="0"/>
              <w:rPr>
                <w:rFonts w:eastAsia="Times New Roman" w:cs="Times New Roman"/>
                <w:b/>
                <w:szCs w:val="24"/>
                <w:lang w:eastAsia="zh-CN"/>
              </w:rPr>
            </w:pPr>
          </w:p>
          <w:p w14:paraId="04839DD5" w14:textId="77777777" w:rsidR="00E1036D" w:rsidRDefault="00E1036D" w:rsidP="00E1036D">
            <w:pPr>
              <w:spacing w:after="0"/>
              <w:rPr>
                <w:rFonts w:eastAsia="Times New Roman" w:cs="Times New Roman"/>
                <w:b/>
                <w:szCs w:val="24"/>
                <w:lang w:eastAsia="zh-CN"/>
              </w:rPr>
            </w:pPr>
            <w:r>
              <w:rPr>
                <w:rFonts w:eastAsia="Times New Roman" w:cs="Times New Roman"/>
                <w:b/>
                <w:szCs w:val="24"/>
                <w:lang w:eastAsia="zh-CN"/>
              </w:rPr>
              <w:t>PUGET SOUND ENERGY,</w:t>
            </w:r>
          </w:p>
          <w:p w14:paraId="04839DD6" w14:textId="77777777" w:rsidR="00E1036D" w:rsidRDefault="00E1036D" w:rsidP="00E1036D">
            <w:pPr>
              <w:spacing w:after="0"/>
              <w:rPr>
                <w:rFonts w:eastAsia="Times New Roman" w:cs="Times New Roman"/>
                <w:b/>
                <w:szCs w:val="24"/>
                <w:lang w:eastAsia="zh-CN"/>
              </w:rPr>
            </w:pPr>
          </w:p>
          <w:p w14:paraId="04839DD7" w14:textId="77777777" w:rsidR="00E1036D" w:rsidRDefault="00E1036D" w:rsidP="00E1036D">
            <w:pPr>
              <w:spacing w:after="0"/>
              <w:jc w:val="center"/>
              <w:rPr>
                <w:rFonts w:eastAsia="Times New Roman" w:cs="Times New Roman"/>
                <w:b/>
                <w:szCs w:val="24"/>
                <w:lang w:eastAsia="zh-CN"/>
              </w:rPr>
            </w:pPr>
            <w:r>
              <w:rPr>
                <w:rFonts w:eastAsia="Times New Roman" w:cs="Times New Roman"/>
                <w:b/>
                <w:szCs w:val="24"/>
                <w:lang w:eastAsia="zh-CN"/>
              </w:rPr>
              <w:t>Respondent.</w:t>
            </w:r>
          </w:p>
          <w:p w14:paraId="04839DD8" w14:textId="77777777" w:rsidR="00E1036D" w:rsidRDefault="00E1036D" w:rsidP="00E1036D">
            <w:pPr>
              <w:spacing w:after="0"/>
              <w:rPr>
                <w:rFonts w:eastAsia="Times New Roman" w:cs="Times New Roman"/>
                <w:b/>
                <w:szCs w:val="24"/>
              </w:rPr>
            </w:pPr>
          </w:p>
        </w:tc>
        <w:tc>
          <w:tcPr>
            <w:tcW w:w="360" w:type="dxa"/>
            <w:tcBorders>
              <w:top w:val="nil"/>
              <w:left w:val="nil"/>
              <w:bottom w:val="nil"/>
              <w:right w:val="nil"/>
            </w:tcBorders>
          </w:tcPr>
          <w:p w14:paraId="04839DD9" w14:textId="77777777" w:rsidR="00E1036D" w:rsidRDefault="00E1036D" w:rsidP="00E1036D">
            <w:pPr>
              <w:spacing w:after="0"/>
              <w:rPr>
                <w:rFonts w:eastAsia="Times New Roman" w:cs="Times New Roman"/>
                <w:b/>
                <w:szCs w:val="24"/>
              </w:rPr>
            </w:pPr>
            <w:r>
              <w:rPr>
                <w:rFonts w:eastAsia="Times New Roman" w:cs="Times New Roman"/>
                <w:b/>
                <w:szCs w:val="24"/>
              </w:rPr>
              <w:t>)</w:t>
            </w:r>
          </w:p>
          <w:p w14:paraId="04839DDA" w14:textId="77777777" w:rsidR="00E1036D" w:rsidRDefault="00E1036D" w:rsidP="00E1036D">
            <w:pPr>
              <w:spacing w:after="0"/>
              <w:rPr>
                <w:rFonts w:eastAsia="Times New Roman" w:cs="Times New Roman"/>
                <w:b/>
                <w:szCs w:val="24"/>
              </w:rPr>
            </w:pPr>
            <w:r>
              <w:rPr>
                <w:rFonts w:eastAsia="Times New Roman" w:cs="Times New Roman"/>
                <w:b/>
                <w:szCs w:val="24"/>
              </w:rPr>
              <w:t>)</w:t>
            </w:r>
          </w:p>
          <w:p w14:paraId="04839DDB" w14:textId="77777777" w:rsidR="00E1036D" w:rsidRDefault="00E1036D" w:rsidP="00E1036D">
            <w:pPr>
              <w:spacing w:after="0"/>
              <w:rPr>
                <w:rFonts w:eastAsia="Times New Roman" w:cs="Times New Roman"/>
                <w:b/>
                <w:szCs w:val="24"/>
              </w:rPr>
            </w:pPr>
            <w:r>
              <w:rPr>
                <w:rFonts w:eastAsia="Times New Roman" w:cs="Times New Roman"/>
                <w:b/>
                <w:szCs w:val="24"/>
              </w:rPr>
              <w:t>)</w:t>
            </w:r>
          </w:p>
          <w:p w14:paraId="04839DDC" w14:textId="77777777" w:rsidR="00E1036D" w:rsidRDefault="00E1036D" w:rsidP="00E1036D">
            <w:pPr>
              <w:spacing w:after="0"/>
              <w:rPr>
                <w:rFonts w:eastAsia="Times New Roman" w:cs="Times New Roman"/>
                <w:b/>
                <w:szCs w:val="24"/>
              </w:rPr>
            </w:pPr>
            <w:r>
              <w:rPr>
                <w:rFonts w:eastAsia="Times New Roman" w:cs="Times New Roman"/>
                <w:b/>
                <w:szCs w:val="24"/>
              </w:rPr>
              <w:t>)</w:t>
            </w:r>
          </w:p>
          <w:p w14:paraId="04839DDD" w14:textId="77777777" w:rsidR="00E1036D" w:rsidRDefault="00E1036D" w:rsidP="00E1036D">
            <w:pPr>
              <w:spacing w:after="0"/>
              <w:rPr>
                <w:rFonts w:eastAsia="Times New Roman" w:cs="Times New Roman"/>
                <w:b/>
                <w:szCs w:val="24"/>
              </w:rPr>
            </w:pPr>
            <w:r>
              <w:rPr>
                <w:rFonts w:eastAsia="Times New Roman" w:cs="Times New Roman"/>
                <w:b/>
                <w:szCs w:val="24"/>
              </w:rPr>
              <w:t>)</w:t>
            </w:r>
          </w:p>
          <w:p w14:paraId="04839DDE" w14:textId="77777777" w:rsidR="00E1036D" w:rsidRDefault="00E1036D" w:rsidP="00E1036D">
            <w:pPr>
              <w:spacing w:after="0"/>
              <w:rPr>
                <w:rFonts w:eastAsia="Times New Roman" w:cs="Times New Roman"/>
                <w:b/>
                <w:szCs w:val="24"/>
              </w:rPr>
            </w:pPr>
            <w:r>
              <w:rPr>
                <w:rFonts w:eastAsia="Times New Roman" w:cs="Times New Roman"/>
                <w:b/>
                <w:szCs w:val="24"/>
              </w:rPr>
              <w:t>)</w:t>
            </w:r>
          </w:p>
          <w:p w14:paraId="04839DDF" w14:textId="77777777" w:rsidR="00E1036D" w:rsidRDefault="00E1036D" w:rsidP="00E1036D">
            <w:pPr>
              <w:spacing w:after="0"/>
              <w:rPr>
                <w:rFonts w:eastAsia="Times New Roman" w:cs="Times New Roman"/>
                <w:b/>
                <w:szCs w:val="24"/>
              </w:rPr>
            </w:pPr>
            <w:r>
              <w:rPr>
                <w:rFonts w:eastAsia="Times New Roman" w:cs="Times New Roman"/>
                <w:b/>
                <w:szCs w:val="24"/>
              </w:rPr>
              <w:t>)</w:t>
            </w:r>
          </w:p>
          <w:p w14:paraId="04839DE0" w14:textId="77777777" w:rsidR="00E1036D" w:rsidRDefault="00E1036D" w:rsidP="00E1036D">
            <w:pPr>
              <w:spacing w:after="0"/>
              <w:rPr>
                <w:rFonts w:eastAsia="Times New Roman" w:cs="Times New Roman"/>
                <w:b/>
                <w:szCs w:val="24"/>
              </w:rPr>
            </w:pPr>
            <w:r>
              <w:rPr>
                <w:rFonts w:eastAsia="Times New Roman" w:cs="Times New Roman"/>
                <w:b/>
                <w:szCs w:val="24"/>
              </w:rPr>
              <w:t>)</w:t>
            </w:r>
          </w:p>
          <w:p w14:paraId="04839DE1" w14:textId="77777777" w:rsidR="00E1036D" w:rsidRDefault="00E1036D" w:rsidP="00E1036D">
            <w:pPr>
              <w:spacing w:after="0"/>
              <w:rPr>
                <w:rFonts w:eastAsia="Times New Roman" w:cs="Times New Roman"/>
                <w:b/>
                <w:szCs w:val="24"/>
              </w:rPr>
            </w:pPr>
            <w:r>
              <w:rPr>
                <w:rFonts w:eastAsia="Times New Roman" w:cs="Times New Roman"/>
                <w:b/>
                <w:szCs w:val="24"/>
              </w:rPr>
              <w:t>)</w:t>
            </w:r>
          </w:p>
          <w:p w14:paraId="04839DE2" w14:textId="77777777" w:rsidR="00E1036D" w:rsidRDefault="00E1036D" w:rsidP="00E1036D">
            <w:pPr>
              <w:spacing w:after="0"/>
              <w:rPr>
                <w:rFonts w:eastAsia="Times New Roman" w:cs="Times New Roman"/>
                <w:b/>
                <w:szCs w:val="24"/>
              </w:rPr>
            </w:pPr>
            <w:r>
              <w:rPr>
                <w:rFonts w:eastAsia="Times New Roman" w:cs="Times New Roman"/>
                <w:b/>
                <w:szCs w:val="24"/>
              </w:rPr>
              <w:t>)</w:t>
            </w:r>
          </w:p>
          <w:p w14:paraId="04839DE3" w14:textId="77777777" w:rsidR="00E1036D" w:rsidRDefault="00E1036D" w:rsidP="00E1036D">
            <w:pPr>
              <w:spacing w:after="0"/>
              <w:rPr>
                <w:rFonts w:eastAsia="Times New Roman" w:cs="Times New Roman"/>
                <w:b/>
                <w:szCs w:val="24"/>
              </w:rPr>
            </w:pPr>
            <w:r>
              <w:rPr>
                <w:rFonts w:eastAsia="Times New Roman" w:cs="Times New Roman"/>
                <w:b/>
                <w:szCs w:val="24"/>
              </w:rPr>
              <w:t>)</w:t>
            </w:r>
          </w:p>
          <w:p w14:paraId="04839DE4" w14:textId="77777777" w:rsidR="00E1036D" w:rsidRDefault="00E1036D" w:rsidP="00E1036D">
            <w:pPr>
              <w:spacing w:after="0"/>
              <w:rPr>
                <w:rFonts w:eastAsia="Times New Roman" w:cs="Times New Roman"/>
                <w:b/>
                <w:szCs w:val="24"/>
              </w:rPr>
            </w:pPr>
            <w:r>
              <w:rPr>
                <w:rFonts w:eastAsia="Times New Roman" w:cs="Times New Roman"/>
                <w:b/>
                <w:szCs w:val="24"/>
              </w:rPr>
              <w:t>)</w:t>
            </w:r>
          </w:p>
        </w:tc>
        <w:tc>
          <w:tcPr>
            <w:tcW w:w="4608" w:type="dxa"/>
            <w:tcBorders>
              <w:top w:val="nil"/>
              <w:left w:val="nil"/>
              <w:bottom w:val="nil"/>
              <w:right w:val="nil"/>
            </w:tcBorders>
          </w:tcPr>
          <w:p w14:paraId="04839DE5" w14:textId="77777777" w:rsidR="00E1036D" w:rsidRDefault="00E1036D" w:rsidP="00E1036D">
            <w:pPr>
              <w:spacing w:after="0"/>
              <w:rPr>
                <w:rFonts w:eastAsia="Times New Roman" w:cs="Times New Roman"/>
                <w:b/>
                <w:szCs w:val="24"/>
              </w:rPr>
            </w:pPr>
          </w:p>
          <w:p w14:paraId="04839DE6" w14:textId="77777777" w:rsidR="00E1036D" w:rsidRDefault="00E1036D" w:rsidP="00E1036D">
            <w:pPr>
              <w:spacing w:after="0"/>
              <w:rPr>
                <w:rFonts w:eastAsia="Times New Roman" w:cs="Times New Roman"/>
                <w:b/>
                <w:szCs w:val="24"/>
              </w:rPr>
            </w:pPr>
          </w:p>
          <w:p w14:paraId="04839DE7" w14:textId="77777777" w:rsidR="00E1036D" w:rsidRDefault="00E1036D" w:rsidP="00E1036D">
            <w:pPr>
              <w:spacing w:after="0"/>
              <w:rPr>
                <w:rFonts w:eastAsia="Times New Roman" w:cs="Times New Roman"/>
                <w:b/>
                <w:szCs w:val="24"/>
              </w:rPr>
            </w:pPr>
          </w:p>
          <w:p w14:paraId="04839DE8" w14:textId="77777777" w:rsidR="00E1036D" w:rsidRDefault="00E1036D" w:rsidP="00E1036D">
            <w:pPr>
              <w:spacing w:after="0"/>
              <w:rPr>
                <w:rFonts w:eastAsia="Times New Roman" w:cs="Times New Roman"/>
                <w:b/>
                <w:szCs w:val="24"/>
              </w:rPr>
            </w:pPr>
          </w:p>
          <w:p w14:paraId="04839DE9" w14:textId="77777777" w:rsidR="00E1036D" w:rsidRDefault="00E1036D" w:rsidP="00E1036D">
            <w:pPr>
              <w:spacing w:after="0"/>
              <w:rPr>
                <w:rFonts w:eastAsia="Times New Roman" w:cs="Times New Roman"/>
                <w:b/>
                <w:szCs w:val="24"/>
              </w:rPr>
            </w:pPr>
          </w:p>
          <w:p w14:paraId="04839DEA" w14:textId="77777777" w:rsidR="00E1036D" w:rsidRDefault="00E1036D" w:rsidP="00E1036D">
            <w:pPr>
              <w:spacing w:after="0"/>
              <w:ind w:right="1080"/>
              <w:jc w:val="center"/>
              <w:rPr>
                <w:b/>
              </w:rPr>
            </w:pPr>
            <w:bookmarkStart w:id="1" w:name="_Toc354586559"/>
            <w:r>
              <w:rPr>
                <w:b/>
              </w:rPr>
              <w:t xml:space="preserve">DOCKETS </w:t>
            </w:r>
            <w:bookmarkEnd w:id="1"/>
            <w:r>
              <w:rPr>
                <w:b/>
                <w:bCs/>
              </w:rPr>
              <w:t>UE-170033 and UG-170034</w:t>
            </w:r>
            <w:r>
              <w:rPr>
                <w:b/>
              </w:rPr>
              <w:t xml:space="preserve"> (Consolidated)</w:t>
            </w:r>
          </w:p>
          <w:p w14:paraId="04839DEB" w14:textId="77777777" w:rsidR="00E1036D" w:rsidRDefault="00E1036D" w:rsidP="00E1036D">
            <w:pPr>
              <w:jc w:val="right"/>
              <w:rPr>
                <w:b/>
              </w:rPr>
            </w:pPr>
          </w:p>
        </w:tc>
      </w:tr>
    </w:tbl>
    <w:p w14:paraId="04839DED" w14:textId="77777777" w:rsidR="00E1036D" w:rsidRDefault="00E1036D" w:rsidP="00E1036D">
      <w:pPr>
        <w:spacing w:after="0"/>
        <w:jc w:val="both"/>
        <w:rPr>
          <w:rFonts w:eastAsia="Times New Roman" w:cs="Times New Roman"/>
          <w:szCs w:val="24"/>
        </w:rPr>
      </w:pPr>
    </w:p>
    <w:p w14:paraId="04839DEE" w14:textId="77777777" w:rsidR="00E1036D" w:rsidRDefault="00E1036D" w:rsidP="00E1036D">
      <w:pPr>
        <w:spacing w:after="0"/>
        <w:jc w:val="both"/>
        <w:rPr>
          <w:rFonts w:eastAsia="Times New Roman" w:cs="Times New Roman"/>
          <w:szCs w:val="24"/>
        </w:rPr>
      </w:pPr>
    </w:p>
    <w:p w14:paraId="04839DEF" w14:textId="77777777" w:rsidR="00E1036D" w:rsidRDefault="00E1036D" w:rsidP="00E1036D">
      <w:pPr>
        <w:spacing w:after="0"/>
        <w:jc w:val="both"/>
        <w:rPr>
          <w:rFonts w:eastAsia="Times New Roman" w:cs="Times New Roman"/>
          <w:szCs w:val="24"/>
        </w:rPr>
      </w:pPr>
    </w:p>
    <w:p w14:paraId="04839DF0" w14:textId="77777777" w:rsidR="00E1036D" w:rsidRDefault="00E1036D" w:rsidP="00E1036D">
      <w:pPr>
        <w:spacing w:after="0"/>
        <w:jc w:val="both"/>
        <w:rPr>
          <w:rFonts w:eastAsia="Times New Roman" w:cs="Times New Roman"/>
          <w:szCs w:val="24"/>
        </w:rPr>
      </w:pPr>
    </w:p>
    <w:p w14:paraId="04839DF1" w14:textId="77777777" w:rsidR="00E1036D" w:rsidRDefault="00E1036D" w:rsidP="00E1036D">
      <w:pPr>
        <w:spacing w:after="0"/>
        <w:jc w:val="both"/>
        <w:rPr>
          <w:rFonts w:eastAsia="Times New Roman" w:cs="Times New Roman"/>
          <w:szCs w:val="24"/>
        </w:rPr>
      </w:pPr>
    </w:p>
    <w:p w14:paraId="04839DF2" w14:textId="77777777" w:rsidR="00E1036D" w:rsidRDefault="00E1036D" w:rsidP="00E1036D">
      <w:pPr>
        <w:spacing w:after="0"/>
        <w:jc w:val="center"/>
        <w:rPr>
          <w:rFonts w:eastAsia="Times New Roman" w:cs="Times New Roman"/>
          <w:b/>
          <w:bCs/>
          <w:szCs w:val="24"/>
        </w:rPr>
      </w:pPr>
      <w:r>
        <w:rPr>
          <w:rFonts w:eastAsia="Times New Roman" w:cs="Times New Roman"/>
          <w:b/>
          <w:bCs/>
          <w:szCs w:val="20"/>
        </w:rPr>
        <w:t xml:space="preserve">SUPPLEMENTAL CROSS-ANSWERING TESTIMONY </w:t>
      </w:r>
      <w:r>
        <w:rPr>
          <w:rFonts w:eastAsia="Times New Roman" w:cs="Times New Roman"/>
          <w:b/>
          <w:bCs/>
          <w:szCs w:val="24"/>
        </w:rPr>
        <w:t xml:space="preserve">OF </w:t>
      </w:r>
      <w:r>
        <w:rPr>
          <w:rFonts w:eastAsia="Times New Roman" w:cs="Times New Roman"/>
          <w:b/>
          <w:szCs w:val="24"/>
        </w:rPr>
        <w:t>BRIAN C. COLLINS</w:t>
      </w:r>
    </w:p>
    <w:p w14:paraId="04839DF3" w14:textId="77777777" w:rsidR="00E1036D" w:rsidRDefault="00E1036D" w:rsidP="00E1036D">
      <w:pPr>
        <w:spacing w:after="0"/>
        <w:rPr>
          <w:rFonts w:eastAsia="Times New Roman" w:cs="Times New Roman"/>
          <w:szCs w:val="20"/>
        </w:rPr>
      </w:pPr>
    </w:p>
    <w:p w14:paraId="04839DF4" w14:textId="77777777" w:rsidR="00E1036D" w:rsidRDefault="00E1036D" w:rsidP="00E1036D">
      <w:pPr>
        <w:spacing w:after="0"/>
        <w:jc w:val="center"/>
        <w:rPr>
          <w:rFonts w:eastAsia="Times New Roman" w:cs="Times New Roman"/>
          <w:b/>
          <w:bCs/>
          <w:szCs w:val="20"/>
        </w:rPr>
      </w:pPr>
      <w:r>
        <w:rPr>
          <w:rFonts w:eastAsia="Times New Roman" w:cs="Times New Roman"/>
          <w:b/>
          <w:bCs/>
          <w:szCs w:val="20"/>
        </w:rPr>
        <w:t>ON BEHALF OF</w:t>
      </w:r>
    </w:p>
    <w:p w14:paraId="04839DF5" w14:textId="77777777" w:rsidR="00E1036D" w:rsidRDefault="00E1036D" w:rsidP="00E1036D">
      <w:pPr>
        <w:spacing w:after="0"/>
        <w:rPr>
          <w:rFonts w:eastAsia="Times New Roman" w:cs="Times New Roman"/>
          <w:szCs w:val="20"/>
        </w:rPr>
      </w:pPr>
    </w:p>
    <w:p w14:paraId="04839DF6" w14:textId="77777777" w:rsidR="00E1036D" w:rsidRDefault="00E1036D" w:rsidP="00E1036D">
      <w:pPr>
        <w:spacing w:after="0"/>
        <w:jc w:val="center"/>
        <w:rPr>
          <w:rFonts w:eastAsia="Times New Roman" w:cs="Times New Roman"/>
          <w:szCs w:val="24"/>
        </w:rPr>
      </w:pPr>
      <w:r>
        <w:rPr>
          <w:rFonts w:eastAsia="Times New Roman" w:cs="Times New Roman"/>
          <w:b/>
          <w:bCs/>
          <w:szCs w:val="20"/>
        </w:rPr>
        <w:t>THE NORTHWEST INDUSTRIAL GAS USERS</w:t>
      </w:r>
    </w:p>
    <w:p w14:paraId="04839DF7" w14:textId="77777777" w:rsidR="00E1036D" w:rsidRDefault="00E1036D" w:rsidP="00E1036D">
      <w:pPr>
        <w:spacing w:after="0"/>
        <w:jc w:val="center"/>
        <w:rPr>
          <w:rFonts w:eastAsia="Times New Roman" w:cs="Times New Roman"/>
          <w:szCs w:val="24"/>
        </w:rPr>
      </w:pPr>
    </w:p>
    <w:p w14:paraId="04839DF8" w14:textId="77777777" w:rsidR="00E1036D" w:rsidRDefault="00E1036D" w:rsidP="00E1036D">
      <w:pPr>
        <w:spacing w:after="0"/>
        <w:jc w:val="center"/>
        <w:rPr>
          <w:rFonts w:eastAsia="Times New Roman" w:cs="Times New Roman"/>
          <w:szCs w:val="24"/>
        </w:rPr>
      </w:pPr>
    </w:p>
    <w:p w14:paraId="04839DF9" w14:textId="77777777" w:rsidR="00E1036D" w:rsidRDefault="00E1036D" w:rsidP="00E1036D">
      <w:pPr>
        <w:spacing w:after="0"/>
        <w:jc w:val="center"/>
        <w:rPr>
          <w:rFonts w:eastAsia="Times New Roman" w:cs="Times New Roman"/>
          <w:szCs w:val="24"/>
        </w:rPr>
      </w:pPr>
    </w:p>
    <w:p w14:paraId="04839DFA" w14:textId="77777777" w:rsidR="00E1036D" w:rsidRDefault="00E1036D" w:rsidP="00E1036D">
      <w:pPr>
        <w:spacing w:after="0"/>
        <w:jc w:val="center"/>
        <w:rPr>
          <w:rFonts w:eastAsia="Times New Roman" w:cs="Times New Roman"/>
          <w:szCs w:val="24"/>
        </w:rPr>
      </w:pPr>
    </w:p>
    <w:p w14:paraId="04839DFB" w14:textId="77777777" w:rsidR="00E1036D" w:rsidRDefault="00E1036D" w:rsidP="00E1036D">
      <w:pPr>
        <w:spacing w:after="0"/>
        <w:jc w:val="center"/>
        <w:rPr>
          <w:rFonts w:eastAsia="Times New Roman" w:cs="Times New Roman"/>
          <w:szCs w:val="24"/>
        </w:rPr>
      </w:pPr>
    </w:p>
    <w:p w14:paraId="04839DFC" w14:textId="77777777" w:rsidR="00E1036D" w:rsidRDefault="00E1036D" w:rsidP="00E1036D">
      <w:pPr>
        <w:spacing w:after="0"/>
        <w:jc w:val="center"/>
        <w:rPr>
          <w:rFonts w:eastAsia="Times New Roman" w:cs="Times New Roman"/>
          <w:b/>
          <w:szCs w:val="24"/>
        </w:rPr>
      </w:pPr>
      <w:r>
        <w:rPr>
          <w:rFonts w:eastAsia="Times New Roman" w:cs="Times New Roman"/>
          <w:b/>
          <w:szCs w:val="24"/>
        </w:rPr>
        <w:t>August 15, 2017</w:t>
      </w:r>
    </w:p>
    <w:p w14:paraId="04839DFD" w14:textId="77777777" w:rsidR="00E1036D" w:rsidRDefault="00E1036D" w:rsidP="00E1036D">
      <w:pPr>
        <w:spacing w:after="0"/>
        <w:jc w:val="center"/>
        <w:rPr>
          <w:rFonts w:eastAsia="Times New Roman" w:cs="Times New Roman"/>
          <w:szCs w:val="24"/>
        </w:rPr>
      </w:pPr>
    </w:p>
    <w:p w14:paraId="04839DFE" w14:textId="77777777" w:rsidR="00E1036D" w:rsidRDefault="00E1036D" w:rsidP="00E1036D">
      <w:pPr>
        <w:spacing w:after="0"/>
        <w:jc w:val="center"/>
        <w:rPr>
          <w:rFonts w:eastAsia="Times New Roman" w:cs="Times New Roman"/>
          <w:szCs w:val="24"/>
        </w:rPr>
      </w:pPr>
    </w:p>
    <w:p w14:paraId="04839DFF" w14:textId="77777777" w:rsidR="00E1036D" w:rsidRDefault="00E1036D" w:rsidP="00E1036D">
      <w:pPr>
        <w:spacing w:after="0" w:line="480" w:lineRule="auto"/>
        <w:jc w:val="both"/>
        <w:rPr>
          <w:rFonts w:eastAsia="Times New Roman" w:cs="Times New Roman"/>
          <w:b/>
          <w:szCs w:val="24"/>
        </w:rPr>
        <w:sectPr w:rsidR="00E1036D">
          <w:headerReference w:type="default" r:id="rId11"/>
          <w:pgSz w:w="12240" w:h="15840" w:code="1"/>
          <w:pgMar w:top="1440" w:right="1440" w:bottom="1440" w:left="1728" w:header="576" w:footer="576" w:gutter="0"/>
          <w:pgNumType w:start="1"/>
          <w:cols w:space="720"/>
          <w:docGrid w:linePitch="299"/>
        </w:sectPr>
      </w:pPr>
    </w:p>
    <w:p w14:paraId="04839E00" w14:textId="77777777" w:rsidR="00E1036D" w:rsidRDefault="00E1036D" w:rsidP="00E1036D">
      <w:pPr>
        <w:ind w:left="720" w:hanging="720"/>
        <w:jc w:val="both"/>
        <w:rPr>
          <w:rFonts w:eastAsia="Times New Roman" w:cs="Times New Roman"/>
          <w:b/>
          <w:szCs w:val="24"/>
        </w:rPr>
      </w:pPr>
      <w:r>
        <w:rPr>
          <w:rFonts w:eastAsia="Times New Roman" w:cs="Times New Roman"/>
          <w:b/>
          <w:szCs w:val="24"/>
        </w:rPr>
        <w:lastRenderedPageBreak/>
        <w:t>Q.</w:t>
      </w:r>
      <w:r>
        <w:rPr>
          <w:rFonts w:eastAsia="Times New Roman" w:cs="Times New Roman"/>
          <w:b/>
          <w:szCs w:val="24"/>
        </w:rPr>
        <w:tab/>
        <w:t>PLEASE STATE YOUR NAME AND BUSINESS ADDRESS.</w:t>
      </w:r>
    </w:p>
    <w:p w14:paraId="04839E01" w14:textId="77777777" w:rsidR="00E1036D" w:rsidRDefault="00E1036D" w:rsidP="00E1036D">
      <w:pPr>
        <w:spacing w:after="0" w:line="480" w:lineRule="auto"/>
        <w:ind w:left="720" w:hanging="720"/>
        <w:jc w:val="both"/>
        <w:rPr>
          <w:rFonts w:eastAsia="Times New Roman" w:cs="Times New Roman"/>
          <w:szCs w:val="24"/>
        </w:rPr>
      </w:pPr>
      <w:r>
        <w:rPr>
          <w:rFonts w:eastAsia="Times New Roman" w:cs="Times New Roman"/>
          <w:b/>
          <w:szCs w:val="24"/>
        </w:rPr>
        <w:t>A.</w:t>
      </w:r>
      <w:r>
        <w:rPr>
          <w:rFonts w:eastAsia="Times New Roman" w:cs="Times New Roman"/>
          <w:b/>
          <w:szCs w:val="24"/>
        </w:rPr>
        <w:tab/>
      </w:r>
      <w:r>
        <w:rPr>
          <w:rFonts w:eastAsia="Times New Roman" w:cs="Times New Roman"/>
          <w:szCs w:val="24"/>
        </w:rPr>
        <w:t>Brian C. Collins.  My business address is 16690 Swingley Ridge Road, Suite 140, Chesterfield, MO 63017.</w:t>
      </w:r>
    </w:p>
    <w:p w14:paraId="04839E02" w14:textId="77777777" w:rsidR="00E1036D" w:rsidRDefault="00E1036D" w:rsidP="00E1036D">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 xml:space="preserve">ARE YOU THE SAME BRIAN C. COLLINS WHO PREVIOUSLY FILED TESTIMONY IN THIS PROCEEDING?  </w:t>
      </w:r>
    </w:p>
    <w:p w14:paraId="04839E03" w14:textId="77777777" w:rsidR="00E1036D" w:rsidRDefault="00E1036D" w:rsidP="00E1036D">
      <w:pPr>
        <w:spacing w:after="0" w:line="480" w:lineRule="auto"/>
        <w:ind w:left="720" w:hanging="720"/>
        <w:jc w:val="both"/>
        <w:rPr>
          <w:rFonts w:eastAsia="Times New Roman" w:cs="Times New Roman"/>
        </w:rPr>
      </w:pPr>
      <w:r>
        <w:rPr>
          <w:rFonts w:eastAsia="Times New Roman" w:cs="Times New Roman"/>
          <w:b/>
          <w:szCs w:val="24"/>
        </w:rPr>
        <w:t>A.</w:t>
      </w:r>
      <w:r>
        <w:rPr>
          <w:rFonts w:eastAsia="Times New Roman" w:cs="Times New Roman"/>
          <w:b/>
          <w:szCs w:val="24"/>
        </w:rPr>
        <w:tab/>
      </w:r>
      <w:r>
        <w:rPr>
          <w:rFonts w:eastAsia="Times New Roman" w:cs="Times New Roman"/>
          <w:szCs w:val="24"/>
        </w:rPr>
        <w:t xml:space="preserve">Yes.  On June 30, 2017, I filed Response Testimony and on August 9, 2017, I filed Cross-Answering Testimony, both </w:t>
      </w:r>
      <w:r>
        <w:rPr>
          <w:rFonts w:eastAsia="Times New Roman"/>
        </w:rPr>
        <w:t xml:space="preserve">on behalf of </w:t>
      </w:r>
      <w:r>
        <w:rPr>
          <w:rFonts w:eastAsia="Times New Roman" w:cs="Times New Roman"/>
        </w:rPr>
        <w:t>the Northwest Industrial Gas Users (“NWIGU”).</w:t>
      </w:r>
    </w:p>
    <w:p w14:paraId="04839E04" w14:textId="77777777" w:rsidR="00E1036D" w:rsidRDefault="00E1036D" w:rsidP="00E1036D">
      <w:pPr>
        <w:autoSpaceDE w:val="0"/>
        <w:autoSpaceDN w:val="0"/>
        <w:adjustRightInd w:val="0"/>
        <w:ind w:left="720" w:hanging="720"/>
        <w:jc w:val="both"/>
        <w:rPr>
          <w:rFonts w:eastAsia="Times New Roman"/>
          <w:b/>
          <w:szCs w:val="24"/>
        </w:rPr>
      </w:pPr>
      <w:r>
        <w:rPr>
          <w:rFonts w:eastAsia="Times New Roman"/>
          <w:b/>
          <w:szCs w:val="24"/>
        </w:rPr>
        <w:t>Q.</w:t>
      </w:r>
      <w:r>
        <w:rPr>
          <w:rFonts w:eastAsia="Times New Roman"/>
          <w:b/>
          <w:szCs w:val="24"/>
        </w:rPr>
        <w:tab/>
        <w:t>WHAT IS THE PURPOSE OF YOUR SUPPLEMENTAL CROSS-ANSWERING TESTIMONY?</w:t>
      </w:r>
    </w:p>
    <w:p w14:paraId="04839E05" w14:textId="77777777" w:rsidR="00E1036D" w:rsidRDefault="00E1036D" w:rsidP="00E1036D">
      <w:pPr>
        <w:spacing w:after="0" w:line="480" w:lineRule="auto"/>
        <w:ind w:left="720" w:hanging="720"/>
        <w:jc w:val="both"/>
        <w:rPr>
          <w:rFonts w:eastAsia="Times New Roman"/>
          <w:szCs w:val="24"/>
        </w:rPr>
      </w:pPr>
      <w:r>
        <w:rPr>
          <w:rFonts w:eastAsia="Times New Roman"/>
          <w:b/>
          <w:szCs w:val="24"/>
        </w:rPr>
        <w:t>A.</w:t>
      </w:r>
      <w:r>
        <w:rPr>
          <w:rFonts w:eastAsia="Times New Roman"/>
          <w:szCs w:val="24"/>
        </w:rPr>
        <w:tab/>
        <w:t>I am responding to the supplemental testimony of Washington Utilities and Transportation Commission (“Commission”) Staff witness Jason Ball (“Staff”) with respect to his proposal regarding Puget Sound Energy’s (“PSE” or “Company”) Special Contract class.  My colleague Mr. Edward Finklea also provides policy testimony in response to Staff’s proposal.</w:t>
      </w:r>
    </w:p>
    <w:p w14:paraId="04839E06" w14:textId="77777777" w:rsidR="00E1036D" w:rsidRDefault="00E1036D" w:rsidP="00E1036D">
      <w:pPr>
        <w:autoSpaceDE w:val="0"/>
        <w:autoSpaceDN w:val="0"/>
        <w:adjustRightInd w:val="0"/>
        <w:ind w:left="720" w:hanging="720"/>
        <w:jc w:val="both"/>
        <w:rPr>
          <w:rFonts w:eastAsia="Times New Roman"/>
          <w:b/>
          <w:szCs w:val="24"/>
        </w:rPr>
      </w:pPr>
      <w:r>
        <w:rPr>
          <w:rFonts w:eastAsia="Times New Roman"/>
          <w:b/>
          <w:szCs w:val="24"/>
        </w:rPr>
        <w:t>Q.</w:t>
      </w:r>
      <w:r>
        <w:rPr>
          <w:rFonts w:eastAsia="Times New Roman"/>
          <w:b/>
          <w:szCs w:val="24"/>
        </w:rPr>
        <w:tab/>
        <w:t>PLEASE DESCRIBE STAFF’S PROPOSAL FOR THE SPECIAL CONTRACT CLASS.</w:t>
      </w:r>
    </w:p>
    <w:p w14:paraId="04839E07" w14:textId="77777777" w:rsidR="00E1036D" w:rsidRDefault="00E1036D" w:rsidP="00E1036D">
      <w:pPr>
        <w:spacing w:after="0" w:line="480" w:lineRule="auto"/>
        <w:ind w:left="720" w:hanging="720"/>
        <w:jc w:val="both"/>
        <w:rPr>
          <w:rFonts w:eastAsia="Times New Roman"/>
          <w:szCs w:val="24"/>
        </w:rPr>
      </w:pPr>
      <w:r>
        <w:rPr>
          <w:rFonts w:eastAsia="Times New Roman"/>
          <w:b/>
          <w:szCs w:val="24"/>
        </w:rPr>
        <w:t>A.</w:t>
      </w:r>
      <w:r>
        <w:rPr>
          <w:rFonts w:eastAsia="Times New Roman"/>
          <w:b/>
          <w:szCs w:val="24"/>
        </w:rPr>
        <w:tab/>
      </w:r>
      <w:r>
        <w:rPr>
          <w:rFonts w:eastAsia="Times New Roman"/>
          <w:szCs w:val="24"/>
        </w:rPr>
        <w:t xml:space="preserve">Staff believes that the rates paid by the Special Contract class are not consistent with WAC 480-80-143, because the class is not recovering its full cost of service.  Staff arrives at this conclusion based on a cost of service study that is inconsistent with the cost of service studies of both PSE and NWIGU.  Staff recommends imputing revenues for the Special Contract class to achieve full recovery of costs, including PSE’s authorized rate of return.  Under Staff’s proposal, the claimed shortfall in revenue would be absorbed by PSE shareholders.  Staff opines that this will incentivize the Company to re-negotiate Special Contracts in order to recover additional revenues from Special </w:t>
      </w:r>
      <w:r>
        <w:rPr>
          <w:rFonts w:eastAsia="Times New Roman"/>
          <w:szCs w:val="24"/>
        </w:rPr>
        <w:lastRenderedPageBreak/>
        <w:t xml:space="preserve">Contract customers.  In the alternative, if the Commission rejects the proposal to impute revenues, Staff recommends a 58.83% increase in the Special Contract class current revenues.  </w:t>
      </w:r>
    </w:p>
    <w:p w14:paraId="04839E08" w14:textId="77777777" w:rsidR="00E1036D" w:rsidRDefault="00E1036D" w:rsidP="00E1036D">
      <w:pPr>
        <w:keepNext/>
        <w:keepLines/>
        <w:spacing w:after="0" w:line="480" w:lineRule="auto"/>
        <w:ind w:left="720" w:hanging="720"/>
        <w:jc w:val="both"/>
        <w:rPr>
          <w:rFonts w:eastAsia="Times New Roman"/>
          <w:b/>
          <w:szCs w:val="24"/>
        </w:rPr>
      </w:pPr>
      <w:r>
        <w:rPr>
          <w:rFonts w:eastAsia="Times New Roman"/>
          <w:b/>
          <w:szCs w:val="24"/>
        </w:rPr>
        <w:t>Q.</w:t>
      </w:r>
      <w:r>
        <w:rPr>
          <w:rFonts w:eastAsia="Times New Roman"/>
          <w:szCs w:val="24"/>
        </w:rPr>
        <w:tab/>
      </w:r>
      <w:r>
        <w:rPr>
          <w:rFonts w:eastAsia="Times New Roman"/>
          <w:b/>
          <w:szCs w:val="24"/>
        </w:rPr>
        <w:t>DO YOU AGREE WITH STAFF’S RECOMMENDATION?</w:t>
      </w:r>
    </w:p>
    <w:p w14:paraId="04839E09" w14:textId="77777777" w:rsidR="00E1036D" w:rsidRDefault="00E1036D" w:rsidP="00E1036D">
      <w:pPr>
        <w:spacing w:after="0" w:line="480" w:lineRule="auto"/>
        <w:ind w:left="720" w:hanging="720"/>
        <w:jc w:val="both"/>
        <w:rPr>
          <w:rFonts w:eastAsia="Times New Roman"/>
          <w:szCs w:val="24"/>
        </w:rPr>
      </w:pPr>
      <w:r>
        <w:rPr>
          <w:rFonts w:eastAsia="Times New Roman"/>
          <w:b/>
          <w:szCs w:val="24"/>
        </w:rPr>
        <w:t>A.</w:t>
      </w:r>
      <w:r>
        <w:rPr>
          <w:rFonts w:eastAsia="Times New Roman"/>
          <w:szCs w:val="24"/>
        </w:rPr>
        <w:tab/>
        <w:t>No, I do not.  Staff’s proposal is based on an inappropriate comparison of Special Contract rates to full cost of service.  A comparison of Special Contracts to traditional cost of service is not proper because Special Contracts are typically priced belo</w:t>
      </w:r>
      <w:r w:rsidR="00933AD5">
        <w:rPr>
          <w:rFonts w:eastAsia="Times New Roman"/>
          <w:szCs w:val="24"/>
        </w:rPr>
        <w:t xml:space="preserve">w the cost of service in order </w:t>
      </w:r>
      <w:r>
        <w:rPr>
          <w:rFonts w:eastAsia="Times New Roman"/>
          <w:szCs w:val="24"/>
        </w:rPr>
        <w:t>to retain a customer that has a competitive alternative to PSE delivery service.  The appropriate analysis is to determine if the Special Contract class pays a price that is fair and balanced to all PSE customers, which includes a determination</w:t>
      </w:r>
      <w:r w:rsidR="00933AD5">
        <w:rPr>
          <w:rFonts w:eastAsia="Times New Roman"/>
          <w:szCs w:val="24"/>
        </w:rPr>
        <w:t xml:space="preserve"> </w:t>
      </w:r>
      <w:r w:rsidR="00684E89">
        <w:rPr>
          <w:rFonts w:eastAsia="Times New Roman"/>
          <w:szCs w:val="24"/>
        </w:rPr>
        <w:t>of</w:t>
      </w:r>
      <w:r>
        <w:rPr>
          <w:rFonts w:eastAsia="Times New Roman"/>
          <w:szCs w:val="24"/>
        </w:rPr>
        <w:t xml:space="preserve"> whether the contract price recovers the variable cost of service to the class and whether it contributes to PSE’s fixed costs.  The fixed cost</w:t>
      </w:r>
      <w:r w:rsidR="00684E89">
        <w:rPr>
          <w:rFonts w:eastAsia="Times New Roman"/>
          <w:szCs w:val="24"/>
        </w:rPr>
        <w:t>s</w:t>
      </w:r>
      <w:r>
        <w:rPr>
          <w:rFonts w:eastAsia="Times New Roman"/>
          <w:szCs w:val="24"/>
        </w:rPr>
        <w:t xml:space="preserve"> paid by </w:t>
      </w:r>
      <w:r w:rsidRPr="00684E89">
        <w:rPr>
          <w:rFonts w:eastAsia="Times New Roman"/>
          <w:szCs w:val="24"/>
        </w:rPr>
        <w:t>contract</w:t>
      </w:r>
      <w:r w:rsidR="00933AD5" w:rsidRPr="00684E89">
        <w:rPr>
          <w:rFonts w:eastAsia="Times New Roman"/>
          <w:szCs w:val="24"/>
        </w:rPr>
        <w:t xml:space="preserve"> </w:t>
      </w:r>
      <w:r>
        <w:rPr>
          <w:rFonts w:eastAsia="Times New Roman"/>
          <w:szCs w:val="24"/>
        </w:rPr>
        <w:t>customers would otherwise be paid by non-contract customers.  This assessment is part of determining whether the contract</w:t>
      </w:r>
      <w:r w:rsidR="00933AD5">
        <w:rPr>
          <w:rFonts w:eastAsia="Times New Roman"/>
          <w:szCs w:val="24"/>
        </w:rPr>
        <w:t xml:space="preserve"> </w:t>
      </w:r>
      <w:r>
        <w:rPr>
          <w:rFonts w:eastAsia="Times New Roman"/>
          <w:szCs w:val="24"/>
        </w:rPr>
        <w:t xml:space="preserve">rate </w:t>
      </w:r>
      <w:r w:rsidR="00933AD5">
        <w:rPr>
          <w:rFonts w:eastAsia="Times New Roman"/>
          <w:szCs w:val="24"/>
        </w:rPr>
        <w:t xml:space="preserve">produces </w:t>
      </w:r>
      <w:r>
        <w:rPr>
          <w:rFonts w:eastAsia="Times New Roman"/>
          <w:szCs w:val="24"/>
        </w:rPr>
        <w:t xml:space="preserve">benefits to all of PSE’s customers.   </w:t>
      </w:r>
    </w:p>
    <w:p w14:paraId="04839E0A" w14:textId="77777777" w:rsidR="00E1036D" w:rsidRDefault="00E1036D" w:rsidP="00E1036D">
      <w:pPr>
        <w:keepNext/>
        <w:autoSpaceDE w:val="0"/>
        <w:autoSpaceDN w:val="0"/>
        <w:adjustRightInd w:val="0"/>
        <w:ind w:left="720" w:hanging="720"/>
        <w:jc w:val="both"/>
        <w:rPr>
          <w:rFonts w:eastAsia="Times New Roman"/>
          <w:b/>
          <w:szCs w:val="24"/>
        </w:rPr>
      </w:pPr>
      <w:r>
        <w:rPr>
          <w:rFonts w:eastAsia="Times New Roman"/>
          <w:b/>
          <w:szCs w:val="24"/>
        </w:rPr>
        <w:t xml:space="preserve">Q.  </w:t>
      </w:r>
      <w:r>
        <w:rPr>
          <w:rFonts w:eastAsia="Times New Roman"/>
          <w:b/>
          <w:szCs w:val="24"/>
        </w:rPr>
        <w:tab/>
        <w:t xml:space="preserve">STAFF OPINES THAT THE SPECIAL CONTRACT CLASS DOES NOT COVER </w:t>
      </w:r>
      <w:r w:rsidR="00933AD5">
        <w:rPr>
          <w:rFonts w:eastAsia="Times New Roman"/>
          <w:b/>
          <w:szCs w:val="24"/>
        </w:rPr>
        <w:t>ITS</w:t>
      </w:r>
      <w:r>
        <w:rPr>
          <w:rFonts w:eastAsia="Times New Roman"/>
          <w:b/>
          <w:szCs w:val="24"/>
        </w:rPr>
        <w:t xml:space="preserve"> FULL LEVEL OF ALLOCATED EXPENSES AND CONTRIBUTES LESS THAN NOTHING TOWARD RETURN ON RATE BASE.  DO YOU AGREE WITH THIS OPINION?</w:t>
      </w:r>
    </w:p>
    <w:p w14:paraId="04839E0B" w14:textId="77777777" w:rsidR="00E1036D" w:rsidRDefault="00E1036D" w:rsidP="00E1036D">
      <w:pPr>
        <w:spacing w:after="0" w:line="480" w:lineRule="auto"/>
        <w:ind w:left="720" w:hanging="720"/>
        <w:jc w:val="both"/>
      </w:pPr>
      <w:r>
        <w:rPr>
          <w:b/>
        </w:rPr>
        <w:t>A.</w:t>
      </w:r>
      <w:r>
        <w:rPr>
          <w:b/>
        </w:rPr>
        <w:tab/>
      </w:r>
      <w:r>
        <w:t xml:space="preserve">No, I do not.  Regardless of the cost of service methodology used, it is clear that the </w:t>
      </w:r>
      <w:r>
        <w:rPr>
          <w:rFonts w:eastAsia="Times New Roman"/>
          <w:szCs w:val="24"/>
        </w:rPr>
        <w:t>Special Contract class</w:t>
      </w:r>
      <w:r>
        <w:t xml:space="preserve"> is recovering all of the variable costs to serve the class and is providing a significant contribution to the Company’s fixed costs.  The table below shows the current revenues provided by the </w:t>
      </w:r>
      <w:r>
        <w:rPr>
          <w:rFonts w:eastAsia="Times New Roman"/>
          <w:szCs w:val="24"/>
        </w:rPr>
        <w:t>Special Contract class</w:t>
      </w:r>
      <w:r>
        <w:t xml:space="preserve">, the proposed allocation of operation and maintenance expenses, and the contribution to fixed costs under my proposed cost of service methodology, as well under the Company and Staff methodologies.  Under all three cost of service models, the </w:t>
      </w:r>
      <w:r>
        <w:rPr>
          <w:rFonts w:eastAsia="Times New Roman"/>
          <w:szCs w:val="24"/>
        </w:rPr>
        <w:t>Special Contract class</w:t>
      </w:r>
      <w:r>
        <w:t xml:space="preserve"> </w:t>
      </w:r>
      <w:r>
        <w:lastRenderedPageBreak/>
        <w:t xml:space="preserve">current revenues recover the </w:t>
      </w:r>
      <w:r>
        <w:rPr>
          <w:rFonts w:eastAsia="Times New Roman"/>
          <w:szCs w:val="24"/>
        </w:rPr>
        <w:t>Special Contract class’s</w:t>
      </w:r>
      <w:r>
        <w:t xml:space="preserve"> allocated operation and maintenance expenses—also known as the variable costs.  Revenues in excess of these variable costs </w:t>
      </w:r>
      <w:r w:rsidR="00684E89">
        <w:t>are</w:t>
      </w:r>
      <w:r>
        <w:t xml:space="preserve"> the contribution to fixed costs.  </w:t>
      </w:r>
    </w:p>
    <w:tbl>
      <w:tblPr>
        <w:tblStyle w:val="TableGrid"/>
        <w:tblW w:w="9588" w:type="dxa"/>
        <w:jc w:val="center"/>
        <w:tblLook w:val="04A0" w:firstRow="1" w:lastRow="0" w:firstColumn="1" w:lastColumn="0" w:noHBand="0" w:noVBand="1"/>
      </w:tblPr>
      <w:tblGrid>
        <w:gridCol w:w="3532"/>
        <w:gridCol w:w="2072"/>
        <w:gridCol w:w="2142"/>
        <w:gridCol w:w="1842"/>
      </w:tblGrid>
      <w:tr w:rsidR="00E1036D" w14:paraId="04839E11" w14:textId="77777777" w:rsidTr="00E1036D">
        <w:trPr>
          <w:jc w:val="center"/>
        </w:trPr>
        <w:tc>
          <w:tcPr>
            <w:tcW w:w="9588" w:type="dxa"/>
            <w:gridSpan w:val="4"/>
          </w:tcPr>
          <w:p w14:paraId="04839E0C" w14:textId="77777777" w:rsidR="00E1036D" w:rsidRDefault="00E1036D" w:rsidP="00933AD5">
            <w:pPr>
              <w:spacing w:after="0"/>
              <w:jc w:val="center"/>
              <w:rPr>
                <w:rFonts w:eastAsia="Times New Roman"/>
                <w:b/>
                <w:szCs w:val="24"/>
                <w:u w:val="single"/>
              </w:rPr>
            </w:pPr>
          </w:p>
          <w:p w14:paraId="04839E0D" w14:textId="77777777" w:rsidR="00E1036D" w:rsidRDefault="00E1036D" w:rsidP="00E1036D">
            <w:pPr>
              <w:pageBreakBefore/>
              <w:spacing w:after="0"/>
              <w:jc w:val="center"/>
              <w:rPr>
                <w:rFonts w:eastAsia="Times New Roman"/>
                <w:b/>
                <w:szCs w:val="24"/>
              </w:rPr>
            </w:pPr>
            <w:r>
              <w:rPr>
                <w:rFonts w:eastAsia="Times New Roman"/>
                <w:b/>
                <w:szCs w:val="24"/>
              </w:rPr>
              <w:t>TABLE 1</w:t>
            </w:r>
          </w:p>
          <w:p w14:paraId="04839E0E" w14:textId="77777777" w:rsidR="00E1036D" w:rsidRDefault="00E1036D" w:rsidP="00E1036D">
            <w:pPr>
              <w:pageBreakBefore/>
              <w:spacing w:after="0"/>
              <w:jc w:val="center"/>
              <w:rPr>
                <w:rFonts w:eastAsia="Times New Roman"/>
                <w:b/>
                <w:szCs w:val="24"/>
              </w:rPr>
            </w:pPr>
          </w:p>
          <w:p w14:paraId="04839E0F" w14:textId="77777777" w:rsidR="00E1036D" w:rsidRDefault="00E1036D" w:rsidP="00E1036D">
            <w:pPr>
              <w:pageBreakBefore/>
              <w:spacing w:after="0"/>
              <w:jc w:val="center"/>
              <w:rPr>
                <w:rFonts w:eastAsia="Times New Roman"/>
                <w:b/>
                <w:szCs w:val="24"/>
                <w:u w:val="single"/>
              </w:rPr>
            </w:pPr>
            <w:r>
              <w:rPr>
                <w:rFonts w:eastAsia="Times New Roman"/>
                <w:b/>
                <w:szCs w:val="24"/>
                <w:u w:val="single"/>
              </w:rPr>
              <w:t>Special Contract Class</w:t>
            </w:r>
          </w:p>
          <w:p w14:paraId="04839E10" w14:textId="77777777" w:rsidR="00E1036D" w:rsidRDefault="00E1036D" w:rsidP="00E1036D">
            <w:pPr>
              <w:pageBreakBefore/>
              <w:spacing w:after="0"/>
              <w:rPr>
                <w:rFonts w:eastAsia="Times New Roman"/>
                <w:b/>
                <w:szCs w:val="24"/>
                <w:u w:val="single"/>
              </w:rPr>
            </w:pPr>
          </w:p>
        </w:tc>
      </w:tr>
      <w:tr w:rsidR="00E1036D" w14:paraId="04839E16" w14:textId="77777777" w:rsidTr="00E1036D">
        <w:trPr>
          <w:jc w:val="center"/>
        </w:trPr>
        <w:tc>
          <w:tcPr>
            <w:tcW w:w="3532" w:type="dxa"/>
          </w:tcPr>
          <w:p w14:paraId="04839E12" w14:textId="77777777" w:rsidR="00E1036D" w:rsidRDefault="00E1036D" w:rsidP="00E1036D">
            <w:pPr>
              <w:spacing w:after="0"/>
              <w:jc w:val="center"/>
              <w:rPr>
                <w:rFonts w:eastAsia="Times New Roman"/>
                <w:b/>
                <w:szCs w:val="24"/>
              </w:rPr>
            </w:pPr>
            <w:r>
              <w:rPr>
                <w:rFonts w:eastAsia="Times New Roman"/>
                <w:b/>
                <w:szCs w:val="24"/>
              </w:rPr>
              <w:t>Description</w:t>
            </w:r>
          </w:p>
        </w:tc>
        <w:tc>
          <w:tcPr>
            <w:tcW w:w="2072" w:type="dxa"/>
          </w:tcPr>
          <w:p w14:paraId="04839E13" w14:textId="77777777" w:rsidR="00E1036D" w:rsidRDefault="00E1036D" w:rsidP="00E1036D">
            <w:pPr>
              <w:spacing w:after="0"/>
              <w:jc w:val="center"/>
              <w:rPr>
                <w:rFonts w:eastAsia="Times New Roman"/>
                <w:b/>
                <w:szCs w:val="24"/>
              </w:rPr>
            </w:pPr>
            <w:r>
              <w:rPr>
                <w:rFonts w:eastAsia="Times New Roman"/>
                <w:b/>
                <w:szCs w:val="24"/>
              </w:rPr>
              <w:t>NWIGU</w:t>
            </w:r>
          </w:p>
        </w:tc>
        <w:tc>
          <w:tcPr>
            <w:tcW w:w="2142" w:type="dxa"/>
          </w:tcPr>
          <w:p w14:paraId="04839E14" w14:textId="77777777" w:rsidR="00E1036D" w:rsidRDefault="00E1036D" w:rsidP="00E1036D">
            <w:pPr>
              <w:spacing w:after="0"/>
              <w:jc w:val="center"/>
              <w:rPr>
                <w:rFonts w:eastAsia="Times New Roman"/>
                <w:b/>
                <w:szCs w:val="24"/>
              </w:rPr>
            </w:pPr>
            <w:r>
              <w:rPr>
                <w:rFonts w:eastAsia="Times New Roman"/>
                <w:b/>
                <w:szCs w:val="24"/>
              </w:rPr>
              <w:t>PSE</w:t>
            </w:r>
            <w:r>
              <w:rPr>
                <w:rFonts w:eastAsia="Times New Roman"/>
                <w:b/>
                <w:szCs w:val="24"/>
                <w:vertAlign w:val="superscript"/>
              </w:rPr>
              <w:t>1</w:t>
            </w:r>
          </w:p>
        </w:tc>
        <w:tc>
          <w:tcPr>
            <w:tcW w:w="1842" w:type="dxa"/>
          </w:tcPr>
          <w:p w14:paraId="04839E15" w14:textId="77777777" w:rsidR="00E1036D" w:rsidRDefault="00E1036D" w:rsidP="00E1036D">
            <w:pPr>
              <w:spacing w:after="0"/>
              <w:jc w:val="center"/>
              <w:rPr>
                <w:rFonts w:eastAsia="Times New Roman"/>
                <w:b/>
                <w:szCs w:val="24"/>
              </w:rPr>
            </w:pPr>
            <w:r>
              <w:rPr>
                <w:rFonts w:eastAsia="Times New Roman"/>
                <w:b/>
                <w:szCs w:val="24"/>
              </w:rPr>
              <w:t>Staff</w:t>
            </w:r>
            <w:r>
              <w:rPr>
                <w:rFonts w:eastAsia="Times New Roman"/>
                <w:b/>
                <w:szCs w:val="24"/>
                <w:vertAlign w:val="superscript"/>
              </w:rPr>
              <w:t>2</w:t>
            </w:r>
          </w:p>
        </w:tc>
      </w:tr>
      <w:tr w:rsidR="00E1036D" w14:paraId="04839E1B" w14:textId="77777777" w:rsidTr="00E1036D">
        <w:trPr>
          <w:jc w:val="center"/>
        </w:trPr>
        <w:tc>
          <w:tcPr>
            <w:tcW w:w="3532" w:type="dxa"/>
          </w:tcPr>
          <w:p w14:paraId="04839E17" w14:textId="77777777" w:rsidR="00E1036D" w:rsidRDefault="00E1036D" w:rsidP="00E1036D">
            <w:pPr>
              <w:spacing w:after="0"/>
              <w:rPr>
                <w:rFonts w:eastAsia="Times New Roman"/>
                <w:b/>
                <w:szCs w:val="24"/>
                <w:u w:val="single"/>
              </w:rPr>
            </w:pPr>
          </w:p>
        </w:tc>
        <w:tc>
          <w:tcPr>
            <w:tcW w:w="2072" w:type="dxa"/>
          </w:tcPr>
          <w:p w14:paraId="04839E18" w14:textId="77777777" w:rsidR="00E1036D" w:rsidRDefault="00E1036D" w:rsidP="00E1036D">
            <w:pPr>
              <w:spacing w:after="0"/>
              <w:rPr>
                <w:rFonts w:eastAsia="Times New Roman"/>
                <w:b/>
                <w:szCs w:val="24"/>
                <w:u w:val="single"/>
              </w:rPr>
            </w:pPr>
          </w:p>
        </w:tc>
        <w:tc>
          <w:tcPr>
            <w:tcW w:w="2142" w:type="dxa"/>
          </w:tcPr>
          <w:p w14:paraId="04839E19" w14:textId="77777777" w:rsidR="00E1036D" w:rsidRDefault="00E1036D" w:rsidP="00E1036D">
            <w:pPr>
              <w:spacing w:after="0"/>
              <w:rPr>
                <w:rFonts w:eastAsia="Times New Roman"/>
                <w:b/>
                <w:szCs w:val="24"/>
                <w:u w:val="single"/>
              </w:rPr>
            </w:pPr>
          </w:p>
        </w:tc>
        <w:tc>
          <w:tcPr>
            <w:tcW w:w="1842" w:type="dxa"/>
          </w:tcPr>
          <w:p w14:paraId="04839E1A" w14:textId="77777777" w:rsidR="00E1036D" w:rsidRDefault="00E1036D" w:rsidP="00E1036D">
            <w:pPr>
              <w:spacing w:after="0"/>
              <w:rPr>
                <w:rFonts w:eastAsia="Times New Roman"/>
                <w:b/>
                <w:szCs w:val="24"/>
                <w:u w:val="single"/>
              </w:rPr>
            </w:pPr>
          </w:p>
        </w:tc>
      </w:tr>
      <w:tr w:rsidR="00E1036D" w14:paraId="04839E20" w14:textId="77777777" w:rsidTr="00E1036D">
        <w:trPr>
          <w:jc w:val="center"/>
        </w:trPr>
        <w:tc>
          <w:tcPr>
            <w:tcW w:w="3532" w:type="dxa"/>
            <w:vAlign w:val="center"/>
          </w:tcPr>
          <w:p w14:paraId="04839E1C" w14:textId="77777777" w:rsidR="00E1036D" w:rsidRDefault="00E1036D" w:rsidP="00E1036D">
            <w:pPr>
              <w:spacing w:after="0"/>
              <w:rPr>
                <w:rFonts w:eastAsia="Times New Roman"/>
                <w:szCs w:val="24"/>
              </w:rPr>
            </w:pPr>
            <w:r>
              <w:rPr>
                <w:rFonts w:eastAsia="Times New Roman"/>
                <w:szCs w:val="24"/>
              </w:rPr>
              <w:t>Cost of Service Method</w:t>
            </w:r>
          </w:p>
        </w:tc>
        <w:tc>
          <w:tcPr>
            <w:tcW w:w="2072" w:type="dxa"/>
            <w:vAlign w:val="center"/>
          </w:tcPr>
          <w:p w14:paraId="04839E1D" w14:textId="77777777" w:rsidR="00E1036D" w:rsidRDefault="00E1036D" w:rsidP="00E1036D">
            <w:pPr>
              <w:spacing w:after="0"/>
              <w:jc w:val="center"/>
              <w:rPr>
                <w:rFonts w:eastAsia="Times New Roman"/>
                <w:szCs w:val="24"/>
              </w:rPr>
            </w:pPr>
            <w:r>
              <w:rPr>
                <w:rFonts w:eastAsia="Times New Roman"/>
                <w:szCs w:val="24"/>
              </w:rPr>
              <w:t>Coincident Design Day Demand</w:t>
            </w:r>
          </w:p>
        </w:tc>
        <w:tc>
          <w:tcPr>
            <w:tcW w:w="2142" w:type="dxa"/>
            <w:vAlign w:val="center"/>
          </w:tcPr>
          <w:p w14:paraId="04839E1E" w14:textId="77777777" w:rsidR="00E1036D" w:rsidRDefault="00E1036D" w:rsidP="00E1036D">
            <w:pPr>
              <w:spacing w:after="0"/>
              <w:jc w:val="center"/>
              <w:rPr>
                <w:rFonts w:eastAsia="Times New Roman"/>
                <w:szCs w:val="24"/>
              </w:rPr>
            </w:pPr>
            <w:r>
              <w:rPr>
                <w:rFonts w:eastAsia="Times New Roman"/>
                <w:szCs w:val="24"/>
              </w:rPr>
              <w:t>Peak &amp; Average (Peak = Design Day Demand)</w:t>
            </w:r>
          </w:p>
        </w:tc>
        <w:tc>
          <w:tcPr>
            <w:tcW w:w="1842" w:type="dxa"/>
            <w:vAlign w:val="center"/>
          </w:tcPr>
          <w:p w14:paraId="04839E1F" w14:textId="77777777" w:rsidR="00E1036D" w:rsidRDefault="00E1036D" w:rsidP="00E1036D">
            <w:pPr>
              <w:spacing w:after="0"/>
              <w:jc w:val="center"/>
              <w:rPr>
                <w:rFonts w:eastAsia="Times New Roman"/>
                <w:szCs w:val="24"/>
              </w:rPr>
            </w:pPr>
            <w:r>
              <w:rPr>
                <w:rFonts w:eastAsia="Times New Roman"/>
                <w:szCs w:val="24"/>
              </w:rPr>
              <w:t>Modified Peak &amp; Average</w:t>
            </w:r>
          </w:p>
        </w:tc>
      </w:tr>
      <w:tr w:rsidR="00E1036D" w14:paraId="04839E25" w14:textId="77777777" w:rsidTr="00E1036D">
        <w:trPr>
          <w:jc w:val="center"/>
        </w:trPr>
        <w:tc>
          <w:tcPr>
            <w:tcW w:w="3532" w:type="dxa"/>
          </w:tcPr>
          <w:p w14:paraId="04839E21" w14:textId="77777777" w:rsidR="00E1036D" w:rsidRDefault="00E1036D" w:rsidP="00E1036D">
            <w:pPr>
              <w:spacing w:after="0"/>
              <w:rPr>
                <w:rFonts w:eastAsia="Times New Roman"/>
                <w:szCs w:val="24"/>
              </w:rPr>
            </w:pPr>
            <w:r>
              <w:rPr>
                <w:rFonts w:eastAsia="Times New Roman"/>
                <w:szCs w:val="24"/>
              </w:rPr>
              <w:t>Current Margin Revenues</w:t>
            </w:r>
          </w:p>
        </w:tc>
        <w:tc>
          <w:tcPr>
            <w:tcW w:w="2072" w:type="dxa"/>
            <w:vAlign w:val="center"/>
          </w:tcPr>
          <w:p w14:paraId="04839E22" w14:textId="77777777" w:rsidR="00E1036D" w:rsidRDefault="00E1036D" w:rsidP="00E1036D">
            <w:pPr>
              <w:spacing w:after="0"/>
              <w:jc w:val="center"/>
              <w:rPr>
                <w:rFonts w:eastAsia="Times New Roman"/>
                <w:szCs w:val="24"/>
              </w:rPr>
            </w:pPr>
            <w:r>
              <w:rPr>
                <w:rFonts w:eastAsia="Times New Roman"/>
                <w:szCs w:val="24"/>
              </w:rPr>
              <w:t>$1,369,462</w:t>
            </w:r>
          </w:p>
        </w:tc>
        <w:tc>
          <w:tcPr>
            <w:tcW w:w="2142" w:type="dxa"/>
            <w:vAlign w:val="center"/>
          </w:tcPr>
          <w:p w14:paraId="04839E23" w14:textId="77777777" w:rsidR="00E1036D" w:rsidRDefault="00E1036D" w:rsidP="00E1036D">
            <w:pPr>
              <w:spacing w:after="0"/>
              <w:jc w:val="center"/>
              <w:rPr>
                <w:rFonts w:eastAsia="Times New Roman"/>
                <w:szCs w:val="24"/>
              </w:rPr>
            </w:pPr>
            <w:r>
              <w:rPr>
                <w:rFonts w:eastAsia="Times New Roman"/>
                <w:szCs w:val="24"/>
              </w:rPr>
              <w:t>$1,370,309</w:t>
            </w:r>
          </w:p>
        </w:tc>
        <w:tc>
          <w:tcPr>
            <w:tcW w:w="1842" w:type="dxa"/>
            <w:vAlign w:val="center"/>
          </w:tcPr>
          <w:p w14:paraId="04839E24" w14:textId="77777777" w:rsidR="00E1036D" w:rsidRDefault="00E1036D" w:rsidP="00E1036D">
            <w:pPr>
              <w:spacing w:after="0"/>
              <w:jc w:val="center"/>
              <w:rPr>
                <w:rFonts w:eastAsia="Times New Roman"/>
                <w:szCs w:val="24"/>
              </w:rPr>
            </w:pPr>
            <w:r>
              <w:rPr>
                <w:rFonts w:eastAsia="Times New Roman"/>
                <w:szCs w:val="24"/>
              </w:rPr>
              <w:t>$1,370,090</w:t>
            </w:r>
          </w:p>
        </w:tc>
      </w:tr>
      <w:tr w:rsidR="00E1036D" w14:paraId="04839E2A" w14:textId="77777777" w:rsidTr="00E1036D">
        <w:trPr>
          <w:jc w:val="center"/>
        </w:trPr>
        <w:tc>
          <w:tcPr>
            <w:tcW w:w="3532" w:type="dxa"/>
          </w:tcPr>
          <w:p w14:paraId="04839E26" w14:textId="77777777" w:rsidR="00E1036D" w:rsidRDefault="00E1036D" w:rsidP="00E1036D">
            <w:pPr>
              <w:spacing w:after="0"/>
              <w:rPr>
                <w:rFonts w:eastAsia="Times New Roman"/>
                <w:szCs w:val="24"/>
              </w:rPr>
            </w:pPr>
            <w:r>
              <w:rPr>
                <w:rFonts w:eastAsia="Times New Roman"/>
                <w:szCs w:val="24"/>
              </w:rPr>
              <w:t>Cost of Service (Margin Rev. Req.)</w:t>
            </w:r>
          </w:p>
        </w:tc>
        <w:tc>
          <w:tcPr>
            <w:tcW w:w="2072" w:type="dxa"/>
            <w:vAlign w:val="center"/>
          </w:tcPr>
          <w:p w14:paraId="04839E27" w14:textId="77777777" w:rsidR="00E1036D" w:rsidRDefault="00E1036D" w:rsidP="00E1036D">
            <w:pPr>
              <w:spacing w:after="0"/>
              <w:jc w:val="center"/>
              <w:rPr>
                <w:rFonts w:eastAsia="Times New Roman"/>
                <w:szCs w:val="24"/>
              </w:rPr>
            </w:pPr>
            <w:r>
              <w:rPr>
                <w:rFonts w:eastAsia="Times New Roman"/>
                <w:szCs w:val="24"/>
              </w:rPr>
              <w:t>$1,365,507</w:t>
            </w:r>
          </w:p>
        </w:tc>
        <w:tc>
          <w:tcPr>
            <w:tcW w:w="2142" w:type="dxa"/>
            <w:vAlign w:val="center"/>
          </w:tcPr>
          <w:p w14:paraId="04839E28" w14:textId="77777777" w:rsidR="00E1036D" w:rsidRDefault="00E1036D" w:rsidP="00E1036D">
            <w:pPr>
              <w:spacing w:after="0"/>
              <w:jc w:val="center"/>
              <w:rPr>
                <w:rFonts w:eastAsia="Times New Roman"/>
                <w:szCs w:val="24"/>
              </w:rPr>
            </w:pPr>
            <w:r>
              <w:rPr>
                <w:rFonts w:eastAsia="Times New Roman"/>
                <w:szCs w:val="24"/>
              </w:rPr>
              <w:t>$2,454,888</w:t>
            </w:r>
          </w:p>
        </w:tc>
        <w:tc>
          <w:tcPr>
            <w:tcW w:w="1842" w:type="dxa"/>
            <w:vAlign w:val="center"/>
          </w:tcPr>
          <w:p w14:paraId="04839E29" w14:textId="77777777" w:rsidR="00E1036D" w:rsidRDefault="00E1036D" w:rsidP="00E1036D">
            <w:pPr>
              <w:spacing w:after="0"/>
              <w:jc w:val="center"/>
              <w:rPr>
                <w:rFonts w:eastAsia="Times New Roman"/>
                <w:szCs w:val="24"/>
              </w:rPr>
            </w:pPr>
            <w:r>
              <w:rPr>
                <w:rFonts w:eastAsia="Times New Roman"/>
                <w:szCs w:val="24"/>
              </w:rPr>
              <w:t>$2,858,003</w:t>
            </w:r>
          </w:p>
        </w:tc>
      </w:tr>
      <w:tr w:rsidR="00E1036D" w14:paraId="04839E2F" w14:textId="77777777" w:rsidTr="00E1036D">
        <w:trPr>
          <w:jc w:val="center"/>
        </w:trPr>
        <w:tc>
          <w:tcPr>
            <w:tcW w:w="3532" w:type="dxa"/>
          </w:tcPr>
          <w:p w14:paraId="04839E2B" w14:textId="77777777" w:rsidR="00E1036D" w:rsidRDefault="00E1036D" w:rsidP="00E1036D">
            <w:pPr>
              <w:spacing w:after="0"/>
              <w:rPr>
                <w:rFonts w:eastAsia="Times New Roman"/>
                <w:szCs w:val="24"/>
              </w:rPr>
            </w:pPr>
            <w:r>
              <w:rPr>
                <w:rFonts w:eastAsia="Times New Roman"/>
                <w:szCs w:val="24"/>
              </w:rPr>
              <w:t>Difference ($)</w:t>
            </w:r>
          </w:p>
        </w:tc>
        <w:tc>
          <w:tcPr>
            <w:tcW w:w="2072" w:type="dxa"/>
            <w:vAlign w:val="center"/>
          </w:tcPr>
          <w:p w14:paraId="04839E2C" w14:textId="77777777" w:rsidR="00E1036D" w:rsidRDefault="00E1036D" w:rsidP="00E1036D">
            <w:pPr>
              <w:spacing w:after="0"/>
              <w:jc w:val="center"/>
              <w:rPr>
                <w:rFonts w:eastAsia="Times New Roman"/>
                <w:szCs w:val="24"/>
              </w:rPr>
            </w:pPr>
            <w:r>
              <w:rPr>
                <w:rFonts w:eastAsia="Times New Roman"/>
                <w:szCs w:val="24"/>
              </w:rPr>
              <w:t>$3,955</w:t>
            </w:r>
          </w:p>
        </w:tc>
        <w:tc>
          <w:tcPr>
            <w:tcW w:w="2142" w:type="dxa"/>
            <w:vAlign w:val="center"/>
          </w:tcPr>
          <w:p w14:paraId="04839E2D" w14:textId="77777777" w:rsidR="00E1036D" w:rsidRDefault="00E1036D" w:rsidP="00E1036D">
            <w:pPr>
              <w:spacing w:after="0"/>
              <w:jc w:val="center"/>
              <w:rPr>
                <w:rFonts w:eastAsia="Times New Roman"/>
                <w:szCs w:val="24"/>
              </w:rPr>
            </w:pPr>
            <w:r>
              <w:rPr>
                <w:rFonts w:eastAsia="Times New Roman"/>
                <w:szCs w:val="24"/>
              </w:rPr>
              <w:t>($1,084,579)</w:t>
            </w:r>
          </w:p>
        </w:tc>
        <w:tc>
          <w:tcPr>
            <w:tcW w:w="1842" w:type="dxa"/>
            <w:vAlign w:val="center"/>
          </w:tcPr>
          <w:p w14:paraId="04839E2E" w14:textId="77777777" w:rsidR="00E1036D" w:rsidRDefault="00E1036D" w:rsidP="00E1036D">
            <w:pPr>
              <w:spacing w:after="0"/>
              <w:jc w:val="center"/>
              <w:rPr>
                <w:rFonts w:eastAsia="Times New Roman"/>
                <w:szCs w:val="24"/>
              </w:rPr>
            </w:pPr>
            <w:r>
              <w:rPr>
                <w:rFonts w:eastAsia="Times New Roman"/>
                <w:szCs w:val="24"/>
              </w:rPr>
              <w:t>($1,487,193)</w:t>
            </w:r>
          </w:p>
        </w:tc>
      </w:tr>
      <w:tr w:rsidR="00E1036D" w14:paraId="04839E34" w14:textId="77777777" w:rsidTr="00E1036D">
        <w:trPr>
          <w:jc w:val="center"/>
        </w:trPr>
        <w:tc>
          <w:tcPr>
            <w:tcW w:w="3532" w:type="dxa"/>
          </w:tcPr>
          <w:p w14:paraId="04839E30" w14:textId="77777777" w:rsidR="00E1036D" w:rsidRDefault="00E1036D" w:rsidP="00E1036D">
            <w:pPr>
              <w:spacing w:after="0"/>
              <w:rPr>
                <w:rFonts w:eastAsia="Times New Roman"/>
                <w:szCs w:val="24"/>
              </w:rPr>
            </w:pPr>
            <w:r>
              <w:rPr>
                <w:rFonts w:eastAsia="Times New Roman"/>
                <w:szCs w:val="24"/>
              </w:rPr>
              <w:t>Difference (%)</w:t>
            </w:r>
          </w:p>
        </w:tc>
        <w:tc>
          <w:tcPr>
            <w:tcW w:w="2072" w:type="dxa"/>
            <w:vAlign w:val="center"/>
          </w:tcPr>
          <w:p w14:paraId="04839E31" w14:textId="77777777" w:rsidR="00E1036D" w:rsidRDefault="00E1036D" w:rsidP="00E1036D">
            <w:pPr>
              <w:spacing w:after="0"/>
              <w:jc w:val="center"/>
              <w:rPr>
                <w:rFonts w:eastAsia="Times New Roman"/>
                <w:szCs w:val="24"/>
              </w:rPr>
            </w:pPr>
            <w:r>
              <w:rPr>
                <w:rFonts w:eastAsia="Times New Roman"/>
                <w:szCs w:val="24"/>
              </w:rPr>
              <w:t>-0.29%</w:t>
            </w:r>
          </w:p>
        </w:tc>
        <w:tc>
          <w:tcPr>
            <w:tcW w:w="2142" w:type="dxa"/>
            <w:vAlign w:val="center"/>
          </w:tcPr>
          <w:p w14:paraId="04839E32" w14:textId="77777777" w:rsidR="00E1036D" w:rsidRDefault="00E1036D" w:rsidP="00E1036D">
            <w:pPr>
              <w:spacing w:after="0"/>
              <w:jc w:val="center"/>
              <w:rPr>
                <w:rFonts w:eastAsia="Times New Roman"/>
                <w:szCs w:val="24"/>
              </w:rPr>
            </w:pPr>
            <w:r>
              <w:rPr>
                <w:rFonts w:eastAsia="Times New Roman"/>
                <w:szCs w:val="24"/>
              </w:rPr>
              <w:t>79.15%</w:t>
            </w:r>
          </w:p>
        </w:tc>
        <w:tc>
          <w:tcPr>
            <w:tcW w:w="1842" w:type="dxa"/>
            <w:vAlign w:val="center"/>
          </w:tcPr>
          <w:p w14:paraId="04839E33" w14:textId="77777777" w:rsidR="00E1036D" w:rsidRDefault="00E1036D" w:rsidP="00E1036D">
            <w:pPr>
              <w:spacing w:after="0"/>
              <w:jc w:val="center"/>
              <w:rPr>
                <w:rFonts w:eastAsia="Times New Roman"/>
                <w:szCs w:val="24"/>
              </w:rPr>
            </w:pPr>
            <w:r>
              <w:rPr>
                <w:rFonts w:eastAsia="Times New Roman"/>
                <w:szCs w:val="24"/>
              </w:rPr>
              <w:t>108.60%</w:t>
            </w:r>
          </w:p>
        </w:tc>
      </w:tr>
      <w:tr w:rsidR="00E1036D" w14:paraId="04839E39" w14:textId="77777777" w:rsidTr="00E1036D">
        <w:trPr>
          <w:jc w:val="center"/>
        </w:trPr>
        <w:tc>
          <w:tcPr>
            <w:tcW w:w="3532" w:type="dxa"/>
          </w:tcPr>
          <w:p w14:paraId="04839E35" w14:textId="77777777" w:rsidR="00E1036D" w:rsidRDefault="00E1036D" w:rsidP="00E1036D">
            <w:pPr>
              <w:spacing w:after="0"/>
              <w:rPr>
                <w:rFonts w:eastAsia="Times New Roman"/>
                <w:szCs w:val="24"/>
              </w:rPr>
            </w:pPr>
            <w:r>
              <w:rPr>
                <w:rFonts w:eastAsia="Times New Roman"/>
                <w:szCs w:val="24"/>
              </w:rPr>
              <w:t>Index (Relative to System Average Increase)</w:t>
            </w:r>
          </w:p>
        </w:tc>
        <w:tc>
          <w:tcPr>
            <w:tcW w:w="2072" w:type="dxa"/>
            <w:vAlign w:val="center"/>
          </w:tcPr>
          <w:p w14:paraId="04839E36" w14:textId="77777777" w:rsidR="00E1036D" w:rsidRDefault="00E1036D" w:rsidP="00E1036D">
            <w:pPr>
              <w:spacing w:after="0"/>
              <w:jc w:val="center"/>
              <w:rPr>
                <w:rFonts w:eastAsia="Times New Roman"/>
                <w:szCs w:val="24"/>
              </w:rPr>
            </w:pPr>
            <w:r>
              <w:rPr>
                <w:rFonts w:eastAsia="Times New Roman"/>
                <w:szCs w:val="24"/>
              </w:rPr>
              <w:t>(0.05)</w:t>
            </w:r>
          </w:p>
        </w:tc>
        <w:tc>
          <w:tcPr>
            <w:tcW w:w="2142" w:type="dxa"/>
            <w:vAlign w:val="center"/>
          </w:tcPr>
          <w:p w14:paraId="04839E37" w14:textId="77777777" w:rsidR="00E1036D" w:rsidRDefault="00E1036D" w:rsidP="00E1036D">
            <w:pPr>
              <w:spacing w:after="0"/>
              <w:jc w:val="center"/>
              <w:rPr>
                <w:rFonts w:eastAsia="Times New Roman"/>
                <w:szCs w:val="24"/>
              </w:rPr>
            </w:pPr>
            <w:r>
              <w:rPr>
                <w:rFonts w:eastAsia="Times New Roman"/>
                <w:szCs w:val="24"/>
              </w:rPr>
              <w:t>15.1</w:t>
            </w:r>
          </w:p>
        </w:tc>
        <w:tc>
          <w:tcPr>
            <w:tcW w:w="1842" w:type="dxa"/>
            <w:vAlign w:val="center"/>
          </w:tcPr>
          <w:p w14:paraId="04839E38" w14:textId="77777777" w:rsidR="00E1036D" w:rsidRDefault="00E1036D" w:rsidP="00E1036D">
            <w:pPr>
              <w:spacing w:after="0"/>
              <w:jc w:val="center"/>
              <w:rPr>
                <w:rFonts w:eastAsia="Times New Roman"/>
                <w:szCs w:val="24"/>
              </w:rPr>
            </w:pPr>
            <w:r>
              <w:rPr>
                <w:rFonts w:eastAsia="Times New Roman"/>
                <w:szCs w:val="24"/>
              </w:rPr>
              <w:t>42.2</w:t>
            </w:r>
          </w:p>
        </w:tc>
      </w:tr>
      <w:tr w:rsidR="00E1036D" w14:paraId="04839E3E" w14:textId="77777777" w:rsidTr="00E1036D">
        <w:trPr>
          <w:jc w:val="center"/>
        </w:trPr>
        <w:tc>
          <w:tcPr>
            <w:tcW w:w="3532" w:type="dxa"/>
          </w:tcPr>
          <w:p w14:paraId="04839E3A" w14:textId="77777777" w:rsidR="00E1036D" w:rsidRDefault="00E1036D" w:rsidP="00E1036D">
            <w:pPr>
              <w:spacing w:after="0"/>
              <w:rPr>
                <w:rFonts w:eastAsia="Times New Roman"/>
                <w:szCs w:val="24"/>
              </w:rPr>
            </w:pPr>
          </w:p>
        </w:tc>
        <w:tc>
          <w:tcPr>
            <w:tcW w:w="2072" w:type="dxa"/>
            <w:vAlign w:val="center"/>
          </w:tcPr>
          <w:p w14:paraId="04839E3B" w14:textId="77777777" w:rsidR="00E1036D" w:rsidRDefault="00E1036D" w:rsidP="00E1036D">
            <w:pPr>
              <w:spacing w:after="0"/>
              <w:jc w:val="center"/>
              <w:rPr>
                <w:rFonts w:eastAsia="Times New Roman"/>
                <w:szCs w:val="24"/>
              </w:rPr>
            </w:pPr>
          </w:p>
        </w:tc>
        <w:tc>
          <w:tcPr>
            <w:tcW w:w="2142" w:type="dxa"/>
            <w:vAlign w:val="center"/>
          </w:tcPr>
          <w:p w14:paraId="04839E3C" w14:textId="77777777" w:rsidR="00E1036D" w:rsidRDefault="00E1036D" w:rsidP="00E1036D">
            <w:pPr>
              <w:spacing w:after="0"/>
              <w:jc w:val="center"/>
              <w:rPr>
                <w:rFonts w:eastAsia="Times New Roman"/>
                <w:szCs w:val="24"/>
              </w:rPr>
            </w:pPr>
          </w:p>
        </w:tc>
        <w:tc>
          <w:tcPr>
            <w:tcW w:w="1842" w:type="dxa"/>
            <w:vAlign w:val="center"/>
          </w:tcPr>
          <w:p w14:paraId="04839E3D" w14:textId="77777777" w:rsidR="00E1036D" w:rsidRDefault="00E1036D" w:rsidP="00E1036D">
            <w:pPr>
              <w:spacing w:after="0"/>
              <w:jc w:val="center"/>
              <w:rPr>
                <w:rFonts w:eastAsia="Times New Roman"/>
                <w:szCs w:val="24"/>
              </w:rPr>
            </w:pPr>
          </w:p>
        </w:tc>
      </w:tr>
      <w:tr w:rsidR="00E1036D" w14:paraId="04839E43" w14:textId="77777777" w:rsidTr="00E1036D">
        <w:trPr>
          <w:jc w:val="center"/>
        </w:trPr>
        <w:tc>
          <w:tcPr>
            <w:tcW w:w="3532" w:type="dxa"/>
          </w:tcPr>
          <w:p w14:paraId="04839E3F" w14:textId="77777777" w:rsidR="00E1036D" w:rsidRDefault="00E1036D" w:rsidP="00E1036D">
            <w:pPr>
              <w:spacing w:after="0"/>
              <w:rPr>
                <w:rFonts w:eastAsia="Times New Roman"/>
                <w:szCs w:val="24"/>
              </w:rPr>
            </w:pPr>
            <w:r>
              <w:rPr>
                <w:rFonts w:eastAsia="Times New Roman"/>
                <w:szCs w:val="24"/>
              </w:rPr>
              <w:t>Current Margin Revenues</w:t>
            </w:r>
          </w:p>
        </w:tc>
        <w:tc>
          <w:tcPr>
            <w:tcW w:w="2072" w:type="dxa"/>
            <w:vAlign w:val="center"/>
          </w:tcPr>
          <w:p w14:paraId="04839E40" w14:textId="77777777" w:rsidR="00E1036D" w:rsidRDefault="00E1036D" w:rsidP="00E1036D">
            <w:pPr>
              <w:spacing w:after="0"/>
              <w:jc w:val="center"/>
              <w:rPr>
                <w:rFonts w:eastAsia="Times New Roman"/>
                <w:szCs w:val="24"/>
              </w:rPr>
            </w:pPr>
            <w:r>
              <w:rPr>
                <w:rFonts w:eastAsia="Times New Roman"/>
                <w:szCs w:val="24"/>
              </w:rPr>
              <w:t>$1,369,462</w:t>
            </w:r>
          </w:p>
        </w:tc>
        <w:tc>
          <w:tcPr>
            <w:tcW w:w="2142" w:type="dxa"/>
            <w:vAlign w:val="center"/>
          </w:tcPr>
          <w:p w14:paraId="04839E41" w14:textId="77777777" w:rsidR="00E1036D" w:rsidRDefault="00E1036D" w:rsidP="00E1036D">
            <w:pPr>
              <w:spacing w:after="0"/>
              <w:jc w:val="center"/>
              <w:rPr>
                <w:rFonts w:eastAsia="Times New Roman"/>
                <w:szCs w:val="24"/>
              </w:rPr>
            </w:pPr>
            <w:r>
              <w:rPr>
                <w:rFonts w:eastAsia="Times New Roman"/>
                <w:szCs w:val="24"/>
              </w:rPr>
              <w:t>$1,370,309</w:t>
            </w:r>
          </w:p>
        </w:tc>
        <w:tc>
          <w:tcPr>
            <w:tcW w:w="1842" w:type="dxa"/>
            <w:vAlign w:val="center"/>
          </w:tcPr>
          <w:p w14:paraId="04839E42" w14:textId="77777777" w:rsidR="00E1036D" w:rsidRDefault="00E1036D" w:rsidP="00E1036D">
            <w:pPr>
              <w:spacing w:after="0"/>
              <w:jc w:val="center"/>
              <w:rPr>
                <w:rFonts w:eastAsia="Times New Roman"/>
                <w:szCs w:val="24"/>
              </w:rPr>
            </w:pPr>
            <w:r>
              <w:rPr>
                <w:rFonts w:eastAsia="Times New Roman"/>
                <w:szCs w:val="24"/>
              </w:rPr>
              <w:t>$1,370,090</w:t>
            </w:r>
          </w:p>
        </w:tc>
      </w:tr>
      <w:tr w:rsidR="00E1036D" w14:paraId="04839E48" w14:textId="77777777" w:rsidTr="00E1036D">
        <w:trPr>
          <w:jc w:val="center"/>
        </w:trPr>
        <w:tc>
          <w:tcPr>
            <w:tcW w:w="3532" w:type="dxa"/>
          </w:tcPr>
          <w:p w14:paraId="04839E44" w14:textId="77777777" w:rsidR="00E1036D" w:rsidRDefault="00E1036D" w:rsidP="00E1036D">
            <w:pPr>
              <w:spacing w:after="0"/>
              <w:rPr>
                <w:rFonts w:eastAsia="Times New Roman"/>
                <w:szCs w:val="24"/>
              </w:rPr>
            </w:pPr>
            <w:r>
              <w:rPr>
                <w:rFonts w:eastAsia="Times New Roman"/>
                <w:szCs w:val="24"/>
              </w:rPr>
              <w:t>Allocated O&amp;M</w:t>
            </w:r>
          </w:p>
        </w:tc>
        <w:tc>
          <w:tcPr>
            <w:tcW w:w="2072" w:type="dxa"/>
            <w:vAlign w:val="center"/>
          </w:tcPr>
          <w:p w14:paraId="04839E45" w14:textId="77777777" w:rsidR="00E1036D" w:rsidRDefault="00E1036D" w:rsidP="00933AD5">
            <w:pPr>
              <w:spacing w:after="0"/>
              <w:ind w:right="468"/>
              <w:jc w:val="right"/>
              <w:rPr>
                <w:rFonts w:eastAsia="Times New Roman"/>
                <w:szCs w:val="24"/>
              </w:rPr>
            </w:pPr>
            <w:r>
              <w:rPr>
                <w:rFonts w:eastAsia="Times New Roman"/>
                <w:szCs w:val="24"/>
              </w:rPr>
              <w:t>$393,478</w:t>
            </w:r>
          </w:p>
        </w:tc>
        <w:tc>
          <w:tcPr>
            <w:tcW w:w="2142" w:type="dxa"/>
            <w:vAlign w:val="center"/>
          </w:tcPr>
          <w:p w14:paraId="04839E46" w14:textId="77777777" w:rsidR="00E1036D" w:rsidRDefault="00E1036D" w:rsidP="00E1036D">
            <w:pPr>
              <w:spacing w:after="0"/>
              <w:ind w:right="441"/>
              <w:jc w:val="right"/>
              <w:rPr>
                <w:rFonts w:eastAsia="Times New Roman"/>
                <w:szCs w:val="24"/>
              </w:rPr>
            </w:pPr>
            <w:r>
              <w:rPr>
                <w:rFonts w:eastAsia="Times New Roman"/>
                <w:szCs w:val="24"/>
              </w:rPr>
              <w:t>$670,229</w:t>
            </w:r>
          </w:p>
        </w:tc>
        <w:tc>
          <w:tcPr>
            <w:tcW w:w="1842" w:type="dxa"/>
            <w:vAlign w:val="center"/>
          </w:tcPr>
          <w:p w14:paraId="04839E47" w14:textId="77777777" w:rsidR="00E1036D" w:rsidRDefault="00E1036D" w:rsidP="00933AD5">
            <w:pPr>
              <w:spacing w:after="0"/>
              <w:ind w:right="312"/>
              <w:jc w:val="right"/>
              <w:rPr>
                <w:rFonts w:eastAsia="Times New Roman"/>
                <w:szCs w:val="24"/>
              </w:rPr>
            </w:pPr>
            <w:r>
              <w:rPr>
                <w:rFonts w:eastAsia="Times New Roman"/>
                <w:szCs w:val="24"/>
              </w:rPr>
              <w:t>$804,228</w:t>
            </w:r>
          </w:p>
        </w:tc>
      </w:tr>
      <w:tr w:rsidR="00E1036D" w14:paraId="04839E4D" w14:textId="77777777" w:rsidTr="00E1036D">
        <w:trPr>
          <w:jc w:val="center"/>
        </w:trPr>
        <w:tc>
          <w:tcPr>
            <w:tcW w:w="3532" w:type="dxa"/>
          </w:tcPr>
          <w:p w14:paraId="04839E49" w14:textId="77777777" w:rsidR="00E1036D" w:rsidRDefault="00E1036D" w:rsidP="00E1036D">
            <w:pPr>
              <w:spacing w:after="0"/>
              <w:rPr>
                <w:rFonts w:eastAsia="Times New Roman"/>
                <w:szCs w:val="24"/>
              </w:rPr>
            </w:pPr>
            <w:r>
              <w:rPr>
                <w:rFonts w:eastAsia="Times New Roman"/>
                <w:szCs w:val="24"/>
              </w:rPr>
              <w:t>Contribution to Fixed Costs</w:t>
            </w:r>
          </w:p>
        </w:tc>
        <w:tc>
          <w:tcPr>
            <w:tcW w:w="2072" w:type="dxa"/>
          </w:tcPr>
          <w:p w14:paraId="04839E4A" w14:textId="77777777" w:rsidR="00E1036D" w:rsidRDefault="00E1036D" w:rsidP="00933AD5">
            <w:pPr>
              <w:spacing w:after="0"/>
              <w:ind w:right="468"/>
              <w:jc w:val="right"/>
              <w:rPr>
                <w:rFonts w:eastAsia="Times New Roman"/>
                <w:szCs w:val="24"/>
              </w:rPr>
            </w:pPr>
            <w:r>
              <w:rPr>
                <w:rFonts w:eastAsia="Times New Roman"/>
                <w:szCs w:val="24"/>
              </w:rPr>
              <w:t>$975,984</w:t>
            </w:r>
          </w:p>
        </w:tc>
        <w:tc>
          <w:tcPr>
            <w:tcW w:w="2142" w:type="dxa"/>
          </w:tcPr>
          <w:p w14:paraId="04839E4B" w14:textId="77777777" w:rsidR="00E1036D" w:rsidRDefault="00E1036D" w:rsidP="00E1036D">
            <w:pPr>
              <w:spacing w:after="0"/>
              <w:ind w:right="441"/>
              <w:jc w:val="right"/>
              <w:rPr>
                <w:rFonts w:eastAsia="Times New Roman"/>
                <w:szCs w:val="24"/>
              </w:rPr>
            </w:pPr>
            <w:r>
              <w:rPr>
                <w:rFonts w:eastAsia="Times New Roman"/>
                <w:szCs w:val="24"/>
              </w:rPr>
              <w:t>$700,080</w:t>
            </w:r>
          </w:p>
        </w:tc>
        <w:tc>
          <w:tcPr>
            <w:tcW w:w="1842" w:type="dxa"/>
          </w:tcPr>
          <w:p w14:paraId="04839E4C" w14:textId="77777777" w:rsidR="00E1036D" w:rsidRDefault="00E1036D" w:rsidP="00933AD5">
            <w:pPr>
              <w:spacing w:after="0"/>
              <w:ind w:right="312"/>
              <w:jc w:val="right"/>
              <w:rPr>
                <w:rFonts w:eastAsia="Times New Roman"/>
                <w:szCs w:val="24"/>
              </w:rPr>
            </w:pPr>
            <w:r>
              <w:rPr>
                <w:rFonts w:eastAsia="Times New Roman"/>
                <w:szCs w:val="24"/>
              </w:rPr>
              <w:t>$565,862</w:t>
            </w:r>
          </w:p>
        </w:tc>
      </w:tr>
      <w:tr w:rsidR="00E1036D" w14:paraId="04839E53" w14:textId="77777777" w:rsidTr="00E1036D">
        <w:trPr>
          <w:jc w:val="center"/>
        </w:trPr>
        <w:tc>
          <w:tcPr>
            <w:tcW w:w="9588" w:type="dxa"/>
            <w:gridSpan w:val="4"/>
          </w:tcPr>
          <w:p w14:paraId="04839E4E" w14:textId="77777777" w:rsidR="00E1036D" w:rsidRDefault="00E1036D" w:rsidP="00E1036D">
            <w:pPr>
              <w:spacing w:after="0"/>
              <w:rPr>
                <w:rFonts w:eastAsia="Times New Roman"/>
                <w:szCs w:val="24"/>
              </w:rPr>
            </w:pPr>
            <w:r>
              <w:rPr>
                <w:rFonts w:eastAsia="Times New Roman"/>
                <w:szCs w:val="24"/>
              </w:rPr>
              <w:t>________________________</w:t>
            </w:r>
          </w:p>
          <w:p w14:paraId="04839E4F" w14:textId="77777777" w:rsidR="00E1036D" w:rsidRDefault="00E1036D" w:rsidP="00E1036D">
            <w:pPr>
              <w:spacing w:before="120" w:after="0"/>
              <w:rPr>
                <w:rFonts w:eastAsia="Times New Roman"/>
                <w:szCs w:val="24"/>
              </w:rPr>
            </w:pPr>
            <w:r>
              <w:rPr>
                <w:rFonts w:eastAsia="Times New Roman"/>
                <w:szCs w:val="24"/>
              </w:rPr>
              <w:t>Sources:</w:t>
            </w:r>
          </w:p>
          <w:p w14:paraId="04839E50" w14:textId="77777777" w:rsidR="00E1036D" w:rsidRDefault="00E1036D" w:rsidP="00E1036D">
            <w:pPr>
              <w:spacing w:after="0"/>
              <w:rPr>
                <w:rFonts w:eastAsia="Times New Roman"/>
                <w:szCs w:val="24"/>
              </w:rPr>
            </w:pPr>
            <w:r>
              <w:rPr>
                <w:rFonts w:eastAsia="Times New Roman"/>
                <w:szCs w:val="24"/>
                <w:vertAlign w:val="superscript"/>
              </w:rPr>
              <w:t>1</w:t>
            </w:r>
            <w:r>
              <w:rPr>
                <w:rFonts w:eastAsia="Times New Roman"/>
                <w:szCs w:val="24"/>
              </w:rPr>
              <w:t>PSE Response to Kroger DR No. 05.</w:t>
            </w:r>
          </w:p>
          <w:p w14:paraId="04839E51" w14:textId="77777777" w:rsidR="00E1036D" w:rsidRDefault="00E1036D" w:rsidP="00E1036D">
            <w:pPr>
              <w:spacing w:after="0"/>
              <w:rPr>
                <w:rFonts w:eastAsia="Times New Roman"/>
                <w:szCs w:val="24"/>
              </w:rPr>
            </w:pPr>
            <w:r>
              <w:rPr>
                <w:rFonts w:eastAsia="Times New Roman"/>
                <w:szCs w:val="24"/>
                <w:vertAlign w:val="superscript"/>
              </w:rPr>
              <w:t>2</w:t>
            </w:r>
            <w:r>
              <w:rPr>
                <w:rFonts w:eastAsia="Times New Roman"/>
                <w:szCs w:val="24"/>
              </w:rPr>
              <w:t>Supplemental Testimony of Jason L. Ball, Staff COS Workpaper, August 7, 2017.</w:t>
            </w:r>
          </w:p>
          <w:p w14:paraId="04839E52" w14:textId="77777777" w:rsidR="00E1036D" w:rsidRDefault="00E1036D" w:rsidP="00E1036D">
            <w:pPr>
              <w:spacing w:after="0"/>
              <w:ind w:right="441"/>
              <w:jc w:val="right"/>
              <w:rPr>
                <w:rFonts w:eastAsia="Times New Roman"/>
                <w:szCs w:val="24"/>
              </w:rPr>
            </w:pPr>
          </w:p>
        </w:tc>
      </w:tr>
    </w:tbl>
    <w:p w14:paraId="04839E54" w14:textId="77777777" w:rsidR="00E1036D" w:rsidRDefault="00E1036D" w:rsidP="00E1036D">
      <w:pPr>
        <w:spacing w:before="240" w:after="0" w:line="480" w:lineRule="auto"/>
        <w:ind w:left="720" w:firstLine="720"/>
        <w:jc w:val="both"/>
        <w:rPr>
          <w:rFonts w:eastAsia="Times New Roman"/>
          <w:szCs w:val="24"/>
        </w:rPr>
      </w:pPr>
      <w:r>
        <w:rPr>
          <w:rFonts w:eastAsia="Times New Roman"/>
          <w:szCs w:val="24"/>
        </w:rPr>
        <w:t>As shown above, when using a proper cost of service study that better reflects cost causation as recommended in my Response Testimony, the current Special Contract class margin revenues are more than sufficient in recovering the class’s allocated cost of service, and are actually deserving of a small decrease of 0.29%.</w:t>
      </w:r>
      <w:r>
        <w:rPr>
          <w:rStyle w:val="FootnoteReference"/>
          <w:rFonts w:eastAsia="Times New Roman"/>
          <w:szCs w:val="24"/>
        </w:rPr>
        <w:footnoteReference w:id="1"/>
      </w:r>
      <w:r>
        <w:rPr>
          <w:rFonts w:eastAsia="Times New Roman"/>
          <w:szCs w:val="24"/>
        </w:rPr>
        <w:t xml:space="preserve">  By allocating capacity costs to classes based on the Coincident Demand method using Design Day Demand, the Special Contract class’s current revenues are in alignment with the Company’s cost of service.</w:t>
      </w:r>
    </w:p>
    <w:p w14:paraId="04839E55" w14:textId="77777777" w:rsidR="00E1036D" w:rsidRDefault="00E1036D" w:rsidP="00E1036D">
      <w:pPr>
        <w:spacing w:after="0" w:line="480" w:lineRule="auto"/>
        <w:ind w:left="720" w:firstLine="720"/>
        <w:jc w:val="both"/>
      </w:pPr>
      <w:r>
        <w:rPr>
          <w:rFonts w:eastAsia="Times New Roman"/>
          <w:szCs w:val="24"/>
        </w:rPr>
        <w:lastRenderedPageBreak/>
        <w:t xml:space="preserve">Even under Staff and PSE’s cost of service studies, the table above demonstrates compliance with the standard in </w:t>
      </w:r>
      <w:r>
        <w:t xml:space="preserve">WAC 480-180-143(5)(C), which provides that the Special Contracts must “[d]emonstrate, at a minimum, that the contract charges recover all costs resulting from providing the service during its term, and, in addition, provide a contribution to the gas, electric, or water company’s fixed costs.”  </w:t>
      </w:r>
    </w:p>
    <w:p w14:paraId="04839E56" w14:textId="77777777" w:rsidR="00E1036D" w:rsidRDefault="00E1036D" w:rsidP="00E1036D">
      <w:pPr>
        <w:spacing w:after="0" w:line="480" w:lineRule="auto"/>
        <w:ind w:left="720" w:firstLine="720"/>
        <w:jc w:val="both"/>
        <w:rPr>
          <w:rFonts w:eastAsia="Times New Roman"/>
          <w:szCs w:val="24"/>
        </w:rPr>
      </w:pPr>
      <w:r>
        <w:rPr>
          <w:rFonts w:eastAsia="Times New Roman"/>
          <w:szCs w:val="24"/>
        </w:rPr>
        <w:t>Staff ignores this standard for Special Contracts and proposes to have PSE shareholders absorb the difference between the Special Contract class revenue and cost of service, or in the alternative, subjects the Special Contract class to an unjustified 58.83% increase in current margin revenues (which is more than 20 times Staff’s proposed system margin revenue increase of 2.57%).  Staff’s proposal ignores concepts of rate shock and gradualism and should be rejected.</w:t>
      </w:r>
    </w:p>
    <w:p w14:paraId="04839E57" w14:textId="77777777" w:rsidR="00E1036D" w:rsidRDefault="00E1036D" w:rsidP="00E1036D">
      <w:pPr>
        <w:ind w:left="720" w:hanging="720"/>
        <w:jc w:val="both"/>
        <w:rPr>
          <w:rFonts w:eastAsia="Times New Roman"/>
          <w:b/>
          <w:szCs w:val="24"/>
        </w:rPr>
      </w:pPr>
      <w:r>
        <w:rPr>
          <w:rFonts w:eastAsia="Times New Roman"/>
          <w:b/>
          <w:szCs w:val="24"/>
        </w:rPr>
        <w:t>Q.</w:t>
      </w:r>
      <w:r>
        <w:rPr>
          <w:rFonts w:eastAsia="Times New Roman"/>
          <w:b/>
          <w:szCs w:val="24"/>
        </w:rPr>
        <w:tab/>
      </w:r>
      <w:r>
        <w:rPr>
          <w:b/>
        </w:rPr>
        <w:t xml:space="preserve">WHAT COST OF SERVICE METHODOLOGY HAS STAFF USED TO MEASURE THE SPECIAL CONTRACT CLASS COST OF SERVICE? </w:t>
      </w:r>
    </w:p>
    <w:p w14:paraId="04839E58" w14:textId="77777777" w:rsidR="00E1036D" w:rsidRDefault="00E1036D" w:rsidP="00E1036D">
      <w:pPr>
        <w:spacing w:after="0" w:line="480" w:lineRule="auto"/>
        <w:ind w:left="720" w:hanging="720"/>
        <w:jc w:val="both"/>
        <w:rPr>
          <w:bCs/>
        </w:rPr>
      </w:pPr>
      <w:r>
        <w:rPr>
          <w:b/>
        </w:rPr>
        <w:t>A.</w:t>
      </w:r>
      <w:r>
        <w:tab/>
        <w:t xml:space="preserve">Like the Company, Staff uses the Peak and Average (“P&amp;A”) methodology.  However, instead of using classes’ coincident design day demand for the peak component of the P&amp;A allocator as proposed by the Company, Staff </w:t>
      </w:r>
      <w:r>
        <w:rPr>
          <w:rFonts w:eastAsia="Times New Roman"/>
          <w:szCs w:val="24"/>
        </w:rPr>
        <w:t xml:space="preserve">proposes to allocate capacity cost using the average class use in the highest five-day period for each of the last three years for the peak component of the P&amp;A methodology.  </w:t>
      </w:r>
    </w:p>
    <w:p w14:paraId="04839E59" w14:textId="77777777" w:rsidR="00E1036D" w:rsidRDefault="00E1036D" w:rsidP="00E1036D">
      <w:pPr>
        <w:keepNext/>
        <w:keepLines/>
        <w:ind w:left="720" w:hanging="720"/>
        <w:jc w:val="both"/>
        <w:rPr>
          <w:b/>
        </w:rPr>
      </w:pPr>
      <w:r>
        <w:rPr>
          <w:b/>
        </w:rPr>
        <w:t>Q.</w:t>
      </w:r>
      <w:r>
        <w:rPr>
          <w:b/>
        </w:rPr>
        <w:tab/>
        <w:t xml:space="preserve">DO YOU AGREE WITH STAFF’S METHODOLOGY FOR MEASURING THE SPECIAL CONTRACT CLASS COST OF SERVICE? </w:t>
      </w:r>
    </w:p>
    <w:p w14:paraId="04839E5A" w14:textId="77777777" w:rsidR="00E1036D" w:rsidRDefault="00E1036D" w:rsidP="00E1036D">
      <w:pPr>
        <w:spacing w:after="0" w:line="480" w:lineRule="auto"/>
        <w:ind w:left="720" w:hanging="720"/>
        <w:jc w:val="both"/>
        <w:rPr>
          <w:bCs/>
        </w:rPr>
      </w:pPr>
      <w:r>
        <w:rPr>
          <w:b/>
        </w:rPr>
        <w:t>A.</w:t>
      </w:r>
      <w:r>
        <w:tab/>
        <w:t>No, I do not.  For the same reasons provided in my Cross-Answering Testimony, I do not agree with his methodology for measu</w:t>
      </w:r>
      <w:r w:rsidR="00933AD5">
        <w:t xml:space="preserve">ring cost of service.  Staff’s </w:t>
      </w:r>
      <w:r>
        <w:t xml:space="preserve">methodology does not best reflect cost causation on the Company’s system and should not be used to allocate costs to classes.  Staff </w:t>
      </w:r>
      <w:r>
        <w:rPr>
          <w:bCs/>
        </w:rPr>
        <w:t xml:space="preserve">has taken the Company’s P&amp;A study, which does not best reflect cost causation, and made it even worse with respect to allocating costs to </w:t>
      </w:r>
      <w:r>
        <w:rPr>
          <w:bCs/>
        </w:rPr>
        <w:lastRenderedPageBreak/>
        <w:t>classes based on cost causation.  As a result, Staff’s modification to the Company’s Peak &amp; Average study makes it even less reflective of cost causation and should be rejected.</w:t>
      </w:r>
    </w:p>
    <w:p w14:paraId="04839E5B" w14:textId="77777777" w:rsidR="00E1036D" w:rsidRDefault="00E1036D" w:rsidP="00A718B4">
      <w:pPr>
        <w:keepNext/>
        <w:autoSpaceDE w:val="0"/>
        <w:autoSpaceDN w:val="0"/>
        <w:adjustRightInd w:val="0"/>
        <w:ind w:left="720" w:hanging="720"/>
        <w:jc w:val="both"/>
        <w:rPr>
          <w:rFonts w:eastAsia="Times New Roman"/>
          <w:b/>
          <w:szCs w:val="24"/>
        </w:rPr>
      </w:pPr>
      <w:r>
        <w:rPr>
          <w:rFonts w:eastAsia="Times New Roman"/>
          <w:b/>
          <w:szCs w:val="24"/>
        </w:rPr>
        <w:t>Q.</w:t>
      </w:r>
      <w:r>
        <w:rPr>
          <w:rFonts w:eastAsia="Times New Roman"/>
          <w:b/>
          <w:szCs w:val="24"/>
        </w:rPr>
        <w:tab/>
        <w:t>UNDER YOUR PROPOSED COST OF SERVICE STUDY, ARE SPECIAL CONTRACT CUSTOMER RATES ALIGNED WITH PSE’S COST OF SERVICE?</w:t>
      </w:r>
    </w:p>
    <w:p w14:paraId="04839E5C" w14:textId="77777777" w:rsidR="00E1036D" w:rsidRDefault="00E1036D" w:rsidP="00E1036D">
      <w:pPr>
        <w:spacing w:after="0" w:line="480" w:lineRule="auto"/>
        <w:ind w:left="720" w:hanging="720"/>
        <w:jc w:val="both"/>
        <w:rPr>
          <w:rFonts w:eastAsia="Times New Roman"/>
          <w:szCs w:val="24"/>
        </w:rPr>
      </w:pPr>
      <w:r>
        <w:rPr>
          <w:rFonts w:eastAsia="Times New Roman"/>
          <w:b/>
          <w:szCs w:val="24"/>
        </w:rPr>
        <w:t>A.</w:t>
      </w:r>
      <w:r>
        <w:rPr>
          <w:rFonts w:eastAsia="Times New Roman"/>
          <w:b/>
          <w:szCs w:val="24"/>
        </w:rPr>
        <w:tab/>
      </w:r>
      <w:r>
        <w:t xml:space="preserve">Yes, </w:t>
      </w:r>
      <w:r>
        <w:rPr>
          <w:rFonts w:eastAsia="Times New Roman"/>
          <w:szCs w:val="24"/>
        </w:rPr>
        <w:t>Special Contract rates</w:t>
      </w:r>
      <w:r>
        <w:t xml:space="preserve"> are aligned with PSE cost of service using appropriate cost</w:t>
      </w:r>
      <w:r>
        <w:noBreakHyphen/>
        <w:t>causation factors for allocating the costs of mains in my study. </w:t>
      </w:r>
      <w:r w:rsidR="00933AD5">
        <w:t xml:space="preserve"> </w:t>
      </w:r>
      <w:r>
        <w:t xml:space="preserve">As shown in my </w:t>
      </w:r>
      <w:r>
        <w:rPr>
          <w:rFonts w:eastAsia="Times New Roman"/>
          <w:szCs w:val="24"/>
        </w:rPr>
        <w:t xml:space="preserve">Response Testimony, the current Special Contract class margin revenues are more than sufficient in recovering the class’s allocated cost of service, and are actually deserving of a small decrease of 0.29%, as shown on page 1 of Exhibit No. BCC-3 filed with my Response Testimony. </w:t>
      </w:r>
      <w:r>
        <w:t xml:space="preserve"> Special Contract customers may leave the system if the cost of delivery capacity at PSE is not competitive with the cost of dedicated delivery capacity associated with bypassing the system.  By keeping Special Contract customers on the system, they provide a contribution to fixed costs that is to the benefit of all other customers. </w:t>
      </w:r>
    </w:p>
    <w:p w14:paraId="04839E5D" w14:textId="77777777" w:rsidR="00E1036D" w:rsidRDefault="00E1036D" w:rsidP="00E1036D">
      <w:pPr>
        <w:ind w:left="720" w:hanging="720"/>
        <w:jc w:val="both"/>
        <w:rPr>
          <w:rFonts w:eastAsia="Times New Roman"/>
          <w:b/>
          <w:szCs w:val="24"/>
        </w:rPr>
      </w:pPr>
      <w:r>
        <w:rPr>
          <w:rFonts w:eastAsia="Times New Roman"/>
          <w:b/>
          <w:szCs w:val="24"/>
        </w:rPr>
        <w:t>Q.</w:t>
      </w:r>
      <w:r>
        <w:rPr>
          <w:rFonts w:eastAsia="Times New Roman"/>
          <w:b/>
          <w:szCs w:val="24"/>
        </w:rPr>
        <w:tab/>
        <w:t>DOES YOUR COST OF SERVICE STUDY SHOW THAT THE SPECIAL CONTRACT CUSTOMERS</w:t>
      </w:r>
      <w:r w:rsidR="006772F4">
        <w:rPr>
          <w:rFonts w:eastAsia="Times New Roman"/>
          <w:b/>
          <w:szCs w:val="24"/>
        </w:rPr>
        <w:t>’</w:t>
      </w:r>
      <w:r>
        <w:rPr>
          <w:rFonts w:eastAsia="Times New Roman"/>
          <w:b/>
          <w:szCs w:val="24"/>
        </w:rPr>
        <w:t xml:space="preserve"> PRICING I</w:t>
      </w:r>
      <w:r w:rsidR="00684E89">
        <w:rPr>
          <w:rFonts w:eastAsia="Times New Roman"/>
          <w:b/>
          <w:szCs w:val="24"/>
        </w:rPr>
        <w:t xml:space="preserve">S FAIR AND REASONABLE TO ALL </w:t>
      </w:r>
      <w:r>
        <w:rPr>
          <w:rFonts w:eastAsia="Times New Roman"/>
          <w:b/>
          <w:szCs w:val="24"/>
        </w:rPr>
        <w:t>PSE CUSTOMERS?</w:t>
      </w:r>
    </w:p>
    <w:p w14:paraId="04839E5E" w14:textId="77777777" w:rsidR="00E1036D" w:rsidRDefault="00E1036D" w:rsidP="00E1036D">
      <w:pPr>
        <w:spacing w:after="0" w:line="480" w:lineRule="auto"/>
        <w:ind w:left="720" w:hanging="720"/>
        <w:jc w:val="both"/>
      </w:pPr>
      <w:r>
        <w:rPr>
          <w:rFonts w:eastAsia="Times New Roman"/>
          <w:b/>
          <w:szCs w:val="24"/>
        </w:rPr>
        <w:t>A</w:t>
      </w:r>
      <w:r w:rsidR="0072603E">
        <w:rPr>
          <w:rFonts w:eastAsia="Times New Roman"/>
          <w:b/>
          <w:szCs w:val="24"/>
        </w:rPr>
        <w:t>.</w:t>
      </w:r>
      <w:r>
        <w:rPr>
          <w:rFonts w:eastAsia="Times New Roman"/>
          <w:b/>
          <w:szCs w:val="24"/>
        </w:rPr>
        <w:tab/>
      </w:r>
      <w:r>
        <w:rPr>
          <w:rFonts w:eastAsia="Times New Roman"/>
          <w:szCs w:val="24"/>
        </w:rPr>
        <w:t xml:space="preserve">Yes.  My cost of service study shows that the Special Contract prices are just and reasonable and benefit all PSE customers.  But this is also true under the cost of service studies presented by PSE and Staff.  </w:t>
      </w:r>
    </w:p>
    <w:p w14:paraId="04839E5F" w14:textId="77777777" w:rsidR="00E1036D" w:rsidRDefault="00E1036D" w:rsidP="00A718B4">
      <w:pPr>
        <w:spacing w:after="0" w:line="480" w:lineRule="auto"/>
        <w:ind w:left="720" w:firstLine="720"/>
        <w:jc w:val="both"/>
      </w:pPr>
      <w:r>
        <w:lastRenderedPageBreak/>
        <w:t xml:space="preserve">The cost to bypass PSE’s gas delivery system is based on a large customer’s cost to directly connect to an interstate pipeline.  The bypass cost would be based on the cost to install a main sized to carry the customer’s design day demand with adequate length to connect to the interstate pipeline.  My corrections to PSE’s cost of service study allocate main capacity costs to customers based on PSE’s capacity cost needed to serve the </w:t>
      </w:r>
      <w:r>
        <w:rPr>
          <w:rFonts w:eastAsia="Times New Roman"/>
          <w:szCs w:val="24"/>
        </w:rPr>
        <w:t>Special Contract</w:t>
      </w:r>
      <w:r>
        <w:t xml:space="preserve"> customers’ design day demands.  My corrections to PSE’s cost study show that, without subsidies, PSE delivery system costs are competitive with large customers’ costs to bypass its delivery system.  Therefore, the </w:t>
      </w:r>
      <w:r>
        <w:rPr>
          <w:rFonts w:eastAsia="Times New Roman"/>
          <w:szCs w:val="24"/>
        </w:rPr>
        <w:t>Special Contract</w:t>
      </w:r>
      <w:r>
        <w:t xml:space="preserve"> pricing supports PSE’s ability to compete with bypass alternatives, retain </w:t>
      </w:r>
      <w:r>
        <w:rPr>
          <w:rFonts w:eastAsia="Times New Roman"/>
          <w:szCs w:val="24"/>
        </w:rPr>
        <w:t>Special Contract</w:t>
      </w:r>
      <w:r>
        <w:t xml:space="preserve"> customers on its delivery system, and benefit non-Special Contract customers by recovering a significant amount of fixed costs from </w:t>
      </w:r>
      <w:r>
        <w:rPr>
          <w:rFonts w:eastAsia="Times New Roman"/>
          <w:szCs w:val="24"/>
        </w:rPr>
        <w:t>Special Contract</w:t>
      </w:r>
      <w:r>
        <w:t xml:space="preserve"> customers.  The </w:t>
      </w:r>
      <w:r>
        <w:rPr>
          <w:rFonts w:eastAsia="Times New Roman"/>
          <w:szCs w:val="24"/>
        </w:rPr>
        <w:t>Special Contract</w:t>
      </w:r>
      <w:r>
        <w:t xml:space="preserve"> prices are fair and reasonable and benefit all customers of PSE.</w:t>
      </w:r>
    </w:p>
    <w:p w14:paraId="04839E60" w14:textId="77777777" w:rsidR="00E1036D" w:rsidRDefault="00E1036D" w:rsidP="00185107">
      <w:pPr>
        <w:autoSpaceDE w:val="0"/>
        <w:autoSpaceDN w:val="0"/>
        <w:adjustRightInd w:val="0"/>
        <w:ind w:left="720" w:hanging="720"/>
        <w:jc w:val="both"/>
        <w:rPr>
          <w:rFonts w:eastAsia="Times New Roman"/>
          <w:b/>
          <w:szCs w:val="24"/>
        </w:rPr>
      </w:pPr>
      <w:r>
        <w:rPr>
          <w:rFonts w:eastAsia="Times New Roman"/>
          <w:b/>
          <w:szCs w:val="24"/>
        </w:rPr>
        <w:t>Q.</w:t>
      </w:r>
      <w:r>
        <w:rPr>
          <w:rFonts w:eastAsia="Times New Roman"/>
          <w:b/>
          <w:szCs w:val="24"/>
        </w:rPr>
        <w:tab/>
        <w:t>WHAT IS YOUR RECOMMENDATION?</w:t>
      </w:r>
    </w:p>
    <w:p w14:paraId="04839E61" w14:textId="77777777" w:rsidR="00E1036D" w:rsidRDefault="00E1036D" w:rsidP="00185107">
      <w:pPr>
        <w:autoSpaceDE w:val="0"/>
        <w:autoSpaceDN w:val="0"/>
        <w:adjustRightInd w:val="0"/>
        <w:spacing w:line="480" w:lineRule="auto"/>
        <w:ind w:left="720" w:hanging="720"/>
        <w:jc w:val="both"/>
      </w:pPr>
      <w:r>
        <w:rPr>
          <w:rFonts w:eastAsia="Times New Roman"/>
          <w:b/>
          <w:szCs w:val="24"/>
        </w:rPr>
        <w:t>A.</w:t>
      </w:r>
      <w:r>
        <w:rPr>
          <w:rFonts w:eastAsia="Times New Roman"/>
          <w:b/>
          <w:szCs w:val="24"/>
        </w:rPr>
        <w:tab/>
      </w:r>
      <w:r>
        <w:t xml:space="preserve">For the reasons explained above, I recommend that Staff’s proposal to have PSE absorb the imputed revenue to bring the </w:t>
      </w:r>
      <w:r>
        <w:rPr>
          <w:rFonts w:eastAsia="Times New Roman"/>
          <w:szCs w:val="24"/>
        </w:rPr>
        <w:t>Special Contract class</w:t>
      </w:r>
      <w:r>
        <w:t xml:space="preserve"> to full cost of service, or, in the alternative, to increase </w:t>
      </w:r>
      <w:r>
        <w:rPr>
          <w:rFonts w:eastAsia="Times New Roman"/>
          <w:szCs w:val="24"/>
        </w:rPr>
        <w:t xml:space="preserve">Special Contract </w:t>
      </w:r>
      <w:r>
        <w:t>revenues by 58.83% be rejected.  In the event the Commission determines that the rates for the Special Contract class should be increased, the increase should be based on the methodology included in the Special Contracts that provides for increases in the Customer Charge, Firm Demand Charge, and Commodity Charge under certain circumstances.</w:t>
      </w:r>
    </w:p>
    <w:p w14:paraId="04839E62" w14:textId="77777777" w:rsidR="00E1036D" w:rsidRDefault="00E1036D" w:rsidP="00E1036D">
      <w:pPr>
        <w:keepNext/>
        <w:autoSpaceDE w:val="0"/>
        <w:autoSpaceDN w:val="0"/>
        <w:adjustRightInd w:val="0"/>
        <w:ind w:left="720" w:hanging="720"/>
        <w:jc w:val="both"/>
        <w:rPr>
          <w:rFonts w:eastAsia="Times New Roman"/>
          <w:b/>
          <w:szCs w:val="24"/>
        </w:rPr>
      </w:pPr>
      <w:r>
        <w:rPr>
          <w:rFonts w:eastAsia="Times New Roman"/>
          <w:b/>
          <w:szCs w:val="24"/>
        </w:rPr>
        <w:lastRenderedPageBreak/>
        <w:t>Q.</w:t>
      </w:r>
      <w:r>
        <w:rPr>
          <w:rFonts w:eastAsia="Times New Roman"/>
          <w:b/>
          <w:szCs w:val="24"/>
        </w:rPr>
        <w:tab/>
        <w:t>DOES THIS CONCLUDE YOUR SUPPLEMENTAL CROSS-ANSWERING TESTIMONY?</w:t>
      </w:r>
    </w:p>
    <w:p w14:paraId="04839E63" w14:textId="77777777" w:rsidR="00E1036D" w:rsidRDefault="00E1036D" w:rsidP="00E1036D">
      <w:pPr>
        <w:keepNext/>
        <w:tabs>
          <w:tab w:val="left" w:pos="1440"/>
          <w:tab w:val="left" w:pos="5472"/>
        </w:tabs>
        <w:spacing w:after="0" w:line="480" w:lineRule="auto"/>
        <w:ind w:left="720" w:hanging="720"/>
        <w:jc w:val="both"/>
        <w:rPr>
          <w:rFonts w:eastAsia="Times New Roman"/>
          <w:szCs w:val="24"/>
        </w:rPr>
      </w:pPr>
      <w:r>
        <w:rPr>
          <w:rFonts w:eastAsia="Times New Roman"/>
          <w:b/>
          <w:szCs w:val="24"/>
        </w:rPr>
        <w:t>A.</w:t>
      </w:r>
      <w:r>
        <w:rPr>
          <w:rFonts w:eastAsia="Times New Roman"/>
          <w:szCs w:val="24"/>
        </w:rPr>
        <w:tab/>
        <w:t>Yes, it does.</w:t>
      </w:r>
    </w:p>
    <w:p w14:paraId="04839E64" w14:textId="77777777" w:rsidR="00E03FDE" w:rsidRPr="00E1036D" w:rsidRDefault="00E03FDE" w:rsidP="00E1036D">
      <w:pPr>
        <w:suppressLineNumbers/>
        <w:tabs>
          <w:tab w:val="left" w:pos="1440"/>
          <w:tab w:val="left" w:pos="5472"/>
        </w:tabs>
        <w:spacing w:after="0" w:line="480" w:lineRule="auto"/>
        <w:ind w:left="720" w:hanging="720"/>
        <w:jc w:val="both"/>
        <w:rPr>
          <w:rFonts w:eastAsia="Times New Roman" w:cs="Times New Roman"/>
          <w:sz w:val="12"/>
          <w:szCs w:val="12"/>
        </w:rPr>
      </w:pPr>
    </w:p>
    <w:sectPr w:rsidR="00E03FDE" w:rsidRPr="00E1036D" w:rsidSect="00E06DB4">
      <w:footerReference w:type="default" r:id="rId12"/>
      <w:pgSz w:w="12240" w:h="15840" w:code="1"/>
      <w:pgMar w:top="1440" w:right="1440" w:bottom="1440" w:left="1728" w:header="576" w:footer="576" w:gutter="0"/>
      <w:lnNumType w:countBy="1"/>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39E67" w14:textId="77777777" w:rsidR="004B1BD6" w:rsidRDefault="004B1BD6">
      <w:pPr>
        <w:spacing w:after="0"/>
      </w:pPr>
      <w:r>
        <w:separator/>
      </w:r>
    </w:p>
  </w:endnote>
  <w:endnote w:type="continuationSeparator" w:id="0">
    <w:p w14:paraId="04839E68" w14:textId="77777777" w:rsidR="004B1BD6" w:rsidRDefault="004B1B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39E6C" w14:textId="77777777" w:rsidR="005E1E01" w:rsidRDefault="005E1E01" w:rsidP="00230EA8">
    <w:pPr>
      <w:pStyle w:val="Footer"/>
      <w:tabs>
        <w:tab w:val="clear" w:pos="9360"/>
        <w:tab w:val="right" w:pos="9090"/>
      </w:tabs>
    </w:pPr>
    <w:r>
      <w:t>Brian C. Collins Supplemental Cross-Answering Testimony</w:t>
    </w:r>
    <w:r>
      <w:tab/>
      <w:t>Exhibit No. BCC-6T</w:t>
    </w:r>
  </w:p>
  <w:p w14:paraId="04839E6D" w14:textId="77777777" w:rsidR="005E1E01" w:rsidRDefault="005E1E01" w:rsidP="003D5906">
    <w:pPr>
      <w:pStyle w:val="Footer"/>
      <w:tabs>
        <w:tab w:val="clear" w:pos="9360"/>
        <w:tab w:val="right" w:pos="9090"/>
      </w:tabs>
    </w:pPr>
    <w:r>
      <w:rPr>
        <w:rFonts w:eastAsia="Times New Roman" w:cs="Times New Roman"/>
        <w:bCs/>
        <w:szCs w:val="24"/>
      </w:rPr>
      <w:t xml:space="preserve">Dockets UE-170033 and </w:t>
    </w:r>
    <w:r w:rsidRPr="00E73499">
      <w:rPr>
        <w:rFonts w:eastAsia="Times New Roman" w:cs="Times New Roman"/>
        <w:bCs/>
        <w:szCs w:val="24"/>
      </w:rPr>
      <w:t>UG-170034</w:t>
    </w:r>
    <w:r>
      <w:rPr>
        <w:rFonts w:eastAsia="Times New Roman" w:cs="Times New Roman"/>
        <w:smallCaps/>
        <w:szCs w:val="20"/>
      </w:rPr>
      <w:t xml:space="preserve"> (</w:t>
    </w:r>
    <w:r>
      <w:rPr>
        <w:rFonts w:eastAsia="Times New Roman" w:cs="Times New Roman"/>
        <w:szCs w:val="20"/>
      </w:rPr>
      <w:t>Cons.)</w:t>
    </w:r>
    <w:r>
      <w:tab/>
    </w:r>
    <w:r>
      <w:tab/>
      <w:t xml:space="preserve">Page </w:t>
    </w:r>
    <w:r w:rsidR="00406CB8">
      <w:rPr>
        <w:rStyle w:val="PageNumber"/>
      </w:rPr>
      <w:fldChar w:fldCharType="begin"/>
    </w:r>
    <w:r>
      <w:rPr>
        <w:rStyle w:val="PageNumber"/>
      </w:rPr>
      <w:instrText xml:space="preserve"> PAGE </w:instrText>
    </w:r>
    <w:r w:rsidR="00406CB8">
      <w:rPr>
        <w:rStyle w:val="PageNumber"/>
      </w:rPr>
      <w:fldChar w:fldCharType="separate"/>
    </w:r>
    <w:r w:rsidR="00754522">
      <w:rPr>
        <w:rStyle w:val="PageNumber"/>
        <w:noProof/>
      </w:rPr>
      <w:t>1</w:t>
    </w:r>
    <w:r w:rsidR="00406CB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39E65" w14:textId="77777777" w:rsidR="004B1BD6" w:rsidRDefault="004B1BD6">
      <w:pPr>
        <w:spacing w:after="0"/>
      </w:pPr>
      <w:r>
        <w:separator/>
      </w:r>
    </w:p>
  </w:footnote>
  <w:footnote w:type="continuationSeparator" w:id="0">
    <w:p w14:paraId="04839E66" w14:textId="77777777" w:rsidR="004B1BD6" w:rsidRDefault="004B1BD6">
      <w:pPr>
        <w:spacing w:after="0"/>
      </w:pPr>
      <w:r>
        <w:continuationSeparator/>
      </w:r>
    </w:p>
  </w:footnote>
  <w:footnote w:id="1">
    <w:p w14:paraId="04839E6E" w14:textId="77777777" w:rsidR="005E1E01" w:rsidRDefault="005E1E01" w:rsidP="00E1036D">
      <w:pPr>
        <w:pStyle w:val="FootnoteText"/>
      </w:pPr>
      <w:r>
        <w:rPr>
          <w:rStyle w:val="FootnoteReference"/>
        </w:rPr>
        <w:footnoteRef/>
      </w:r>
      <w:r>
        <w:t xml:space="preserve"> Exhibit No. BCC-3,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39E69" w14:textId="77777777" w:rsidR="005E1E01" w:rsidRDefault="005E1E01">
    <w:pPr>
      <w:autoSpaceDE w:val="0"/>
      <w:autoSpaceDN w:val="0"/>
      <w:adjustRightInd w:val="0"/>
      <w:spacing w:after="0"/>
      <w:jc w:val="right"/>
      <w:rPr>
        <w:rFonts w:eastAsia="Times New Roman" w:cs="Times New Roman"/>
        <w:bCs/>
        <w:szCs w:val="24"/>
      </w:rPr>
    </w:pPr>
    <w:r>
      <w:rPr>
        <w:rFonts w:eastAsia="Times New Roman" w:cs="Times New Roman"/>
        <w:bCs/>
        <w:szCs w:val="24"/>
      </w:rPr>
      <w:t>Exhibit No. BCC-6T</w:t>
    </w:r>
  </w:p>
  <w:p w14:paraId="04839E6A" w14:textId="77777777" w:rsidR="005E1E01" w:rsidRDefault="005E1E01">
    <w:pPr>
      <w:spacing w:after="0"/>
      <w:jc w:val="right"/>
      <w:rPr>
        <w:rFonts w:eastAsia="Times New Roman" w:cs="Times New Roman"/>
        <w:szCs w:val="24"/>
      </w:rPr>
    </w:pPr>
    <w:r>
      <w:rPr>
        <w:rFonts w:eastAsia="Times New Roman" w:cs="Times New Roman"/>
        <w:bCs/>
        <w:szCs w:val="24"/>
      </w:rPr>
      <w:t>Dockets UE-170033 and UG-170034 (Cons.)</w:t>
    </w:r>
  </w:p>
  <w:p w14:paraId="04839E6B" w14:textId="77777777" w:rsidR="005E1E01" w:rsidRDefault="005E1E01">
    <w:pPr>
      <w:tabs>
        <w:tab w:val="center" w:pos="4320"/>
        <w:tab w:val="right" w:pos="8640"/>
      </w:tabs>
      <w:spacing w:after="0"/>
      <w:jc w:val="right"/>
      <w:rPr>
        <w:rFonts w:eastAsia="Times New Roman" w:cs="Times New Roman"/>
        <w:sz w:val="22"/>
        <w:szCs w:val="20"/>
      </w:rPr>
    </w:pPr>
    <w:r>
      <w:rPr>
        <w:rFonts w:eastAsia="Times New Roman" w:cs="Times New Roman"/>
        <w:bCs/>
        <w:szCs w:val="24"/>
      </w:rPr>
      <w:t>Witness:  Brian C. Collins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D1D0F"/>
    <w:multiLevelType w:val="hybridMultilevel"/>
    <w:tmpl w:val="E0A23A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A5F4378"/>
    <w:multiLevelType w:val="hybridMultilevel"/>
    <w:tmpl w:val="46C43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B174211"/>
    <w:multiLevelType w:val="hybridMultilevel"/>
    <w:tmpl w:val="6CBA96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9639E7"/>
    <w:multiLevelType w:val="hybridMultilevel"/>
    <w:tmpl w:val="24E85992"/>
    <w:lvl w:ilvl="0" w:tplc="F886B8C0">
      <w:start w:val="1"/>
      <w:numFmt w:val="decimal"/>
      <w:lvlText w:val="%1."/>
      <w:lvlJc w:val="left"/>
      <w:pPr>
        <w:ind w:left="324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A62127C"/>
    <w:multiLevelType w:val="hybridMultilevel"/>
    <w:tmpl w:val="F9DC2ED2"/>
    <w:lvl w:ilvl="0" w:tplc="1F3A391C">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70037B"/>
    <w:multiLevelType w:val="hybridMultilevel"/>
    <w:tmpl w:val="AD8C6B38"/>
    <w:lvl w:ilvl="0" w:tplc="5682312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8D7E86"/>
    <w:multiLevelType w:val="hybridMultilevel"/>
    <w:tmpl w:val="566007D0"/>
    <w:lvl w:ilvl="0" w:tplc="FA5AD44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9F0A61"/>
    <w:multiLevelType w:val="hybridMultilevel"/>
    <w:tmpl w:val="D98EB6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7024F8"/>
    <w:multiLevelType w:val="hybridMultilevel"/>
    <w:tmpl w:val="E12AA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78095B"/>
    <w:multiLevelType w:val="hybridMultilevel"/>
    <w:tmpl w:val="FC32BE70"/>
    <w:lvl w:ilvl="0" w:tplc="10BEC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0B203C"/>
    <w:multiLevelType w:val="hybridMultilevel"/>
    <w:tmpl w:val="B8B2FB28"/>
    <w:lvl w:ilvl="0" w:tplc="1F3A391C">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D9E6052"/>
    <w:multiLevelType w:val="hybridMultilevel"/>
    <w:tmpl w:val="072681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7"/>
  </w:num>
  <w:num w:numId="4">
    <w:abstractNumId w:val="1"/>
  </w:num>
  <w:num w:numId="5">
    <w:abstractNumId w:val="11"/>
  </w:num>
  <w:num w:numId="6">
    <w:abstractNumId w:val="0"/>
  </w:num>
  <w:num w:numId="7">
    <w:abstractNumId w:val="9"/>
  </w:num>
  <w:num w:numId="8">
    <w:abstractNumId w:val="10"/>
  </w:num>
  <w:num w:numId="9">
    <w:abstractNumId w:val="4"/>
  </w:num>
  <w:num w:numId="10">
    <w:abstractNumId w:val="6"/>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DB4"/>
    <w:rsid w:val="000038AF"/>
    <w:rsid w:val="000136B5"/>
    <w:rsid w:val="0001703E"/>
    <w:rsid w:val="0004103B"/>
    <w:rsid w:val="00051621"/>
    <w:rsid w:val="00057082"/>
    <w:rsid w:val="00060F45"/>
    <w:rsid w:val="000A676D"/>
    <w:rsid w:val="000C400A"/>
    <w:rsid w:val="000D33DA"/>
    <w:rsid w:val="000F411A"/>
    <w:rsid w:val="00102CC0"/>
    <w:rsid w:val="00145815"/>
    <w:rsid w:val="00145892"/>
    <w:rsid w:val="001470DC"/>
    <w:rsid w:val="001525E5"/>
    <w:rsid w:val="0016545B"/>
    <w:rsid w:val="001827E3"/>
    <w:rsid w:val="00183211"/>
    <w:rsid w:val="00185107"/>
    <w:rsid w:val="00192E23"/>
    <w:rsid w:val="00195A08"/>
    <w:rsid w:val="001A669C"/>
    <w:rsid w:val="001E1A8B"/>
    <w:rsid w:val="002037E1"/>
    <w:rsid w:val="00213C3F"/>
    <w:rsid w:val="00216A29"/>
    <w:rsid w:val="00230EA8"/>
    <w:rsid w:val="00237385"/>
    <w:rsid w:val="00237884"/>
    <w:rsid w:val="00240DE3"/>
    <w:rsid w:val="00243638"/>
    <w:rsid w:val="00275E37"/>
    <w:rsid w:val="00286696"/>
    <w:rsid w:val="002B0D6A"/>
    <w:rsid w:val="002D1537"/>
    <w:rsid w:val="003102B3"/>
    <w:rsid w:val="003109C2"/>
    <w:rsid w:val="00310EB1"/>
    <w:rsid w:val="00324A59"/>
    <w:rsid w:val="00326A56"/>
    <w:rsid w:val="003720BF"/>
    <w:rsid w:val="00390CB1"/>
    <w:rsid w:val="00390F42"/>
    <w:rsid w:val="003B2EAA"/>
    <w:rsid w:val="003C1049"/>
    <w:rsid w:val="003C49AC"/>
    <w:rsid w:val="003D5906"/>
    <w:rsid w:val="003E061A"/>
    <w:rsid w:val="003E6D9F"/>
    <w:rsid w:val="003F5DAD"/>
    <w:rsid w:val="00406CB8"/>
    <w:rsid w:val="004125D6"/>
    <w:rsid w:val="0043216D"/>
    <w:rsid w:val="00451BEE"/>
    <w:rsid w:val="004525A7"/>
    <w:rsid w:val="004552F9"/>
    <w:rsid w:val="004612E2"/>
    <w:rsid w:val="0046325E"/>
    <w:rsid w:val="00465519"/>
    <w:rsid w:val="00470157"/>
    <w:rsid w:val="00472341"/>
    <w:rsid w:val="00477D8C"/>
    <w:rsid w:val="004846F3"/>
    <w:rsid w:val="0049630B"/>
    <w:rsid w:val="004A6B23"/>
    <w:rsid w:val="004A71C6"/>
    <w:rsid w:val="004B1BD6"/>
    <w:rsid w:val="004C6533"/>
    <w:rsid w:val="004D4A65"/>
    <w:rsid w:val="004D6CFB"/>
    <w:rsid w:val="004E2B13"/>
    <w:rsid w:val="004E4563"/>
    <w:rsid w:val="004F18BE"/>
    <w:rsid w:val="004F29EC"/>
    <w:rsid w:val="00504466"/>
    <w:rsid w:val="00520491"/>
    <w:rsid w:val="005351AF"/>
    <w:rsid w:val="0053642F"/>
    <w:rsid w:val="00546008"/>
    <w:rsid w:val="00556D51"/>
    <w:rsid w:val="00566EA1"/>
    <w:rsid w:val="0057668D"/>
    <w:rsid w:val="00582657"/>
    <w:rsid w:val="005A7BC8"/>
    <w:rsid w:val="005E1E01"/>
    <w:rsid w:val="005E3588"/>
    <w:rsid w:val="005F4A12"/>
    <w:rsid w:val="0062104E"/>
    <w:rsid w:val="00630D55"/>
    <w:rsid w:val="006772F4"/>
    <w:rsid w:val="00684E89"/>
    <w:rsid w:val="006A0D17"/>
    <w:rsid w:val="006A31C6"/>
    <w:rsid w:val="006A5834"/>
    <w:rsid w:val="006C6170"/>
    <w:rsid w:val="006D2814"/>
    <w:rsid w:val="006E648F"/>
    <w:rsid w:val="0070280E"/>
    <w:rsid w:val="007126E6"/>
    <w:rsid w:val="0072603E"/>
    <w:rsid w:val="00733452"/>
    <w:rsid w:val="007357A4"/>
    <w:rsid w:val="007526FE"/>
    <w:rsid w:val="00754522"/>
    <w:rsid w:val="00771D2F"/>
    <w:rsid w:val="00774B2B"/>
    <w:rsid w:val="00776F98"/>
    <w:rsid w:val="007D71D8"/>
    <w:rsid w:val="0080233D"/>
    <w:rsid w:val="00817802"/>
    <w:rsid w:val="0083080D"/>
    <w:rsid w:val="00861C88"/>
    <w:rsid w:val="00861E9A"/>
    <w:rsid w:val="0087336A"/>
    <w:rsid w:val="0088184E"/>
    <w:rsid w:val="0089283B"/>
    <w:rsid w:val="008A6AAA"/>
    <w:rsid w:val="008B3882"/>
    <w:rsid w:val="008C4EFC"/>
    <w:rsid w:val="008E3507"/>
    <w:rsid w:val="008E6F4D"/>
    <w:rsid w:val="00905BEA"/>
    <w:rsid w:val="00913D30"/>
    <w:rsid w:val="00925840"/>
    <w:rsid w:val="00933AD5"/>
    <w:rsid w:val="00952C30"/>
    <w:rsid w:val="009731AA"/>
    <w:rsid w:val="009862C6"/>
    <w:rsid w:val="00987C1D"/>
    <w:rsid w:val="009A651D"/>
    <w:rsid w:val="009C499B"/>
    <w:rsid w:val="009D4682"/>
    <w:rsid w:val="009E153C"/>
    <w:rsid w:val="009F710A"/>
    <w:rsid w:val="00A04451"/>
    <w:rsid w:val="00A23BCC"/>
    <w:rsid w:val="00A40959"/>
    <w:rsid w:val="00A453EC"/>
    <w:rsid w:val="00A55484"/>
    <w:rsid w:val="00A57836"/>
    <w:rsid w:val="00A718B4"/>
    <w:rsid w:val="00A724DB"/>
    <w:rsid w:val="00A83A4B"/>
    <w:rsid w:val="00A8569C"/>
    <w:rsid w:val="00A92667"/>
    <w:rsid w:val="00A965F0"/>
    <w:rsid w:val="00AA123B"/>
    <w:rsid w:val="00AE0B1B"/>
    <w:rsid w:val="00AE0D9F"/>
    <w:rsid w:val="00B14363"/>
    <w:rsid w:val="00B24B55"/>
    <w:rsid w:val="00B25684"/>
    <w:rsid w:val="00B26741"/>
    <w:rsid w:val="00B34D19"/>
    <w:rsid w:val="00B66548"/>
    <w:rsid w:val="00B66D9D"/>
    <w:rsid w:val="00B849B6"/>
    <w:rsid w:val="00B95BF5"/>
    <w:rsid w:val="00BA5BBE"/>
    <w:rsid w:val="00BB23B2"/>
    <w:rsid w:val="00BB3F15"/>
    <w:rsid w:val="00BC6829"/>
    <w:rsid w:val="00BD47C0"/>
    <w:rsid w:val="00BD5983"/>
    <w:rsid w:val="00C0624C"/>
    <w:rsid w:val="00C10B01"/>
    <w:rsid w:val="00C32704"/>
    <w:rsid w:val="00C33352"/>
    <w:rsid w:val="00C61D8A"/>
    <w:rsid w:val="00C633E5"/>
    <w:rsid w:val="00C6712A"/>
    <w:rsid w:val="00C91738"/>
    <w:rsid w:val="00C9237B"/>
    <w:rsid w:val="00CA22EF"/>
    <w:rsid w:val="00CB5EFA"/>
    <w:rsid w:val="00CC0F88"/>
    <w:rsid w:val="00CE66CF"/>
    <w:rsid w:val="00CF6B85"/>
    <w:rsid w:val="00CF6E6D"/>
    <w:rsid w:val="00D11596"/>
    <w:rsid w:val="00D26897"/>
    <w:rsid w:val="00D54EED"/>
    <w:rsid w:val="00D736F3"/>
    <w:rsid w:val="00D75114"/>
    <w:rsid w:val="00DA370C"/>
    <w:rsid w:val="00DA3CBF"/>
    <w:rsid w:val="00DC5B22"/>
    <w:rsid w:val="00DE4DA7"/>
    <w:rsid w:val="00DE7A6E"/>
    <w:rsid w:val="00E02206"/>
    <w:rsid w:val="00E03FDE"/>
    <w:rsid w:val="00E06DB4"/>
    <w:rsid w:val="00E1036D"/>
    <w:rsid w:val="00E31A76"/>
    <w:rsid w:val="00E60506"/>
    <w:rsid w:val="00E72E4B"/>
    <w:rsid w:val="00E73499"/>
    <w:rsid w:val="00E835C0"/>
    <w:rsid w:val="00EA2DE5"/>
    <w:rsid w:val="00EB7103"/>
    <w:rsid w:val="00EC7C0E"/>
    <w:rsid w:val="00ED70B5"/>
    <w:rsid w:val="00EF5A62"/>
    <w:rsid w:val="00F02F5D"/>
    <w:rsid w:val="00F07ED6"/>
    <w:rsid w:val="00F17788"/>
    <w:rsid w:val="00F368C8"/>
    <w:rsid w:val="00F37FAF"/>
    <w:rsid w:val="00F40E5E"/>
    <w:rsid w:val="00F45F9D"/>
    <w:rsid w:val="00F51DC4"/>
    <w:rsid w:val="00F93350"/>
    <w:rsid w:val="00F96E9D"/>
    <w:rsid w:val="00FD4F5F"/>
    <w:rsid w:val="00FE05A2"/>
    <w:rsid w:val="00FF7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39DC8"/>
  <w15:docId w15:val="{FBC6AB1A-4B56-48C7-9B95-0507E7A3A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DB4"/>
    <w:pPr>
      <w:spacing w:after="240" w:line="240" w:lineRule="auto"/>
    </w:pPr>
    <w:rPr>
      <w:rFonts w:ascii="Times New Roman" w:hAnsi="Times New Roman"/>
      <w:sz w:val="24"/>
    </w:rPr>
  </w:style>
  <w:style w:type="paragraph" w:styleId="Heading1">
    <w:name w:val="heading 1"/>
    <w:basedOn w:val="Normal"/>
    <w:next w:val="Normal"/>
    <w:link w:val="Heading1Char"/>
    <w:qFormat/>
    <w:rsid w:val="00A965F0"/>
    <w:pPr>
      <w:keepNext/>
      <w:keepLines/>
      <w:spacing w:before="240" w:after="0" w:line="480" w:lineRule="auto"/>
      <w:outlineLvl w:val="0"/>
    </w:pPr>
    <w:rPr>
      <w:rFonts w:eastAsia="Times New Roman" w:cs="Times New Roman"/>
      <w:b/>
      <w:bCs/>
      <w:color w:val="000000" w:themeColor="text1"/>
      <w:szCs w:val="24"/>
      <w:u w:val="single"/>
    </w:rPr>
  </w:style>
  <w:style w:type="paragraph" w:styleId="Heading2">
    <w:name w:val="heading 2"/>
    <w:basedOn w:val="Normal"/>
    <w:next w:val="Normal"/>
    <w:link w:val="Heading2Char"/>
    <w:qFormat/>
    <w:rsid w:val="00E06DB4"/>
    <w:pPr>
      <w:keepNext/>
      <w:spacing w:after="0"/>
      <w:jc w:val="center"/>
      <w:outlineLvl w:val="1"/>
    </w:pPr>
    <w:rPr>
      <w:rFonts w:eastAsia="Times New Roman" w:cs="Times New Roman"/>
      <w:b/>
      <w:bCs/>
      <w:szCs w:val="24"/>
    </w:rPr>
  </w:style>
  <w:style w:type="paragraph" w:styleId="Heading3">
    <w:name w:val="heading 3"/>
    <w:basedOn w:val="Normal"/>
    <w:next w:val="Normal"/>
    <w:link w:val="Heading3Char"/>
    <w:qFormat/>
    <w:rsid w:val="00E06DB4"/>
    <w:pPr>
      <w:keepNext/>
      <w:spacing w:before="240" w:after="60"/>
      <w:outlineLvl w:val="2"/>
    </w:pPr>
    <w:rPr>
      <w:rFonts w:eastAsia="Times New Roman" w:cs="Arial"/>
      <w:b/>
      <w:bCs/>
      <w:sz w:val="26"/>
      <w:szCs w:val="26"/>
    </w:rPr>
  </w:style>
  <w:style w:type="paragraph" w:styleId="Heading4">
    <w:name w:val="heading 4"/>
    <w:basedOn w:val="Normal"/>
    <w:next w:val="Normal"/>
    <w:link w:val="Heading4Char"/>
    <w:uiPriority w:val="9"/>
    <w:unhideWhenUsed/>
    <w:qFormat/>
    <w:rsid w:val="00E06DB4"/>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E06DB4"/>
    <w:pPr>
      <w:keepNext/>
      <w:tabs>
        <w:tab w:val="left" w:pos="720"/>
      </w:tabs>
      <w:spacing w:after="0" w:line="480" w:lineRule="exact"/>
      <w:ind w:left="720" w:hanging="720"/>
      <w:jc w:val="both"/>
      <w:outlineLvl w:val="4"/>
    </w:pPr>
    <w:rPr>
      <w:rFonts w:eastAsia="Times New Roman" w:cs="Times New Roman"/>
      <w:b/>
      <w:bCs/>
      <w:szCs w:val="24"/>
    </w:rPr>
  </w:style>
  <w:style w:type="paragraph" w:styleId="Heading6">
    <w:name w:val="heading 6"/>
    <w:basedOn w:val="Normal"/>
    <w:next w:val="Normal"/>
    <w:link w:val="Heading6Char"/>
    <w:qFormat/>
    <w:rsid w:val="00E06DB4"/>
    <w:pPr>
      <w:keepNext/>
      <w:keepLines/>
      <w:tabs>
        <w:tab w:val="left" w:pos="728"/>
      </w:tabs>
      <w:spacing w:after="0"/>
      <w:ind w:left="720" w:hanging="720"/>
      <w:jc w:val="center"/>
      <w:outlineLvl w:val="5"/>
    </w:pPr>
    <w:rPr>
      <w:rFonts w:eastAsia="Times New Roman" w:cs="Arial"/>
      <w:b/>
      <w:bCs/>
      <w:szCs w:val="24"/>
    </w:rPr>
  </w:style>
  <w:style w:type="paragraph" w:styleId="Heading7">
    <w:name w:val="heading 7"/>
    <w:basedOn w:val="Normal"/>
    <w:next w:val="Normal"/>
    <w:link w:val="Heading7Char"/>
    <w:qFormat/>
    <w:rsid w:val="00E06DB4"/>
    <w:pPr>
      <w:keepNext/>
      <w:tabs>
        <w:tab w:val="left" w:pos="728"/>
        <w:tab w:val="left" w:pos="1430"/>
        <w:tab w:val="left" w:pos="2158"/>
      </w:tabs>
      <w:spacing w:after="0"/>
      <w:jc w:val="center"/>
      <w:outlineLvl w:val="6"/>
    </w:pPr>
    <w:rPr>
      <w:rFonts w:eastAsia="Times New Roman" w:cs="Times New Roman"/>
      <w:b/>
      <w:bCs/>
      <w:szCs w:val="24"/>
      <w:u w:val="single"/>
    </w:rPr>
  </w:style>
  <w:style w:type="paragraph" w:styleId="Heading8">
    <w:name w:val="heading 8"/>
    <w:basedOn w:val="Normal"/>
    <w:next w:val="Normal"/>
    <w:link w:val="Heading8Char"/>
    <w:qFormat/>
    <w:rsid w:val="00E06DB4"/>
    <w:pPr>
      <w:widowControl w:val="0"/>
      <w:autoSpaceDE w:val="0"/>
      <w:autoSpaceDN w:val="0"/>
      <w:spacing w:before="240" w:after="60"/>
      <w:outlineLvl w:val="7"/>
    </w:pPr>
    <w:rPr>
      <w:rFonts w:ascii="Arial" w:eastAsia="Times New Roman" w:hAnsi="Arial" w:cs="Arial"/>
      <w:i/>
      <w:iCs/>
      <w:szCs w:val="20"/>
    </w:rPr>
  </w:style>
  <w:style w:type="paragraph" w:styleId="Heading9">
    <w:name w:val="heading 9"/>
    <w:basedOn w:val="Normal"/>
    <w:next w:val="Normal"/>
    <w:link w:val="Heading9Char"/>
    <w:qFormat/>
    <w:rsid w:val="00E06DB4"/>
    <w:pPr>
      <w:keepNext/>
      <w:spacing w:after="0"/>
      <w:jc w:val="center"/>
      <w:outlineLvl w:val="8"/>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DB4"/>
    <w:pPr>
      <w:tabs>
        <w:tab w:val="center" w:pos="4680"/>
        <w:tab w:val="right" w:pos="9360"/>
      </w:tabs>
      <w:spacing w:after="0"/>
    </w:pPr>
  </w:style>
  <w:style w:type="character" w:customStyle="1" w:styleId="HeaderChar">
    <w:name w:val="Header Char"/>
    <w:basedOn w:val="DefaultParagraphFont"/>
    <w:link w:val="Header"/>
    <w:uiPriority w:val="99"/>
    <w:rsid w:val="00E06DB4"/>
    <w:rPr>
      <w:rFonts w:ascii="Times New Roman" w:hAnsi="Times New Roman"/>
      <w:sz w:val="24"/>
    </w:rPr>
  </w:style>
  <w:style w:type="paragraph" w:styleId="Footer">
    <w:name w:val="footer"/>
    <w:basedOn w:val="Normal"/>
    <w:link w:val="FooterChar"/>
    <w:unhideWhenUsed/>
    <w:rsid w:val="00E06DB4"/>
    <w:pPr>
      <w:tabs>
        <w:tab w:val="center" w:pos="4680"/>
        <w:tab w:val="right" w:pos="9360"/>
      </w:tabs>
      <w:spacing w:after="0"/>
    </w:pPr>
  </w:style>
  <w:style w:type="character" w:customStyle="1" w:styleId="FooterChar">
    <w:name w:val="Footer Char"/>
    <w:basedOn w:val="DefaultParagraphFont"/>
    <w:link w:val="Footer"/>
    <w:rsid w:val="00E06DB4"/>
    <w:rPr>
      <w:rFonts w:ascii="Times New Roman" w:hAnsi="Times New Roman"/>
      <w:sz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nhideWhenUsed/>
    <w:qFormat/>
    <w:rsid w:val="00E06DB4"/>
    <w:pPr>
      <w:spacing w:after="0"/>
      <w:ind w:left="720" w:hanging="720"/>
    </w:pPr>
    <w:rPr>
      <w:sz w:val="22"/>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E06DB4"/>
    <w:rPr>
      <w:rFonts w:ascii="Times New Roman" w:hAnsi="Times New Roman"/>
      <w:szCs w:val="20"/>
    </w:rPr>
  </w:style>
  <w:style w:type="character" w:styleId="PageNumber">
    <w:name w:val="page number"/>
    <w:basedOn w:val="DefaultParagraphFont"/>
    <w:semiHidden/>
    <w:rsid w:val="00E06DB4"/>
  </w:style>
  <w:style w:type="character" w:styleId="FootnoteReference">
    <w:name w:val="footnote reference"/>
    <w:aliases w:val="o,fr,Style 3,Style 21,Style 12"/>
    <w:basedOn w:val="DefaultParagraphFont"/>
    <w:rsid w:val="00E06DB4"/>
    <w:rPr>
      <w:vertAlign w:val="superscript"/>
    </w:rPr>
  </w:style>
  <w:style w:type="character" w:styleId="LineNumber">
    <w:name w:val="line number"/>
    <w:basedOn w:val="DefaultParagraphFont"/>
    <w:unhideWhenUsed/>
    <w:rsid w:val="00E06DB4"/>
  </w:style>
  <w:style w:type="paragraph" w:styleId="ListParagraph">
    <w:name w:val="List Paragraph"/>
    <w:basedOn w:val="Normal"/>
    <w:uiPriority w:val="34"/>
    <w:qFormat/>
    <w:rsid w:val="00E06DB4"/>
    <w:pPr>
      <w:ind w:left="720"/>
      <w:contextualSpacing/>
    </w:pPr>
  </w:style>
  <w:style w:type="character" w:styleId="CommentReference">
    <w:name w:val="annotation reference"/>
    <w:basedOn w:val="DefaultParagraphFont"/>
    <w:uiPriority w:val="99"/>
    <w:semiHidden/>
    <w:unhideWhenUsed/>
    <w:rsid w:val="00E06DB4"/>
    <w:rPr>
      <w:sz w:val="16"/>
      <w:szCs w:val="16"/>
    </w:rPr>
  </w:style>
  <w:style w:type="paragraph" w:styleId="CommentText">
    <w:name w:val="annotation text"/>
    <w:basedOn w:val="Normal"/>
    <w:link w:val="CommentTextChar"/>
    <w:uiPriority w:val="99"/>
    <w:semiHidden/>
    <w:unhideWhenUsed/>
    <w:rsid w:val="00E06DB4"/>
    <w:rPr>
      <w:sz w:val="20"/>
      <w:szCs w:val="20"/>
    </w:rPr>
  </w:style>
  <w:style w:type="character" w:customStyle="1" w:styleId="CommentTextChar">
    <w:name w:val="Comment Text Char"/>
    <w:basedOn w:val="DefaultParagraphFont"/>
    <w:link w:val="CommentText"/>
    <w:uiPriority w:val="99"/>
    <w:semiHidden/>
    <w:rsid w:val="00E06DB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06DB4"/>
    <w:rPr>
      <w:b/>
      <w:bCs/>
    </w:rPr>
  </w:style>
  <w:style w:type="character" w:customStyle="1" w:styleId="CommentSubjectChar">
    <w:name w:val="Comment Subject Char"/>
    <w:basedOn w:val="CommentTextChar"/>
    <w:link w:val="CommentSubject"/>
    <w:uiPriority w:val="99"/>
    <w:semiHidden/>
    <w:rsid w:val="00E06DB4"/>
    <w:rPr>
      <w:rFonts w:ascii="Times New Roman" w:hAnsi="Times New Roman"/>
      <w:b/>
      <w:bCs/>
      <w:sz w:val="20"/>
      <w:szCs w:val="20"/>
    </w:rPr>
  </w:style>
  <w:style w:type="paragraph" w:styleId="BalloonText">
    <w:name w:val="Balloon Text"/>
    <w:basedOn w:val="Normal"/>
    <w:link w:val="BalloonTextChar"/>
    <w:uiPriority w:val="99"/>
    <w:semiHidden/>
    <w:unhideWhenUsed/>
    <w:rsid w:val="00E06DB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DB4"/>
    <w:rPr>
      <w:rFonts w:ascii="Tahoma" w:hAnsi="Tahoma" w:cs="Tahoma"/>
      <w:sz w:val="16"/>
      <w:szCs w:val="16"/>
    </w:rPr>
  </w:style>
  <w:style w:type="paragraph" w:styleId="TOC3">
    <w:name w:val="toc 3"/>
    <w:basedOn w:val="Normal"/>
    <w:next w:val="Normal"/>
    <w:autoRedefine/>
    <w:unhideWhenUsed/>
    <w:qFormat/>
    <w:rsid w:val="00E06DB4"/>
    <w:pPr>
      <w:spacing w:after="100"/>
      <w:ind w:left="480"/>
    </w:pPr>
  </w:style>
  <w:style w:type="character" w:styleId="Hyperlink">
    <w:name w:val="Hyperlink"/>
    <w:basedOn w:val="DefaultParagraphFont"/>
    <w:uiPriority w:val="99"/>
    <w:unhideWhenUsed/>
    <w:rsid w:val="00E06DB4"/>
    <w:rPr>
      <w:color w:val="0000FF" w:themeColor="hyperlink"/>
      <w:u w:val="single"/>
    </w:rPr>
  </w:style>
  <w:style w:type="character" w:customStyle="1" w:styleId="Heading1Char">
    <w:name w:val="Heading 1 Char"/>
    <w:basedOn w:val="DefaultParagraphFont"/>
    <w:link w:val="Heading1"/>
    <w:rsid w:val="00A965F0"/>
    <w:rPr>
      <w:rFonts w:ascii="Times New Roman" w:eastAsia="Times New Roman" w:hAnsi="Times New Roman" w:cs="Times New Roman"/>
      <w:b/>
      <w:bCs/>
      <w:color w:val="000000" w:themeColor="text1"/>
      <w:sz w:val="24"/>
      <w:szCs w:val="24"/>
      <w:u w:val="single"/>
    </w:rPr>
  </w:style>
  <w:style w:type="paragraph" w:styleId="TOC1">
    <w:name w:val="toc 1"/>
    <w:basedOn w:val="Normal"/>
    <w:next w:val="Normal"/>
    <w:autoRedefine/>
    <w:uiPriority w:val="39"/>
    <w:unhideWhenUsed/>
    <w:qFormat/>
    <w:rsid w:val="00E06DB4"/>
    <w:pPr>
      <w:suppressLineNumbers/>
      <w:tabs>
        <w:tab w:val="right" w:leader="dot" w:pos="9062"/>
      </w:tabs>
      <w:spacing w:after="0" w:line="480" w:lineRule="auto"/>
    </w:pPr>
  </w:style>
  <w:style w:type="paragraph" w:styleId="Revision">
    <w:name w:val="Revision"/>
    <w:hidden/>
    <w:uiPriority w:val="99"/>
    <w:semiHidden/>
    <w:rsid w:val="00E06DB4"/>
    <w:pPr>
      <w:spacing w:after="0" w:line="240" w:lineRule="auto"/>
    </w:pPr>
    <w:rPr>
      <w:rFonts w:ascii="Times New Roman" w:hAnsi="Times New Roman"/>
      <w:sz w:val="24"/>
    </w:rPr>
  </w:style>
  <w:style w:type="table" w:styleId="TableGrid">
    <w:name w:val="Table Grid"/>
    <w:basedOn w:val="TableNormal"/>
    <w:uiPriority w:val="59"/>
    <w:rsid w:val="00E06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06DB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E06DB4"/>
    <w:rPr>
      <w:rFonts w:ascii="Times New Roman" w:eastAsia="Times New Roman" w:hAnsi="Times New Roman" w:cs="Arial"/>
      <w:b/>
      <w:bCs/>
      <w:sz w:val="26"/>
      <w:szCs w:val="26"/>
    </w:rPr>
  </w:style>
  <w:style w:type="character" w:customStyle="1" w:styleId="Heading4Char">
    <w:name w:val="Heading 4 Char"/>
    <w:basedOn w:val="DefaultParagraphFont"/>
    <w:link w:val="Heading4"/>
    <w:uiPriority w:val="9"/>
    <w:rsid w:val="00E06DB4"/>
    <w:rPr>
      <w:rFonts w:ascii="Calibri" w:eastAsia="Times New Roman" w:hAnsi="Calibri" w:cs="Times New Roman"/>
      <w:b/>
      <w:bCs/>
      <w:sz w:val="28"/>
      <w:szCs w:val="28"/>
    </w:rPr>
  </w:style>
  <w:style w:type="character" w:customStyle="1" w:styleId="Heading5Char">
    <w:name w:val="Heading 5 Char"/>
    <w:basedOn w:val="DefaultParagraphFont"/>
    <w:link w:val="Heading5"/>
    <w:rsid w:val="00E06DB4"/>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E06DB4"/>
    <w:rPr>
      <w:rFonts w:ascii="Times New Roman" w:eastAsia="Times New Roman" w:hAnsi="Times New Roman" w:cs="Arial"/>
      <w:b/>
      <w:bCs/>
      <w:sz w:val="24"/>
      <w:szCs w:val="24"/>
    </w:rPr>
  </w:style>
  <w:style w:type="character" w:customStyle="1" w:styleId="Heading7Char">
    <w:name w:val="Heading 7 Char"/>
    <w:basedOn w:val="DefaultParagraphFont"/>
    <w:link w:val="Heading7"/>
    <w:rsid w:val="00E06DB4"/>
    <w:rPr>
      <w:rFonts w:ascii="Times New Roman" w:eastAsia="Times New Roman" w:hAnsi="Times New Roman" w:cs="Times New Roman"/>
      <w:b/>
      <w:bCs/>
      <w:sz w:val="24"/>
      <w:szCs w:val="24"/>
      <w:u w:val="single"/>
    </w:rPr>
  </w:style>
  <w:style w:type="character" w:customStyle="1" w:styleId="Heading8Char">
    <w:name w:val="Heading 8 Char"/>
    <w:basedOn w:val="DefaultParagraphFont"/>
    <w:link w:val="Heading8"/>
    <w:rsid w:val="00E06DB4"/>
    <w:rPr>
      <w:rFonts w:ascii="Arial" w:eastAsia="Times New Roman" w:hAnsi="Arial" w:cs="Arial"/>
      <w:i/>
      <w:iCs/>
      <w:sz w:val="24"/>
      <w:szCs w:val="20"/>
    </w:rPr>
  </w:style>
  <w:style w:type="character" w:customStyle="1" w:styleId="Heading9Char">
    <w:name w:val="Heading 9 Char"/>
    <w:basedOn w:val="DefaultParagraphFont"/>
    <w:link w:val="Heading9"/>
    <w:rsid w:val="00E06DB4"/>
    <w:rPr>
      <w:rFonts w:ascii="Times New Roman" w:eastAsia="Times New Roman" w:hAnsi="Times New Roman" w:cs="Times New Roman"/>
      <w:b/>
      <w:bCs/>
      <w:sz w:val="24"/>
      <w:szCs w:val="24"/>
    </w:rPr>
  </w:style>
  <w:style w:type="numbering" w:customStyle="1" w:styleId="Style16">
    <w:name w:val="Style16"/>
    <w:next w:val="NoList"/>
    <w:uiPriority w:val="99"/>
    <w:semiHidden/>
    <w:unhideWhenUsed/>
    <w:rsid w:val="00E06DB4"/>
  </w:style>
  <w:style w:type="paragraph" w:styleId="Title">
    <w:name w:val="Title"/>
    <w:basedOn w:val="Normal"/>
    <w:link w:val="TitleChar"/>
    <w:qFormat/>
    <w:rsid w:val="00E06DB4"/>
    <w:pPr>
      <w:spacing w:after="0"/>
      <w:jc w:val="center"/>
    </w:pPr>
    <w:rPr>
      <w:rFonts w:eastAsia="Times New Roman" w:cs="Times New Roman"/>
      <w:b/>
      <w:szCs w:val="24"/>
    </w:rPr>
  </w:style>
  <w:style w:type="character" w:customStyle="1" w:styleId="TitleChar">
    <w:name w:val="Title Char"/>
    <w:basedOn w:val="DefaultParagraphFont"/>
    <w:link w:val="Title"/>
    <w:rsid w:val="00E06DB4"/>
    <w:rPr>
      <w:rFonts w:ascii="Times New Roman" w:eastAsia="Times New Roman" w:hAnsi="Times New Roman" w:cs="Times New Roman"/>
      <w:b/>
      <w:sz w:val="24"/>
      <w:szCs w:val="24"/>
    </w:rPr>
  </w:style>
  <w:style w:type="paragraph" w:styleId="BodyText">
    <w:name w:val="Body Text"/>
    <w:basedOn w:val="Normal"/>
    <w:link w:val="BodyTextChar"/>
    <w:semiHidden/>
    <w:rsid w:val="00E06DB4"/>
    <w:pPr>
      <w:spacing w:after="0" w:line="480" w:lineRule="auto"/>
    </w:pPr>
    <w:rPr>
      <w:rFonts w:eastAsia="Times New Roman" w:cs="Times New Roman"/>
      <w:b/>
      <w:caps/>
      <w:szCs w:val="24"/>
    </w:rPr>
  </w:style>
  <w:style w:type="character" w:customStyle="1" w:styleId="BodyTextChar">
    <w:name w:val="Body Text Char"/>
    <w:basedOn w:val="DefaultParagraphFont"/>
    <w:link w:val="BodyText"/>
    <w:semiHidden/>
    <w:rsid w:val="00E06DB4"/>
    <w:rPr>
      <w:rFonts w:ascii="Times New Roman" w:eastAsia="Times New Roman" w:hAnsi="Times New Roman" w:cs="Times New Roman"/>
      <w:b/>
      <w:caps/>
      <w:sz w:val="24"/>
      <w:szCs w:val="24"/>
    </w:rPr>
  </w:style>
  <w:style w:type="paragraph" w:customStyle="1" w:styleId="Style19">
    <w:name w:val="Style19"/>
    <w:basedOn w:val="Normal"/>
    <w:rsid w:val="00E06DB4"/>
    <w:pPr>
      <w:widowControl w:val="0"/>
      <w:tabs>
        <w:tab w:val="left" w:pos="-1440"/>
      </w:tabs>
      <w:spacing w:after="0" w:line="480" w:lineRule="auto"/>
      <w:ind w:left="720" w:hanging="720"/>
      <w:jc w:val="both"/>
    </w:pPr>
    <w:rPr>
      <w:rFonts w:eastAsia="Times New Roman" w:cs="Times New Roman"/>
      <w:b/>
      <w:caps/>
      <w:snapToGrid w:val="0"/>
      <w:szCs w:val="24"/>
    </w:rPr>
  </w:style>
  <w:style w:type="paragraph" w:styleId="BodyTextIndent3">
    <w:name w:val="Body Text Indent 3"/>
    <w:basedOn w:val="Normal"/>
    <w:link w:val="BodyTextIndent3Char"/>
    <w:semiHidden/>
    <w:rsid w:val="00E06DB4"/>
    <w:pPr>
      <w:tabs>
        <w:tab w:val="left" w:pos="-1440"/>
      </w:tabs>
      <w:spacing w:after="0" w:line="480" w:lineRule="auto"/>
      <w:ind w:left="720" w:hanging="720"/>
      <w:jc w:val="both"/>
    </w:pPr>
    <w:rPr>
      <w:rFonts w:eastAsia="Times New Roman" w:cs="Times New Roman"/>
      <w:b/>
      <w:bCs/>
      <w:szCs w:val="24"/>
    </w:rPr>
  </w:style>
  <w:style w:type="character" w:customStyle="1" w:styleId="BodyTextIndent3Char">
    <w:name w:val="Body Text Indent 3 Char"/>
    <w:basedOn w:val="DefaultParagraphFont"/>
    <w:link w:val="BodyTextIndent3"/>
    <w:semiHidden/>
    <w:rsid w:val="00E06DB4"/>
    <w:rPr>
      <w:rFonts w:ascii="Times New Roman" w:eastAsia="Times New Roman" w:hAnsi="Times New Roman" w:cs="Times New Roman"/>
      <w:b/>
      <w:bCs/>
      <w:sz w:val="24"/>
      <w:szCs w:val="24"/>
    </w:rPr>
  </w:style>
  <w:style w:type="paragraph" w:styleId="BodyTextIndent2">
    <w:name w:val="Body Text Indent 2"/>
    <w:basedOn w:val="Normal"/>
    <w:link w:val="BodyTextIndent2Char"/>
    <w:semiHidden/>
    <w:rsid w:val="00E06D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720" w:firstLine="720"/>
      <w:jc w:val="both"/>
    </w:pPr>
    <w:rPr>
      <w:rFonts w:eastAsia="Times New Roman" w:cs="Times New Roman"/>
      <w:szCs w:val="24"/>
    </w:rPr>
  </w:style>
  <w:style w:type="character" w:customStyle="1" w:styleId="BodyTextIndent2Char">
    <w:name w:val="Body Text Indent 2 Char"/>
    <w:basedOn w:val="DefaultParagraphFont"/>
    <w:link w:val="BodyTextIndent2"/>
    <w:semiHidden/>
    <w:rsid w:val="00E06DB4"/>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E06DB4"/>
    <w:pPr>
      <w:spacing w:after="0" w:line="480" w:lineRule="auto"/>
      <w:ind w:left="720" w:hanging="720"/>
      <w:jc w:val="both"/>
    </w:pPr>
    <w:rPr>
      <w:rFonts w:eastAsia="Times New Roman" w:cs="Times New Roman"/>
      <w:szCs w:val="24"/>
    </w:rPr>
  </w:style>
  <w:style w:type="character" w:customStyle="1" w:styleId="BodyTextIndentChar">
    <w:name w:val="Body Text Indent Char"/>
    <w:basedOn w:val="DefaultParagraphFont"/>
    <w:link w:val="BodyTextIndent"/>
    <w:semiHidden/>
    <w:rsid w:val="00E06DB4"/>
    <w:rPr>
      <w:rFonts w:ascii="Times New Roman" w:eastAsia="Times New Roman" w:hAnsi="Times New Roman" w:cs="Times New Roman"/>
      <w:sz w:val="24"/>
      <w:szCs w:val="24"/>
    </w:rPr>
  </w:style>
  <w:style w:type="table" w:customStyle="1" w:styleId="Style23">
    <w:name w:val="Style23"/>
    <w:basedOn w:val="TableNormal"/>
    <w:next w:val="TableGrid"/>
    <w:uiPriority w:val="59"/>
    <w:rsid w:val="00E06DB4"/>
    <w:pPr>
      <w:spacing w:after="0" w:line="240" w:lineRule="auto"/>
    </w:pPr>
    <w:rPr>
      <w:rFonts w:ascii="Arial" w:eastAsia="Times New Roman" w:hAnsi="Arial"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4">
    <w:name w:val="Style24"/>
    <w:basedOn w:val="Normal"/>
    <w:next w:val="Normal"/>
    <w:autoRedefine/>
    <w:rsid w:val="00E06DB4"/>
    <w:pPr>
      <w:keepNext/>
      <w:keepLines/>
      <w:overflowPunct w:val="0"/>
      <w:autoSpaceDE w:val="0"/>
      <w:autoSpaceDN w:val="0"/>
      <w:adjustRightInd w:val="0"/>
      <w:spacing w:after="120"/>
      <w:ind w:left="720" w:hanging="720"/>
      <w:jc w:val="both"/>
      <w:textAlignment w:val="baseline"/>
    </w:pPr>
    <w:rPr>
      <w:rFonts w:eastAsia="Times New Roman" w:cs="Times New Roman"/>
      <w:b/>
      <w:spacing w:val="10"/>
      <w:szCs w:val="24"/>
    </w:rPr>
  </w:style>
  <w:style w:type="paragraph" w:customStyle="1" w:styleId="Style25">
    <w:name w:val="Style25"/>
    <w:basedOn w:val="Normal"/>
    <w:next w:val="Normal"/>
    <w:link w:val="Style26"/>
    <w:qFormat/>
    <w:rsid w:val="00E06DB4"/>
    <w:pPr>
      <w:overflowPunct w:val="0"/>
      <w:autoSpaceDE w:val="0"/>
      <w:autoSpaceDN w:val="0"/>
      <w:adjustRightInd w:val="0"/>
      <w:spacing w:line="480" w:lineRule="auto"/>
      <w:ind w:left="720" w:hanging="720"/>
      <w:jc w:val="both"/>
      <w:textAlignment w:val="baseline"/>
    </w:pPr>
    <w:rPr>
      <w:rFonts w:eastAsia="Times New Roman" w:cs="Times New Roman"/>
      <w:spacing w:val="10"/>
      <w:szCs w:val="24"/>
    </w:rPr>
  </w:style>
  <w:style w:type="character" w:customStyle="1" w:styleId="Style26">
    <w:name w:val="Style26"/>
    <w:basedOn w:val="DefaultParagraphFont"/>
    <w:link w:val="Style25"/>
    <w:rsid w:val="00E06DB4"/>
    <w:rPr>
      <w:rFonts w:ascii="Times New Roman" w:eastAsia="Times New Roman" w:hAnsi="Times New Roman" w:cs="Times New Roman"/>
      <w:spacing w:val="10"/>
      <w:sz w:val="24"/>
      <w:szCs w:val="24"/>
    </w:rPr>
  </w:style>
  <w:style w:type="numbering" w:customStyle="1" w:styleId="Style27">
    <w:name w:val="Style27"/>
    <w:next w:val="NoList"/>
    <w:uiPriority w:val="99"/>
    <w:semiHidden/>
    <w:unhideWhenUsed/>
    <w:rsid w:val="00E06DB4"/>
  </w:style>
  <w:style w:type="paragraph" w:styleId="Caption">
    <w:name w:val="caption"/>
    <w:basedOn w:val="Normal"/>
    <w:next w:val="Normal"/>
    <w:qFormat/>
    <w:rsid w:val="00E06DB4"/>
    <w:pPr>
      <w:widowControl w:val="0"/>
      <w:autoSpaceDE w:val="0"/>
      <w:autoSpaceDN w:val="0"/>
      <w:spacing w:before="120" w:after="120"/>
    </w:pPr>
    <w:rPr>
      <w:rFonts w:eastAsia="Times New Roman" w:cs="Courier New"/>
      <w:b/>
      <w:bCs/>
      <w:szCs w:val="20"/>
    </w:rPr>
  </w:style>
  <w:style w:type="paragraph" w:styleId="TOC2">
    <w:name w:val="toc 2"/>
    <w:basedOn w:val="Normal"/>
    <w:next w:val="Normal"/>
    <w:autoRedefine/>
    <w:uiPriority w:val="39"/>
    <w:qFormat/>
    <w:rsid w:val="00E06DB4"/>
    <w:pPr>
      <w:widowControl w:val="0"/>
      <w:autoSpaceDE w:val="0"/>
      <w:autoSpaceDN w:val="0"/>
      <w:spacing w:after="0"/>
      <w:ind w:left="200"/>
    </w:pPr>
    <w:rPr>
      <w:rFonts w:eastAsia="Times New Roman" w:cs="Courier New"/>
      <w:szCs w:val="20"/>
    </w:rPr>
  </w:style>
  <w:style w:type="paragraph" w:styleId="TOC4">
    <w:name w:val="toc 4"/>
    <w:basedOn w:val="Normal"/>
    <w:next w:val="Normal"/>
    <w:autoRedefine/>
    <w:semiHidden/>
    <w:qFormat/>
    <w:rsid w:val="00E06DB4"/>
    <w:pPr>
      <w:widowControl w:val="0"/>
      <w:autoSpaceDE w:val="0"/>
      <w:autoSpaceDN w:val="0"/>
      <w:spacing w:after="0"/>
      <w:ind w:left="600"/>
    </w:pPr>
    <w:rPr>
      <w:rFonts w:eastAsia="Times New Roman" w:cs="Courier New"/>
      <w:szCs w:val="20"/>
    </w:rPr>
  </w:style>
  <w:style w:type="paragraph" w:styleId="TOC5">
    <w:name w:val="toc 5"/>
    <w:basedOn w:val="Normal"/>
    <w:next w:val="Normal"/>
    <w:autoRedefine/>
    <w:semiHidden/>
    <w:qFormat/>
    <w:rsid w:val="00E06DB4"/>
    <w:pPr>
      <w:widowControl w:val="0"/>
      <w:autoSpaceDE w:val="0"/>
      <w:autoSpaceDN w:val="0"/>
      <w:spacing w:after="0"/>
      <w:ind w:left="800"/>
    </w:pPr>
    <w:rPr>
      <w:rFonts w:eastAsia="Times New Roman" w:cs="Courier New"/>
      <w:szCs w:val="20"/>
    </w:rPr>
  </w:style>
  <w:style w:type="paragraph" w:styleId="TOC6">
    <w:name w:val="toc 6"/>
    <w:basedOn w:val="Normal"/>
    <w:next w:val="Normal"/>
    <w:autoRedefine/>
    <w:semiHidden/>
    <w:qFormat/>
    <w:rsid w:val="00E06DB4"/>
    <w:pPr>
      <w:widowControl w:val="0"/>
      <w:autoSpaceDE w:val="0"/>
      <w:autoSpaceDN w:val="0"/>
      <w:spacing w:after="0"/>
      <w:ind w:left="1000"/>
    </w:pPr>
    <w:rPr>
      <w:rFonts w:eastAsia="Times New Roman" w:cs="Courier New"/>
      <w:szCs w:val="20"/>
    </w:rPr>
  </w:style>
  <w:style w:type="paragraph" w:styleId="TOC7">
    <w:name w:val="toc 7"/>
    <w:basedOn w:val="Normal"/>
    <w:next w:val="Normal"/>
    <w:autoRedefine/>
    <w:semiHidden/>
    <w:qFormat/>
    <w:rsid w:val="00E06DB4"/>
    <w:pPr>
      <w:widowControl w:val="0"/>
      <w:autoSpaceDE w:val="0"/>
      <w:autoSpaceDN w:val="0"/>
      <w:spacing w:after="0"/>
      <w:ind w:left="1200"/>
    </w:pPr>
    <w:rPr>
      <w:rFonts w:eastAsia="Times New Roman" w:cs="Courier New"/>
      <w:szCs w:val="20"/>
    </w:rPr>
  </w:style>
  <w:style w:type="paragraph" w:styleId="TOC8">
    <w:name w:val="toc 8"/>
    <w:basedOn w:val="Normal"/>
    <w:next w:val="Normal"/>
    <w:autoRedefine/>
    <w:semiHidden/>
    <w:qFormat/>
    <w:rsid w:val="00E06DB4"/>
    <w:pPr>
      <w:widowControl w:val="0"/>
      <w:autoSpaceDE w:val="0"/>
      <w:autoSpaceDN w:val="0"/>
      <w:spacing w:after="0"/>
      <w:ind w:left="1400"/>
    </w:pPr>
    <w:rPr>
      <w:rFonts w:eastAsia="Times New Roman" w:cs="Courier New"/>
      <w:szCs w:val="20"/>
    </w:rPr>
  </w:style>
  <w:style w:type="paragraph" w:styleId="TOC9">
    <w:name w:val="toc 9"/>
    <w:basedOn w:val="Normal"/>
    <w:next w:val="Normal"/>
    <w:autoRedefine/>
    <w:semiHidden/>
    <w:qFormat/>
    <w:rsid w:val="00E06DB4"/>
    <w:pPr>
      <w:widowControl w:val="0"/>
      <w:autoSpaceDE w:val="0"/>
      <w:autoSpaceDN w:val="0"/>
      <w:spacing w:after="0"/>
      <w:ind w:left="1600"/>
    </w:pPr>
    <w:rPr>
      <w:rFonts w:eastAsia="Times New Roman" w:cs="Courier New"/>
      <w:szCs w:val="20"/>
    </w:rPr>
  </w:style>
  <w:style w:type="paragraph" w:styleId="BodyText2">
    <w:name w:val="Body Text 2"/>
    <w:basedOn w:val="Normal"/>
    <w:link w:val="BodyText2Char"/>
    <w:uiPriority w:val="99"/>
    <w:semiHidden/>
    <w:rsid w:val="00E06DB4"/>
    <w:pPr>
      <w:spacing w:after="0" w:line="480" w:lineRule="auto"/>
      <w:ind w:left="720" w:firstLine="720"/>
      <w:jc w:val="both"/>
    </w:pPr>
    <w:rPr>
      <w:rFonts w:eastAsia="Times New Roman" w:cs="Times New Roman"/>
      <w:szCs w:val="24"/>
    </w:rPr>
  </w:style>
  <w:style w:type="character" w:customStyle="1" w:styleId="BodyText2Char">
    <w:name w:val="Body Text 2 Char"/>
    <w:basedOn w:val="DefaultParagraphFont"/>
    <w:link w:val="BodyText2"/>
    <w:uiPriority w:val="99"/>
    <w:semiHidden/>
    <w:rsid w:val="00E06DB4"/>
    <w:rPr>
      <w:rFonts w:ascii="Times New Roman" w:eastAsia="Times New Roman" w:hAnsi="Times New Roman" w:cs="Times New Roman"/>
      <w:sz w:val="24"/>
      <w:szCs w:val="24"/>
    </w:rPr>
  </w:style>
  <w:style w:type="paragraph" w:styleId="BodyText3">
    <w:name w:val="Body Text 3"/>
    <w:basedOn w:val="BodyText"/>
    <w:link w:val="BodyText3Char"/>
    <w:semiHidden/>
    <w:rsid w:val="00E06DB4"/>
    <w:pPr>
      <w:spacing w:before="240"/>
      <w:ind w:left="720"/>
      <w:jc w:val="both"/>
    </w:pPr>
    <w:rPr>
      <w:b w:val="0"/>
      <w:caps w:val="0"/>
    </w:rPr>
  </w:style>
  <w:style w:type="character" w:customStyle="1" w:styleId="BodyText3Char">
    <w:name w:val="Body Text 3 Char"/>
    <w:basedOn w:val="DefaultParagraphFont"/>
    <w:link w:val="BodyText3"/>
    <w:semiHidden/>
    <w:rsid w:val="00E06DB4"/>
    <w:rPr>
      <w:rFonts w:ascii="Times New Roman" w:eastAsia="Times New Roman" w:hAnsi="Times New Roman" w:cs="Times New Roman"/>
      <w:sz w:val="24"/>
      <w:szCs w:val="24"/>
    </w:rPr>
  </w:style>
  <w:style w:type="paragraph" w:customStyle="1" w:styleId="Style30">
    <w:name w:val="Style30"/>
    <w:basedOn w:val="Normal"/>
    <w:rsid w:val="00E06DB4"/>
    <w:pPr>
      <w:ind w:left="1440" w:right="720"/>
      <w:jc w:val="both"/>
    </w:pPr>
    <w:rPr>
      <w:rFonts w:eastAsia="Times New Roman" w:cs="Times New Roman"/>
      <w:szCs w:val="24"/>
    </w:rPr>
  </w:style>
  <w:style w:type="paragraph" w:customStyle="1" w:styleId="Style31">
    <w:name w:val="Style31"/>
    <w:basedOn w:val="Normal"/>
    <w:next w:val="Normal"/>
    <w:rsid w:val="00E06DB4"/>
    <w:pPr>
      <w:keepNext/>
      <w:keepLines/>
      <w:ind w:left="720" w:hanging="720"/>
      <w:jc w:val="both"/>
    </w:pPr>
    <w:rPr>
      <w:rFonts w:ascii="Times New Roman Bold" w:eastAsia="Times New Roman" w:hAnsi="Times New Roman Bold" w:cs="Times New Roman"/>
      <w:b/>
      <w:caps/>
      <w:szCs w:val="24"/>
    </w:rPr>
  </w:style>
  <w:style w:type="paragraph" w:customStyle="1" w:styleId="Style32">
    <w:name w:val="Style32"/>
    <w:basedOn w:val="Normal"/>
    <w:rsid w:val="00E06DB4"/>
    <w:pPr>
      <w:spacing w:after="0" w:line="254" w:lineRule="exact"/>
    </w:pPr>
    <w:rPr>
      <w:rFonts w:eastAsia="Times New Roman" w:cs="Times New Roman"/>
      <w:szCs w:val="20"/>
    </w:rPr>
  </w:style>
  <w:style w:type="character" w:customStyle="1" w:styleId="Style33">
    <w:name w:val="Style33"/>
    <w:basedOn w:val="DefaultParagraphFont"/>
    <w:uiPriority w:val="99"/>
    <w:semiHidden/>
    <w:rsid w:val="00E06DB4"/>
    <w:rPr>
      <w:rFonts w:ascii="Tahoma" w:hAnsi="Tahoma" w:cs="Tahoma"/>
      <w:sz w:val="16"/>
      <w:szCs w:val="16"/>
    </w:rPr>
  </w:style>
  <w:style w:type="paragraph" w:customStyle="1" w:styleId="Style34">
    <w:name w:val="Style34"/>
    <w:basedOn w:val="Normal"/>
    <w:rsid w:val="00E06DB4"/>
    <w:pPr>
      <w:widowControl w:val="0"/>
      <w:autoSpaceDE w:val="0"/>
      <w:autoSpaceDN w:val="0"/>
      <w:adjustRightInd w:val="0"/>
      <w:spacing w:after="0"/>
      <w:ind w:left="2880" w:hanging="720"/>
    </w:pPr>
    <w:rPr>
      <w:rFonts w:ascii="Arial" w:eastAsia="Times New Roman" w:hAnsi="Arial" w:cs="Times New Roman"/>
      <w:sz w:val="20"/>
      <w:szCs w:val="24"/>
    </w:rPr>
  </w:style>
  <w:style w:type="character" w:customStyle="1" w:styleId="Style35">
    <w:name w:val="Style35"/>
    <w:basedOn w:val="DefaultParagraphFont"/>
    <w:rsid w:val="00E06DB4"/>
    <w:rPr>
      <w:sz w:val="16"/>
    </w:rPr>
  </w:style>
  <w:style w:type="paragraph" w:customStyle="1" w:styleId="Style36">
    <w:name w:val="Style36"/>
    <w:rsid w:val="00E06DB4"/>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E06DB4"/>
    <w:pPr>
      <w:spacing w:after="0" w:line="480" w:lineRule="auto"/>
      <w:jc w:val="both"/>
    </w:pPr>
    <w:rPr>
      <w:rFonts w:ascii="Arial" w:eastAsia="Times New Roman" w:hAnsi="Arial" w:cs="Times New Roman"/>
      <w:sz w:val="22"/>
      <w:szCs w:val="20"/>
    </w:rPr>
  </w:style>
  <w:style w:type="paragraph" w:customStyle="1" w:styleId="Style38">
    <w:name w:val="Style38"/>
    <w:rsid w:val="00E06DB4"/>
    <w:pPr>
      <w:autoSpaceDE w:val="0"/>
      <w:autoSpaceDN w:val="0"/>
      <w:adjustRightInd w:val="0"/>
      <w:spacing w:after="0" w:line="240" w:lineRule="auto"/>
    </w:pPr>
    <w:rPr>
      <w:rFonts w:ascii="Arial" w:eastAsia="Calibri" w:hAnsi="Arial" w:cs="Arial"/>
      <w:color w:val="000000"/>
      <w:sz w:val="24"/>
      <w:szCs w:val="24"/>
    </w:rPr>
  </w:style>
  <w:style w:type="character" w:customStyle="1" w:styleId="Style39">
    <w:name w:val="Style39"/>
    <w:basedOn w:val="DefaultParagraphFont"/>
    <w:rsid w:val="00E06DB4"/>
    <w:rPr>
      <w:rFonts w:ascii="Arial" w:hAnsi="Arial" w:cs="Arial"/>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Emphasis">
    <w:name w:val="Emphasis"/>
    <w:basedOn w:val="DefaultParagraphFont"/>
    <w:qFormat/>
    <w:rsid w:val="00E06DB4"/>
    <w:rPr>
      <w:b/>
      <w:bCs/>
      <w:i w:val="0"/>
      <w:iCs w:val="0"/>
    </w:rPr>
  </w:style>
  <w:style w:type="paragraph" w:styleId="BlockText">
    <w:name w:val="Block Text"/>
    <w:basedOn w:val="Normal"/>
    <w:semiHidden/>
    <w:rsid w:val="00E06DB4"/>
    <w:pPr>
      <w:autoSpaceDE w:val="0"/>
      <w:autoSpaceDN w:val="0"/>
      <w:adjustRightInd w:val="0"/>
      <w:spacing w:after="0"/>
      <w:ind w:left="1440" w:right="720"/>
    </w:pPr>
    <w:rPr>
      <w:rFonts w:ascii="Arial" w:eastAsia="Times New Roman" w:hAnsi="Arial" w:cs="Times New Roman"/>
      <w:szCs w:val="20"/>
    </w:rPr>
  </w:style>
  <w:style w:type="paragraph" w:customStyle="1" w:styleId="Default">
    <w:name w:val="Default"/>
    <w:rsid w:val="00E31A7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830575">
      <w:bodyDiv w:val="1"/>
      <w:marLeft w:val="0"/>
      <w:marRight w:val="0"/>
      <w:marTop w:val="0"/>
      <w:marBottom w:val="0"/>
      <w:divBdr>
        <w:top w:val="none" w:sz="0" w:space="0" w:color="auto"/>
        <w:left w:val="none" w:sz="0" w:space="0" w:color="auto"/>
        <w:bottom w:val="none" w:sz="0" w:space="0" w:color="auto"/>
        <w:right w:val="none" w:sz="0" w:space="0" w:color="auto"/>
      </w:divBdr>
    </w:div>
    <w:div w:id="782919485">
      <w:bodyDiv w:val="1"/>
      <w:marLeft w:val="0"/>
      <w:marRight w:val="0"/>
      <w:marTop w:val="0"/>
      <w:marBottom w:val="0"/>
      <w:divBdr>
        <w:top w:val="none" w:sz="0" w:space="0" w:color="auto"/>
        <w:left w:val="none" w:sz="0" w:space="0" w:color="auto"/>
        <w:bottom w:val="none" w:sz="0" w:space="0" w:color="auto"/>
        <w:right w:val="none" w:sz="0" w:space="0" w:color="auto"/>
      </w:divBdr>
    </w:div>
    <w:div w:id="1267733531">
      <w:bodyDiv w:val="1"/>
      <w:marLeft w:val="0"/>
      <w:marRight w:val="0"/>
      <w:marTop w:val="0"/>
      <w:marBottom w:val="0"/>
      <w:divBdr>
        <w:top w:val="none" w:sz="0" w:space="0" w:color="auto"/>
        <w:left w:val="none" w:sz="0" w:space="0" w:color="auto"/>
        <w:bottom w:val="none" w:sz="0" w:space="0" w:color="auto"/>
        <w:right w:val="none" w:sz="0" w:space="0" w:color="auto"/>
      </w:divBdr>
    </w:div>
    <w:div w:id="1479346097">
      <w:bodyDiv w:val="1"/>
      <w:marLeft w:val="0"/>
      <w:marRight w:val="0"/>
      <w:marTop w:val="0"/>
      <w:marBottom w:val="0"/>
      <w:divBdr>
        <w:top w:val="none" w:sz="0" w:space="0" w:color="auto"/>
        <w:left w:val="none" w:sz="0" w:space="0" w:color="auto"/>
        <w:bottom w:val="none" w:sz="0" w:space="0" w:color="auto"/>
        <w:right w:val="none" w:sz="0" w:space="0" w:color="auto"/>
      </w:divBdr>
    </w:div>
    <w:div w:id="151102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2017-08-15T07:00:00+00:00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170033</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E7AE4C50-9D56-4A8E-A523-99EBF19BB474}">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6a7bd91e-004b-490a-8704-e368d63d59a0"/>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5E3D5973-70E3-4CD3-BEBF-E17EA0B87251}">
  <ds:schemaRefs>
    <ds:schemaRef ds:uri="http://schemas.microsoft.com/sharepoint/v3/contenttype/forms"/>
  </ds:schemaRefs>
</ds:datastoreItem>
</file>

<file path=customXml/itemProps3.xml><?xml version="1.0" encoding="utf-8"?>
<ds:datastoreItem xmlns:ds="http://schemas.openxmlformats.org/officeDocument/2006/customXml" ds:itemID="{F0638EC2-01CF-4439-94B8-88EACC74EA7F}"/>
</file>

<file path=customXml/itemProps4.xml><?xml version="1.0" encoding="utf-8"?>
<ds:datastoreItem xmlns:ds="http://schemas.openxmlformats.org/officeDocument/2006/customXml" ds:itemID="{0F2539CF-4ED1-429B-9856-DECA3D190623}">
  <ds:schemaRefs>
    <ds:schemaRef ds:uri="http://schemas.openxmlformats.org/officeDocument/2006/bibliography"/>
  </ds:schemaRefs>
</ds:datastoreItem>
</file>

<file path=customXml/itemProps5.xml><?xml version="1.0" encoding="utf-8"?>
<ds:datastoreItem xmlns:ds="http://schemas.openxmlformats.org/officeDocument/2006/customXml" ds:itemID="{7C1280A6-2108-4588-B513-2E10BF5ED5CA}"/>
</file>

<file path=docProps/app.xml><?xml version="1.0" encoding="utf-8"?>
<Properties xmlns="http://schemas.openxmlformats.org/officeDocument/2006/extended-properties" xmlns:vt="http://schemas.openxmlformats.org/officeDocument/2006/docPropsVTypes">
  <Template>Normal</Template>
  <TotalTime>0</TotalTime>
  <Pages>8</Pages>
  <Words>1560</Words>
  <Characters>8895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Brubaker &amp; Associates, Inc.</Company>
  <LinksUpToDate>false</LinksUpToDate>
  <CharactersWithSpaces>10435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dc:creator>
  <cp:lastModifiedBy>Huey, Lorilyn (UTC)</cp:lastModifiedBy>
  <cp:revision>2</cp:revision>
  <cp:lastPrinted>2017-08-15T18:00:00Z</cp:lastPrinted>
  <dcterms:created xsi:type="dcterms:W3CDTF">2017-08-15T21:04:00Z</dcterms:created>
  <dcterms:modified xsi:type="dcterms:W3CDTF">2017-08-15T21:04:00Z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0x0101006E56B4D1795A2E4DB2F0B01679ED314A00718D2FBB09848246B6FD4A5A815592E3</vt:lpwstr>
  </property>
  <property fmtid="{D5CDD505-2E9C-101B-9397-08002B2CF9AE}" pid="3" name="_docset_NoMedatataSyncRequired">
    <vt:lpwstr>False</vt:lpwstr>
  </property>
  <property fmtid="{D5CDD505-2E9C-101B-9397-08002B2CF9AE}" pid="4" name="IsEFSEC">
    <vt:bool>false</vt:bool>
  </property>
</Properties>
</file>